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ae7f1292f0b4a38a211e293b0241197"/>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ind w:firstLine="62"/>
                  <w:jc w:val="center"/>
                  <w:rPr>
                    <w:rFonts w:eastAsia="Andale Sans UI" w:cs="Tahoma"/>
                    <w:szCs w:val="24"/>
                    <w:lang w:bidi="en-US"/>
                  </w:rPr>
                </w:pPr>
                <w:r>
                  <w:rPr>
                    <w:rFonts w:eastAsia="Andale Sans UI" w:cs="Tahoma"/>
                    <w:szCs w:val="24"/>
                    <w:lang w:val="en-US"/>
                  </w:rPr>
                  <w:drawing>
                    <wp:inline distT="0" distB="0" distL="0" distR="0" wp14:anchorId="780AB75C" wp14:editId="4E292CCC">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zCs w:val="24"/>
                    <w:lang w:bidi="en-US"/>
                  </w:rPr>
                </w:pPr>
                <w:r>
                  <w:rPr>
                    <w:rFonts w:eastAsia="Andale Sans UI" w:cs="Tahoma"/>
                    <w:b/>
                    <w:bCs/>
                    <w:szCs w:val="24"/>
                    <w:lang w:bidi="en-US"/>
                  </w:rPr>
                  <w:t>LIETUVOS RESPUBLIKOS APLINKOS MINISTERIJA</w:t>
                </w:r>
              </w:p>
              <w:p>
                <w:pPr>
                  <w:rPr>
                    <w:sz w:val="10"/>
                    <w:szCs w:val="10"/>
                  </w:rPr>
                </w:pPr>
              </w:p>
              <w:p>
                <w:pPr>
                  <w:suppressLineNumbers/>
                  <w:jc w:val="center"/>
                  <w:rPr>
                    <w:rFonts w:eastAsia="Andale Sans UI" w:cs="Tahoma"/>
                    <w:szCs w:val="24"/>
                    <w:lang w:bidi="en-US"/>
                  </w:rPr>
                </w:pPr>
                <w:r>
                  <w:rPr>
                    <w:rFonts w:eastAsia="Andale Sans UI" w:cs="Tahoma"/>
                    <w:szCs w:val="24"/>
                    <w:lang w:bidi="en-US"/>
                  </w:rPr>
                  <w:t>Biudžetinė įstaiga, A. Jakšto g. 4, LT-01105 Vilnius,</w:t>
                </w:r>
              </w:p>
              <w:p>
                <w:pPr>
                  <w:suppressLineNumbers/>
                  <w:jc w:val="center"/>
                  <w:rPr>
                    <w:rFonts w:eastAsia="Andale Sans UI" w:cs="Tahoma"/>
                    <w:szCs w:val="24"/>
                    <w:lang w:bidi="en-US"/>
                  </w:rPr>
                </w:pPr>
                <w:r>
                  <w:rPr>
                    <w:rFonts w:eastAsia="Andale Sans UI" w:cs="Tahoma"/>
                    <w:szCs w:val="24"/>
                    <w:lang w:bidi="en-US"/>
                  </w:rPr>
                  <w:t>tel. +370 626 22 252, el. p. info@am.lt, https://am.lrv.lt.</w:t>
                </w:r>
              </w:p>
              <w:p>
                <w:pPr>
                  <w:suppressLineNumbers/>
                  <w:jc w:val="center"/>
                  <w:rPr>
                    <w:rFonts w:eastAsia="Andale Sans UI" w:cs="Tahoma"/>
                    <w:szCs w:val="24"/>
                    <w:lang w:bidi="en-US"/>
                  </w:rPr>
                </w:pPr>
                <w:r>
                  <w:rPr>
                    <w:rFonts w:eastAsia="Andale Sans UI" w:cs="Tahoma"/>
                    <w:szCs w:val="2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zCs w:val="24"/>
                    <w:lang w:bidi="en-US"/>
                  </w:rPr>
                </w:pPr>
              </w:p>
              <w:p>
                <w:pPr>
                  <w:suppressLineNumbers/>
                  <w:jc w:val="both"/>
                  <w:rPr>
                    <w:rFonts w:eastAsia="Andale Sans UI" w:cs="Tahoma"/>
                    <w:szCs w:val="24"/>
                    <w:lang w:bidi="en-US"/>
                  </w:rPr>
                </w:pPr>
              </w:p>
            </w:tc>
            <w:tc>
              <w:tcPr>
                <w:tcW w:w="282" w:type="dxa"/>
                <w:tcMar>
                  <w:top w:w="0" w:type="dxa"/>
                  <w:left w:w="0" w:type="dxa"/>
                  <w:bottom w:w="0" w:type="dxa"/>
                  <w:right w:w="0" w:type="dxa"/>
                </w:tcMar>
              </w:tcPr>
              <w:p>
                <w:pPr>
                  <w:ind w:right="67"/>
                  <w:jc w:val="right"/>
                  <w:rPr>
                    <w:rFonts w:eastAsia="Andale Sans UI" w:cs="Tahoma"/>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zCs w:val="24"/>
                    <w:lang w:bidi="en-US"/>
                  </w:rPr>
                </w:pPr>
                <w:r>
                  <w:rPr>
                    <w:rFonts w:eastAsia="Andale Sans UI" w:cs="Tahoma"/>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zCs w:val="24"/>
                    <w:lang w:bidi="en-US"/>
                  </w:rPr>
                </w:pPr>
                <w:r>
                  <w:rPr>
                    <w:rFonts w:eastAsia="Andale Sans UI" w:cs="Tahoma"/>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zCs w:val="24"/>
                    <w:lang w:bidi="en-US"/>
                  </w:rPr>
                </w:pPr>
                <w:r>
                  <w:rPr>
                    <w:rFonts w:eastAsia="Andale Sans UI" w:cs="Tahoma"/>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cs="Tahoma"/>
                    <w:b/>
                    <w:bCs/>
                    <w:szCs w:val="24"/>
                    <w:lang w:bidi="en-US"/>
                  </w:rPr>
                </w:pPr>
                <w:r>
                  <w:rPr>
                    <w:rFonts w:eastAsia="Andale Sans UI" w:cs="Tahoma"/>
                    <w:b/>
                    <w:bCs/>
                    <w:szCs w:val="24"/>
                    <w:lang w:bidi="en-US"/>
                  </w:rPr>
                  <w:t>DĖL VYRIAUSYBĖS NUTARIMO PROJEKTO</w:t>
                </w:r>
              </w:p>
              <w:p>
                <w:pPr>
                  <w:suppressLineNumbers/>
                  <w:jc w:val="both"/>
                  <w:rPr>
                    <w:rFonts w:eastAsia="Andale Sans UI" w:cs="Tahoma"/>
                    <w:szCs w:val="24"/>
                    <w:lang w:bidi="en-US"/>
                  </w:rPr>
                </w:pPr>
              </w:p>
            </w:tc>
          </w:tr>
        </w:tbl>
        <w:p/>
      </w:sdtContent>
    </w:sdt>
    <w:sdt>
      <w:sdtPr>
        <w:alias w:val="pastraipa"/>
        <w:tag w:val="part_a91a1549aa474b98b4df8861e0b24131"/>
        <w:lock w:val="sdtLocked"/>
        <w:richText/>
      </w:sdtPr>
      <w:sdtContent>
        <w:p>
          <w:pPr>
            <w:shd w:val="clear" w:color="auto" w:fill="FFFFFF"/>
            <w:ind w:firstLine="567"/>
            <w:jc w:val="both"/>
            <w:textAlignment w:val="center"/>
            <w:rPr>
              <w:rFonts w:eastAsia="Andale Sans UI" w:cs="Tahoma"/>
              <w:szCs w:val="24"/>
              <w:lang w:bidi="en-US"/>
            </w:rPr>
          </w:pPr>
          <w:r>
            <w:rPr>
              <w:rFonts w:eastAsia="Andale Sans UI" w:cs="Tahoma"/>
              <w:szCs w:val="24"/>
              <w:lang w:bidi="en-US"/>
            </w:rPr>
            <w:t xml:space="preserve">Aplinkos ministerija teikia derinti Lietuvos Respublikos Vyriausybės nutarimo                                  „Dėl 2026–2029 m. Klimato kaitos programos investicijų plano patvirtinimo“ projektą (toliau – Projektas).</w:t>
          </w:r>
        </w:p>
        <w:sdt>
          <w:sdtPr>
            <w:alias w:val="1 p."/>
            <w:tag w:val="part_525c9e3033d14038bc6737715a28a6ac"/>
            <w:lock w:val="sdtLocked"/>
            <w:richText/>
          </w:sdtPr>
          <w:sdtContent>
            <w:p>
              <w:pPr>
                <w:shd w:val="clear" w:color="auto" w:fill="FFFFFF"/>
                <w:ind w:firstLine="567"/>
                <w:jc w:val="both"/>
                <w:textAlignment w:val="center"/>
                <w:rPr>
                  <w:rFonts w:eastAsia="Andale Sans UI" w:cs="Tahoma"/>
                  <w:b/>
                  <w:bCs/>
                  <w:szCs w:val="24"/>
                  <w:lang w:bidi="en-US"/>
                </w:rPr>
              </w:pPr>
              <w:sdt>
                <w:sdtPr>
                  <w:alias w:val="Numeris"/>
                  <w:tag w:val="nr_525c9e3033d14038bc6737715a28a6ac"/>
                  <w:lock w:val="sdtLocked"/>
                  <w:richText/>
                </w:sdtPr>
                <w:sdtContent>
                  <w:r>
                    <w:rPr>
                      <w:rFonts w:eastAsia="Andale Sans UI" w:cs="Tahoma"/>
                      <w:b/>
                      <w:bCs/>
                      <w:szCs w:val="24"/>
                      <w:lang w:bidi="en-US"/>
                    </w:rPr>
                    <w:t>1</w:t>
                  </w:r>
                </w:sdtContent>
              </w:sdt>
              <w:r>
                <w:rPr>
                  <w:rFonts w:eastAsia="Andale Sans UI" w:cs="Tahoma"/>
                  <w:b/>
                  <w:bCs/>
                  <w:szCs w:val="24"/>
                  <w:lang w:bidi="en-US"/>
                </w:rPr>
                <w:t>. Projektu sprendžiama problema ir Projektą rengti paskatinusios priežastys</w:t>
              </w:r>
            </w:p>
            <w:p>
              <w:pPr>
                <w:ind w:firstLine="567"/>
                <w:jc w:val="both"/>
                <w:rPr>
                  <w:rFonts w:eastAsia="Andale Sans UI" w:cs="Tahoma"/>
                  <w:szCs w:val="24"/>
                  <w:lang w:bidi="en-US"/>
                </w:rPr>
              </w:pPr>
              <w:r>
                <w:rPr>
                  <w:rFonts w:eastAsia="Andale Sans UI" w:cs="Tahoma"/>
                  <w:szCs w:val="24"/>
                  <w:lang w:bidi="en-US"/>
                </w:rPr>
                <w:t xml:space="preserve">Teikiamo Projekto tikslas – patvirtinti  Klimato kaitos programos (toliau – programa) investicijų planą 2026–2029 m. laikotarpiui. Šiuo laikotarpiu bendros planuojamos programos pajamos –  564,02 mln. Eur, iš jų 114 mln. Eur – iš sutaupytų  ankstesnių projektų ir kvietimų lėšų.</w:t>
              </w:r>
            </w:p>
            <w:p>
              <w:pPr>
                <w:ind w:firstLine="567"/>
                <w:jc w:val="both"/>
                <w:rPr>
                  <w:rFonts w:eastAsia="Andale Sans UI" w:cs="Tahoma"/>
                  <w:szCs w:val="24"/>
                  <w:lang w:bidi="en-US"/>
                </w:rPr>
              </w:pPr>
              <w:r>
                <w:rPr>
                  <w:rFonts w:eastAsia="Andale Sans UI" w:cs="Tahoma"/>
                  <w:szCs w:val="24"/>
                  <w:lang w:bidi="en-US"/>
                </w:rPr>
                <w:t>Projektas parengtas vadovaujantis Lietuvos Respublikos klimato kaitos valdymo įstatymo 14 straipsnio 4 dalies 1 ir 2 punktais, kuriuose numatyta, kad Aplinkos ministerija rengia  Klimato kaitos programos ketverių metų investicijų planus (toliau – investicijų planas), Lietuvos Respublikos Vyriausybė, gavusi Seimo Aplinkos apsaugos komiteto išvadas, tvirtina nutarimu.  </w:t>
              </w:r>
            </w:p>
          </w:sdtContent>
        </w:sdt>
        <w:sdt>
          <w:sdtPr>
            <w:alias w:val="2 p."/>
            <w:tag w:val="part_32490f1c031b400eaef10895780547c7"/>
            <w:lock w:val="sdtLocked"/>
            <w:richText/>
          </w:sdtPr>
          <w:sdtContent>
            <w:p>
              <w:pPr>
                <w:ind w:firstLine="567"/>
                <w:jc w:val="both"/>
                <w:rPr>
                  <w:rFonts w:eastAsia="Andale Sans UI" w:cs="Tahoma"/>
                  <w:b/>
                  <w:bCs/>
                  <w:szCs w:val="24"/>
                  <w:lang w:bidi="en-US"/>
                </w:rPr>
              </w:pPr>
              <w:sdt>
                <w:sdtPr>
                  <w:alias w:val="Numeris"/>
                  <w:tag w:val="nr_32490f1c031b400eaef10895780547c7"/>
                  <w:lock w:val="sdtLocked"/>
                  <w:richText/>
                </w:sdtPr>
                <w:sdtContent>
                  <w:r>
                    <w:rPr>
                      <w:rFonts w:eastAsia="Andale Sans UI" w:cs="Tahoma"/>
                      <w:b/>
                      <w:bCs/>
                      <w:szCs w:val="24"/>
                      <w:lang w:bidi="en-US"/>
                    </w:rPr>
                    <w:t>2</w:t>
                  </w:r>
                </w:sdtContent>
              </w:sdt>
              <w:r>
                <w:rPr>
                  <w:rFonts w:eastAsia="Andale Sans UI" w:cs="Tahoma"/>
                  <w:b/>
                  <w:bCs/>
                  <w:szCs w:val="24"/>
                  <w:lang w:bidi="en-US"/>
                </w:rPr>
                <w:t>. Projektu siūlomo teisinio reguliavimo esmė – problemos sprendimas</w:t>
              </w:r>
            </w:p>
            <w:p>
              <w:pPr>
                <w:ind w:firstLine="567"/>
                <w:jc w:val="both"/>
                <w:rPr>
                  <w:rFonts w:eastAsia="Andale Sans UI" w:cs="Tahoma"/>
                  <w:szCs w:val="24"/>
                  <w:lang w:bidi="en-US"/>
                </w:rPr>
              </w:pPr>
              <w:r>
                <w:rPr>
                  <w:rFonts w:eastAsia="Andale Sans UI" w:cs="Tahoma"/>
                  <w:szCs w:val="24"/>
                  <w:lang w:bidi="en-US"/>
                </w:rPr>
                <w:t>Programos investicijų plano priemonėmis bus prisidedama siekiant Lietuvos klimato tikslų ir sumažinti šiltnamio efektą sukeliančių dujų kiekį</w:t>
              </w:r>
            </w:p>
          </w:sdtContent>
        </w:sdt>
        <w:sdt>
          <w:sdtPr>
            <w:alias w:val="3 p."/>
            <w:tag w:val="part_9c8cc75cbc114e8d8aeecbacae915236"/>
            <w:lock w:val="sdtLocked"/>
            <w:richText/>
          </w:sdtPr>
          <w:sdtContent>
            <w:p>
              <w:pPr>
                <w:ind w:firstLine="567"/>
                <w:jc w:val="both"/>
                <w:rPr>
                  <w:rFonts w:eastAsia="Andale Sans UI" w:cs="Tahoma"/>
                  <w:b/>
                  <w:bCs/>
                  <w:szCs w:val="24"/>
                  <w:lang w:bidi="en-US"/>
                </w:rPr>
              </w:pPr>
              <w:sdt>
                <w:sdtPr>
                  <w:alias w:val="Numeris"/>
                  <w:tag w:val="nr_9c8cc75cbc114e8d8aeecbacae915236"/>
                  <w:lock w:val="sdtLocked"/>
                  <w:richText/>
                </w:sdtPr>
                <w:sdtContent>
                  <w:r>
                    <w:rPr>
                      <w:rFonts w:eastAsia="Andale Sans UI" w:cs="Tahoma"/>
                      <w:b/>
                      <w:bCs/>
                      <w:szCs w:val="24"/>
                      <w:lang w:bidi="en-US"/>
                    </w:rPr>
                    <w:t>3</w:t>
                  </w:r>
                </w:sdtContent>
              </w:sdt>
              <w:r>
                <w:rPr>
                  <w:rFonts w:eastAsia="Andale Sans UI" w:cs="Tahoma"/>
                  <w:b/>
                  <w:bCs/>
                  <w:szCs w:val="24"/>
                  <w:lang w:bidi="en-US"/>
                </w:rPr>
                <w:t>. Pasiūlymų įgyvendinimo mechanizmas, kaštai ir nauda</w:t>
              </w:r>
            </w:p>
            <w:p>
              <w:pPr>
                <w:ind w:firstLine="567"/>
                <w:jc w:val="both"/>
                <w:rPr>
                  <w:rFonts w:eastAsia="Andale Sans UI" w:cs="Tahoma"/>
                  <w:szCs w:val="24"/>
                  <w:lang w:bidi="en-US"/>
                </w:rPr>
              </w:pPr>
              <w:r>
                <w:rPr>
                  <w:rFonts w:eastAsia="Andale Sans UI" w:cs="Tahoma"/>
                  <w:szCs w:val="24"/>
                  <w:lang w:bidi="en-US"/>
                </w:rPr>
                <w:t>Projektu siekiama patvirtinti investicijų planą, kuriame nustatomos Klimato kaitos lėšų panaudojimo sritys 2026–2029 m. laikotarpiui. Investicijų planą sudarys tęstinės ir pažangos veiklos, suskirstytos stambesniais finansavimo blokais. Tęstinėms veikloms, kuriomis prisidedama netiesiogiai prie šiltnamio efektą sukeliančių dujų kiekio mažinimo, t. y. administravimo kaštų padengimas, analizių ir studijų rengimas ir pan., skirta 12 mln. Eur visam laikotarpiui. Pažangos veikloms – pastatų atnaujinimui (modernizavimui) – 492,5 mln. Eur, šiltnamio efektą sukeliančių dujų absorbciniams pajėgumams didinti – 54,52 mln. Eur, f</w:t>
              </w:r>
              <w:r>
                <w:rPr>
                  <w:rFonts w:eastAsia="Andale Sans UI" w:cs="Tahoma"/>
                  <w:szCs w:val="24"/>
                  <w:lang w:val="en-GB" w:bidi="en-US"/>
                </w:rPr>
                <w:t xml:space="preserve">inansinėms priemonėms pagal </w:t>
              </w:r>
              <w:r>
                <w:rPr>
                  <w:rFonts w:eastAsia="Andale Sans UI" w:cs="Tahoma"/>
                  <w:szCs w:val="24"/>
                  <w:lang w:bidi="en-US"/>
                </w:rPr>
                <w:t>Klimato kaitos valdymo įstatymo</w:t>
              </w:r>
              <w:r>
                <w:rPr>
                  <w:rFonts w:eastAsia="Andale Sans UI" w:cs="Tahoma"/>
                  <w:szCs w:val="24"/>
                  <w:lang w:val="en-GB" w:bidi="en-US"/>
                </w:rPr>
                <w:t xml:space="preserve"> 14 straipsnio 3 dalies 10 punktą (Lietuvo Respublikos klimato kaitos valdymo įstatymo Nr. XI-329 10, 12, 14, 18, 19, 20 straipsnių ir 1, 3 priedų pakeitimo įstatymo projektas Nr. xvp-676(2), kuris </w:t>
              </w:r>
              <w:r>
                <w:rPr>
                  <w:rFonts w:eastAsia="Andale Sans UI" w:cs="Tahoma"/>
                  <w:szCs w:val="24"/>
                  <w:lang w:bidi="en-US"/>
                </w:rPr>
                <w:t>šiuo metu svarstomas Lietuvos Respublikos Seime ir planuojama jį priimti š. m. lapkričio 20 d.</w:t>
              </w:r>
              <w:r>
                <w:rPr>
                  <w:rFonts w:eastAsia="Andale Sans UI" w:cs="Tahoma"/>
                  <w:szCs w:val="24"/>
                  <w:lang w:val="en-GB" w:bidi="en-US"/>
                </w:rPr>
                <w:t>)</w:t>
              </w:r>
              <w:r>
                <w:rPr>
                  <w:rFonts w:eastAsia="Andale Sans UI" w:cs="Tahoma"/>
                  <w:szCs w:val="24"/>
                  <w:lang w:bidi="en-US"/>
                </w:rPr>
                <w:t xml:space="preserve"> – 5 mln. Eur. Detalesnė lentelė su konkrečiomis pažangos veiklomis, atitinkančiomis nutarimo investicijų kryptį : </w:t>
              </w:r>
            </w:p>
            <w:tbl>
              <w:tblPr>
                <w:tblW w:w="9918" w:type="dxa"/>
                <w:tblCellMar>
                  <w:top w:w="15" w:type="dxa"/>
                  <w:bottom w:w="15" w:type="dxa"/>
                </w:tblCellMar>
                <w:tblLook w:val="04A0" w:firstRow="1" w:lastRow="0" w:firstColumn="1" w:lastColumn="0" w:noHBand="0" w:noVBand="1"/>
              </w:tblPr>
              <w:tblGrid>
                <w:gridCol w:w="3681"/>
                <w:gridCol w:w="4394"/>
                <w:gridCol w:w="1843"/>
              </w:tblGrid>
              <w:tr>
                <w:trPr>
                  <w:trHeight w:val="1440"/>
                </w:trPr>
                <w:tc>
                  <w:tcPr>
                    <w:tcW w:w="3681" w:type="dxa"/>
                    <w:tcBorders>
                      <w:top w:val="single" w:sz="4" w:space="0" w:color="000000"/>
                      <w:left w:val="single" w:sz="4" w:space="0" w:color="000000"/>
                      <w:bottom w:val="single" w:sz="4" w:space="0" w:color="000000"/>
                      <w:right w:val="single" w:sz="4" w:space="0" w:color="000000"/>
                    </w:tcBorders>
                    <w:noWrap/>
                    <w:vAlign w:val="center"/>
                    <w:hideMark/>
                  </w:tcPr>
                  <w:p>
                    <w:pPr>
                      <w:ind w:firstLine="567"/>
                      <w:jc w:val="center"/>
                      <w:rPr>
                        <w:rFonts w:eastAsia="Andale Sans UI" w:cs="Tahoma"/>
                        <w:b/>
                        <w:bCs/>
                        <w:sz w:val="20"/>
                        <w:lang w:bidi="en-US"/>
                      </w:rPr>
                    </w:pPr>
                    <w:r>
                      <w:rPr>
                        <w:rFonts w:eastAsia="Andale Sans UI" w:cs="Tahoma"/>
                        <w:b/>
                        <w:bCs/>
                        <w:sz w:val="20"/>
                        <w:lang w:bidi="en-US"/>
                      </w:rPr>
                      <w:t>Lietuvos Respublikos Vyriausybės nutarimo formuluotė (investicijų kryptis)</w:t>
                    </w:r>
                  </w:p>
                </w:tc>
                <w:tc>
                  <w:tcPr>
                    <w:tcW w:w="4394" w:type="dxa"/>
                    <w:tcBorders>
                      <w:top w:val="single" w:sz="4" w:space="0" w:color="000000"/>
                      <w:left w:val="single" w:sz="4" w:space="0" w:color="000000"/>
                      <w:bottom w:val="single" w:sz="4" w:space="0" w:color="000000"/>
                      <w:right w:val="single" w:sz="4" w:space="0" w:color="000000"/>
                    </w:tcBorders>
                    <w:vAlign w:val="center"/>
                    <w:hideMark/>
                  </w:tcPr>
                  <w:p>
                    <w:pPr>
                      <w:jc w:val="center"/>
                      <w:rPr>
                        <w:rFonts w:eastAsia="Andale Sans UI" w:cs="Tahoma"/>
                        <w:b/>
                        <w:bCs/>
                        <w:sz w:val="20"/>
                        <w:lang w:bidi="en-US"/>
                      </w:rPr>
                    </w:pPr>
                    <w:r>
                      <w:rPr>
                        <w:rFonts w:eastAsia="Andale Sans UI" w:cs="Tahoma"/>
                        <w:b/>
                        <w:bCs/>
                        <w:sz w:val="20"/>
                        <w:lang w:bidi="en-US"/>
                      </w:rPr>
                      <w:t>Priemonės pavadinimas (ministro įsakyme, pažangos priemonėje)</w:t>
                    </w:r>
                  </w:p>
                </w:tc>
                <w:tc>
                  <w:tcPr>
                    <w:tcW w:w="1843" w:type="dxa"/>
                    <w:tcBorders>
                      <w:top w:val="single" w:sz="4" w:space="0" w:color="000000"/>
                      <w:left w:val="single" w:sz="4" w:space="0" w:color="000000"/>
                      <w:bottom w:val="single" w:sz="4" w:space="0" w:color="000000"/>
                      <w:right w:val="single" w:sz="4" w:space="0" w:color="000000"/>
                    </w:tcBorders>
                    <w:vAlign w:val="center"/>
                    <w:hideMark/>
                  </w:tcPr>
                  <w:p>
                    <w:pPr>
                      <w:jc w:val="center"/>
                      <w:rPr>
                        <w:rFonts w:eastAsia="Andale Sans UI" w:cs="Tahoma"/>
                        <w:b/>
                        <w:bCs/>
                        <w:sz w:val="20"/>
                        <w:lang w:val="en-GB" w:bidi="en-US"/>
                      </w:rPr>
                    </w:pPr>
                    <w:r>
                      <w:rPr>
                        <w:rFonts w:eastAsia="Andale Sans UI" w:cs="Tahoma"/>
                        <w:b/>
                        <w:bCs/>
                        <w:sz w:val="20"/>
                        <w:lang w:val="en-GB" w:bidi="en-US"/>
                      </w:rPr>
                      <w:t>2026–2029 m. siūloma skirti, mln. Eur</w:t>
                    </w:r>
                  </w:p>
                </w:tc>
              </w:tr>
              <w:tr>
                <w:trPr>
                  <w:trHeight w:val="300"/>
                </w:trPr>
                <w:tc>
                  <w:tcPr>
                    <w:tcW w:w="3681" w:type="dxa"/>
                    <w:tcBorders>
                      <w:top w:val="single" w:sz="4" w:space="0" w:color="000000"/>
                      <w:left w:val="single" w:sz="4" w:space="0" w:color="000000"/>
                      <w:bottom w:val="single" w:sz="4" w:space="0" w:color="000000"/>
                      <w:right w:val="single" w:sz="4" w:space="0" w:color="000000"/>
                    </w:tcBorders>
                    <w:noWrap/>
                    <w:vAlign w:val="bottom"/>
                    <w:hideMark/>
                  </w:tcPr>
                  <w:p>
                    <w:pPr>
                      <w:ind w:firstLine="567"/>
                      <w:jc w:val="both"/>
                      <w:rPr>
                        <w:rFonts w:eastAsia="Andale Sans UI" w:cs="Tahoma"/>
                        <w:b/>
                        <w:bCs/>
                        <w:sz w:val="20"/>
                        <w:lang w:bidi="en-US"/>
                      </w:rPr>
                    </w:pPr>
                  </w:p>
                </w:tc>
                <w:tc>
                  <w:tcPr>
                    <w:tcW w:w="4394" w:type="dxa"/>
                    <w:tcBorders>
                      <w:top w:val="single" w:sz="4" w:space="0" w:color="000000"/>
                      <w:left w:val="single" w:sz="4" w:space="0" w:color="000000"/>
                      <w:bottom w:val="single" w:sz="4" w:space="0" w:color="000000"/>
                      <w:right w:val="single" w:sz="4" w:space="0" w:color="000000"/>
                    </w:tcBorders>
                    <w:noWrap/>
                    <w:vAlign w:val="bottom"/>
                    <w:hideMark/>
                  </w:tcPr>
                  <w:p>
                    <w:pPr>
                      <w:ind w:firstLine="567"/>
                      <w:jc w:val="both"/>
                      <w:rPr>
                        <w:rFonts w:eastAsia="Andale Sans UI" w:cs="Tahoma"/>
                        <w:b/>
                        <w:bCs/>
                        <w:sz w:val="20"/>
                        <w:lang w:bidi="en-US"/>
                      </w:rPr>
                    </w:pPr>
                    <w:r>
                      <w:rPr>
                        <w:rFonts w:eastAsia="Andale Sans UI" w:cs="Tahoma"/>
                        <w:b/>
                        <w:bCs/>
                        <w:sz w:val="20"/>
                        <w:lang w:bidi="en-US"/>
                      </w:rPr>
                      <w:t>TĘSTINĖS VEIKLOS</w:t>
                    </w:r>
                  </w:p>
                </w:tc>
                <w:tc>
                  <w:tcPr>
                    <w:tcW w:w="1843" w:type="dxa"/>
                    <w:tcBorders>
                      <w:top w:val="single" w:sz="4" w:space="0" w:color="000000"/>
                      <w:left w:val="single" w:sz="4" w:space="0" w:color="000000"/>
                      <w:bottom w:val="single" w:sz="4" w:space="0" w:color="000000"/>
                      <w:right w:val="single" w:sz="4" w:space="0" w:color="000000"/>
                    </w:tcBorders>
                    <w:noWrap/>
                    <w:vAlign w:val="bottom"/>
                    <w:hideMark/>
                  </w:tcPr>
                  <w:p>
                    <w:pPr>
                      <w:ind w:firstLine="567"/>
                      <w:jc w:val="both"/>
                      <w:rPr>
                        <w:rFonts w:eastAsia="Andale Sans UI" w:cs="Tahoma"/>
                        <w:b/>
                        <w:bCs/>
                        <w:sz w:val="20"/>
                        <w:lang w:val="en-GB" w:bidi="en-US"/>
                      </w:rPr>
                    </w:pPr>
                  </w:p>
                </w:tc>
              </w:tr>
              <w:tr>
                <w:trPr>
                  <w:trHeight w:val="375"/>
                </w:trPr>
                <w:tc>
                  <w:tcPr>
                    <w:tcW w:w="3681" w:type="dxa"/>
                    <w:tcBorders>
                      <w:top w:val="single" w:sz="4" w:space="0" w:color="000000"/>
                      <w:left w:val="single" w:sz="4" w:space="0" w:color="000000"/>
                      <w:bottom w:val="single" w:sz="4" w:space="0" w:color="000000"/>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Nacionalinės klimato kaitos valdymo politikos formavimo ir įgyvendinimo, tarp jų visuomenės informavimo ir švietimo priemonės, klimato kaitos švelninimo ir prisitaikymo prie klimato kaitos pokyčių priemonių įgyvendinimas nacionaliniu lygmeniu, programos administravimo lėšos</w:t>
                    </w:r>
                  </w:p>
                </w:tc>
                <w:tc>
                  <w:tcPr>
                    <w:tcW w:w="4394" w:type="dxa"/>
                    <w:tcBorders>
                      <w:top w:val="single" w:sz="4" w:space="0" w:color="000000"/>
                      <w:left w:val="single" w:sz="4" w:space="0" w:color="000000"/>
                      <w:bottom w:val="single" w:sz="4" w:space="0" w:color="000000"/>
                      <w:right w:val="single" w:sz="4" w:space="0" w:color="000000"/>
                    </w:tcBorders>
                    <w:vAlign w:val="center"/>
                    <w:hideMark/>
                  </w:tcPr>
                  <w:p>
                    <w:pPr>
                      <w:ind w:firstLine="567"/>
                      <w:jc w:val="both"/>
                      <w:rPr>
                        <w:rFonts w:eastAsia="Andale Sans UI" w:cs="Tahoma"/>
                        <w:sz w:val="20"/>
                        <w:lang w:bidi="en-US"/>
                      </w:rPr>
                    </w:pPr>
                    <w:r>
                      <w:rPr>
                        <w:rFonts w:eastAsia="Andale Sans UI" w:cs="Tahoma"/>
                        <w:sz w:val="20"/>
                        <w:lang w:bidi="en-US"/>
                      </w:rPr>
                      <w:t>Programos administravimas</w:t>
                    </w:r>
                  </w:p>
                </w:tc>
                <w:tc>
                  <w:tcPr>
                    <w:tcW w:w="1843" w:type="dxa"/>
                    <w:tcBorders>
                      <w:top w:val="single" w:sz="4" w:space="0" w:color="000000"/>
                      <w:left w:val="single" w:sz="4" w:space="0" w:color="000000"/>
                      <w:bottom w:val="single" w:sz="4" w:space="0" w:color="000000"/>
                      <w:right w:val="single" w:sz="4" w:space="0" w:color="000000"/>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12</w:t>
                    </w:r>
                  </w:p>
                </w:tc>
              </w:tr>
              <w:tr>
                <w:trPr>
                  <w:trHeight w:val="300"/>
                </w:trPr>
                <w:tc>
                  <w:tcPr>
                    <w:tcW w:w="3681" w:type="dxa"/>
                    <w:tcBorders>
                      <w:top w:val="single" w:sz="4" w:space="0" w:color="000000"/>
                      <w:left w:val="single" w:sz="4" w:space="0" w:color="000000"/>
                      <w:bottom w:val="nil"/>
                      <w:right w:val="single" w:sz="4" w:space="0" w:color="000000"/>
                    </w:tcBorders>
                    <w:noWrap/>
                    <w:vAlign w:val="bottom"/>
                    <w:hideMark/>
                  </w:tcPr>
                  <w:p>
                    <w:pPr>
                      <w:ind w:firstLine="567"/>
                      <w:jc w:val="both"/>
                      <w:rPr>
                        <w:rFonts w:eastAsia="Andale Sans UI" w:cs="Tahoma"/>
                        <w:b/>
                        <w:bCs/>
                        <w:sz w:val="20"/>
                        <w:lang w:bidi="en-US"/>
                      </w:rPr>
                    </w:pPr>
                  </w:p>
                </w:tc>
                <w:tc>
                  <w:tcPr>
                    <w:tcW w:w="4394" w:type="dxa"/>
                    <w:tcBorders>
                      <w:top w:val="single" w:sz="4" w:space="0" w:color="000000"/>
                      <w:left w:val="single" w:sz="4" w:space="0" w:color="000000"/>
                      <w:bottom w:val="nil"/>
                      <w:right w:val="single" w:sz="4" w:space="0" w:color="000000"/>
                    </w:tcBorders>
                    <w:hideMark/>
                  </w:tcPr>
                  <w:p>
                    <w:pPr>
                      <w:ind w:firstLine="567"/>
                      <w:jc w:val="both"/>
                      <w:rPr>
                        <w:rFonts w:eastAsia="Andale Sans UI" w:cs="Tahoma"/>
                        <w:b/>
                        <w:bCs/>
                        <w:sz w:val="20"/>
                        <w:lang w:bidi="en-US"/>
                      </w:rPr>
                    </w:pPr>
                    <w:r>
                      <w:rPr>
                        <w:rFonts w:eastAsia="Andale Sans UI" w:cs="Tahoma"/>
                        <w:b/>
                        <w:bCs/>
                        <w:sz w:val="20"/>
                        <w:lang w:bidi="en-US"/>
                      </w:rPr>
                      <w:t>PAŽANGOS VEIKLOS</w:t>
                    </w:r>
                  </w:p>
                </w:tc>
                <w:tc>
                  <w:tcPr>
                    <w:tcW w:w="1843" w:type="dxa"/>
                    <w:tcBorders>
                      <w:top w:val="single" w:sz="4" w:space="0" w:color="000000"/>
                      <w:left w:val="single" w:sz="4" w:space="0" w:color="000000"/>
                      <w:bottom w:val="nil"/>
                      <w:right w:val="single" w:sz="4" w:space="0" w:color="000000"/>
                    </w:tcBorders>
                    <w:noWrap/>
                    <w:vAlign w:val="center"/>
                    <w:hideMark/>
                  </w:tcPr>
                  <w:p>
                    <w:pPr>
                      <w:ind w:firstLine="567"/>
                      <w:jc w:val="both"/>
                      <w:rPr>
                        <w:rFonts w:eastAsia="Andale Sans UI" w:cs="Tahoma"/>
                        <w:sz w:val="20"/>
                        <w:lang w:val="en-GB" w:bidi="en-US"/>
                      </w:rPr>
                    </w:pPr>
                  </w:p>
                </w:tc>
              </w:tr>
              <w:tr>
                <w:trPr>
                  <w:trHeight w:val="300"/>
                </w:trPr>
                <w:tc>
                  <w:tcPr>
                    <w:tcW w:w="3681" w:type="dxa"/>
                    <w:vMerge w:val="restart"/>
                    <w:tcBorders>
                      <w:top w:val="single" w:sz="4" w:space="0" w:color="000000"/>
                      <w:left w:val="single" w:sz="4" w:space="0" w:color="000000"/>
                      <w:bottom w:val="single" w:sz="4" w:space="0" w:color="000000"/>
                      <w:right w:val="single" w:sz="4" w:space="0" w:color="000000"/>
                    </w:tcBorders>
                    <w:vAlign w:val="center"/>
                    <w:hideMark/>
                  </w:tcPr>
                  <w:p>
                    <w:pPr>
                      <w:ind w:firstLine="567"/>
                      <w:jc w:val="both"/>
                      <w:rPr>
                        <w:rFonts w:eastAsia="Andale Sans UI" w:cs="Tahoma"/>
                        <w:sz w:val="20"/>
                        <w:lang w:bidi="en-US"/>
                      </w:rPr>
                    </w:pPr>
                    <w:r>
                      <w:rPr>
                        <w:rFonts w:eastAsia="Andale Sans UI" w:cs="Tahoma"/>
                        <w:sz w:val="20"/>
                        <w:lang w:bidi="en-US"/>
                      </w:rPr>
                      <w:t>Pastatų atnaujinimas (modernizavimas)</w:t>
                    </w:r>
                  </w:p>
                </w:tc>
                <w:tc>
                  <w:tcPr>
                    <w:tcW w:w="4394" w:type="dxa"/>
                    <w:tcBorders>
                      <w:top w:val="single" w:sz="4" w:space="0" w:color="000000"/>
                      <w:left w:val="single" w:sz="4" w:space="0" w:color="000000"/>
                      <w:bottom w:val="single" w:sz="4" w:space="0" w:color="000000"/>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Dalinė daugiabučių namų renovacija (įskaitant mažąją renovaciją)</w:t>
                    </w:r>
                  </w:p>
                </w:tc>
                <w:tc>
                  <w:tcPr>
                    <w:tcW w:w="1843" w:type="dxa"/>
                    <w:tcBorders>
                      <w:top w:val="single" w:sz="4" w:space="0" w:color="000000"/>
                      <w:left w:val="single" w:sz="4" w:space="0" w:color="000000"/>
                      <w:bottom w:val="single" w:sz="4" w:space="0" w:color="000000"/>
                      <w:right w:val="single" w:sz="4" w:space="0" w:color="000000"/>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185</w:t>
                    </w:r>
                  </w:p>
                </w:tc>
              </w:tr>
              <w:tr>
                <w:trPr>
                  <w:trHeight w:val="300"/>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pPr>
                      <w:ind w:firstLine="567"/>
                      <w:jc w:val="center"/>
                      <w:rPr>
                        <w:rFonts w:eastAsia="Andale Sans UI" w:cs="Tahoma"/>
                        <w:sz w:val="20"/>
                        <w:lang w:bidi="en-US"/>
                      </w:rPr>
                    </w:pPr>
                  </w:p>
                </w:tc>
                <w:tc>
                  <w:tcPr>
                    <w:tcW w:w="4394" w:type="dxa"/>
                    <w:tcBorders>
                      <w:top w:val="single" w:sz="4" w:space="0" w:color="000000"/>
                      <w:left w:val="single" w:sz="4" w:space="0" w:color="000000"/>
                      <w:bottom w:val="single" w:sz="4" w:space="0" w:color="000000"/>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Daugiabučių namų modernizavimas (14 kvietimas)</w:t>
                    </w:r>
                  </w:p>
                </w:tc>
                <w:tc>
                  <w:tcPr>
                    <w:tcW w:w="1843" w:type="dxa"/>
                    <w:tcBorders>
                      <w:top w:val="single" w:sz="4" w:space="0" w:color="000000"/>
                      <w:left w:val="single" w:sz="4" w:space="0" w:color="000000"/>
                      <w:bottom w:val="nil"/>
                      <w:right w:val="single" w:sz="4" w:space="0" w:color="000000"/>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126</w:t>
                    </w:r>
                  </w:p>
                </w:tc>
              </w:tr>
              <w:tr>
                <w:trPr>
                  <w:trHeight w:val="300"/>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pPr>
                      <w:ind w:firstLine="567"/>
                      <w:jc w:val="center"/>
                      <w:rPr>
                        <w:rFonts w:eastAsia="Andale Sans UI" w:cs="Tahoma"/>
                        <w:sz w:val="20"/>
                        <w:lang w:bidi="en-US"/>
                      </w:rPr>
                    </w:pPr>
                  </w:p>
                </w:tc>
                <w:tc>
                  <w:tcPr>
                    <w:tcW w:w="4394" w:type="dxa"/>
                    <w:tcBorders>
                      <w:top w:val="single" w:sz="4" w:space="0" w:color="000000"/>
                      <w:left w:val="single" w:sz="4" w:space="0" w:color="000000"/>
                      <w:bottom w:val="single" w:sz="4" w:space="0" w:color="000000"/>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Individualių namų renovacija (vienbučių / dvibučių)</w:t>
                    </w:r>
                  </w:p>
                </w:tc>
                <w:tc>
                  <w:tcPr>
                    <w:tcW w:w="1843" w:type="dxa"/>
                    <w:tcBorders>
                      <w:top w:val="single" w:sz="4" w:space="0" w:color="000000"/>
                      <w:left w:val="single" w:sz="4" w:space="0" w:color="000000"/>
                      <w:bottom w:val="single" w:sz="4" w:space="0" w:color="000000"/>
                      <w:right w:val="nil"/>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20</w:t>
                    </w:r>
                  </w:p>
                </w:tc>
              </w:tr>
              <w:tr>
                <w:trPr>
                  <w:trHeight w:val="300"/>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pPr>
                      <w:ind w:firstLine="567"/>
                      <w:jc w:val="center"/>
                      <w:rPr>
                        <w:rFonts w:eastAsia="Andale Sans UI" w:cs="Tahoma"/>
                        <w:sz w:val="20"/>
                        <w:lang w:bidi="en-US"/>
                      </w:rPr>
                    </w:pPr>
                  </w:p>
                </w:tc>
                <w:tc>
                  <w:tcPr>
                    <w:tcW w:w="4394" w:type="dxa"/>
                    <w:tcBorders>
                      <w:top w:val="single" w:sz="4" w:space="0" w:color="000000"/>
                      <w:left w:val="single" w:sz="4" w:space="0" w:color="000000"/>
                      <w:bottom w:val="single" w:sz="4" w:space="0" w:color="000000"/>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Savivaldybių viešųjų pastatų modernizavimas III</w:t>
                    </w:r>
                  </w:p>
                </w:tc>
                <w:tc>
                  <w:tcPr>
                    <w:tcW w:w="1843" w:type="dxa"/>
                    <w:tcBorders>
                      <w:top w:val="nil"/>
                      <w:left w:val="single" w:sz="4" w:space="0" w:color="000000"/>
                      <w:bottom w:val="single" w:sz="4" w:space="0" w:color="000000"/>
                      <w:right w:val="nil"/>
                    </w:tcBorders>
                    <w:noWrap/>
                    <w:vAlign w:val="bottom"/>
                    <w:hideMark/>
                  </w:tcPr>
                  <w:p>
                    <w:pPr>
                      <w:ind w:firstLine="567"/>
                      <w:jc w:val="both"/>
                      <w:rPr>
                        <w:rFonts w:eastAsia="Andale Sans UI" w:cs="Tahoma"/>
                        <w:sz w:val="20"/>
                        <w:lang w:val="en-GB" w:bidi="en-US"/>
                      </w:rPr>
                    </w:pPr>
                    <w:r>
                      <w:rPr>
                        <w:rFonts w:eastAsia="Andale Sans UI" w:cs="Tahoma"/>
                        <w:sz w:val="20"/>
                        <w:lang w:val="en-GB" w:bidi="en-US"/>
                      </w:rPr>
                      <w:t>82</w:t>
                    </w:r>
                  </w:p>
                </w:tc>
              </w:tr>
              <w:tr>
                <w:trPr>
                  <w:trHeight w:val="300"/>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pPr>
                      <w:ind w:firstLine="567"/>
                      <w:jc w:val="center"/>
                      <w:rPr>
                        <w:rFonts w:eastAsia="Andale Sans UI" w:cs="Tahoma"/>
                        <w:sz w:val="20"/>
                        <w:lang w:bidi="en-US"/>
                      </w:rPr>
                    </w:pPr>
                  </w:p>
                </w:tc>
                <w:tc>
                  <w:tcPr>
                    <w:tcW w:w="4394" w:type="dxa"/>
                    <w:tcBorders>
                      <w:top w:val="single" w:sz="4" w:space="0" w:color="000000"/>
                      <w:left w:val="single" w:sz="4" w:space="0" w:color="000000"/>
                      <w:bottom w:val="single" w:sz="4" w:space="0" w:color="000000"/>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Centrinės valdžios viešųjų įstaigų pastatų atnaujinimas</w:t>
                    </w:r>
                  </w:p>
                </w:tc>
                <w:tc>
                  <w:tcPr>
                    <w:tcW w:w="1843" w:type="dxa"/>
                    <w:tcBorders>
                      <w:top w:val="single" w:sz="4" w:space="0" w:color="000000"/>
                      <w:left w:val="single" w:sz="4" w:space="0" w:color="000000"/>
                      <w:bottom w:val="single" w:sz="4" w:space="0" w:color="000000"/>
                      <w:right w:val="nil"/>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49.5</w:t>
                    </w:r>
                  </w:p>
                </w:tc>
              </w:tr>
              <w:tr>
                <w:trPr>
                  <w:trHeight w:val="300"/>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pPr>
                      <w:ind w:firstLine="567"/>
                      <w:jc w:val="center"/>
                      <w:rPr>
                        <w:rFonts w:eastAsia="Andale Sans UI" w:cs="Tahoma"/>
                        <w:sz w:val="20"/>
                        <w:lang w:bidi="en-US"/>
                      </w:rPr>
                    </w:pPr>
                  </w:p>
                </w:tc>
                <w:tc>
                  <w:tcPr>
                    <w:tcW w:w="4394" w:type="dxa"/>
                    <w:tcBorders>
                      <w:top w:val="single" w:sz="4" w:space="0" w:color="000000"/>
                      <w:left w:val="single" w:sz="4" w:space="0" w:color="000000"/>
                      <w:bottom w:val="single" w:sz="4" w:space="0" w:color="000000"/>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Centrinės valdžios biudžetinių įstaigų pastatų atnaujinimas</w:t>
                    </w:r>
                  </w:p>
                </w:tc>
                <w:tc>
                  <w:tcPr>
                    <w:tcW w:w="1843" w:type="dxa"/>
                    <w:tcBorders>
                      <w:top w:val="single" w:sz="4" w:space="0" w:color="000000"/>
                      <w:left w:val="single" w:sz="4" w:space="0" w:color="000000"/>
                      <w:bottom w:val="single" w:sz="4" w:space="0" w:color="000000"/>
                      <w:right w:val="nil"/>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30</w:t>
                    </w:r>
                  </w:p>
                </w:tc>
              </w:tr>
              <w:tr>
                <w:trPr>
                  <w:trHeight w:val="300"/>
                </w:trPr>
                <w:tc>
                  <w:tcPr>
                    <w:tcW w:w="3681" w:type="dxa"/>
                    <w:vMerge w:val="restart"/>
                    <w:tcBorders>
                      <w:top w:val="single" w:sz="4" w:space="0" w:color="000000"/>
                      <w:left w:val="single" w:sz="4" w:space="0" w:color="000000"/>
                      <w:bottom w:val="single" w:sz="4" w:space="0" w:color="000000"/>
                      <w:right w:val="single" w:sz="4" w:space="0" w:color="000000"/>
                    </w:tcBorders>
                    <w:noWrap/>
                    <w:vAlign w:val="center"/>
                    <w:hideMark/>
                  </w:tcPr>
                  <w:p>
                    <w:pPr>
                      <w:ind w:firstLine="567"/>
                      <w:jc w:val="both"/>
                      <w:rPr>
                        <w:rFonts w:eastAsia="Andale Sans UI" w:cs="Tahoma"/>
                        <w:sz w:val="20"/>
                        <w:lang w:bidi="en-US"/>
                      </w:rPr>
                    </w:pPr>
                    <w:r>
                      <w:rPr>
                        <w:rFonts w:eastAsia="Andale Sans UI" w:cs="Tahoma"/>
                        <w:sz w:val="20"/>
                        <w:lang w:bidi="en-US"/>
                      </w:rPr>
                      <w:t>Didinti ŠESD absorbcinius pajėgumus</w:t>
                    </w:r>
                  </w:p>
                </w:tc>
                <w:tc>
                  <w:tcPr>
                    <w:tcW w:w="4394" w:type="dxa"/>
                    <w:tcBorders>
                      <w:top w:val="single" w:sz="4" w:space="0" w:color="000000"/>
                      <w:left w:val="single" w:sz="4" w:space="0" w:color="000000"/>
                      <w:bottom w:val="single" w:sz="4" w:space="0" w:color="000000"/>
                      <w:right w:val="single" w:sz="4" w:space="0" w:color="000000"/>
                    </w:tcBorders>
                    <w:noWrap/>
                    <w:vAlign w:val="center"/>
                    <w:hideMark/>
                  </w:tcPr>
                  <w:p>
                    <w:pPr>
                      <w:ind w:firstLine="567"/>
                      <w:jc w:val="both"/>
                      <w:rPr>
                        <w:rFonts w:eastAsia="Andale Sans UI" w:cs="Tahoma"/>
                        <w:sz w:val="20"/>
                        <w:lang w:bidi="en-US"/>
                      </w:rPr>
                    </w:pPr>
                    <w:r>
                      <w:rPr>
                        <w:rFonts w:eastAsia="Andale Sans UI" w:cs="Tahoma"/>
                        <w:sz w:val="20"/>
                        <w:lang w:bidi="en-US"/>
                      </w:rPr>
                      <w:t>Medžių savaiminukų išsaugojimas (fiziniams asmenims)</w:t>
                    </w:r>
                  </w:p>
                </w:tc>
                <w:tc>
                  <w:tcPr>
                    <w:tcW w:w="1843" w:type="dxa"/>
                    <w:tcBorders>
                      <w:top w:val="single" w:sz="4" w:space="0" w:color="000000"/>
                      <w:left w:val="single" w:sz="4" w:space="0" w:color="000000"/>
                      <w:bottom w:val="single" w:sz="4" w:space="0" w:color="000000"/>
                      <w:right w:val="single" w:sz="4" w:space="0" w:color="000000"/>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5.5</w:t>
                    </w:r>
                  </w:p>
                </w:tc>
              </w:tr>
              <w:tr>
                <w:trPr>
                  <w:trHeight w:val="300"/>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pPr>
                      <w:ind w:firstLine="567"/>
                      <w:jc w:val="center"/>
                      <w:rPr>
                        <w:rFonts w:eastAsia="Andale Sans UI" w:cs="Tahoma"/>
                        <w:sz w:val="20"/>
                        <w:lang w:bidi="en-US"/>
                      </w:rPr>
                    </w:pPr>
                  </w:p>
                </w:tc>
                <w:tc>
                  <w:tcPr>
                    <w:tcW w:w="4394" w:type="dxa"/>
                    <w:tcBorders>
                      <w:top w:val="single" w:sz="4" w:space="0" w:color="000000"/>
                      <w:left w:val="single" w:sz="4" w:space="0" w:color="000000"/>
                      <w:bottom w:val="single" w:sz="4" w:space="0" w:color="000000"/>
                      <w:right w:val="single" w:sz="4" w:space="0" w:color="000000"/>
                    </w:tcBorders>
                    <w:noWrap/>
                    <w:vAlign w:val="center"/>
                    <w:hideMark/>
                  </w:tcPr>
                  <w:p>
                    <w:pPr>
                      <w:ind w:firstLine="567"/>
                      <w:jc w:val="both"/>
                      <w:rPr>
                        <w:rFonts w:eastAsia="Andale Sans UI" w:cs="Tahoma"/>
                        <w:sz w:val="20"/>
                        <w:lang w:bidi="en-US"/>
                      </w:rPr>
                    </w:pPr>
                    <w:r>
                      <w:rPr>
                        <w:rFonts w:eastAsia="Andale Sans UI" w:cs="Tahoma"/>
                        <w:sz w:val="20"/>
                        <w:lang w:bidi="en-US"/>
                      </w:rPr>
                      <w:t>Medžių savaiminukų išsaugojimas (juridiniams asmenims)</w:t>
                    </w:r>
                  </w:p>
                </w:tc>
                <w:tc>
                  <w:tcPr>
                    <w:tcW w:w="1843" w:type="dxa"/>
                    <w:tcBorders>
                      <w:top w:val="single" w:sz="4" w:space="0" w:color="000000"/>
                      <w:left w:val="single" w:sz="4" w:space="0" w:color="000000"/>
                      <w:bottom w:val="single" w:sz="4" w:space="0" w:color="000000"/>
                      <w:right w:val="single" w:sz="4" w:space="0" w:color="000000"/>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5</w:t>
                    </w:r>
                  </w:p>
                </w:tc>
              </w:tr>
              <w:tr>
                <w:trPr>
                  <w:trHeight w:val="555"/>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pPr>
                      <w:ind w:firstLine="567"/>
                      <w:jc w:val="center"/>
                      <w:rPr>
                        <w:rFonts w:eastAsia="Andale Sans UI" w:cs="Tahoma"/>
                        <w:sz w:val="20"/>
                        <w:lang w:bidi="en-US"/>
                      </w:rPr>
                    </w:pPr>
                  </w:p>
                </w:tc>
                <w:tc>
                  <w:tcPr>
                    <w:tcW w:w="4394" w:type="dxa"/>
                    <w:tcBorders>
                      <w:top w:val="single" w:sz="4" w:space="0" w:color="000000"/>
                      <w:left w:val="single" w:sz="4" w:space="0" w:color="000000"/>
                      <w:bottom w:val="single" w:sz="4" w:space="0" w:color="000000"/>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 xml:space="preserve">Didinti šiltnamio efektą sukeliančių dujų  absorbcinius pajėgumus (atkuriant pelkių (durpžemių) hidrologinį režimą)</w:t>
                    </w:r>
                  </w:p>
                </w:tc>
                <w:tc>
                  <w:tcPr>
                    <w:tcW w:w="1843" w:type="dxa"/>
                    <w:tcBorders>
                      <w:top w:val="single" w:sz="4" w:space="0" w:color="000000"/>
                      <w:left w:val="single" w:sz="4" w:space="0" w:color="000000"/>
                      <w:bottom w:val="single" w:sz="4" w:space="0" w:color="000000"/>
                      <w:right w:val="single" w:sz="4" w:space="0" w:color="000000"/>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4.02</w:t>
                    </w:r>
                  </w:p>
                </w:tc>
              </w:tr>
              <w:tr>
                <w:trPr>
                  <w:trHeight w:val="300"/>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pPr>
                      <w:ind w:firstLine="567"/>
                      <w:jc w:val="center"/>
                      <w:rPr>
                        <w:rFonts w:eastAsia="Andale Sans UI" w:cs="Tahoma"/>
                        <w:sz w:val="20"/>
                        <w:lang w:bidi="en-US"/>
                      </w:rPr>
                    </w:pPr>
                  </w:p>
                </w:tc>
                <w:tc>
                  <w:tcPr>
                    <w:tcW w:w="4394" w:type="dxa"/>
                    <w:tcBorders>
                      <w:top w:val="single" w:sz="4" w:space="0" w:color="000000"/>
                      <w:left w:val="single" w:sz="4" w:space="0" w:color="000000"/>
                      <w:bottom w:val="single" w:sz="4" w:space="0" w:color="auto"/>
                      <w:right w:val="single" w:sz="4" w:space="0" w:color="000000"/>
                    </w:tcBorders>
                    <w:hideMark/>
                  </w:tcPr>
                  <w:p>
                    <w:pPr>
                      <w:ind w:firstLine="567"/>
                      <w:jc w:val="both"/>
                      <w:rPr>
                        <w:rFonts w:eastAsia="Andale Sans UI" w:cs="Tahoma"/>
                        <w:sz w:val="20"/>
                        <w:lang w:bidi="en-US"/>
                      </w:rPr>
                    </w:pPr>
                    <w:r>
                      <w:rPr>
                        <w:rFonts w:eastAsia="Andale Sans UI" w:cs="Tahoma"/>
                        <w:sz w:val="20"/>
                        <w:lang w:bidi="en-US"/>
                      </w:rPr>
                      <w:t xml:space="preserve">Kabelinių elektros linijų tiesimas po žeme miškingose teritorijose </w:t>
                    </w:r>
                  </w:p>
                </w:tc>
                <w:tc>
                  <w:tcPr>
                    <w:tcW w:w="1843" w:type="dxa"/>
                    <w:tcBorders>
                      <w:top w:val="single" w:sz="4" w:space="0" w:color="000000"/>
                      <w:left w:val="single" w:sz="4" w:space="0" w:color="000000"/>
                      <w:bottom w:val="single" w:sz="4" w:space="0" w:color="auto"/>
                      <w:right w:val="single" w:sz="4" w:space="0" w:color="000000"/>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40</w:t>
                    </w:r>
                  </w:p>
                </w:tc>
              </w:tr>
              <w:tr>
                <w:trPr>
                  <w:trHeight w:val="540"/>
                </w:trPr>
                <w:tc>
                  <w:tcPr>
                    <w:tcW w:w="3681" w:type="dxa"/>
                    <w:tcBorders>
                      <w:top w:val="single" w:sz="4" w:space="0" w:color="000000"/>
                      <w:left w:val="single" w:sz="4" w:space="0" w:color="000000"/>
                      <w:bottom w:val="single" w:sz="4" w:space="0" w:color="000000"/>
                      <w:right w:val="single" w:sz="4" w:space="0" w:color="auto"/>
                    </w:tcBorders>
                    <w:hideMark/>
                  </w:tcPr>
                  <w:p>
                    <w:pPr>
                      <w:ind w:firstLine="567"/>
                      <w:jc w:val="center"/>
                      <w:rPr>
                        <w:rFonts w:eastAsia="Andale Sans UI" w:cs="Tahoma"/>
                        <w:sz w:val="20"/>
                        <w:lang w:bidi="en-US"/>
                      </w:rPr>
                    </w:pPr>
                    <w:r>
                      <w:rPr>
                        <w:rFonts w:eastAsia="Andale Sans UI" w:cs="Tahoma"/>
                        <w:sz w:val="20"/>
                        <w:lang w:bidi="en-US"/>
                      </w:rPr>
                      <w:t>Finansinės priemonės pagal KKVĮ 14 straipsnio 3 dalies 10 punktą</w:t>
                    </w:r>
                  </w:p>
                </w:tc>
                <w:tc>
                  <w:tcPr>
                    <w:tcW w:w="4394" w:type="dxa"/>
                    <w:tcBorders>
                      <w:top w:val="single" w:sz="4" w:space="0" w:color="auto"/>
                      <w:left w:val="single" w:sz="4" w:space="0" w:color="auto"/>
                      <w:bottom w:val="single" w:sz="4" w:space="0" w:color="auto"/>
                      <w:right w:val="single" w:sz="4" w:space="0" w:color="auto"/>
                    </w:tcBorders>
                    <w:hideMark/>
                  </w:tcPr>
                  <w:p>
                    <w:pPr>
                      <w:ind w:firstLine="567"/>
                      <w:jc w:val="both"/>
                      <w:rPr>
                        <w:rFonts w:eastAsia="Andale Sans UI" w:cs="Tahoma"/>
                        <w:sz w:val="20"/>
                        <w:lang w:bidi="en-US"/>
                      </w:rPr>
                    </w:pPr>
                    <w:r>
                      <w:rPr>
                        <w:rFonts w:eastAsia="Andale Sans UI" w:cs="Tahoma"/>
                        <w:sz w:val="20"/>
                        <w:lang w:bidi="en-US"/>
                      </w:rPr>
                      <w:t>Finansinės priemonės, teikiamos kaip valstybės pagalba, turi sudaryti galimybes šiltnamio efektą sukeliančių dujų išmetančių įrenginių valdytojams, veikiantiems sektoriuose ar jų subsektoriuose, kuriuose pagal Europos Komisijos gaires nustatyta reali anglies dioksido nutekėjimo rizika dėl didelių netiesioginių išlaidų, kompensuoti faktiškai patiriamas su išmetamų teršalų kiekiu susijusias išlaidas, įtraukiamas į elektros energijos kainas. Tokios priemonės turėtų padėti sumažinti finansinę ir ekonominę naštą, tenkančią dėl įsipareigojimų mažinti šiltnamio efektą sukeliančių dujų kiekį.</w:t>
                    </w:r>
                  </w:p>
                </w:tc>
                <w:tc>
                  <w:tcPr>
                    <w:tcW w:w="1843" w:type="dxa"/>
                    <w:tcBorders>
                      <w:top w:val="single" w:sz="4" w:space="0" w:color="auto"/>
                      <w:left w:val="single" w:sz="4" w:space="0" w:color="auto"/>
                      <w:bottom w:val="single" w:sz="4" w:space="0" w:color="auto"/>
                      <w:right w:val="single" w:sz="4" w:space="0" w:color="auto"/>
                    </w:tcBorders>
                    <w:noWrap/>
                    <w:vAlign w:val="center"/>
                    <w:hideMark/>
                  </w:tcPr>
                  <w:p>
                    <w:pPr>
                      <w:ind w:firstLine="567"/>
                      <w:jc w:val="both"/>
                      <w:rPr>
                        <w:rFonts w:eastAsia="Andale Sans UI" w:cs="Tahoma"/>
                        <w:sz w:val="20"/>
                        <w:lang w:val="en-GB" w:bidi="en-US"/>
                      </w:rPr>
                    </w:pPr>
                    <w:r>
                      <w:rPr>
                        <w:rFonts w:eastAsia="Andale Sans UI" w:cs="Tahoma"/>
                        <w:sz w:val="20"/>
                        <w:lang w:val="en-GB" w:bidi="en-US"/>
                      </w:rPr>
                      <w:t>5.00</w:t>
                    </w:r>
                  </w:p>
                </w:tc>
              </w:tr>
              <w:tr>
                <w:trPr>
                  <w:trHeight w:val="300"/>
                </w:trPr>
                <w:tc>
                  <w:tcPr>
                    <w:tcW w:w="3681" w:type="dxa"/>
                    <w:tcBorders>
                      <w:top w:val="nil"/>
                      <w:left w:val="nil"/>
                      <w:bottom w:val="nil"/>
                      <w:right w:val="single" w:sz="4" w:space="0" w:color="auto"/>
                    </w:tcBorders>
                    <w:noWrap/>
                    <w:vAlign w:val="bottom"/>
                    <w:hideMark/>
                  </w:tcPr>
                  <w:p>
                    <w:pPr>
                      <w:ind w:firstLine="567"/>
                      <w:jc w:val="both"/>
                      <w:rPr>
                        <w:rFonts w:eastAsia="Andale Sans UI" w:cs="Tahoma"/>
                        <w:b/>
                        <w:bCs/>
                        <w:sz w:val="20"/>
                        <w:lang w:val="en-GB" w:bidi="en-US"/>
                      </w:rPr>
                    </w:pPr>
                  </w:p>
                </w:tc>
                <w:tc>
                  <w:tcPr>
                    <w:tcW w:w="4394" w:type="dxa"/>
                    <w:tcBorders>
                      <w:top w:val="single" w:sz="4" w:space="0" w:color="auto"/>
                      <w:left w:val="single" w:sz="4" w:space="0" w:color="auto"/>
                      <w:bottom w:val="single" w:sz="4" w:space="0" w:color="auto"/>
                      <w:right w:val="single" w:sz="4" w:space="0" w:color="auto"/>
                    </w:tcBorders>
                    <w:noWrap/>
                    <w:vAlign w:val="bottom"/>
                    <w:hideMark/>
                  </w:tcPr>
                  <w:p>
                    <w:pPr>
                      <w:ind w:firstLine="567"/>
                      <w:jc w:val="both"/>
                      <w:rPr>
                        <w:rFonts w:eastAsia="Andale Sans UI" w:cs="Tahoma"/>
                        <w:b/>
                        <w:bCs/>
                        <w:sz w:val="20"/>
                        <w:lang w:val="en-GB" w:bidi="en-US"/>
                      </w:rPr>
                    </w:pPr>
                    <w:r>
                      <w:rPr>
                        <w:rFonts w:eastAsia="Andale Sans UI" w:cs="Tahoma"/>
                        <w:b/>
                        <w:bCs/>
                        <w:sz w:val="20"/>
                        <w:lang w:val="en-GB" w:bidi="en-US"/>
                      </w:rPr>
                      <w:t>IŠ VISO</w:t>
                    </w:r>
                  </w:p>
                </w:tc>
                <w:tc>
                  <w:tcPr>
                    <w:tcW w:w="1843" w:type="dxa"/>
                    <w:tcBorders>
                      <w:top w:val="single" w:sz="4" w:space="0" w:color="auto"/>
                      <w:left w:val="single" w:sz="4" w:space="0" w:color="auto"/>
                      <w:bottom w:val="single" w:sz="4" w:space="0" w:color="auto"/>
                      <w:right w:val="single" w:sz="4" w:space="0" w:color="auto"/>
                    </w:tcBorders>
                    <w:noWrap/>
                    <w:vAlign w:val="bottom"/>
                    <w:hideMark/>
                  </w:tcPr>
                  <w:p>
                    <w:pPr>
                      <w:ind w:firstLine="567"/>
                      <w:jc w:val="both"/>
                      <w:rPr>
                        <w:rFonts w:eastAsia="Andale Sans UI" w:cs="Tahoma"/>
                        <w:b/>
                        <w:bCs/>
                        <w:sz w:val="20"/>
                        <w:lang w:val="en-GB" w:bidi="en-US"/>
                      </w:rPr>
                    </w:pPr>
                    <w:r>
                      <w:rPr>
                        <w:rFonts w:eastAsia="Andale Sans UI" w:cs="Tahoma"/>
                        <w:b/>
                        <w:bCs/>
                        <w:sz w:val="20"/>
                        <w:lang w:val="en-GB" w:bidi="en-US"/>
                      </w:rPr>
                      <w:t>564.02</w:t>
                    </w:r>
                  </w:p>
                </w:tc>
              </w:tr>
            </w:tbl>
            <w:p>
              <w:pPr>
                <w:ind w:firstLine="567"/>
                <w:jc w:val="both"/>
                <w:rPr>
                  <w:rFonts w:eastAsia="Andale Sans UI" w:cs="Tahoma"/>
                  <w:szCs w:val="24"/>
                  <w:lang w:val="en-GB" w:bidi="en-US"/>
                </w:rPr>
              </w:pPr>
            </w:p>
          </w:sdtContent>
        </w:sdt>
        <w:sdt>
          <w:sdtPr>
            <w:alias w:val="4 p."/>
            <w:tag w:val="part_81dc4c4771264d6e9f89355937a10e29"/>
            <w:lock w:val="sdtLocked"/>
            <w:richText/>
          </w:sdtPr>
          <w:sdtContent>
            <w:p>
              <w:pPr>
                <w:shd w:val="clear" w:color="auto" w:fill="FFFFFF"/>
                <w:ind w:firstLine="567"/>
                <w:jc w:val="both"/>
                <w:textAlignment w:val="center"/>
                <w:rPr>
                  <w:rFonts w:eastAsia="Andale Sans UI" w:cs="Tahoma"/>
                  <w:b/>
                  <w:bCs/>
                  <w:szCs w:val="24"/>
                  <w:lang w:bidi="en-US"/>
                </w:rPr>
              </w:pPr>
              <w:sdt>
                <w:sdtPr>
                  <w:alias w:val="Numeris"/>
                  <w:tag w:val="nr_81dc4c4771264d6e9f89355937a10e29"/>
                  <w:lock w:val="sdtLocked"/>
                  <w:richText/>
                </w:sdtPr>
                <w:sdtContent>
                  <w:r>
                    <w:rPr>
                      <w:rFonts w:eastAsia="Andale Sans UI" w:cs="Tahoma"/>
                      <w:b/>
                      <w:bCs/>
                      <w:szCs w:val="24"/>
                      <w:lang w:bidi="en-US"/>
                    </w:rPr>
                    <w:t>4</w:t>
                  </w:r>
                </w:sdtContent>
              </w:sdt>
              <w:r>
                <w:rPr>
                  <w:rFonts w:eastAsia="Andale Sans UI" w:cs="Tahoma"/>
                  <w:b/>
                  <w:bCs/>
                  <w:szCs w:val="24"/>
                  <w:lang w:bidi="en-US"/>
                </w:rPr>
                <w:t>. Rodikliai, kurie bus stebimi</w:t>
              </w:r>
            </w:p>
            <w:p>
              <w:pPr>
                <w:shd w:val="clear" w:color="auto" w:fill="FFFFFF"/>
                <w:ind w:firstLine="567"/>
                <w:jc w:val="both"/>
                <w:textAlignment w:val="center"/>
                <w:rPr>
                  <w:rFonts w:eastAsia="Andale Sans UI" w:cs="Tahoma"/>
                  <w:szCs w:val="24"/>
                  <w:lang w:bidi="en-US"/>
                </w:rPr>
              </w:pPr>
              <w:r>
                <w:rPr>
                  <w:rFonts w:eastAsia="Andale Sans UI" w:cs="Tahoma"/>
                  <w:szCs w:val="24"/>
                  <w:lang w:bidi="en-US"/>
                </w:rPr>
                <w:t>Visos investicijų plane patvirtintos investicijų kryptys bus vėliau detalizuojamos pažangos priemonių aprašuose, kuriuose pagrindinis rezultatų pasiekimo rodiklis bus šiltnamio efektą sukeliančių dujų kiekio sumažinimas.</w:t>
              </w:r>
            </w:p>
          </w:sdtContent>
        </w:sdt>
        <w:sdt>
          <w:sdtPr>
            <w:alias w:val="5 p."/>
            <w:tag w:val="part_947ee79b3e10415ab5c3cbe1744bf705"/>
            <w:lock w:val="sdtLocked"/>
            <w:richText/>
          </w:sdtPr>
          <w:sdtContent>
            <w:p>
              <w:pPr>
                <w:ind w:firstLine="567"/>
                <w:jc w:val="both"/>
                <w:rPr>
                  <w:rFonts w:eastAsia="Andale Sans UI" w:cs="Tahoma"/>
                  <w:b/>
                  <w:bCs/>
                  <w:szCs w:val="24"/>
                  <w:lang w:bidi="en-US"/>
                </w:rPr>
              </w:pPr>
              <w:sdt>
                <w:sdtPr>
                  <w:alias w:val="Numeris"/>
                  <w:tag w:val="nr_947ee79b3e10415ab5c3cbe1744bf705"/>
                  <w:lock w:val="sdtLocked"/>
                  <w:richText/>
                </w:sdtPr>
                <w:sdtContent>
                  <w:r>
                    <w:rPr>
                      <w:rFonts w:eastAsia="Andale Sans UI" w:cs="Tahoma"/>
                      <w:b/>
                      <w:bCs/>
                      <w:szCs w:val="24"/>
                      <w:lang w:bidi="en-US"/>
                    </w:rPr>
                    <w:t>5</w:t>
                  </w:r>
                </w:sdtContent>
              </w:sdt>
              <w:r>
                <w:rPr>
                  <w:rFonts w:eastAsia="Andale Sans UI" w:cs="Tahoma"/>
                  <w:b/>
                  <w:bCs/>
                  <w:szCs w:val="24"/>
                  <w:lang w:bidi="en-US"/>
                </w:rPr>
                <w:t>. Lietuvos Respublikos Vyriausybės programos</w:t>
              </w:r>
              <w:r>
                <w:rPr>
                  <w:rFonts w:eastAsia="Andale Sans UI" w:cs="Tahoma"/>
                  <w:b/>
                  <w:bCs/>
                  <w:sz w:val="18"/>
                  <w:szCs w:val="18"/>
                  <w:vertAlign w:val="superscript"/>
                  <w:lang w:bidi="en-US"/>
                </w:rPr>
                <w:footnoteReference w:id="1"/>
              </w:r>
              <w:r>
                <w:rPr>
                  <w:rFonts w:eastAsia="Andale Sans UI" w:cs="Tahoma"/>
                  <w:b/>
                  <w:bCs/>
                  <w:szCs w:val="24"/>
                  <w:lang w:bidi="en-US"/>
                </w:rPr>
                <w:t xml:space="preserve"> nuostatų įgyvendinimas (pažymimas tinkamas variantas)</w:t>
              </w:r>
            </w:p>
            <w:p>
              <w:pPr>
                <w:ind w:firstLine="567"/>
                <w:jc w:val="both"/>
                <w:rPr>
                  <w:rFonts w:eastAsia="Andale Sans UI" w:cs="Tahoma"/>
                  <w:szCs w:val="24"/>
                  <w:lang w:bidi="en-US"/>
                </w:rPr>
              </w:pPr>
              <w:r>
                <w:rPr>
                  <w:rFonts w:ascii="MS Gothic" w:eastAsia="MS Gothic" w:hAnsi="MS Gothic" w:cs="Tahoma"/>
                  <w:szCs w:val="24"/>
                  <w:lang w:bidi="en-US"/>
                </w:rPr>
                <w:t>☐</w:t>
              </w:r>
              <w:r>
                <w:rPr>
                  <w:rFonts w:eastAsia="Andale Sans UI" w:cs="Tahoma"/>
                  <w:szCs w:val="24"/>
                  <w:lang w:bidi="en-US"/>
                </w:rPr>
                <w:t xml:space="preserve"> Projektu įgyvendinamos šios Lietuvos Respublikos Vyriausybės programos nuostatos: (nurodomos programos nuostatos ir punktas ar papunktis, kuriame jos nurodytos).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Projektas neprieštarauja Dvidešimtosios Lietuvos Respublikos Vyriausybės programai.</w:t>
              </w:r>
            </w:p>
          </w:sdtContent>
        </w:sdt>
        <w:sdt>
          <w:sdtPr>
            <w:alias w:val="6 p."/>
            <w:tag w:val="part_96e3b1e0ea114065a590dc117d36fde8"/>
            <w:lock w:val="sdtLocked"/>
            <w:richText/>
          </w:sdtPr>
          <w:sdtContent>
            <w:p>
              <w:pPr>
                <w:ind w:firstLine="567"/>
                <w:jc w:val="both"/>
                <w:rPr>
                  <w:rFonts w:eastAsia="Andale Sans UI" w:cs="Tahoma"/>
                  <w:b/>
                  <w:bCs/>
                  <w:szCs w:val="24"/>
                  <w:lang w:bidi="en-US"/>
                </w:rPr>
              </w:pPr>
              <w:sdt>
                <w:sdtPr>
                  <w:alias w:val="Numeris"/>
                  <w:tag w:val="nr_96e3b1e0ea114065a590dc117d36fde8"/>
                  <w:lock w:val="sdtLocked"/>
                  <w:richText/>
                </w:sdtPr>
                <w:sdtContent>
                  <w:r>
                    <w:rPr>
                      <w:rFonts w:eastAsia="Andale Sans UI" w:cs="Tahoma"/>
                      <w:b/>
                      <w:bCs/>
                      <w:szCs w:val="24"/>
                      <w:lang w:bidi="en-US"/>
                    </w:rPr>
                    <w:t>6</w:t>
                  </w:r>
                </w:sdtContent>
              </w:sdt>
              <w:r>
                <w:rPr>
                  <w:rFonts w:eastAsia="Andale Sans UI" w:cs="Tahoma"/>
                  <w:b/>
                  <w:bCs/>
                  <w:szCs w:val="24"/>
                  <w:lang w:bidi="en-US"/>
                </w:rPr>
                <w:t>. Europos Sąjungos teisės aktų perkėlimas ir (ar) įgyvendinimas (pažymimas tinkamas variantas)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Projektu neperkeliamos ir neįgyvendinamos Europos Sąjungos teisės aktų nuostatos.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Projektu perkeliamos (dėl Direktyvų) ir (ar) įgyvendinamos (dėl Reglamentų ir Sprendimų) šios Europos Sąjungos teisės aktų nuostatos: (išvardijama). (Taip pat nurodomi kiti su Projektu susiję tiesiogiai taikomi Europos Sąjungos teisės aktai, kai jie nėra įgyvendinami.)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cs="Tahoma"/>
                  <w:sz w:val="18"/>
                  <w:szCs w:val="18"/>
                  <w:vertAlign w:val="superscript"/>
                  <w:lang w:bidi="en-US"/>
                </w:rPr>
                <w:footnoteReference w:id="2"/>
                <w:t>.</w:t>
              </w:r>
              <w:r>
                <w:rPr>
                  <w:rFonts w:eastAsia="Andale Sans UI" w:cs="Tahoma"/>
                  <w:szCs w:val="24"/>
                  <w:lang w:bidi="en-US"/>
                </w:rPr>
                <w:t xml:space="preserve"> Siekiant užtikrinti visišką susijusių Europos Sąjungos teisės aktų perkėlimą ir (ar) įgyvendinimą, reikės priimti ...(išvardijami Lietuvos Respublikos teisės aktai, kuriuos reikės priimti) (arba Siekiant užtikrinti visišką susijusių Europos Sąjungos teisės aktų perkėlimą ir (ar) įgyvendinimą, kitų teisės aktų priimti nereikės).</w:t>
              </w:r>
            </w:p>
          </w:sdtContent>
        </w:sdt>
        <w:sdt>
          <w:sdtPr>
            <w:alias w:val="7 p."/>
            <w:tag w:val="part_7f10f97bd31142dda54527f489d72a0e"/>
            <w:lock w:val="sdtLocked"/>
            <w:richText/>
          </w:sdtPr>
          <w:sdtContent>
            <w:p>
              <w:pPr>
                <w:ind w:firstLine="567"/>
                <w:jc w:val="both"/>
                <w:rPr>
                  <w:rFonts w:eastAsia="Andale Sans UI" w:cs="Tahoma"/>
                  <w:b/>
                  <w:bCs/>
                  <w:szCs w:val="24"/>
                  <w:lang w:bidi="en-US"/>
                </w:rPr>
              </w:pPr>
              <w:sdt>
                <w:sdtPr>
                  <w:alias w:val="Numeris"/>
                  <w:tag w:val="nr_7f10f97bd31142dda54527f489d72a0e"/>
                  <w:lock w:val="sdtLocked"/>
                  <w:richText/>
                </w:sdtPr>
                <w:sdtContent>
                  <w:r>
                    <w:rPr>
                      <w:rFonts w:eastAsia="Andale Sans UI" w:cs="Tahoma"/>
                      <w:b/>
                      <w:bCs/>
                      <w:szCs w:val="24"/>
                      <w:lang w:bidi="en-US"/>
                    </w:rPr>
                    <w:t>7</w:t>
                  </w:r>
                </w:sdtContent>
              </w:sdt>
              <w:r>
                <w:rPr>
                  <w:rFonts w:eastAsia="Andale Sans UI" w:cs="Tahoma"/>
                  <w:b/>
                  <w:bCs/>
                  <w:szCs w:val="24"/>
                  <w:lang w:bidi="en-US"/>
                </w:rPr>
                <w:t>. Notifikavimas</w:t>
              </w:r>
              <w:r>
                <w:rPr>
                  <w:rFonts w:eastAsia="Andale Sans UI" w:cs="Tahoma"/>
                  <w:b/>
                  <w:bCs/>
                  <w:sz w:val="18"/>
                  <w:szCs w:val="18"/>
                  <w:vertAlign w:val="superscript"/>
                  <w:lang w:bidi="en-US"/>
                </w:rPr>
                <w:footnoteReference w:id="3"/>
              </w:r>
              <w:r>
                <w:rPr>
                  <w:rFonts w:eastAsia="Andale Sans UI" w:cs="Tahoma"/>
                  <w:b/>
                  <w:bCs/>
                  <w:szCs w:val="24"/>
                  <w:lang w:bidi="en-US"/>
                </w:rPr>
                <w:t xml:space="preserve"> Europos Komisijai (pažymimas tinkamas variantas)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Projektas nenotifikuotinas Europos Komisijai.</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Projektas notifikuotinas Europos Komisijai (nurodoma data).</w:t>
              </w:r>
            </w:p>
          </w:sdtContent>
        </w:sdt>
        <w:sdt>
          <w:sdtPr>
            <w:alias w:val="8 p."/>
            <w:tag w:val="part_5d7783b4f1c945af82386606e08067be"/>
            <w:lock w:val="sdtLocked"/>
            <w:richText/>
          </w:sdtPr>
          <w:sdtContent>
            <w:p>
              <w:pPr>
                <w:ind w:firstLine="567"/>
                <w:jc w:val="both"/>
                <w:rPr>
                  <w:rFonts w:eastAsia="Andale Sans UI" w:cs="Tahoma"/>
                  <w:b/>
                  <w:bCs/>
                  <w:szCs w:val="24"/>
                  <w:lang w:bidi="en-US"/>
                </w:rPr>
              </w:pPr>
              <w:sdt>
                <w:sdtPr>
                  <w:alias w:val="Numeris"/>
                  <w:tag w:val="nr_5d7783b4f1c945af82386606e08067be"/>
                  <w:lock w:val="sdtLocked"/>
                  <w:richText/>
                </w:sdtPr>
                <w:sdtContent>
                  <w:r>
                    <w:rPr>
                      <w:rFonts w:eastAsia="Andale Sans UI" w:cs="Tahoma"/>
                      <w:b/>
                      <w:bCs/>
                      <w:szCs w:val="24"/>
                      <w:lang w:bidi="en-US"/>
                    </w:rPr>
                    <w:t>8</w:t>
                  </w:r>
                </w:sdtContent>
              </w:sdt>
              <w:r>
                <w:rPr>
                  <w:rFonts w:eastAsia="Andale Sans UI" w:cs="Tahoma"/>
                  <w:b/>
                  <w:bCs/>
                  <w:szCs w:val="24"/>
                  <w:lang w:bidi="en-US"/>
                </w:rPr>
                <w:t>. Pranešimo Europos Komisijai teikimas</w:t>
              </w:r>
              <w:r>
                <w:rPr>
                  <w:rFonts w:eastAsia="Andale Sans UI" w:cs="Tahoma"/>
                  <w:b/>
                  <w:bCs/>
                  <w:sz w:val="18"/>
                  <w:szCs w:val="18"/>
                  <w:vertAlign w:val="superscript"/>
                  <w:lang w:bidi="en-US"/>
                </w:rPr>
                <w:footnoteReference w:id="4"/>
                <w:t xml:space="preserve"> </w:t>
              </w:r>
              <w:r>
                <w:rPr>
                  <w:rFonts w:eastAsia="Andale Sans UI" w:cs="Tahoma"/>
                  <w:b/>
                  <w:bCs/>
                  <w:szCs w:val="24"/>
                  <w:lang w:bidi="en-US"/>
                </w:rPr>
                <w:t>(pažymimas tinkamas variantas)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Pranešimas Europos Komisijai teiktinas.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Pranešimas Europos Komisijai neteiktinas.</w:t>
              </w:r>
            </w:p>
          </w:sdtContent>
        </w:sdt>
        <w:sdt>
          <w:sdtPr>
            <w:alias w:val="9 p."/>
            <w:tag w:val="part_59f3a60643324d319fcb199abe7c88e3"/>
            <w:lock w:val="sdtLocked"/>
            <w:richText/>
          </w:sdtPr>
          <w:sdtContent>
            <w:p>
              <w:pPr>
                <w:ind w:firstLine="567"/>
                <w:jc w:val="both"/>
                <w:rPr>
                  <w:rFonts w:eastAsia="Andale Sans UI" w:cs="Tahoma"/>
                  <w:b/>
                  <w:bCs/>
                  <w:szCs w:val="24"/>
                  <w:lang w:bidi="en-US"/>
                </w:rPr>
              </w:pPr>
              <w:sdt>
                <w:sdtPr>
                  <w:alias w:val="Numeris"/>
                  <w:tag w:val="nr_59f3a60643324d319fcb199abe7c88e3"/>
                  <w:lock w:val="sdtLocked"/>
                  <w:richText/>
                </w:sdtPr>
                <w:sdtContent>
                  <w:r>
                    <w:rPr>
                      <w:rFonts w:eastAsia="Andale Sans UI" w:cs="Tahoma"/>
                      <w:b/>
                      <w:bCs/>
                      <w:szCs w:val="24"/>
                      <w:lang w:bidi="en-US"/>
                    </w:rPr>
                    <w:t>9</w:t>
                  </w:r>
                </w:sdtContent>
              </w:sdt>
              <w:r>
                <w:rPr>
                  <w:rFonts w:eastAsia="Andale Sans UI" w:cs="Tahoma"/>
                  <w:b/>
                  <w:bCs/>
                  <w:szCs w:val="24"/>
                  <w:lang w:bidi="en-US"/>
                </w:rPr>
                <w:t>. Numatomo teisinio reguliavimo poveikio vertinimas</w:t>
              </w:r>
              <w:r>
                <w:rPr>
                  <w:rFonts w:eastAsia="Andale Sans UI" w:cs="Tahoma"/>
                  <w:b/>
                  <w:bCs/>
                  <w:sz w:val="18"/>
                  <w:szCs w:val="18"/>
                  <w:vertAlign w:val="superscript"/>
                  <w:lang w:bidi="en-US"/>
                </w:rPr>
                <w:footnoteReference w:id="5"/>
                <w:t xml:space="preserve"> </w:t>
              </w:r>
              <w:r>
                <w:rPr>
                  <w:rFonts w:eastAsia="Andale Sans UI" w:cs="Tahoma"/>
                  <w:b/>
                  <w:bCs/>
                  <w:szCs w:val="24"/>
                  <w:lang w:bidi="en-US"/>
                </w:rPr>
                <w:t>(pažymimas tinkamas variantas)</w:t>
              </w:r>
            </w:p>
            <w:p>
              <w:pPr>
                <w:widowControl w:val="0"/>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Atliktas Projekto numatomo teisinio reguliavimo poveikio vertinimas (pateikiamos nutarimo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cs="Tahoma"/>
                  <w:sz w:val="18"/>
                  <w:szCs w:val="18"/>
                  <w:vertAlign w:val="superscript"/>
                  <w:lang w:bidi="en-US"/>
                </w:rPr>
                <w:footnoteReference w:id="6"/>
              </w:r>
              <w:r>
                <w:rPr>
                  <w:rFonts w:eastAsia="Andale Sans UI" w:cs="Tahoma"/>
                  <w:szCs w:val="24"/>
                  <w:lang w:bidi="en-US"/>
                </w:rPr>
                <w:t>, kokybiškai ir (ar) kiekybiškai įvertinamas ir aprašomas galimas poveikis aplinkai ir klimato kaitai</w:t>
              </w:r>
              <w:r>
                <w:rPr>
                  <w:rFonts w:eastAsia="Andale Sans UI" w:cs="Tahoma"/>
                  <w:sz w:val="18"/>
                  <w:szCs w:val="18"/>
                  <w:vertAlign w:val="superscript"/>
                  <w:lang w:bidi="en-US"/>
                </w:rPr>
                <w:footnoteReference w:id="7"/>
              </w:r>
              <w:r>
                <w:rPr>
                  <w:rFonts w:eastAsia="Andale Sans UI" w:cs="Tahoma"/>
                  <w:szCs w:val="24"/>
                  <w:lang w:bidi="en-US"/>
                </w:rPr>
                <w:t>; dėl poveikio aplinkai ir klimato kaitai vertinimo konsultuoja Aplinkos apsaugos agentūra</w:t>
              </w:r>
              <w:r>
                <w:rPr>
                  <w:rFonts w:eastAsia="Andale Sans UI" w:cs="Tahoma"/>
                  <w:sz w:val="18"/>
                  <w:szCs w:val="18"/>
                  <w:vertAlign w:val="superscript"/>
                  <w:lang w:bidi="en-US"/>
                </w:rPr>
                <w:footnoteReference w:id="8"/>
              </w:r>
              <w:r>
                <w:rPr>
                  <w:rFonts w:eastAsia="Andale Sans UI" w:cs="Tahoma"/>
                  <w:szCs w:val="24"/>
                  <w:lang w:bidi="en-US"/>
                </w:rPr>
                <w:t xml:space="preserve">). </w:t>
              </w:r>
            </w:p>
            <w:p>
              <w:pPr>
                <w:widowControl w:val="0"/>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Projekto numatomo teisinio reguliavimo poveikio vertinimas neatliekamas.</w:t>
              </w:r>
            </w:p>
            <w:p>
              <w:pPr>
                <w:widowControl w:val="0"/>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Ši informacija nurodoma aiškinamajame rašte (Lietuvos Respublikos Seimui teiktinų įstatymų ar kitų Lietuvos Respublikos Seimo teisės aktų projektų poveikio vertinimo rezultatai pateikiami aiškinamajame rašte vadovaujantis Lietuvos Respublikos Seimo statuto 135 straipsnyje nustatytais reikalavimais).</w:t>
              </w:r>
            </w:p>
          </w:sdtContent>
        </w:sdt>
        <w:sdt>
          <w:sdtPr>
            <w:alias w:val="10 p."/>
            <w:tag w:val="part_e2d503beb8bc49b9a2af8caebf22dfda"/>
            <w:lock w:val="sdtLocked"/>
            <w:richText/>
          </w:sdtPr>
          <w:sdtContent>
            <w:p>
              <w:pPr>
                <w:ind w:firstLine="567"/>
                <w:jc w:val="both"/>
                <w:rPr>
                  <w:rFonts w:eastAsia="Andale Sans UI" w:cs="Tahoma"/>
                  <w:b/>
                  <w:bCs/>
                  <w:szCs w:val="24"/>
                  <w:lang w:bidi="en-US"/>
                </w:rPr>
              </w:pPr>
              <w:sdt>
                <w:sdtPr>
                  <w:alias w:val="Numeris"/>
                  <w:tag w:val="nr_e2d503beb8bc49b9a2af8caebf22dfda"/>
                  <w:lock w:val="sdtLocked"/>
                  <w:richText/>
                </w:sdtPr>
                <w:sdtContent>
                  <w:r>
                    <w:rPr>
                      <w:rFonts w:eastAsia="Andale Sans UI" w:cs="Tahoma"/>
                      <w:b/>
                      <w:bCs/>
                      <w:szCs w:val="24"/>
                      <w:lang w:bidi="en-US"/>
                    </w:rPr>
                    <w:t>10</w:t>
                  </w:r>
                </w:sdtContent>
              </w:sdt>
              <w:r>
                <w:rPr>
                  <w:rFonts w:eastAsia="Andale Sans UI" w:cs="Tahoma"/>
                  <w:b/>
                  <w:bCs/>
                  <w:szCs w:val="24"/>
                  <w:lang w:bidi="en-US"/>
                </w:rPr>
                <w:t>. Teisės aktai, kuriuos reikės priimti, pakeisti arba pripažinti netekusiais galios (pažymimas tinkamas variantas)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Projektui įtraukti į teisės sistemą kitų teisės aktų priimti nereikės.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Projektui įtraukti į teisės sistemą reikės priimti šiuos teisės aktus: (išvardijama).</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Ši informacija nurodoma aiškinamajame rašte (kai teikiamas įstatymo projektas).</w:t>
              </w:r>
            </w:p>
          </w:sdtContent>
        </w:sdt>
        <w:sdt>
          <w:sdtPr>
            <w:alias w:val="11 p."/>
            <w:tag w:val="part_19cd5acb3a9f4a44880075fd0fe226e3"/>
            <w:lock w:val="sdtLocked"/>
            <w:richText/>
          </w:sdtPr>
          <w:sdtContent>
            <w:p>
              <w:pPr>
                <w:ind w:firstLine="567"/>
                <w:jc w:val="both"/>
                <w:rPr>
                  <w:rFonts w:eastAsia="Andale Sans UI" w:cs="Tahoma"/>
                  <w:b/>
                  <w:bCs/>
                  <w:szCs w:val="24"/>
                  <w:lang w:bidi="en-US"/>
                </w:rPr>
              </w:pPr>
              <w:sdt>
                <w:sdtPr>
                  <w:alias w:val="Numeris"/>
                  <w:tag w:val="nr_19cd5acb3a9f4a44880075fd0fe226e3"/>
                  <w:lock w:val="sdtLocked"/>
                  <w:richText/>
                </w:sdtPr>
                <w:sdtContent>
                  <w:r>
                    <w:rPr>
                      <w:rFonts w:eastAsia="Andale Sans UI" w:cs="Tahoma"/>
                      <w:b/>
                      <w:bCs/>
                      <w:szCs w:val="24"/>
                      <w:lang w:bidi="en-US"/>
                    </w:rPr>
                    <w:t>11</w:t>
                  </w:r>
                </w:sdtContent>
              </w:sdt>
              <w:r>
                <w:rPr>
                  <w:rFonts w:eastAsia="Andale Sans UI" w:cs="Tahoma"/>
                  <w:b/>
                  <w:bCs/>
                  <w:szCs w:val="24"/>
                  <w:lang w:bidi="en-US"/>
                </w:rPr>
                <w:t>. Informacija apie sąvokų įvertinimą Lietuvos Respublikos terminų banko įstatymo ir jo įgyvendinamųjų teisės aktų nustatyta tvarka (pažymimas tinkamas variantas)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Projekte naujų sąvokų nėra.</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Projekte vartojamos sąvokos aprobuotos Lietuvos Respublikos terminų banko įstatymo ir jo įgyvendinamųjų teisės aktų nustatyta tvarka. </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Ši informacija nurodoma aiškinamajame rašte (kai teikiamas įstatymo projektas).</w:t>
              </w:r>
            </w:p>
          </w:sdtContent>
        </w:sdt>
        <w:sdt>
          <w:sdtPr>
            <w:alias w:val="12 p."/>
            <w:tag w:val="part_99cb05bfdc7c4f0db1ee9d9265610a7c"/>
            <w:lock w:val="sdtLocked"/>
            <w:richText/>
          </w:sdtPr>
          <w:sdtContent>
            <w:p>
              <w:pPr>
                <w:ind w:firstLine="567"/>
                <w:jc w:val="both"/>
                <w:rPr>
                  <w:rFonts w:eastAsia="Andale Sans UI" w:cs="Tahoma"/>
                  <w:b/>
                  <w:bCs/>
                  <w:szCs w:val="24"/>
                  <w:lang w:bidi="en-US"/>
                </w:rPr>
              </w:pPr>
              <w:sdt>
                <w:sdtPr>
                  <w:alias w:val="Numeris"/>
                  <w:tag w:val="nr_99cb05bfdc7c4f0db1ee9d9265610a7c"/>
                  <w:lock w:val="sdtLocked"/>
                  <w:richText/>
                </w:sdtPr>
                <w:sdtContent>
                  <w:r>
                    <w:rPr>
                      <w:rFonts w:eastAsia="Andale Sans UI" w:cs="Tahoma"/>
                      <w:b/>
                      <w:bCs/>
                      <w:szCs w:val="24"/>
                      <w:lang w:bidi="en-US"/>
                    </w:rPr>
                    <w:t>12</w:t>
                  </w:r>
                </w:sdtContent>
              </w:sdt>
              <w:r>
                <w:rPr>
                  <w:rFonts w:eastAsia="Andale Sans UI" w:cs="Tahoma"/>
                  <w:b/>
                  <w:bCs/>
                  <w:szCs w:val="24"/>
                  <w:lang w:bidi="en-US"/>
                </w:rPr>
                <w:t>. Kita reikalinga informacija</w:t>
              </w:r>
            </w:p>
            <w:p>
              <w:pPr>
                <w:shd w:val="clear" w:color="auto" w:fill="FFFFFF"/>
                <w:ind w:firstLine="567"/>
                <w:jc w:val="both"/>
                <w:textAlignment w:val="center"/>
                <w:rPr>
                  <w:rFonts w:eastAsia="Andale Sans UI" w:cs="Tahoma"/>
                  <w:szCs w:val="24"/>
                  <w:lang w:bidi="en-US"/>
                </w:rPr>
              </w:pPr>
              <w:r>
                <w:rPr>
                  <w:rFonts w:eastAsia="Andale Sans UI" w:cs="Tahoma"/>
                  <w:szCs w:val="24"/>
                  <w:lang w:bidi="en-US"/>
                </w:rPr>
                <w:t>Projekte nereglamentuojamas asmens duomenų naudojimas.</w:t>
              </w:r>
            </w:p>
          </w:sdtContent>
        </w:sdt>
        <w:sdt>
          <w:sdtPr>
            <w:alias w:val="13 p."/>
            <w:tag w:val="part_e1fb82d5f1b34f958b0d29ecd472b6ec"/>
            <w:lock w:val="sdtLocked"/>
            <w:richText/>
          </w:sdtPr>
          <w:sdtContent>
            <w:p>
              <w:pPr>
                <w:ind w:firstLine="567"/>
                <w:jc w:val="both"/>
                <w:rPr>
                  <w:rFonts w:eastAsia="Andale Sans UI" w:cs="Tahoma"/>
                  <w:b/>
                  <w:bCs/>
                  <w:szCs w:val="24"/>
                  <w:lang w:bidi="en-US"/>
                </w:rPr>
              </w:pPr>
              <w:sdt>
                <w:sdtPr>
                  <w:alias w:val="Numeris"/>
                  <w:tag w:val="nr_e1fb82d5f1b34f958b0d29ecd472b6ec"/>
                  <w:lock w:val="sdtLocked"/>
                  <w:richText/>
                </w:sdtPr>
                <w:sdtContent>
                  <w:r>
                    <w:rPr>
                      <w:rFonts w:eastAsia="Andale Sans UI" w:cs="Tahoma"/>
                      <w:b/>
                      <w:bCs/>
                      <w:szCs w:val="24"/>
                      <w:lang w:bidi="en-US"/>
                    </w:rPr>
                    <w:t>13</w:t>
                  </w:r>
                </w:sdtContent>
              </w:sdt>
              <w:r>
                <w:rPr>
                  <w:rFonts w:eastAsia="Andale Sans UI" w:cs="Tahoma"/>
                  <w:b/>
                  <w:bCs/>
                  <w:szCs w:val="24"/>
                  <w:lang w:bidi="en-US"/>
                </w:rPr>
                <w:t>. Konsultavimasis su visuomene</w:t>
              </w:r>
              <w:r>
                <w:rPr>
                  <w:rFonts w:eastAsia="Andale Sans UI" w:cs="Tahoma"/>
                  <w:b/>
                  <w:bCs/>
                  <w:sz w:val="18"/>
                  <w:szCs w:val="18"/>
                  <w:vertAlign w:val="superscript"/>
                  <w:lang w:bidi="en-US"/>
                </w:rPr>
                <w:footnoteReference w:id="9"/>
              </w:r>
              <w:r>
                <w:rPr>
                  <w:rFonts w:eastAsia="Andale Sans UI" w:cs="Tahoma"/>
                  <w:b/>
                  <w:bCs/>
                  <w:szCs w:val="24"/>
                  <w:lang w:bidi="en-US"/>
                </w:rPr>
                <w:t xml:space="preserve"> interneto svetainėje epilietis.lrv.lt (pažymimas tinkamas variantas)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Projektas viešosioms konsultacijoms skelbtas interneto svetainėje epilietis.lrv.lt , kur pastabas ir pasiūlymus nuo 202.. m. ... ... d. iki 202.. m. ... ... d. galėjo teikti visi suinteresuoti asmenys (nurodomas konsultavimosi tikslas (tikslai), būdas (būdai), suinteresuoti asmenys, su kuriais konsultuotasi, konsultavimosi trukmė ir apibendrinti konsultavimosi rezultatai – pateikiamos bendros (agreguotos) viešųjų konsultacijų dalyvių nuomonių tendencijos, nurodoma, kaip į konsultavimosi su visuomene rezultatus atsižvelgta Projekte) (arba Projektas viešosioms konsultacijoms paskelbtas (arba bus skelbiamas) interneto svetainėje epilietis.lrv.lt, kur pastabas ir pasiūlymus gali teikti (arba galės teikti) visi suinteresuoti asmenys (nurodomas konsultavimosi tikslas (tikslai), būdas (būdai), suinteresuoti asmenys ir konsultavimosi trukmė). </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Projekto skelbti viešosioms konsultacijoms interneto svetainėje epilietis.lrv.lt neplanuojama. </w:t>
              </w:r>
            </w:p>
          </w:sdtContent>
        </w:sdt>
        <w:sdt>
          <w:sdtPr>
            <w:alias w:val="14 p."/>
            <w:tag w:val="part_4f51de5100234faabe79bbacb56b5d15"/>
            <w:lock w:val="sdtLocked"/>
            <w:richText/>
          </w:sdtPr>
          <w:sdtContent>
            <w:p>
              <w:pPr>
                <w:ind w:firstLine="567"/>
                <w:jc w:val="both"/>
                <w:rPr>
                  <w:rFonts w:eastAsia="Andale Sans UI" w:cs="Tahoma"/>
                  <w:b/>
                  <w:bCs/>
                  <w:szCs w:val="24"/>
                  <w:lang w:bidi="en-US"/>
                </w:rPr>
              </w:pPr>
              <w:sdt>
                <w:sdtPr>
                  <w:alias w:val="Numeris"/>
                  <w:tag w:val="nr_4f51de5100234faabe79bbacb56b5d15"/>
                  <w:lock w:val="sdtLocked"/>
                  <w:richText/>
                </w:sdtPr>
                <w:sdtContent>
                  <w:r>
                    <w:rPr>
                      <w:rFonts w:eastAsia="Andale Sans UI" w:cs="Tahoma"/>
                      <w:b/>
                      <w:bCs/>
                      <w:szCs w:val="24"/>
                      <w:lang w:bidi="en-US"/>
                    </w:rPr>
                    <w:t>14</w:t>
                  </w:r>
                </w:sdtContent>
              </w:sdt>
              <w:r>
                <w:rPr>
                  <w:rFonts w:eastAsia="Andale Sans UI" w:cs="Tahoma"/>
                  <w:b/>
                  <w:bCs/>
                  <w:szCs w:val="24"/>
                  <w:lang w:bidi="en-US"/>
                </w:rPr>
                <w:t>. Derinimas su suinteresuotomis institucijomis ir suinteresuotais asmenimis</w:t>
              </w:r>
            </w:p>
            <w:p>
              <w:pPr>
                <w:ind w:firstLine="567"/>
                <w:jc w:val="both"/>
                <w:rPr>
                  <w:rFonts w:eastAsia="Andale Sans UI" w:cs="Tahoma"/>
                  <w:szCs w:val="24"/>
                  <w:lang w:bidi="en-US"/>
                </w:rPr>
              </w:pPr>
              <w:r>
                <w:rPr>
                  <w:rFonts w:eastAsia="Andale Sans UI" w:cs="Tahoma"/>
                  <w:szCs w:val="24"/>
                  <w:lang w:bidi="en-US"/>
                </w:rPr>
                <w:t>Projektas skelbiamas Lietuvos Respublikos Seimo kanceliarijos teisės aktų informacinėje sistemoje (TAIS).</w:t>
              </w:r>
            </w:p>
            <w:p>
              <w:pPr>
                <w:ind w:firstLine="567"/>
                <w:jc w:val="both"/>
                <w:rPr>
                  <w:rFonts w:eastAsia="Andale Sans UI" w:cs="Tahoma"/>
                  <w:szCs w:val="24"/>
                  <w:lang w:bidi="en-US"/>
                </w:rPr>
              </w:pPr>
              <w:r>
                <w:rPr>
                  <w:rFonts w:eastAsia="Andale Sans UI" w:cs="Tahoma"/>
                  <w:szCs w:val="24"/>
                  <w:lang w:bidi="en-US"/>
                </w:rPr>
                <w:t>Derinimo terminas (pažymimas tinkamas variantas):</w:t>
              </w:r>
            </w:p>
            <w:p>
              <w:pPr>
                <w:ind w:firstLine="567"/>
                <w:jc w:val="both"/>
                <w:rPr>
                  <w:rFonts w:eastAsia="Andale Sans UI" w:cs="Tahoma"/>
                  <w:szCs w:val="24"/>
                  <w:lang w:bidi="en-US"/>
                </w:rPr>
              </w:pPr>
              <w:r>
                <w:rPr>
                  <w:rFonts w:ascii="Segoe UI Symbol" w:eastAsia="Andale Sans UI" w:hAnsi="Segoe UI Symbol" w:cs="Segoe UI Symbol"/>
                  <w:szCs w:val="24"/>
                  <w:lang w:bidi="en-US"/>
                </w:rPr>
                <w:t>☐</w:t>
              </w:r>
              <w:r>
                <w:rPr>
                  <w:rFonts w:eastAsia="Andale Sans UI" w:cs="Tahoma"/>
                  <w:szCs w:val="24"/>
                  <w:lang w:bidi="en-US"/>
                </w:rPr>
                <w:t xml:space="preserve"> ... darbo dienų (įrašomas ne trumpesnis nei 10 darbo dienų derinimo terminas arba ne trumpesnis nei 12 darbo dienų derinimo terminas, kai pateikiami dideli (10 ar daugiau puslapių) ir (ar) sudėtingi Projektai (nustatantys naują teisinį reguliavimą ar iš esmės jį keičiantys).</w:t>
              </w:r>
            </w:p>
            <w:p>
              <w:pPr>
                <w:ind w:firstLine="567"/>
                <w:jc w:val="both"/>
                <w:rPr>
                  <w:rFonts w:eastAsia="Andale Sans UI" w:cs="Tahoma"/>
                  <w:szCs w:val="24"/>
                  <w:lang w:val="en-GB" w:bidi="en-US"/>
                </w:rPr>
              </w:pPr>
              <w:r>
                <w:rPr>
                  <w:rFonts w:ascii="MS Gothic" w:eastAsia="MS Gothic" w:hAnsi="MS Gothic" w:cs="Tahoma"/>
                  <w:szCs w:val="24"/>
                  <w:lang w:bidi="en-US"/>
                </w:rPr>
                <w:t>☒</w:t>
              </w:r>
              <w:r>
                <w:rPr>
                  <w:rFonts w:eastAsia="Andale Sans UI" w:cs="Tahoma"/>
                  <w:szCs w:val="24"/>
                  <w:lang w:bidi="en-US"/>
                </w:rPr>
                <w:t xml:space="preserve"> 5 darbo dienos (Vyriausybės darbo reglamento</w:t>
              </w:r>
              <w:r>
                <w:rPr>
                  <w:rFonts w:eastAsia="Andale Sans UI" w:cs="Tahoma"/>
                  <w:sz w:val="18"/>
                  <w:szCs w:val="18"/>
                  <w:vertAlign w:val="superscript"/>
                  <w:lang w:bidi="en-US"/>
                </w:rPr>
                <w:footnoteReference w:id="10"/>
                <w:t xml:space="preserve"> </w:t>
              </w:r>
              <w:r>
                <w:rPr>
                  <w:rFonts w:eastAsia="Andale Sans UI" w:cs="Tahoma"/>
                  <w:szCs w:val="24"/>
                  <w:lang w:bidi="en-US"/>
                </w:rPr>
                <w:t xml:space="preserve"> 28.1 papunktyje nurodytu atveju – siekiant, kad finansavimo priemonės būtų parengtos ir finansuojamos nuo kitų metų pradžios).</w:t>
              </w:r>
            </w:p>
          </w:sdtContent>
        </w:sdt>
        <w:sdt>
          <w:sdtPr>
            <w:alias w:val="15 p."/>
            <w:tag w:val="part_e1ccc6cc02934296b36ac1fb46ad8496"/>
            <w:lock w:val="sdtLocked"/>
            <w:richText/>
          </w:sdtPr>
          <w:sdtContent>
            <w:p>
              <w:pPr>
                <w:ind w:firstLine="567"/>
                <w:jc w:val="both"/>
                <w:rPr>
                  <w:rFonts w:eastAsia="Andale Sans UI" w:cs="Tahoma"/>
                  <w:b/>
                  <w:bCs/>
                  <w:szCs w:val="24"/>
                  <w:lang w:bidi="en-US"/>
                </w:rPr>
              </w:pPr>
              <w:sdt>
                <w:sdtPr>
                  <w:alias w:val="Numeris"/>
                  <w:tag w:val="nr_e1ccc6cc02934296b36ac1fb46ad8496"/>
                  <w:lock w:val="sdtLocked"/>
                  <w:richText/>
                </w:sdtPr>
                <w:sdtContent>
                  <w:r>
                    <w:rPr>
                      <w:rFonts w:eastAsia="Andale Sans UI" w:cs="Tahoma"/>
                      <w:b/>
                      <w:bCs/>
                      <w:szCs w:val="24"/>
                      <w:lang w:bidi="en-US"/>
                    </w:rPr>
                    <w:t>15</w:t>
                  </w:r>
                </w:sdtContent>
              </w:sdt>
              <w:r>
                <w:rPr>
                  <w:rFonts w:eastAsia="Andale Sans UI" w:cs="Tahoma"/>
                  <w:b/>
                  <w:bCs/>
                  <w:szCs w:val="24"/>
                  <w:lang w:bidi="en-US"/>
                </w:rPr>
                <w:t xml:space="preserve">. Projekto rengėjai </w:t>
              </w:r>
            </w:p>
            <w:p>
              <w:pPr>
                <w:ind w:firstLine="567"/>
                <w:jc w:val="both"/>
                <w:rPr>
                  <w:rFonts w:eastAsia="Andale Sans UI" w:cs="Tahoma"/>
                  <w:szCs w:val="24"/>
                  <w:lang w:bidi="en-US"/>
                </w:rPr>
              </w:pPr>
              <w:r>
                <w:rPr>
                  <w:rFonts w:eastAsia="Andale Sans UI"/>
                  <w:szCs w:val="24"/>
                  <w:lang w:bidi="en-US"/>
                </w:rPr>
                <w:t xml:space="preserve">Projektą parengė Aplinkos ministerijos Klimato politikos grupės (vadovė – Vilija Augutavičienė, tel. +370  686 17 484, </w:t>
              </w:r>
              <w:r>
                <w:rPr>
                  <w:rFonts w:eastAsia="Andale Sans UI"/>
                  <w:color w:val="000080"/>
                  <w:szCs w:val="24"/>
                  <w:u w:val="single"/>
                  <w:lang w:bidi="en-US"/>
                </w:rPr>
                <w:t>vilija.augutaviciene@am.lt</w:t>
              </w:r>
              <w:r>
                <w:rPr>
                  <w:rFonts w:eastAsia="Andale Sans UI"/>
                  <w:szCs w:val="24"/>
                  <w:lang w:bidi="en-US"/>
                </w:rPr>
                <w:t xml:space="preserve">) patarėja Lina Čeičytė, tel. +370 682 23 663, </w:t>
              </w:r>
              <w:r>
                <w:rPr>
                  <w:rFonts w:eastAsia="Andale Sans UI"/>
                  <w:color w:val="000080"/>
                  <w:szCs w:val="24"/>
                  <w:u w:val="single"/>
                  <w:lang w:bidi="en-US"/>
                </w:rPr>
                <w:t>lina.ceicyte@am.lt</w:t>
              </w:r>
              <w:r>
                <w:rPr>
                  <w:rFonts w:eastAsia="Andale Sans UI"/>
                  <w:szCs w:val="24"/>
                  <w:lang w:bidi="en-US"/>
                </w:rPr>
                <w:t>).</w:t>
              </w:r>
            </w:p>
            <w:p>
              <w:pPr>
                <w:ind w:firstLine="567"/>
                <w:jc w:val="both"/>
                <w:rPr>
                  <w:rFonts w:eastAsia="Andale Sans UI" w:cs="Tahoma"/>
                  <w:szCs w:val="24"/>
                  <w:lang w:bidi="en-US"/>
                </w:rPr>
              </w:pPr>
              <w:r>
                <w:rPr>
                  <w:rFonts w:eastAsia="Andale Sans UI" w:cs="Tahoma"/>
                  <w:szCs w:val="24"/>
                  <w:lang w:bidi="en-US"/>
                </w:rPr>
                <w:t>PRIDEDAMA:</w:t>
              </w:r>
            </w:p>
          </w:sdtContent>
        </w:sdt>
        <w:sdt>
          <w:sdtPr>
            <w:alias w:val="1 p."/>
            <w:tag w:val="part_e48258eb91f2425290321142363b39cc"/>
            <w:lock w:val="sdtLocked"/>
            <w:richText/>
          </w:sdtPr>
          <w:sdtContent>
            <w:p>
              <w:pPr>
                <w:ind w:firstLine="567"/>
                <w:jc w:val="both"/>
                <w:rPr>
                  <w:rFonts w:eastAsia="Andale Sans UI" w:cs="Tahoma"/>
                  <w:szCs w:val="24"/>
                  <w:lang w:bidi="en-US"/>
                </w:rPr>
              </w:pPr>
              <w:sdt>
                <w:sdtPr>
                  <w:alias w:val="Numeris"/>
                  <w:tag w:val="nr_e48258eb91f2425290321142363b39cc"/>
                  <w:lock w:val="sdtLocked"/>
                  <w:richText/>
                </w:sdtPr>
                <w:sdtContent>
                  <w:r>
                    <w:rPr>
                      <w:rFonts w:eastAsia="Andale Sans UI" w:cs="Tahoma"/>
                      <w:szCs w:val="24"/>
                      <w:lang w:bidi="en-US"/>
                    </w:rPr>
                    <w:t>1</w:t>
                  </w:r>
                </w:sdtContent>
              </w:sdt>
              <w:r>
                <w:rPr>
                  <w:rFonts w:eastAsia="Andale Sans UI" w:cs="Tahoma"/>
                  <w:szCs w:val="24"/>
                  <w:lang w:bidi="en-US"/>
                </w:rPr>
                <w:t>. Projektas, 2 lapai.</w:t>
              </w:r>
            </w:p>
          </w:sdtContent>
        </w:sdt>
        <w:sdt>
          <w:sdtPr>
            <w:alias w:val="2 p."/>
            <w:tag w:val="part_dc39d1783ba14220a2dd8ce2a7d15804"/>
            <w:lock w:val="sdtLocked"/>
            <w:richText/>
          </w:sdtPr>
          <w:sdtContent>
            <w:p>
              <w:pPr>
                <w:ind w:firstLine="567"/>
                <w:jc w:val="both"/>
                <w:rPr>
                  <w:rFonts w:eastAsia="Andale Sans UI" w:cs="Tahoma"/>
                  <w:szCs w:val="24"/>
                  <w:lang w:bidi="en-US"/>
                </w:rPr>
              </w:pPr>
              <w:sdt>
                <w:sdtPr>
                  <w:alias w:val="Numeris"/>
                  <w:tag w:val="nr_dc39d1783ba14220a2dd8ce2a7d15804"/>
                  <w:lock w:val="sdtLocked"/>
                  <w:richText/>
                </w:sdtPr>
                <w:sdtContent>
                  <w:r>
                    <w:rPr>
                      <w:rFonts w:eastAsia="Andale Sans UI" w:cs="Tahoma"/>
                      <w:szCs w:val="24"/>
                      <w:lang w:bidi="en-US"/>
                    </w:rPr>
                    <w:t>2</w:t>
                  </w:r>
                </w:sdtContent>
              </w:sdt>
              <w:r>
                <w:rPr>
                  <w:rFonts w:eastAsia="Andale Sans UI" w:cs="Tahoma"/>
                  <w:szCs w:val="24"/>
                  <w:lang w:bidi="en-US"/>
                </w:rPr>
                <w:t>. Antikorupcinio vertinimo pažymą, 6 lapai.</w:t>
              </w:r>
            </w:p>
            <w:p>
              <w:pPr>
                <w:suppressLineNumbers/>
                <w:jc w:val="both"/>
                <w:rPr>
                  <w:rFonts w:eastAsia="Andale Sans UI" w:cs="Tahoma"/>
                  <w:szCs w:val="24"/>
                  <w:lang w:bidi="en-US"/>
                </w:rPr>
              </w:pPr>
            </w:p>
            <w:p>
              <w:pPr>
                <w:suppressLineNumbers/>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cs="Tahoma"/>
                        <w:szCs w:val="24"/>
                        <w:lang w:bidi="en-US"/>
                      </w:rPr>
                    </w:pPr>
                    <w:r>
                      <w:rPr>
                        <w:rFonts w:eastAsia="Andale Sans UI" w:cs="Tahoma"/>
                        <w:szCs w:val="24"/>
                        <w:lang w:bidi="en-US"/>
                      </w:rPr>
                      <w:t>Aplinkos viceministrė</w:t>
                    </w:r>
                  </w:p>
                </w:tc>
                <w:tc>
                  <w:tcPr>
                    <w:tcW w:w="4826" w:type="dxa"/>
                    <w:vAlign w:val="bottom"/>
                  </w:tcPr>
                  <w:p>
                    <w:pPr>
                      <w:ind w:right="34"/>
                      <w:jc w:val="right"/>
                      <w:rPr>
                        <w:rFonts w:eastAsia="Andale Sans UI" w:cs="Tahoma"/>
                        <w:szCs w:val="24"/>
                        <w:lang w:bidi="en-US"/>
                      </w:rPr>
                    </w:pPr>
                    <w:r>
                      <w:rPr>
                        <w:rFonts w:eastAsia="Andale Sans UI" w:cs="Tahoma"/>
                        <w:szCs w:val="24"/>
                        <w:lang w:bidi="en-US"/>
                      </w:rPr>
                      <w:t>Aira Paliukėnaitė</w:t>
                    </w:r>
                  </w:p>
                </w:tc>
              </w:tr>
              <w:tr>
                <w:trPr>
                  <w:trHeight w:val="340"/>
                </w:trPr>
                <w:tc>
                  <w:tcPr>
                    <w:tcW w:w="4817" w:type="dxa"/>
                    <w:vAlign w:val="bottom"/>
                  </w:tcPr>
                  <w:p>
                    <w:pPr>
                      <w:suppressLineNumbers/>
                      <w:jc w:val="both"/>
                      <w:rPr>
                        <w:rFonts w:eastAsia="Andale Sans UI" w:cs="Tahoma"/>
                        <w:szCs w:val="24"/>
                        <w:lang w:bidi="en-US"/>
                      </w:rPr>
                    </w:pPr>
                  </w:p>
                </w:tc>
                <w:tc>
                  <w:tcPr>
                    <w:tcW w:w="4826" w:type="dxa"/>
                    <w:vAlign w:val="bottom"/>
                  </w:tcPr>
                  <w:p>
                    <w:pPr>
                      <w:ind w:right="34"/>
                      <w:jc w:val="right"/>
                      <w:rPr>
                        <w:rFonts w:eastAsia="Andale Sans UI" w:cs="Tahoma"/>
                        <w:szCs w:val="24"/>
                        <w:lang w:bidi="en-US"/>
                      </w:rPr>
                    </w:pPr>
                  </w:p>
                </w:tc>
              </w:tr>
              <w:tr>
                <w:trPr>
                  <w:trHeight w:val="340"/>
                </w:trPr>
                <w:tc>
                  <w:tcPr>
                    <w:tcW w:w="4817" w:type="dxa"/>
                    <w:vAlign w:val="bottom"/>
                  </w:tcPr>
                  <w:p>
                    <w:pPr>
                      <w:suppressLineNumbers/>
                      <w:ind w:right="-1691"/>
                      <w:jc w:val="both"/>
                      <w:rPr>
                        <w:rFonts w:eastAsia="Andale Sans UI" w:cs="Tahoma"/>
                        <w:szCs w:val="24"/>
                        <w:lang w:bidi="en-US"/>
                      </w:rPr>
                    </w:pPr>
                  </w:p>
                  <w:p>
                    <w:pPr>
                      <w:suppressLineNumbers/>
                      <w:ind w:right="-1691"/>
                      <w:jc w:val="both"/>
                      <w:rPr>
                        <w:rFonts w:eastAsia="Andale Sans UI" w:cs="Tahoma"/>
                        <w:szCs w:val="24"/>
                        <w:lang w:bidi="en-US"/>
                      </w:rPr>
                    </w:pPr>
                  </w:p>
                  <w:p>
                    <w:pPr>
                      <w:ind w:right="-1691"/>
                      <w:jc w:val="both"/>
                      <w:rPr>
                        <w:rFonts w:eastAsia="Andale Sans UI" w:cs="Tahoma"/>
                        <w:szCs w:val="24"/>
                        <w:lang w:bidi="en-US"/>
                      </w:rPr>
                    </w:pPr>
                    <w:r>
                      <w:rPr>
                        <w:rFonts w:eastAsia="Andale Sans UI" w:cs="Tahoma"/>
                        <w:szCs w:val="24"/>
                        <w:lang w:bidi="en-US"/>
                      </w:rPr>
                      <w:t xml:space="preserve">L. Čeičytė, 0 682 23 663, el. p. </w:t>
                    </w:r>
                    <w:r>
                      <w:rPr>
                        <w:rFonts w:eastAsia="Andale Sans UI" w:cs="Tahoma"/>
                        <w:color w:val="000080"/>
                        <w:szCs w:val="24"/>
                        <w:u w:val="single"/>
                        <w:lang w:bidi="en-US"/>
                      </w:rPr>
                      <w:t>lina.ceicyte@am.lt</w:t>
                    </w:r>
                  </w:p>
                  <w:p>
                    <w:pPr>
                      <w:suppressLineNumbers/>
                      <w:jc w:val="both"/>
                      <w:rPr>
                        <w:rFonts w:eastAsia="Andale Sans UI" w:cs="Tahoma"/>
                        <w:szCs w:val="24"/>
                        <w:lang w:bidi="en-US"/>
                      </w:rPr>
                    </w:pPr>
                  </w:p>
                </w:tc>
                <w:tc>
                  <w:tcPr>
                    <w:tcW w:w="4826" w:type="dxa"/>
                    <w:vAlign w:val="bottom"/>
                  </w:tcPr>
                  <w:p>
                    <w:pPr>
                      <w:ind w:right="34"/>
                      <w:jc w:val="right"/>
                      <w:rPr>
                        <w:rFonts w:eastAsia="Andale Sans UI" w:cs="Tahoma"/>
                        <w:szCs w:val="24"/>
                        <w:lang w:val="en-GB" w:bidi="en-US"/>
                      </w:rPr>
                    </w:pPr>
                  </w:p>
                </w:tc>
              </w:tr>
              <w:tr>
                <w:trPr>
                  <w:cantSplit/>
                  <w:trHeight w:val="340"/>
                </w:trPr>
                <w:tc>
                  <w:tcPr>
                    <w:tcW w:w="9643" w:type="dxa"/>
                    <w:gridSpan w:val="2"/>
                  </w:tcPr>
                  <w:p>
                    <w:pPr>
                      <w:suppressLineNumbers/>
                      <w:jc w:val="both"/>
                      <w:rPr>
                        <w:rFonts w:eastAsia="Andale Sans UI" w:cs="Tahoma"/>
                        <w:szCs w:val="24"/>
                        <w:lang w:bidi="en-US"/>
                      </w:rPr>
                    </w:pPr>
                  </w:p>
                  <w:p>
                    <w:pPr>
                      <w:suppressLineNumbers/>
                      <w:jc w:val="both"/>
                      <w:rPr>
                        <w:rFonts w:eastAsia="Andale Sans UI" w:cs="Tahoma"/>
                        <w:szCs w:val="24"/>
                        <w:lang w:bidi="en-US"/>
                      </w:rPr>
                    </w:pPr>
                  </w:p>
                  <w:p>
                    <w:pPr>
                      <w:suppressLineNumbers/>
                      <w:jc w:val="both"/>
                      <w:rPr>
                        <w:rFonts w:eastAsia="Andale Sans UI" w:cs="Tahoma"/>
                        <w:szCs w:val="24"/>
                        <w:lang w:bidi="en-US"/>
                      </w:rPr>
                    </w:pPr>
                  </w:p>
                  <w:p>
                    <w:pPr>
                      <w:suppressLineNumbers/>
                      <w:jc w:val="both"/>
                      <w:rPr>
                        <w:rFonts w:eastAsia="Andale Sans UI" w:cs="Tahoma"/>
                        <w:szCs w:val="24"/>
                        <w:lang w:bidi="en-US"/>
                      </w:rPr>
                    </w:pPr>
                  </w:p>
                </w:tc>
              </w:tr>
            </w:tbl>
            <w:p>
              <w:pPr>
                <w:jc w:val="center"/>
                <w:rPr>
                  <w:rFonts w:eastAsia="Andale Sans UI" w:cs="Tahoma"/>
                  <w:szCs w:val="24"/>
                  <w:lang w:bidi="en-US"/>
                </w:rPr>
                <w:sectPr>
                  <w:headerReference w:type="even" r:id="rId14"/>
                  <w:headerReference w:type="default" r:id="rId15"/>
                  <w:footerReference w:type="even" r:id="rId16"/>
                  <w:footerReference w:type="default" r:id="rId17"/>
                  <w:headerReference w:type="first" r:id="rId18"/>
                  <w:footerReference w:type="first" r:id="rId19"/>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jc w:val="center"/>
                <w:rPr>
                  <w:rFonts w:eastAsia="Andale Sans UI" w:cs="Tahoma"/>
                  <w:szCs w:val="24"/>
                  <w:lang w:bidi="en-US"/>
                </w:rPr>
              </w:pPr>
            </w:p>
          </w:sdtContent>
        </w:sdt>
        <w:sdt>
          <w:sdtPr>
            <w:alias w:val="1 p."/>
            <w:tag w:val="part_015f90d20af14dd28b778d6cb3f3e662"/>
            <w:lock w:val="sdtLocked"/>
            <w:richText/>
          </w:sdtPr>
          <w:sdtContent>
            <w:p>
              <w:pPr>
                <w:spacing w:line="360" w:lineRule="auto"/>
                <w:rPr>
                  <w:szCs w:val="24"/>
                  <w:lang w:eastAsia="lt-LT"/>
                </w:rPr>
              </w:pPr>
              <w:sdt>
                <w:sdtPr>
                  <w:alias w:val="Numeris"/>
                  <w:tag w:val="nr_015f90d20af14dd28b778d6cb3f3e662"/>
                  <w:lock w:val="sdtLocked"/>
                  <w:richText/>
                </w:sdtPr>
                <w:sdtContent>
                  <w:r>
                    <w:rPr>
                      <w:szCs w:val="24"/>
                      <w:lang w:eastAsia="lt-LT"/>
                    </w:rPr>
                    <w:t>1</w:t>
                  </w:r>
                </w:sdtContent>
              </w:sdt>
              <w:r>
                <w:rPr>
                  <w:szCs w:val="24"/>
                  <w:lang w:eastAsia="lt-LT"/>
                </w:rPr>
                <w:t>.</w:t>
                <w:tab/>
                <w:t>Lietuvos Respublikos ekonomikos ir inovacijų ministerija </w:t>
              </w:r>
            </w:p>
          </w:sdtContent>
        </w:sdt>
        <w:sdt>
          <w:sdtPr>
            <w:alias w:val="2 p."/>
            <w:tag w:val="part_5519b6f36158403cbda4c1dc3a3104dd"/>
            <w:lock w:val="sdtLocked"/>
            <w:richText/>
          </w:sdtPr>
          <w:sdtContent>
            <w:p>
              <w:pPr>
                <w:spacing w:line="360" w:lineRule="auto"/>
                <w:rPr>
                  <w:szCs w:val="24"/>
                  <w:lang w:eastAsia="lt-LT"/>
                </w:rPr>
              </w:pPr>
              <w:sdt>
                <w:sdtPr>
                  <w:alias w:val="Numeris"/>
                  <w:tag w:val="nr_5519b6f36158403cbda4c1dc3a3104dd"/>
                  <w:lock w:val="sdtLocked"/>
                  <w:richText/>
                </w:sdtPr>
                <w:sdtContent>
                  <w:r>
                    <w:rPr>
                      <w:szCs w:val="24"/>
                      <w:lang w:eastAsia="lt-LT"/>
                    </w:rPr>
                    <w:t>2</w:t>
                  </w:r>
                </w:sdtContent>
              </w:sdt>
              <w:r>
                <w:rPr>
                  <w:szCs w:val="24"/>
                  <w:lang w:eastAsia="lt-LT"/>
                </w:rPr>
                <w:t>.</w:t>
                <w:tab/>
                <w:t>Lietuvos Respublikos energetikos ministerija </w:t>
              </w:r>
            </w:p>
          </w:sdtContent>
        </w:sdt>
        <w:sdt>
          <w:sdtPr>
            <w:alias w:val="3 p."/>
            <w:tag w:val="part_9c89ac4a2d6f4c2d9b2df64f000d7b19"/>
            <w:lock w:val="sdtLocked"/>
            <w:richText/>
          </w:sdtPr>
          <w:sdtContent>
            <w:p>
              <w:pPr>
                <w:spacing w:line="360" w:lineRule="auto"/>
                <w:rPr>
                  <w:szCs w:val="24"/>
                  <w:lang w:eastAsia="lt-LT"/>
                </w:rPr>
              </w:pPr>
              <w:sdt>
                <w:sdtPr>
                  <w:alias w:val="Numeris"/>
                  <w:tag w:val="nr_9c89ac4a2d6f4c2d9b2df64f000d7b19"/>
                  <w:lock w:val="sdtLocked"/>
                  <w:richText/>
                </w:sdtPr>
                <w:sdtContent>
                  <w:r>
                    <w:rPr>
                      <w:szCs w:val="24"/>
                      <w:lang w:eastAsia="lt-LT"/>
                    </w:rPr>
                    <w:t>3</w:t>
                  </w:r>
                </w:sdtContent>
              </w:sdt>
              <w:r>
                <w:rPr>
                  <w:szCs w:val="24"/>
                  <w:lang w:eastAsia="lt-LT"/>
                </w:rPr>
                <w:t>.</w:t>
                <w:tab/>
                <w:t>Lietuvos Respublikos finansų ministerija </w:t>
              </w:r>
            </w:p>
          </w:sdtContent>
        </w:sdt>
        <w:sdt>
          <w:sdtPr>
            <w:alias w:val="4 p."/>
            <w:tag w:val="part_c59b9a98c49b4f119fefaf1c900d8165"/>
            <w:lock w:val="sdtLocked"/>
            <w:richText/>
          </w:sdtPr>
          <w:sdtContent>
            <w:p>
              <w:pPr>
                <w:spacing w:line="360" w:lineRule="auto"/>
                <w:rPr>
                  <w:szCs w:val="24"/>
                  <w:lang w:eastAsia="lt-LT"/>
                </w:rPr>
              </w:pPr>
              <w:sdt>
                <w:sdtPr>
                  <w:alias w:val="Numeris"/>
                  <w:tag w:val="nr_c59b9a98c49b4f119fefaf1c900d8165"/>
                  <w:lock w:val="sdtLocked"/>
                  <w:richText/>
                </w:sdtPr>
                <w:sdtContent>
                  <w:r>
                    <w:rPr>
                      <w:szCs w:val="24"/>
                      <w:lang w:eastAsia="lt-LT"/>
                    </w:rPr>
                    <w:t>4</w:t>
                  </w:r>
                </w:sdtContent>
              </w:sdt>
              <w:r>
                <w:rPr>
                  <w:szCs w:val="24"/>
                  <w:lang w:eastAsia="lt-LT"/>
                </w:rPr>
                <w:t>.</w:t>
                <w:tab/>
                <w:t>Lietuvos Respublikos susisiekimo ministerija </w:t>
              </w:r>
            </w:p>
          </w:sdtContent>
        </w:sdt>
        <w:sdt>
          <w:sdtPr>
            <w:alias w:val="5 p."/>
            <w:tag w:val="part_17967af69a114ae38e2e9ba70705b27c"/>
            <w:lock w:val="sdtLocked"/>
            <w:richText/>
          </w:sdtPr>
          <w:sdtContent>
            <w:p>
              <w:pPr>
                <w:spacing w:line="360" w:lineRule="auto"/>
                <w:rPr>
                  <w:szCs w:val="24"/>
                  <w:lang w:eastAsia="lt-LT"/>
                </w:rPr>
              </w:pPr>
              <w:sdt>
                <w:sdtPr>
                  <w:alias w:val="Numeris"/>
                  <w:tag w:val="nr_17967af69a114ae38e2e9ba70705b27c"/>
                  <w:lock w:val="sdtLocked"/>
                  <w:richText/>
                </w:sdtPr>
                <w:sdtContent>
                  <w:r>
                    <w:rPr>
                      <w:szCs w:val="24"/>
                      <w:lang w:eastAsia="lt-LT"/>
                    </w:rPr>
                    <w:t>5</w:t>
                  </w:r>
                </w:sdtContent>
              </w:sdt>
              <w:r>
                <w:rPr>
                  <w:szCs w:val="24"/>
                  <w:lang w:eastAsia="lt-LT"/>
                </w:rPr>
                <w:t>.</w:t>
                <w:tab/>
                <w:t>Lietuvos Respublikos teisingumo ministerija </w:t>
              </w:r>
            </w:p>
          </w:sdtContent>
        </w:sdt>
        <w:sdt>
          <w:sdtPr>
            <w:alias w:val="6 p."/>
            <w:tag w:val="part_e794c845a4f24f96b40b1d6ef43d798a"/>
            <w:lock w:val="sdtLocked"/>
            <w:richText/>
          </w:sdtPr>
          <w:sdtContent>
            <w:p>
              <w:pPr>
                <w:spacing w:line="360" w:lineRule="auto"/>
                <w:rPr>
                  <w:szCs w:val="24"/>
                  <w:lang w:eastAsia="lt-LT"/>
                </w:rPr>
              </w:pPr>
              <w:sdt>
                <w:sdtPr>
                  <w:alias w:val="Numeris"/>
                  <w:tag w:val="nr_e794c845a4f24f96b40b1d6ef43d798a"/>
                  <w:lock w:val="sdtLocked"/>
                  <w:richText/>
                </w:sdtPr>
                <w:sdtContent>
                  <w:r>
                    <w:rPr>
                      <w:szCs w:val="24"/>
                      <w:lang w:eastAsia="lt-LT"/>
                    </w:rPr>
                    <w:t>6</w:t>
                  </w:r>
                </w:sdtContent>
              </w:sdt>
              <w:r>
                <w:rPr>
                  <w:szCs w:val="24"/>
                  <w:lang w:eastAsia="lt-LT"/>
                </w:rPr>
                <w:t>.</w:t>
                <w:tab/>
                <w:t>Lietuvos Respublikos žemės ūkio ministerija </w:t>
              </w:r>
            </w:p>
            <w:p>
              <w:pPr>
                <w:textAlignment w:val="baseline"/>
                <w:rPr>
                  <w:szCs w:val="24"/>
                  <w:lang w:eastAsia="lt-LT"/>
                </w:rPr>
              </w:pPr>
            </w:p>
            <w:p>
              <w:pPr>
                <w:textAlignment w:val="baseline"/>
                <w:rPr>
                  <w:szCs w:val="24"/>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BA"/>
    <w:family w:val="swiss"/>
    <w:pitch w:val="variable"/>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Dvidešimtosios Lietuvos Respublikos Vyriausybės programa, kuriai pritarta Lietuvos Respublikos Seimo 2025 m. rugsėjo 25 d. nutarimu Nr. XV-439 „Dėl Dvidešimtosios Lietuvos Respublikos Vyriausybės programos“.</w:t>
      </w:r>
    </w:p>
  </w:footnote>
  <w:footnote w:id="2">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1"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3">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4">
    <w:p>
      <w:pPr>
        <w:jc w:val="both"/>
        <w:rPr>
          <w:sz w:val="20"/>
          <w:lang w:eastAsia="lt-LT"/>
        </w:rPr>
      </w:pPr>
      <w:r>
        <w:rPr>
          <w:rFonts w:eastAsia="Andale Sans UI"/>
          <w:sz w:val="20"/>
          <w:vertAlign w:val="superscript"/>
        </w:rPr>
        <w:footnoteRef/>
        <w:t xml:space="preserve"> </w:t>
      </w:r>
      <w:hyperlink r:id="rId3">
        <w:r>
          <w:rPr>
            <w:color w:val="000080"/>
            <w:sz w:val="20"/>
            <w:u w:val="single"/>
            <w:lang w:eastAsia="lt-LT"/>
          </w:rPr>
          <w:t>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5">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6">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7">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6"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8">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9">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0">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Lietuvos Respublikos Vyriausybės darbo reglamentas</w:t>
      </w:r>
      <w:r>
        <w:rPr>
          <w:rFonts w:eastAsia="Andale Sans UI"/>
          <w:sz w:val="20"/>
        </w:rPr>
        <w:t>, patvirtintas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A5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B8F4C11-AF0E-4433-9DD3-C90C9CE635B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 w:id="2011714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TAR.DB68BCA9E3A0/asr"/>
  <Relationship Id="rId2" Type="http://schemas.openxmlformats.org/officeDocument/2006/relationships/hyperlink" TargetMode="External" Target="https://www.e-tar.lt/portal/lt/legalAct/TAR.EDD5FD371B32/asr"/>
  <Relationship Id="rId3" Type="http://schemas.openxmlformats.org/officeDocument/2006/relationships/hyperlink" TargetMode="External" Target="https://www.e-tar.lt/portal/lt/legalAct/TAR.DCD24028BD0E"/>
  <Relationship Id="rId4" Type="http://schemas.openxmlformats.org/officeDocument/2006/relationships/hyperlink" TargetMode="External" Target="https://www.e-tar.lt/portal/lt/legalAct/TAR.814F485EB18B/asr"/>
  <Relationship Id="rId5" Type="http://schemas.openxmlformats.org/officeDocument/2006/relationships/hyperlink" TargetMode="External" Target="https://www.e-tar.lt/portal/lt/legalAct/TAR.814F485EB18B/asr"/>
  <Relationship Id="rId6" Type="http://schemas.openxmlformats.org/officeDocument/2006/relationships/hyperlink" TargetMode="External" Target="https://www.e-tar.lt/portal/lt/legalAct/0635c170d54511eead77e967e399526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215bf443b2d0dfbe99521a44ac999f2a">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73a841c720ad112add9baa2cbc40a548"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b177b9755c9a4293859225720422cfd2" PartId="5ae7f1292f0b4a38a211e293b0241197"/>
  <Part Type="pastraipa" DocPartId="79cfe1f311d74ffea6397fb327bbc594" PartId="a91a1549aa474b98b4df8861e0b24131">
    <Part Type="punktas" Nr="1" Abbr="1 p." DocPartId="3ada51df96cb4ffbbf6c868d65efc447" PartId="525c9e3033d14038bc6737715a28a6ac"/>
    <Part Type="punktas" Nr="2" Abbr="2 p." DocPartId="43b7d8a18ea7456aa8ad68ede1ea308c" PartId="32490f1c031b400eaef10895780547c7"/>
    <Part Type="punktas" Nr="3" Abbr="3 p." DocPartId="1d2735d558a3483e8918594dc4b9dd8f" PartId="9c8cc75cbc114e8d8aeecbacae915236"/>
    <Part Type="punktas" Nr="4" Abbr="4 p." DocPartId="fe3e251793df4e119c6e62ed2e91259f" PartId="81dc4c4771264d6e9f89355937a10e29"/>
    <Part Type="punktas" Nr="5" Abbr="5 p." DocPartId="5fbf3da9113f4d9f8f6d0c30ace0a60a" PartId="947ee79b3e10415ab5c3cbe1744bf705"/>
    <Part Type="punktas" Nr="6" Abbr="6 p." DocPartId="90325e6918914291a4e056c346be649e" PartId="96e3b1e0ea114065a590dc117d36fde8"/>
    <Part Type="punktas" Nr="7" Abbr="7 p." DocPartId="df74bf56f1674b4fb9d33a8d4c75a2bb" PartId="7f10f97bd31142dda54527f489d72a0e"/>
    <Part Type="punktas" Nr="8" Abbr="8 p." DocPartId="a3ba366e41b54d0689f20bc0a882fd90" PartId="5d7783b4f1c945af82386606e08067be"/>
    <Part Type="punktas" Nr="9" Abbr="9 p." DocPartId="180e37981dc14404b27158de994869d4" PartId="59f3a60643324d319fcb199abe7c88e3"/>
    <Part Type="punktas" Nr="10" Abbr="10 p." DocPartId="294fede458b4402087caa98f6cccb1a1" PartId="e2d503beb8bc49b9a2af8caebf22dfda"/>
    <Part Type="punktas" Nr="11" Abbr="11 p." DocPartId="487f9c31a1ca46ac84ba7e9a9d9da848" PartId="19cd5acb3a9f4a44880075fd0fe226e3"/>
    <Part Type="punktas" Nr="12" Abbr="12 p." DocPartId="49860ca7fb5640fba2735c3d4b7074a2" PartId="99cb05bfdc7c4f0db1ee9d9265610a7c"/>
    <Part Type="punktas" Nr="13" Abbr="13 p." DocPartId="8567e871c7ea4eaabbdace46cfe2e0e5" PartId="e1fb82d5f1b34f958b0d29ecd472b6ec"/>
    <Part Type="punktas" Nr="14" Abbr="14 p." DocPartId="71c1e7cf107c4d6d9827006391aea952" PartId="4f51de5100234faabe79bbacb56b5d15"/>
    <Part Type="punktas" Nr="15" Abbr="15 p." DocPartId="c17899cb0532414ab4898711d38ce089" PartId="e1ccc6cc02934296b36ac1fb46ad8496"/>
    <Part Type="punktas" Nr="1" Abbr="1 p." Notes="Numeris ne iš eilės. Trūksta dalių? [DocDalys]" DocPartId="065895562fdc47e782c3134b14297b9f" PartId="e48258eb91f2425290321142363b39cc"/>
    <Part Type="punktas" Nr="2" Abbr="2 p." DocPartId="8cb4ebf308dd48839db8cd6e07bc6e9b" PartId="dc39d1783ba14220a2dd8ce2a7d15804"/>
    <Part Type="punktas" Nr="1" Abbr="1 p." Notes="Numeris ne iš eilės. Trūksta dalių? [DocDalys]" DocPartId="2257c1393cb240bdb6d5cc5c1363f598" PartId="015f90d20af14dd28b778d6cb3f3e662"/>
    <Part Type="punktas" Nr="2" Abbr="2 p." DocPartId="f20d3897dc694523a6558c66434cf3e7" PartId="5519b6f36158403cbda4c1dc3a3104dd"/>
    <Part Type="punktas" Nr="3" Abbr="3 p." DocPartId="b4ca43634eb14fb4984600acb5043d78" PartId="9c89ac4a2d6f4c2d9b2df64f000d7b19"/>
    <Part Type="punktas" Nr="4" Abbr="4 p." DocPartId="7205bcf9a5c84c65be8c15e19fc8bb77" PartId="c59b9a98c49b4f119fefaf1c900d8165"/>
    <Part Type="punktas" Nr="5" Abbr="5 p." DocPartId="26282e2edd914b6fb52a30b8984cdf96" PartId="17967af69a114ae38e2e9ba70705b27c"/>
    <Part Type="punktas" Nr="6" Abbr="6 p." DocPartId="8e7c7c27286645d5ac4ce35a5cee088e" PartId="e794c845a4f24f96b40b1d6ef43d798a"/>
  </Part>
</Parts>
</file>

<file path=customXml/itemProps1.xml><?xml version="1.0" encoding="utf-8"?>
<ds:datastoreItem xmlns:ds="http://schemas.openxmlformats.org/officeDocument/2006/customXml" ds:itemID="{2ECC1323-9F72-4681-9895-5BB6B34E3FBB}">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7c1ea38-b788-4873-88f4-3b1f34597b9a"/>
    <ds:schemaRef ds:uri="http://purl.org/dc/elements/1.1/"/>
    <ds:schemaRef ds:uri="http://schemas.microsoft.com/office/2006/metadata/properties"/>
    <ds:schemaRef ds:uri="0379a545-9986-45d7-9e6d-3845025712a0"/>
    <ds:schemaRef ds:uri="http://www.w3.org/XML/1998/namespace"/>
    <ds:schemaRef ds:uri="http://purl.org/dc/dcmitype/"/>
  </ds:schemaRefs>
</ds:datastoreItem>
</file>

<file path=customXml/itemProps2.xml><?xml version="1.0" encoding="utf-8"?>
<ds:datastoreItem xmlns:ds="http://schemas.openxmlformats.org/officeDocument/2006/customXml" ds:itemID="{E76C5982-00CE-4A8C-9971-038D67B970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F47FD1DA-E9EE-4E91-9A8E-2465EF749197}">
  <ds:schemaRefs>
    <ds:schemaRef ds:uri="http://schemas.openxmlformats.org/officeDocument/2006/bibliography"/>
  </ds:schemaRefs>
</ds:datastoreItem>
</file>

<file path=customXml/itemProps5.xml><?xml version="1.0" encoding="utf-8"?>
<ds:datastoreItem xmlns:ds="http://schemas.openxmlformats.org/officeDocument/2006/customXml" ds:itemID="{5E7B6459-4DA3-4AEA-8337-EBEBD29F3B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1333</Words>
  <Characters>9752</Characters>
  <Application>Microsoft Office Word</Application>
  <DocSecurity>4</DocSecurity>
  <Lines>256</Lines>
  <Paragraphs>119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10966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2025-11-21T06:31:00Z</dcterms:created>
  <dc:creator>Lina Čeičytė</dc:creator>
  <lastModifiedBy>adlibuser</lastModifiedBy>
  <dcterms:modified xsi:type="dcterms:W3CDTF">2025-11-21T06:31:00Z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