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16aefec880ec4cc6bf455249000b65a3"/>
        <w:lock w:val="sdtLocked"/>
        <w:richText/>
      </w:sdtPr>
      <w:sdtContent>
        <w:p>
          <w:pPr>
            <w:ind w:firstLine="720"/>
            <w:jc w:val="center"/>
            <w:rPr>
              <w:b/>
              <w:color w:val="000000"/>
              <w:sz w:val="20"/>
              <w:lang w:eastAsia="lt-LT" w:bidi="lt-LT"/>
            </w:rPr>
          </w:pPr>
          <w:r>
            <w:rPr>
              <w:b/>
              <w:color w:val="000000"/>
              <w:sz w:val="20"/>
              <w:lang w:eastAsia="lt-LT" w:bidi="lt-LT"/>
            </w:rPr>
            <w:t xml:space="preserve">DIREKTYVOS (ES) 2020/2184 IR LIETUVOS RESPUBLIKOS APLINKOS MINISTRO 2006 M. GRUODŽIO 29 D. ĮSAKYMO NR. D1-639 „DĖL GERIAMOJO VANDENS TIEKIMO IR NUOTEKŲ TVARKYMO PASLAUGŲ KOKYBĖS REIKALAVIMŲ PATVIRTINIMO“ PAKEITIMO PROJEKTO </w:t>
          </w:r>
        </w:p>
        <w:p>
          <w:pPr>
            <w:jc w:val="center"/>
            <w:rPr>
              <w:b/>
              <w:color w:val="000000"/>
              <w:sz w:val="20"/>
              <w:lang w:eastAsia="lt-LT" w:bidi="lt-LT"/>
            </w:rPr>
          </w:pPr>
          <w:r>
            <w:rPr>
              <w:b/>
              <w:color w:val="000000"/>
              <w:sz w:val="20"/>
              <w:lang w:eastAsia="lt-LT" w:bidi="lt-LT"/>
            </w:rPr>
            <w:t xml:space="preserve">ATITIKTIES LENTELĖ </w:t>
          </w:r>
        </w:p>
        <w:p>
          <w:pPr>
            <w:rPr>
              <w:b/>
              <w:color w:val="000000"/>
              <w:sz w:val="20"/>
              <w:lang w:eastAsia="lt-LT" w:bidi="lt-LT"/>
            </w:rPr>
          </w:pPr>
        </w:p>
        <w:tbl>
          <w:tblPr>
            <w:tblW w:w="4404" w:type="pc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6"/>
            <w:gridCol w:w="10100"/>
            <w:gridCol w:w="1488"/>
          </w:tblGrid>
          <w:tr>
            <w:tc>
              <w:tcPr>
                <w:tcW w:w="912" w:type="pct"/>
              </w:tcPr>
              <w:p>
                <w:pPr>
                  <w:jc w:val="center"/>
                  <w:rPr>
                    <w:b/>
                    <w:bCs/>
                    <w:color w:val="000000"/>
                    <w:sz w:val="20"/>
                    <w:lang w:eastAsia="lt-LT" w:bidi="lt-LT"/>
                  </w:rPr>
                </w:pPr>
                <w:r>
                  <w:rPr>
                    <w:b/>
                    <w:color w:val="000000"/>
                    <w:sz w:val="20"/>
                    <w:bdr w:val="none" w:sz="0" w:space="0" w:color="auto" w:frame="1"/>
                    <w:shd w:val="clear" w:color="auto" w:fill="FFFFFF"/>
                    <w:lang w:eastAsia="lt-LT" w:bidi="lt-LT"/>
                  </w:rPr>
                  <w:t>2020 m. gruodžio 16 d. Europos Parlamento ir Tarybos direktyva (ES) 2020/2184 dėl žmonėms vartoti skirto vandens kokybės (nauja redakcija)</w:t>
                </w:r>
              </w:p>
            </w:tc>
            <w:tc>
              <w:tcPr>
                <w:tcW w:w="3563" w:type="pct"/>
              </w:tcPr>
              <w:p>
                <w:pPr>
                  <w:tabs>
                    <w:tab w:val="left" w:pos="1320"/>
                  </w:tabs>
                  <w:jc w:val="both"/>
                  <w:rPr>
                    <w:b/>
                    <w:bCs/>
                    <w:color w:val="000000"/>
                    <w:sz w:val="20"/>
                    <w:lang w:eastAsia="lt-LT" w:bidi="lt-LT"/>
                  </w:rPr>
                </w:pPr>
                <w:r>
                  <w:rPr>
                    <w:b/>
                    <w:bCs/>
                    <w:color w:val="000000"/>
                    <w:sz w:val="20"/>
                    <w:lang w:eastAsia="lt-LT" w:bidi="lt-LT"/>
                  </w:rPr>
                  <w:t>Lietuvos Respublikos aplinkos ministro 2006 m. gruodžio 29 d. įsakymo Nr. D1-639 „Dėl Geriamojo vandens tiekimo ir nuotekų tvarkymo paslaugų kokybės reikalavimų patvirtinimo“ pakeitimo projektas</w:t>
                </w:r>
              </w:p>
            </w:tc>
            <w:tc>
              <w:tcPr>
                <w:tcW w:w="525" w:type="pct"/>
              </w:tcPr>
              <w:p>
                <w:pPr>
                  <w:jc w:val="center"/>
                  <w:rPr>
                    <w:b/>
                    <w:bCs/>
                    <w:color w:val="000000"/>
                    <w:sz w:val="20"/>
                    <w:lang w:eastAsia="lt-LT" w:bidi="lt-LT"/>
                  </w:rPr>
                </w:pPr>
                <w:r>
                  <w:rPr>
                    <w:b/>
                    <w:color w:val="000000"/>
                    <w:sz w:val="20"/>
                    <w:lang w:eastAsia="lt-LT" w:bidi="lt-LT"/>
                  </w:rPr>
                  <w:t>Direktyvos perkėlimo ir įgyvendinimo lygis</w:t>
                </w:r>
              </w:p>
            </w:tc>
          </w:tr>
          <w:tr>
            <w:tc>
              <w:tcPr>
                <w:tcW w:w="912" w:type="pct"/>
                <w:shd w:val="clear" w:color="auto" w:fill="FFFFFF"/>
              </w:tcPr>
              <w:p>
                <w:pPr>
                  <w:rPr>
                    <w:sz w:val="20"/>
                  </w:rPr>
                </w:pPr>
              </w:p>
              <w:p>
                <w:pPr>
                  <w:shd w:val="clear" w:color="auto" w:fill="FFFFFF"/>
                  <w:jc w:val="center"/>
                  <w:rPr>
                    <w:b/>
                    <w:bCs/>
                    <w:color w:val="000000"/>
                    <w:sz w:val="20"/>
                    <w:lang w:eastAsia="lt-LT"/>
                  </w:rPr>
                </w:pPr>
                <w:r>
                  <w:rPr>
                    <w:b/>
                    <w:bCs/>
                    <w:color w:val="000000"/>
                    <w:sz w:val="20"/>
                    <w:lang w:eastAsia="lt-LT"/>
                  </w:rPr>
                  <w:t>IV PRIEDAS</w:t>
                </w:r>
              </w:p>
              <w:p>
                <w:pPr>
                  <w:rPr>
                    <w:sz w:val="20"/>
                  </w:rPr>
                </w:pPr>
              </w:p>
              <w:p>
                <w:pPr>
                  <w:shd w:val="clear" w:color="auto" w:fill="FFFFFF"/>
                  <w:jc w:val="center"/>
                  <w:rPr>
                    <w:b/>
                    <w:bCs/>
                    <w:color w:val="000000"/>
                    <w:sz w:val="20"/>
                    <w:lang w:eastAsia="lt-LT"/>
                  </w:rPr>
                </w:pPr>
                <w:r>
                  <w:rPr>
                    <w:b/>
                    <w:bCs/>
                    <w:color w:val="000000"/>
                    <w:sz w:val="20"/>
                    <w:lang w:eastAsia="lt-LT"/>
                  </w:rPr>
                  <w:t>INFORMACIJA VISUOMENEI</w:t>
                </w:r>
              </w:p>
              <w:p>
                <w:pPr>
                  <w:rPr>
                    <w:sz w:val="10"/>
                    <w:szCs w:val="10"/>
                  </w:rPr>
                </w:pPr>
              </w:p>
              <w:p>
                <w:pPr>
                  <w:shd w:val="clear" w:color="auto" w:fill="FFFFFF"/>
                  <w:jc w:val="both"/>
                  <w:rPr>
                    <w:color w:val="000000"/>
                    <w:sz w:val="20"/>
                    <w:lang w:eastAsia="lt-LT"/>
                  </w:rPr>
                </w:pPr>
                <w:r>
                  <w:rPr>
                    <w:color w:val="000000"/>
                    <w:sz w:val="20"/>
                    <w:lang w:eastAsia="lt-LT"/>
                  </w:rPr>
                  <w:t>Internete vartotojams patogiu naudoti ir pritaikytu būdu skelbiama toliau nurodytuose punktuose nurodyta informacija, o pateikę pagrįstą prašymą, vartotojai gali gauti prieigą prie tos informacijos kitais būdais:</w:t>
                </w:r>
              </w:p>
              <w:tbl>
                <w:tblPr>
                  <w:tblW w:w="4803" w:type="pct"/>
                  <w:shd w:val="clear" w:color="auto" w:fill="FFFFFF"/>
                  <w:tblCellMar>
                    <w:left w:w="0" w:type="dxa"/>
                    <w:right w:w="0" w:type="dxa"/>
                  </w:tblCellMar>
                  <w:tblLook w:val="04A0" w:firstRow="1" w:lastRow="0" w:firstColumn="1" w:lastColumn="0" w:noHBand="0" w:noVBand="1"/>
                </w:tblPr>
                <w:tblGrid>
                  <w:gridCol w:w="12"/>
                  <w:gridCol w:w="2265"/>
                </w:tblGrid>
                <w:tr>
                  <w:tc>
                    <w:tcPr>
                      <w:tcW w:w="26" w:type="pct"/>
                      <w:shd w:val="clear" w:color="auto" w:fill="FFFFFF"/>
                    </w:tcPr>
                    <w:p>
                      <w:pPr>
                        <w:rPr>
                          <w:sz w:val="10"/>
                          <w:szCs w:val="10"/>
                        </w:rPr>
                      </w:pPr>
                    </w:p>
                    <w:p>
                      <w:pPr>
                        <w:jc w:val="both"/>
                        <w:rPr>
                          <w:color w:val="000000"/>
                          <w:sz w:val="20"/>
                          <w:lang w:eastAsia="lt-LT"/>
                        </w:rPr>
                      </w:pPr>
                    </w:p>
                  </w:tc>
                  <w:tc>
                    <w:tcPr>
                      <w:tcW w:w="0" w:type="auto"/>
                      <w:shd w:val="clear" w:color="auto" w:fill="FFFFFF"/>
                    </w:tcPr>
                    <w:p>
                      <w:pPr>
                        <w:rPr>
                          <w:sz w:val="10"/>
                          <w:szCs w:val="10"/>
                        </w:rPr>
                      </w:pPr>
                    </w:p>
                    <w:p>
                      <w:pPr>
                        <w:jc w:val="both"/>
                        <w:rPr>
                          <w:color w:val="000000"/>
                          <w:sz w:val="20"/>
                          <w:lang w:eastAsia="lt-LT"/>
                        </w:rPr>
                      </w:pPr>
                    </w:p>
                  </w:tc>
                </w:tr>
              </w:tbl>
              <w:p>
                <w:pPr>
                  <w:jc w:val="both"/>
                  <w:rPr>
                    <w:iCs/>
                    <w:sz w:val="20"/>
                    <w:lang w:eastAsia="en-GB"/>
                  </w:rPr>
                </w:pPr>
              </w:p>
            </w:tc>
            <w:tc>
              <w:tcPr>
                <w:tcW w:w="3563" w:type="pct"/>
                <w:shd w:val="clear" w:color="auto" w:fill="FFFFFF"/>
              </w:tcPr>
              <w:p>
                <w:pPr>
                  <w:ind w:firstLine="762"/>
                  <w:jc w:val="both"/>
                  <w:rPr>
                    <w:sz w:val="20"/>
                  </w:rPr>
                </w:pPr>
                <w:r>
                  <w:rPr>
                    <w:sz w:val="20"/>
                  </w:rPr>
                  <w:t>„20. Šiame skyriuje nurodyta informacija skelbiama ir teikiama geriamo vandens tiekėjo, paviršinių nuotekų tvarkytojų interneto svetainėse Informavimo tvarkos nuostatuose nustatyta tvarka, išskyrus informaciją apie:</w:t>
                </w:r>
              </w:p>
              <w:p>
                <w:pPr>
                  <w:ind w:firstLine="709"/>
                  <w:jc w:val="both"/>
                  <w:rPr>
                    <w:sz w:val="20"/>
                  </w:rPr>
                </w:pPr>
                <w:r>
                  <w:rPr>
                    <w:sz w:val="20"/>
                  </w:rPr>
                  <w:t>20.1. tiekiamo geriamojo vandens saugos ir kokybės pablogėjimą (ši informacija teikiama Geriamojo vandens įstatymo 3 straipsnyje nustatyta tvarka);</w:t>
                </w:r>
              </w:p>
              <w:p>
                <w:pPr>
                  <w:ind w:firstLine="709"/>
                  <w:jc w:val="both"/>
                  <w:rPr>
                    <w:sz w:val="20"/>
                  </w:rPr>
                </w:pPr>
                <w:r>
                  <w:rPr>
                    <w:sz w:val="20"/>
                  </w:rPr>
                  <w:t>20.2. geriamojo vandens tiekimo ir (arba) nuotekų tvarkymo infrastruktūros avarijas, dėl kurių abonentams ir (ar) vartotojams nutraukiamas, sustabdomas ar apribojamas geriamojo vandens tiekimas ir (arba) nuotekų tvarkymo paslaugų teikimas (ši informacija turi būti pateikta abonentams (ar) vartotojams nedelsiant, ne vėliau kaip per 24 valandas nuo pranešimo apie avariją gavimo, žodžiu, telefonu, jei yra galimybė, per radiją ir (ar) televiziją arba išsiunčiant pranešimą elektroniniu paštu ar iškabinant daugiabučių namų skelbimų lentose. Informacijoje turi būti nurodytos geriamojo vandens tiekimo ir (arba) nuotekų tvarkymo paslaugų teikimo nutraukimo, apribojimo ar sustabdymo priežastys, nuo kada ir iki kada nutraukiamas, sustabdomas ar apribojamas geriamojo vandens tiekimas ir (ar) nuotekų tvarkymo paslaugų teikimas, kokiu būdu abonentui ir (arba) vartotojui bus sudaryta galimybė gauti geriamąjį vandenį ir naudotis nuotekų tvarkymo paslaugomis, jeigu tiekimas nutraukiamas ilgiau kaip 12 valandų);</w:t>
                </w:r>
              </w:p>
              <w:p>
                <w:pPr>
                  <w:ind w:firstLine="709"/>
                  <w:jc w:val="both"/>
                  <w:rPr>
                    <w:sz w:val="20"/>
                  </w:rPr>
                </w:pPr>
                <w:r>
                  <w:rPr>
                    <w:sz w:val="20"/>
                  </w:rPr>
                  <w:t>20.3. planuojamus geriamojo vandens tiekimo ir nuotekų, paviršinių nuotekų tvarkymo paslaugų pertrūkius ir pokyčius dėl geriamojo vandens tiekimo ir (ar) nuotekų, paviršinių nuotekų tvarkymo infrastruktūros planinio remonto ir (ar) infrastruktūros objektų prijungimo (ši informacija turi būti pateikta abonentams ir (ar) vartotojams ne vėliau kaip prieš 3 kalendorines dienas iki darbų pradžios pranešimą paskelbiant vietinėje spaudoje ar iškabinant gyvenamųjų vietovių ar daugiabučių namų skelbimų lentose arba išsiunčiant abonentams ir (ar) vartotojams elektroniniu paštu arba įteikiant. Pranešime turi būti nurodyta, nuo kada ir kokiam laikui nutraukiamas, sustabdomas ar apribojamas geriamojo vandens tiekimas ir (ar) nuotekų, paviršinių nuotekų tvarkymo paslaugų teikimas, kokiu būdu abonentui ir (ar) vartotojui bus sudaryta galimybė gauti geriamąjį vandenį ir naudotis nuotekų, paviršinių nuotekų tvarkymo paslaugomis, jeigu tiekimas nutraukiamas ilgiau kaip 12 valandų).</w:t>
                </w:r>
              </w:p>
              <w:p>
                <w:pPr>
                  <w:ind w:firstLine="709"/>
                  <w:jc w:val="both"/>
                  <w:rPr>
                    <w:sz w:val="20"/>
                  </w:rPr>
                </w:pPr>
                <w:r>
                  <w:rPr>
                    <w:sz w:val="20"/>
                  </w:rPr>
                  <w:t>21. Reikalavimų 20.2 ir 20.3 papunkčiuose nurodytą informaciją geriamojo vandens tiekėjas, paviršinių nuotekų tvarkytojas teikia abonentams ir (ar) vartotojams vienu ar keliais iš nurodytų būdų, atsižvelgdamas į abonentų ir (ar) vartotojų, kuriems laikinai nutraukiamas, sustabdomas ar apribojamas geriamojo vandens tiekimas ir (arba) nuotekų, paviršinių nuotekų tvarkymo paslaugų teikimas, skaičių.</w:t>
                </w:r>
              </w:p>
              <w:p>
                <w:pPr>
                  <w:ind w:firstLine="709"/>
                  <w:jc w:val="both"/>
                  <w:rPr>
                    <w:sz w:val="20"/>
                  </w:rPr>
                </w:pPr>
                <w:r>
                  <w:rPr>
                    <w:sz w:val="20"/>
                  </w:rPr>
                  <w:t>22. Geriamojo vandens tiekėjai, garantiniai vandens tiekėjai, paviršinių nuotekų tvarkytojai interneto svetainėje skelbia sąrašą įmonės darbuotojų, nurodydami jų pareigybes, vardus, pavardes ir telefonus, į kuriuos abonentai ir (ar) vartotojai gali kreiptis informacijos.</w:t>
                </w:r>
              </w:p>
              <w:p>
                <w:pPr>
                  <w:ind w:firstLine="709"/>
                  <w:jc w:val="both"/>
                  <w:rPr>
                    <w:sz w:val="20"/>
                  </w:rPr>
                </w:pPr>
                <w:r>
                  <w:rPr>
                    <w:sz w:val="20"/>
                  </w:rPr>
                  <w:t>23. Geriamojo vandens tiekėjai, garantiniai vandens tiekėjai, paviršinių nuotekų tvarkytojai kitą informaciją apie geriamojo vandens tiekimo ir (arba) nuotekų tvarkymo veiklą, kuri nėra skelbiama viešai, išskyrus tą, kuri pagal Lietuvos Respublikos įstatymus negali būti viešoji informacija, teikia abonentui ir (ar) vartotojui pagal jo žodinį arba rašytinį prašymą. Žodiniai prašymai priimami tik tais atvejais, kai juos galima išnagrinėti ir išspręsti tuoj pat, nepažeidžiant asmens ir geriamojo vandens tiekėjo, garantinio vandens tiekėjo, paviršinių nuotekų tvarkytojo interesų. Pateiktame rašytiniame prašyme turi būti nurodyta:</w:t>
                </w:r>
              </w:p>
              <w:p>
                <w:pPr>
                  <w:ind w:firstLine="709"/>
                  <w:jc w:val="both"/>
                  <w:rPr>
                    <w:sz w:val="20"/>
                  </w:rPr>
                </w:pPr>
                <w:r>
                  <w:rPr>
                    <w:sz w:val="20"/>
                  </w:rPr>
                  <w:t>23.1. abonento – juridinio asmens arba užsienio valstybės juridinio asmens atstovybės ar filialo, įregistruoto Lietuvos Respublikoje, – pavadinimas, įmonės kodas, buveinė;</w:t>
                </w:r>
              </w:p>
              <w:p>
                <w:pPr>
                  <w:ind w:firstLine="709"/>
                  <w:jc w:val="both"/>
                  <w:rPr>
                    <w:sz w:val="20"/>
                  </w:rPr>
                </w:pPr>
                <w:r>
                  <w:rPr>
                    <w:sz w:val="20"/>
                  </w:rPr>
                  <w:t>23.2. vartotojo – fizinio asmens – vardas, pavardė, korespondencijos adresas, telefonas ir (arba) elektroninis paštas;</w:t>
                </w:r>
              </w:p>
              <w:p>
                <w:pPr>
                  <w:ind w:firstLine="709"/>
                  <w:jc w:val="both"/>
                  <w:rPr>
                    <w:sz w:val="20"/>
                  </w:rPr>
                </w:pPr>
                <w:r>
                  <w:rPr>
                    <w:sz w:val="20"/>
                  </w:rPr>
                  <w:t>23.3. kokiu būdu (telefonu, paštu, elektroniniu paštu) pageidauja gauti informaciją;</w:t>
                </w:r>
              </w:p>
              <w:p>
                <w:pPr>
                  <w:ind w:firstLine="709"/>
                  <w:jc w:val="both"/>
                  <w:rPr>
                    <w:sz w:val="20"/>
                  </w:rPr>
                </w:pPr>
                <w:r>
                  <w:rPr>
                    <w:sz w:val="20"/>
                  </w:rPr>
                  <w:t>23.4. prašoma informacija, informacijos gavimo tikslas.“</w:t>
                </w:r>
              </w:p>
              <w:p>
                <w:pPr>
                  <w:ind w:firstLine="709"/>
                  <w:jc w:val="both"/>
                  <w:rPr>
                    <w:rFonts w:eastAsia="Lucida Sans Unicode"/>
                    <w:bCs/>
                    <w:color w:val="000000"/>
                    <w:sz w:val="20"/>
                    <w:lang w:eastAsia="lt-LT" w:bidi="en-US"/>
                  </w:rPr>
                </w:pPr>
              </w:p>
            </w:tc>
            <w:tc>
              <w:tcPr>
                <w:tcW w:w="525" w:type="pct"/>
                <w:shd w:val="clear" w:color="auto" w:fill="FFFFFF"/>
              </w:tcPr>
              <w:p>
                <w:pPr>
                  <w:rPr>
                    <w:color w:val="000000"/>
                    <w:sz w:val="20"/>
                    <w:lang w:eastAsia="lt-LT" w:bidi="lt-LT"/>
                  </w:rPr>
                </w:pPr>
                <w:r>
                  <w:rPr>
                    <w:color w:val="000000"/>
                    <w:sz w:val="20"/>
                    <w:lang w:eastAsia="lt-LT" w:bidi="lt-LT"/>
                  </w:rPr>
                  <w:t>Visiškas</w:t>
                </w:r>
              </w:p>
            </w:tc>
          </w:tr>
          <w:tr>
            <w:trPr>
              <w:trHeight w:val="3478"/>
            </w:trPr>
            <w:tc>
              <w:tcPr>
                <w:tcW w:w="912" w:type="pct"/>
                <w:shd w:val="clear" w:color="auto" w:fill="FFFFFF"/>
              </w:tcPr>
              <w:p>
                <w:pPr>
                  <w:shd w:val="clear" w:color="auto" w:fill="FFFFFF"/>
                  <w:ind w:left="33" w:hanging="33"/>
                  <w:jc w:val="both"/>
                  <w:rPr>
                    <w:bCs/>
                    <w:color w:val="000000"/>
                    <w:sz w:val="20"/>
                    <w:lang w:eastAsia="lt-LT"/>
                  </w:rPr>
                </w:pPr>
                <w:r>
                  <w:rPr>
                    <w:bCs/>
                    <w:color w:val="000000"/>
                    <w:sz w:val="20"/>
                    <w:lang w:eastAsia="lt-LT"/>
                  </w:rPr>
                  <w:t>1.</w:t>
                  <w:tab/>
                </w:r>
                <w:r>
                  <w:rPr>
                    <w:bCs/>
                    <w:color w:val="000000"/>
                    <w:sz w:val="20"/>
                    <w:lang w:eastAsia="lt-LT"/>
                  </w:rPr>
                  <w:t xml:space="preserve">atitinkamo vandens tiekėjo identifikaciniai duomenys, vandens tiekimo teritorija bei žmonių, kuriems tiekiamas vanduo, skaičius ir vandens gamybos būdas, įskaitant bendro pobūdžio informaciją apie vandens valymo tipus ir taikytą dezinfekciją. Valstybės narės gali nukrypti nuo šio reikalavimo pagal Direktyvos </w:t>
                </w:r>
                <w:fldSimple w:instr="HYPERLINK http://eur-lex.europa.eu/legal-content/LIT/TXT/?uri=CELEX:32007L0002&amp;locale=lt \t _blank">
                  <w:r>
                    <w:rPr>
                      <w:bCs/>
                      <w:color w:val="0000FF" w:themeColor="hyperlink"/>
                      <w:sz w:val="20"/>
                      <w:lang w:eastAsia="lt-LT"/>
                      <w:u w:val="single"/>
                    </w:rPr>
                    <w:t>2007/2/EB</w:t>
                  </w:r>
                </w:fldSimple>
                <w:r>
                  <w:rPr>
                    <w:bCs/>
                    <w:color w:val="000000"/>
                    <w:sz w:val="20"/>
                    <w:lang w:eastAsia="lt-LT"/>
                  </w:rPr>
                  <w:t xml:space="preserve"> 13 straipsnio 1 dalį;</w:t>
                </w:r>
              </w:p>
            </w:tc>
            <w:tc>
              <w:tcPr>
                <w:tcW w:w="3563" w:type="pct"/>
                <w:shd w:val="clear" w:color="auto" w:fill="FFFFFF"/>
              </w:tcPr>
              <w:p>
                <w:pPr>
                  <w:ind w:firstLine="762"/>
                  <w:jc w:val="both"/>
                  <w:rPr>
                    <w:sz w:val="20"/>
                  </w:rPr>
                </w:pPr>
                <w:r>
                  <w:rPr>
                    <w:sz w:val="20"/>
                  </w:rPr>
                  <w:t>„17.1. Geriamojo vandens teikimo ir nuotekų tvarkymo įstatymo 37 straipsnio 1 ir 3 dalyse nurodytą informaciją;</w:t>
                </w:r>
              </w:p>
              <w:p>
                <w:pPr>
                  <w:ind w:firstLine="709"/>
                  <w:jc w:val="both"/>
                  <w:rPr>
                    <w:sz w:val="20"/>
                  </w:rPr>
                </w:pPr>
                <w:r>
                  <w:rPr>
                    <w:sz w:val="20"/>
                  </w:rPr>
                  <w:t>17.2. geriamojo vandens tiekėją, paviršinių nuotekų tvarkytoją (juridinio asmens pavadinimas, teisinė forma, kodas, buveinės adresas, telefono ryšio numeriai, interneto svetainė);</w:t>
                </w:r>
              </w:p>
              <w:p>
                <w:pPr>
                  <w:ind w:firstLine="709"/>
                  <w:jc w:val="both"/>
                  <w:rPr>
                    <w:sz w:val="20"/>
                  </w:rPr>
                </w:pPr>
                <w:r>
                  <w:rPr>
                    <w:sz w:val="20"/>
                  </w:rPr>
                  <w:t>17.3. savivaldybių teritorijas, kuriose vykdoma licencijuojama geriamojo vandens tiekimo ir (arba) nuotekų tvarkymo veikla;</w:t>
                </w:r>
              </w:p>
              <w:p>
                <w:pPr>
                  <w:ind w:firstLine="709"/>
                  <w:jc w:val="both"/>
                  <w:rPr>
                    <w:sz w:val="20"/>
                  </w:rPr>
                </w:pPr>
                <w:r>
                  <w:rPr>
                    <w:sz w:val="20"/>
                  </w:rPr>
                  <w:t>17.4. geriamojo vandens tiekimo ir (arba) nuotekų tvarkymo, paviršinių nuotekų tvarkymo infrastruktūros avarijas;</w:t>
                </w:r>
              </w:p>
              <w:p>
                <w:pPr>
                  <w:ind w:firstLine="709"/>
                  <w:jc w:val="both"/>
                  <w:rPr>
                    <w:sz w:val="20"/>
                  </w:rPr>
                </w:pPr>
                <w:r>
                  <w:rPr>
                    <w:sz w:val="20"/>
                  </w:rPr>
                  <w:t>17.5. aptarnaujamų abonentų ir vartotojų skaičių;</w:t>
                </w:r>
              </w:p>
              <w:p>
                <w:pPr>
                  <w:ind w:firstLine="709"/>
                  <w:jc w:val="both"/>
                  <w:rPr>
                    <w:sz w:val="20"/>
                  </w:rPr>
                </w:pPr>
                <w:r>
                  <w:rPr>
                    <w:sz w:val="20"/>
                  </w:rPr>
                  <w:t>17.6. geriamojo vandens ruošimo būdus, įskaitant informaciją apie geriamojo vandens valymo tipus ir dezinfekciją;</w:t>
                </w:r>
              </w:p>
              <w:p>
                <w:pPr>
                  <w:ind w:firstLine="709"/>
                  <w:jc w:val="both"/>
                  <w:rPr>
                    <w:sz w:val="20"/>
                  </w:rPr>
                </w:pPr>
                <w:r>
                  <w:rPr>
                    <w:sz w:val="20"/>
                  </w:rPr>
                  <w:t>17.7. geriamojo vandens ir teikiamų nuotekų tvarkymo paslaugų kokybę (Reikalavimų 1–6 prieduose nurodyti duomenys);“</w:t>
                </w:r>
              </w:p>
              <w:p>
                <w:pPr>
                  <w:ind w:firstLine="709"/>
                  <w:jc w:val="both"/>
                  <w:rPr>
                    <w:rFonts w:eastAsia="Lucida Sans Unicode"/>
                    <w:b/>
                    <w:bCs/>
                    <w:color w:val="000000"/>
                    <w:sz w:val="20"/>
                    <w:lang w:eastAsia="lt-LT" w:bidi="en-US"/>
                  </w:rPr>
                </w:pPr>
              </w:p>
            </w:tc>
            <w:tc>
              <w:tcPr>
                <w:tcW w:w="525" w:type="pct"/>
                <w:shd w:val="clear" w:color="auto" w:fill="FFFFFF"/>
              </w:tcPr>
              <w:p>
                <w:pPr>
                  <w:rPr>
                    <w:color w:val="000000"/>
                    <w:sz w:val="20"/>
                    <w:lang w:eastAsia="lt-LT" w:bidi="lt-LT"/>
                  </w:rPr>
                </w:pPr>
                <w:r>
                  <w:rPr>
                    <w:color w:val="000000"/>
                    <w:sz w:val="20"/>
                    <w:lang w:eastAsia="lt-LT" w:bidi="lt-LT"/>
                  </w:rPr>
                  <w:t>Visiškas</w:t>
                </w:r>
              </w:p>
            </w:tc>
          </w:tr>
          <w:tr>
            <w:tc>
              <w:tcPr>
                <w:tcW w:w="912" w:type="pct"/>
                <w:shd w:val="clear" w:color="auto" w:fill="FFFFFF"/>
              </w:tcPr>
              <w:p>
                <w:pPr>
                  <w:rPr>
                    <w:sz w:val="20"/>
                  </w:rPr>
                </w:pPr>
              </w:p>
              <w:p>
                <w:pPr>
                  <w:shd w:val="clear" w:color="auto" w:fill="FFFFFF"/>
                  <w:jc w:val="both"/>
                  <w:rPr>
                    <w:bCs/>
                    <w:color w:val="000000"/>
                    <w:sz w:val="20"/>
                    <w:lang w:eastAsia="lt-LT"/>
                  </w:rPr>
                </w:pPr>
                <w:r>
                  <w:rPr>
                    <w:bCs/>
                    <w:color w:val="000000"/>
                    <w:sz w:val="20"/>
                    <w:lang w:eastAsia="lt-LT"/>
                  </w:rPr>
                  <w:t>2. naujausi I priedo A, B ir C dalyse išvardytų parametrų stebėsenos rezultatai, įskaitant stebėsenos dažnumą kartu su pagal 5 straipsnį nustatytomis parametrų vertėmis; stebėsenos rezultatai turi būti ne senesni nei vienų metų, išskyrus atvejus, kai leidžiama kitaip atsižvelgiant į pagal šią direktyvą nustatytą stebėsenos dažnumą</w:t>
                </w:r>
              </w:p>
            </w:tc>
            <w:tc>
              <w:tcPr>
                <w:tcW w:w="3563" w:type="pct"/>
                <w:shd w:val="clear" w:color="auto" w:fill="FFFFFF"/>
              </w:tcPr>
              <w:p>
                <w:pPr>
                  <w:ind w:firstLine="762"/>
                  <w:jc w:val="both"/>
                  <w:rPr>
                    <w:sz w:val="20"/>
                  </w:rPr>
                </w:pPr>
                <w:r>
                  <w:rPr>
                    <w:sz w:val="20"/>
                  </w:rPr>
                  <w:t>„17.9. tiekiamo geriamojo vandens saugą ir kokybę (mikrobiologinius, cheminius ir indikatorinius rodiklius, nurodytus Higienos normoje HN 24:2017);“</w:t>
                </w:r>
              </w:p>
              <w:p>
                <w:pPr>
                  <w:ind w:firstLine="709"/>
                  <w:jc w:val="both"/>
                  <w:rPr>
                    <w:rFonts w:eastAsia="Lucida Sans Unicode"/>
                    <w:b/>
                    <w:bCs/>
                    <w:color w:val="000000"/>
                    <w:sz w:val="20"/>
                    <w:lang w:eastAsia="lt-LT" w:bidi="en-US"/>
                  </w:rPr>
                </w:pPr>
              </w:p>
            </w:tc>
            <w:tc>
              <w:tcPr>
                <w:tcW w:w="525" w:type="pct"/>
                <w:shd w:val="clear" w:color="auto" w:fill="FFFFFF"/>
              </w:tcPr>
              <w:p>
                <w:pPr>
                  <w:rPr>
                    <w:color w:val="000000"/>
                    <w:sz w:val="20"/>
                    <w:lang w:eastAsia="lt-LT" w:bidi="lt-LT"/>
                  </w:rPr>
                </w:pPr>
                <w:r>
                  <w:rPr>
                    <w:color w:val="000000"/>
                    <w:sz w:val="20"/>
                    <w:lang w:eastAsia="lt-LT" w:bidi="lt-LT"/>
                  </w:rPr>
                  <w:t>Visiškas</w:t>
                </w:r>
              </w:p>
            </w:tc>
          </w:tr>
          <w:tr>
            <w:tc>
              <w:tcPr>
                <w:tcW w:w="912" w:type="pct"/>
                <w:shd w:val="clear" w:color="auto" w:fill="FFFFFF"/>
              </w:tcPr>
              <w:tbl>
                <w:tblPr>
                  <w:tblW w:w="5000" w:type="pct"/>
                  <w:shd w:val="clear" w:color="auto" w:fill="FFFFFF"/>
                  <w:tblCellMar>
                    <w:left w:w="0" w:type="dxa"/>
                    <w:right w:w="0" w:type="dxa"/>
                  </w:tblCellMar>
                  <w:tblLook w:val="04A0" w:firstRow="1" w:lastRow="0" w:firstColumn="1" w:lastColumn="0" w:noHBand="0" w:noVBand="1"/>
                </w:tblPr>
                <w:tblGrid>
                  <w:gridCol w:w="150"/>
                  <w:gridCol w:w="2220"/>
                </w:tblGrid>
                <w:tr>
                  <w:tc>
                    <w:tcPr>
                      <w:tcW w:w="0" w:type="auto"/>
                      <w:shd w:val="clear" w:color="auto" w:fill="FFFFFF"/>
                      <w:hideMark/>
                    </w:tcPr>
                    <w:p>
                      <w:pPr>
                        <w:rPr>
                          <w:sz w:val="10"/>
                          <w:szCs w:val="10"/>
                        </w:rPr>
                      </w:pPr>
                    </w:p>
                    <w:p>
                      <w:pPr>
                        <w:jc w:val="both"/>
                        <w:rPr>
                          <w:color w:val="000000"/>
                          <w:sz w:val="20"/>
                          <w:lang w:eastAsia="lt-LT"/>
                        </w:rPr>
                      </w:pPr>
                      <w:r>
                        <w:rPr>
                          <w:color w:val="000000"/>
                          <w:sz w:val="20"/>
                          <w:lang w:eastAsia="lt-LT"/>
                        </w:rPr>
                        <w:t>3.</w:t>
                      </w:r>
                    </w:p>
                  </w:tc>
                  <w:tc>
                    <w:tcPr>
                      <w:tcW w:w="0" w:type="auto"/>
                      <w:shd w:val="clear" w:color="auto" w:fill="FFFFFF"/>
                      <w:hideMark/>
                    </w:tcPr>
                    <w:p>
                      <w:pPr>
                        <w:rPr>
                          <w:sz w:val="10"/>
                          <w:szCs w:val="10"/>
                        </w:rPr>
                      </w:pPr>
                    </w:p>
                    <w:p>
                      <w:pPr>
                        <w:ind w:firstLine="53"/>
                        <w:jc w:val="both"/>
                        <w:rPr>
                          <w:color w:val="000000"/>
                          <w:sz w:val="20"/>
                          <w:lang w:eastAsia="lt-LT"/>
                        </w:rPr>
                      </w:pPr>
                      <w:r>
                        <w:rPr>
                          <w:color w:val="000000"/>
                          <w:sz w:val="20"/>
                          <w:lang w:eastAsia="lt-LT"/>
                        </w:rPr>
                        <w:t>informacija apie šiuos parametrus, neišvardytus I priedo C dalyje, ir susijusias vertes:</w:t>
                      </w:r>
                    </w:p>
                    <w:tbl>
                      <w:tblPr>
                        <w:tblW w:w="5000" w:type="pct"/>
                        <w:tblCellMar>
                          <w:left w:w="0" w:type="dxa"/>
                          <w:right w:w="0" w:type="dxa"/>
                        </w:tblCellMar>
                        <w:tblLook w:val="04A0" w:firstRow="1" w:lastRow="0" w:firstColumn="1" w:lastColumn="0" w:noHBand="0" w:noVBand="1"/>
                      </w:tblPr>
                      <w:tblGrid>
                        <w:gridCol w:w="167"/>
                        <w:gridCol w:w="2053"/>
                      </w:tblGrid>
                      <w:tr>
                        <w:tc>
                          <w:tcPr>
                            <w:tcW w:w="0" w:type="auto"/>
                            <w:shd w:val="clear" w:color="auto" w:fill="auto"/>
                            <w:hideMark/>
                          </w:tcPr>
                          <w:p>
                            <w:pPr>
                              <w:rPr>
                                <w:sz w:val="10"/>
                                <w:szCs w:val="10"/>
                              </w:rPr>
                            </w:pPr>
                          </w:p>
                          <w:p>
                            <w:pPr>
                              <w:jc w:val="both"/>
                              <w:rPr>
                                <w:sz w:val="20"/>
                                <w:lang w:eastAsia="lt-LT"/>
                              </w:rPr>
                            </w:pPr>
                            <w:r>
                              <w:rPr>
                                <w:sz w:val="20"/>
                                <w:lang w:eastAsia="lt-LT"/>
                              </w:rPr>
                              <w:t>a)</w:t>
                            </w:r>
                          </w:p>
                        </w:tc>
                        <w:tc>
                          <w:tcPr>
                            <w:tcW w:w="0" w:type="auto"/>
                            <w:shd w:val="clear" w:color="auto" w:fill="auto"/>
                            <w:hideMark/>
                          </w:tcPr>
                          <w:p>
                            <w:pPr>
                              <w:rPr>
                                <w:sz w:val="10"/>
                                <w:szCs w:val="10"/>
                              </w:rPr>
                            </w:pPr>
                          </w:p>
                          <w:p>
                            <w:pPr>
                              <w:jc w:val="both"/>
                              <w:rPr>
                                <w:sz w:val="20"/>
                                <w:lang w:eastAsia="lt-LT"/>
                              </w:rPr>
                            </w:pPr>
                            <w:r>
                              <w:rPr>
                                <w:sz w:val="20"/>
                                <w:lang w:eastAsia="lt-LT"/>
                              </w:rPr>
                              <w:t>kietumą,</w:t>
                            </w:r>
                          </w:p>
                        </w:tc>
                      </w:tr>
                      <w:tr>
                        <w:tc>
                          <w:tcPr>
                            <w:tcW w:w="0" w:type="auto"/>
                            <w:shd w:val="clear" w:color="auto" w:fill="auto"/>
                            <w:hideMark/>
                          </w:tcPr>
                          <w:p>
                            <w:pPr>
                              <w:rPr>
                                <w:sz w:val="10"/>
                                <w:szCs w:val="10"/>
                              </w:rPr>
                            </w:pPr>
                          </w:p>
                          <w:p>
                            <w:pPr>
                              <w:jc w:val="both"/>
                              <w:rPr>
                                <w:sz w:val="20"/>
                                <w:lang w:eastAsia="lt-LT"/>
                              </w:rPr>
                            </w:pPr>
                            <w:r>
                              <w:rPr>
                                <w:sz w:val="20"/>
                                <w:lang w:eastAsia="lt-LT"/>
                              </w:rPr>
                              <w:t>b)</w:t>
                            </w:r>
                          </w:p>
                        </w:tc>
                        <w:tc>
                          <w:tcPr>
                            <w:tcW w:w="0" w:type="auto"/>
                            <w:shd w:val="clear" w:color="auto" w:fill="auto"/>
                            <w:hideMark/>
                          </w:tcPr>
                          <w:p>
                            <w:pPr>
                              <w:jc w:val="both"/>
                              <w:rPr>
                                <w:sz w:val="20"/>
                                <w:lang w:eastAsia="lt-LT"/>
                              </w:rPr>
                            </w:pPr>
                            <w:r>
                              <w:rPr>
                                <w:sz w:val="20"/>
                                <w:lang w:eastAsia="lt-LT"/>
                              </w:rPr>
                              <w:t>vandenyje ištirpusias mineralines medžiagas, anijonus/katijonus:</w:t>
                            </w:r>
                          </w:p>
                          <w:tbl>
                            <w:tblPr>
                              <w:tblW w:w="5000" w:type="pct"/>
                              <w:tblCellMar>
                                <w:left w:w="0" w:type="dxa"/>
                                <w:right w:w="0" w:type="dxa"/>
                              </w:tblCellMar>
                              <w:tblLook w:val="04A0" w:firstRow="1" w:lastRow="0" w:firstColumn="1" w:lastColumn="0" w:noHBand="0" w:noVBand="1"/>
                            </w:tblPr>
                            <w:tblGrid>
                              <w:gridCol w:w="381"/>
                              <w:gridCol w:w="1672"/>
                            </w:tblGrid>
                            <w:tr>
                              <w:tc>
                                <w:tcPr>
                                  <w:tcW w:w="0" w:type="auto"/>
                                  <w:shd w:val="clear" w:color="auto" w:fill="auto"/>
                                  <w:hideMark/>
                                </w:tcPr>
                                <w:p>
                                  <w:pPr>
                                    <w:jc w:val="both"/>
                                    <w:rPr>
                                      <w:sz w:val="20"/>
                                      <w:lang w:eastAsia="lt-LT"/>
                                    </w:rPr>
                                  </w:pPr>
                                  <w:r>
                                    <w:rPr>
                                      <w:sz w:val="20"/>
                                      <w:lang w:eastAsia="lt-LT"/>
                                    </w:rPr>
                                    <w:t>—</w:t>
                                  </w:r>
                                </w:p>
                              </w:tc>
                              <w:tc>
                                <w:tcPr>
                                  <w:tcW w:w="0" w:type="auto"/>
                                  <w:shd w:val="clear" w:color="auto" w:fill="auto"/>
                                  <w:hideMark/>
                                </w:tcPr>
                                <w:p>
                                  <w:pPr>
                                    <w:jc w:val="both"/>
                                    <w:rPr>
                                      <w:sz w:val="20"/>
                                      <w:lang w:eastAsia="lt-LT"/>
                                    </w:rPr>
                                  </w:pPr>
                                  <w:r>
                                    <w:rPr>
                                      <w:sz w:val="20"/>
                                      <w:lang w:eastAsia="lt-LT"/>
                                    </w:rPr>
                                    <w:t>kalcį Ca,</w:t>
                                  </w:r>
                                </w:p>
                              </w:tc>
                            </w:tr>
                            <w:tr>
                              <w:tc>
                                <w:tcPr>
                                  <w:tcW w:w="0" w:type="auto"/>
                                  <w:shd w:val="clear" w:color="auto" w:fill="auto"/>
                                  <w:hideMark/>
                                </w:tcPr>
                                <w:p>
                                  <w:pPr>
                                    <w:jc w:val="both"/>
                                    <w:rPr>
                                      <w:sz w:val="20"/>
                                      <w:lang w:eastAsia="lt-LT"/>
                                    </w:rPr>
                                  </w:pPr>
                                  <w:r>
                                    <w:rPr>
                                      <w:sz w:val="20"/>
                                      <w:lang w:eastAsia="lt-LT"/>
                                    </w:rPr>
                                    <w:t>—</w:t>
                                  </w:r>
                                </w:p>
                              </w:tc>
                              <w:tc>
                                <w:tcPr>
                                  <w:tcW w:w="0" w:type="auto"/>
                                  <w:shd w:val="clear" w:color="auto" w:fill="auto"/>
                                  <w:hideMark/>
                                </w:tcPr>
                                <w:p>
                                  <w:pPr>
                                    <w:jc w:val="both"/>
                                    <w:rPr>
                                      <w:sz w:val="20"/>
                                      <w:lang w:eastAsia="lt-LT"/>
                                    </w:rPr>
                                  </w:pPr>
                                  <w:r>
                                    <w:rPr>
                                      <w:sz w:val="20"/>
                                      <w:lang w:eastAsia="lt-LT"/>
                                    </w:rPr>
                                    <w:t>magnį Mg,</w:t>
                                  </w:r>
                                </w:p>
                              </w:tc>
                            </w:tr>
                            <w:tr>
                              <w:tc>
                                <w:tcPr>
                                  <w:tcW w:w="0" w:type="auto"/>
                                  <w:shd w:val="clear" w:color="auto" w:fill="auto"/>
                                  <w:hideMark/>
                                </w:tcPr>
                                <w:p>
                                  <w:pPr>
                                    <w:jc w:val="both"/>
                                    <w:rPr>
                                      <w:sz w:val="20"/>
                                      <w:lang w:eastAsia="lt-LT"/>
                                    </w:rPr>
                                  </w:pPr>
                                  <w:r>
                                    <w:rPr>
                                      <w:sz w:val="20"/>
                                      <w:lang w:eastAsia="lt-LT"/>
                                    </w:rPr>
                                    <w:t>—</w:t>
                                  </w:r>
                                </w:p>
                              </w:tc>
                              <w:tc>
                                <w:tcPr>
                                  <w:tcW w:w="0" w:type="auto"/>
                                  <w:shd w:val="clear" w:color="auto" w:fill="auto"/>
                                  <w:hideMark/>
                                </w:tcPr>
                                <w:p>
                                  <w:pPr>
                                    <w:jc w:val="both"/>
                                    <w:rPr>
                                      <w:sz w:val="20"/>
                                      <w:lang w:eastAsia="lt-LT"/>
                                    </w:rPr>
                                  </w:pPr>
                                  <w:r>
                                    <w:rPr>
                                      <w:sz w:val="20"/>
                                      <w:lang w:eastAsia="lt-LT"/>
                                    </w:rPr>
                                    <w:t>kalį K;</w:t>
                                  </w:r>
                                </w:p>
                              </w:tc>
                            </w:tr>
                          </w:tbl>
                          <w:p>
                            <w:pPr>
                              <w:rPr>
                                <w:sz w:val="20"/>
                                <w:lang w:eastAsia="lt-LT"/>
                              </w:rPr>
                            </w:pPr>
                          </w:p>
                        </w:tc>
                      </w:tr>
                    </w:tbl>
                    <w:p>
                      <w:pPr>
                        <w:rPr>
                          <w:color w:val="000000"/>
                          <w:sz w:val="20"/>
                          <w:lang w:eastAsia="lt-LT"/>
                        </w:rPr>
                      </w:pPr>
                    </w:p>
                  </w:tc>
                </w:tr>
              </w:tbl>
              <w:p>
                <w:pPr>
                  <w:jc w:val="both"/>
                  <w:rPr>
                    <w:iCs/>
                    <w:sz w:val="20"/>
                    <w:lang w:eastAsia="en-GB"/>
                  </w:rPr>
                </w:pPr>
              </w:p>
            </w:tc>
            <w:tc>
              <w:tcPr>
                <w:tcW w:w="3563" w:type="pct"/>
                <w:shd w:val="clear" w:color="auto" w:fill="FFFFFF"/>
              </w:tcPr>
              <w:p>
                <w:pPr>
                  <w:ind w:firstLine="709"/>
                  <w:jc w:val="both"/>
                  <w:rPr>
                    <w:sz w:val="20"/>
                  </w:rPr>
                </w:pPr>
                <w:r>
                  <w:rPr>
                    <w:sz w:val="20"/>
                  </w:rPr>
                  <w:t>„17.10. geriamojo vandens parametrus ir susijusias vertes:</w:t>
                </w:r>
              </w:p>
              <w:p>
                <w:pPr>
                  <w:ind w:firstLine="709"/>
                  <w:jc w:val="both"/>
                  <w:rPr>
                    <w:sz w:val="20"/>
                  </w:rPr>
                </w:pPr>
                <w:r>
                  <w:rPr>
                    <w:sz w:val="20"/>
                  </w:rPr>
                  <w:t>17.10.1. kietumą;</w:t>
                </w:r>
              </w:p>
              <w:p>
                <w:pPr>
                  <w:ind w:firstLine="709"/>
                  <w:jc w:val="both"/>
                  <w:rPr>
                    <w:sz w:val="20"/>
                  </w:rPr>
                </w:pPr>
                <w:r>
                  <w:rPr>
                    <w:sz w:val="20"/>
                  </w:rPr>
                  <w:t>17.10.2. geriamajame vandenyje ištirpusias mineralines medžiagas, anijonus ir (arba) katijonus: kalcį (Ca), magnį (Mg), kalį (K).“</w:t>
                </w:r>
              </w:p>
              <w:p>
                <w:pPr>
                  <w:widowControl w:val="0"/>
                  <w:suppressAutoHyphens/>
                  <w:ind w:left="2410" w:hanging="1690"/>
                  <w:jc w:val="both"/>
                  <w:rPr>
                    <w:rFonts w:eastAsia="Lucida Sans Unicode"/>
                    <w:bCs/>
                    <w:color w:val="000000"/>
                    <w:sz w:val="20"/>
                    <w:lang w:eastAsia="lt-LT" w:bidi="en-US"/>
                  </w:rPr>
                </w:pPr>
              </w:p>
            </w:tc>
            <w:tc>
              <w:tcPr>
                <w:tcW w:w="525" w:type="pct"/>
                <w:shd w:val="clear" w:color="auto" w:fill="FFFFFF"/>
              </w:tcPr>
              <w:p>
                <w:pPr>
                  <w:rPr>
                    <w:color w:val="000000"/>
                    <w:sz w:val="20"/>
                    <w:lang w:eastAsia="lt-LT" w:bidi="lt-LT"/>
                  </w:rPr>
                </w:pPr>
                <w:r>
                  <w:rPr>
                    <w:color w:val="000000"/>
                    <w:sz w:val="20"/>
                    <w:lang w:eastAsia="lt-LT" w:bidi="lt-LT"/>
                  </w:rPr>
                  <w:t>Visiškas</w:t>
                </w:r>
              </w:p>
            </w:tc>
          </w:tr>
          <w:tr>
            <w:tc>
              <w:tcPr>
                <w:tcW w:w="912" w:type="pct"/>
                <w:shd w:val="clear" w:color="auto" w:fill="FFFFFF"/>
              </w:tcPr>
              <w:p>
                <w:pPr>
                  <w:rPr>
                    <w:sz w:val="10"/>
                    <w:szCs w:val="10"/>
                  </w:rPr>
                </w:pPr>
              </w:p>
              <w:p>
                <w:pPr>
                  <w:jc w:val="both"/>
                  <w:rPr>
                    <w:color w:val="000000"/>
                    <w:sz w:val="20"/>
                    <w:lang w:eastAsia="lt-LT"/>
                  </w:rPr>
                </w:pPr>
                <w:r>
                  <w:rPr>
                    <w:color w:val="000000"/>
                    <w:sz w:val="20"/>
                    <w:lang w:eastAsia="lt-LT"/>
                  </w:rPr>
                  <w:t>4. kompetentingoms institucijoms ar kitoms atitinkamoms įstaigoms nustačius, kad dėl pagal 5 straipsnį nustatytų parametrų verčių viršijimo kyla potencialus pavojus žmonių sveikatai – informacija apie potencialų pavojų žmonių sveikatai ir susijusios sveikatos bei vartojimo rekomendacijos arba saitas į tokią informaciją</w:t>
                </w:r>
              </w:p>
            </w:tc>
            <w:tc>
              <w:tcPr>
                <w:tcW w:w="3563" w:type="pct"/>
                <w:shd w:val="clear" w:color="auto" w:fill="FFFFFF"/>
              </w:tcPr>
              <w:p>
                <w:pPr>
                  <w:ind w:firstLine="762"/>
                  <w:jc w:val="both"/>
                  <w:rPr>
                    <w:sz w:val="20"/>
                  </w:rPr>
                </w:pPr>
                <w:r>
                  <w:rPr>
                    <w:sz w:val="20"/>
                  </w:rPr>
                  <w:t>„20. Šiame skyriuje nurodyta informacija skelbiama ir teikiama geriamo vandens tiekėjo, paviršinių nuotekų tvarkytojų interneto svetainėse Informavimo tvarkos nuostatuose nustatyta tvarka, išskyrus informaciją apie:</w:t>
                </w:r>
              </w:p>
              <w:p>
                <w:pPr>
                  <w:ind w:firstLine="709"/>
                  <w:jc w:val="both"/>
                  <w:rPr>
                    <w:sz w:val="20"/>
                  </w:rPr>
                </w:pPr>
                <w:r>
                  <w:rPr>
                    <w:sz w:val="20"/>
                  </w:rPr>
                  <w:t>20.1. tiekiamo geriamojo vandens saugos ir kokybės pablogėjimą (ši informacija teikiama Geriamojo vandens įstatymo 3 straipsnyje nustatyta tvarka);“</w:t>
                </w:r>
              </w:p>
              <w:p>
                <w:pPr>
                  <w:ind w:firstLine="709"/>
                  <w:jc w:val="both"/>
                  <w:rPr>
                    <w:rFonts w:eastAsia="Lucida Sans Unicode"/>
                    <w:b/>
                    <w:bCs/>
                    <w:color w:val="000000"/>
                    <w:sz w:val="20"/>
                    <w:lang w:eastAsia="lt-LT" w:bidi="en-US"/>
                  </w:rPr>
                </w:pPr>
              </w:p>
            </w:tc>
            <w:tc>
              <w:tcPr>
                <w:tcW w:w="525" w:type="pct"/>
                <w:shd w:val="clear" w:color="auto" w:fill="FFFFFF"/>
              </w:tcPr>
              <w:p>
                <w:pPr>
                  <w:rPr>
                    <w:color w:val="000000"/>
                    <w:sz w:val="20"/>
                    <w:lang w:eastAsia="lt-LT" w:bidi="lt-LT"/>
                  </w:rPr>
                </w:pPr>
                <w:r>
                  <w:rPr>
                    <w:color w:val="000000"/>
                    <w:sz w:val="20"/>
                    <w:lang w:eastAsia="lt-LT" w:bidi="lt-LT"/>
                  </w:rPr>
                  <w:t>Visiškas</w:t>
                </w:r>
              </w:p>
            </w:tc>
          </w:tr>
          <w:tr>
            <w:tc>
              <w:tcPr>
                <w:tcW w:w="912" w:type="pct"/>
                <w:shd w:val="clear" w:color="auto" w:fill="FFFFFF"/>
              </w:tcPr>
              <w:p>
                <w:pPr>
                  <w:rPr>
                    <w:sz w:val="10"/>
                    <w:szCs w:val="10"/>
                  </w:rPr>
                </w:pPr>
              </w:p>
              <w:p>
                <w:pPr>
                  <w:jc w:val="both"/>
                  <w:rPr>
                    <w:color w:val="000000"/>
                    <w:sz w:val="20"/>
                    <w:lang w:eastAsia="lt-LT"/>
                  </w:rPr>
                </w:pPr>
                <w:r>
                  <w:rPr>
                    <w:color w:val="000000"/>
                    <w:sz w:val="20"/>
                    <w:lang w:eastAsia="lt-LT"/>
                  </w:rPr>
                  <w:t>5.atitinkama informacija apie vandens tiekimo sistemos rizikos vertinimą;</w:t>
                </w:r>
              </w:p>
            </w:tc>
            <w:tc>
              <w:tcPr>
                <w:tcW w:w="3563" w:type="pct"/>
                <w:shd w:val="clear" w:color="auto" w:fill="FFFFFF"/>
              </w:tcPr>
              <w:p>
                <w:pPr>
                  <w:widowControl w:val="0"/>
                  <w:suppressAutoHyphens/>
                  <w:ind w:left="2410" w:hanging="1690"/>
                  <w:jc w:val="both"/>
                  <w:rPr>
                    <w:rFonts w:eastAsia="Lucida Sans Unicode"/>
                    <w:b/>
                    <w:bCs/>
                    <w:color w:val="000000"/>
                    <w:sz w:val="20"/>
                    <w:lang w:eastAsia="lt-LT" w:bidi="en-US"/>
                  </w:rPr>
                </w:pPr>
                <w:r>
                  <w:rPr>
                    <w:sz w:val="20"/>
                  </w:rPr>
                  <w:t>„17.14. geriamojo vandens tiekimo sistemos rizikos vertinimą;“</w:t>
                </w:r>
              </w:p>
            </w:tc>
            <w:tc>
              <w:tcPr>
                <w:tcW w:w="525" w:type="pct"/>
                <w:shd w:val="clear" w:color="auto" w:fill="FFFFFF"/>
              </w:tcPr>
              <w:p>
                <w:pPr>
                  <w:rPr>
                    <w:color w:val="000000"/>
                    <w:sz w:val="20"/>
                    <w:lang w:eastAsia="lt-LT" w:bidi="lt-LT"/>
                  </w:rPr>
                </w:pPr>
                <w:r>
                  <w:rPr>
                    <w:color w:val="000000"/>
                    <w:sz w:val="20"/>
                    <w:lang w:eastAsia="lt-LT" w:bidi="lt-LT"/>
                  </w:rPr>
                  <w:t>Visiškas</w:t>
                </w:r>
              </w:p>
            </w:tc>
          </w:tr>
          <w:tr>
            <w:tc>
              <w:tcPr>
                <w:tcW w:w="912" w:type="pct"/>
                <w:shd w:val="clear" w:color="auto" w:fill="FFFFFF"/>
              </w:tcPr>
              <w:p>
                <w:pPr>
                  <w:jc w:val="both"/>
                  <w:rPr>
                    <w:iCs/>
                    <w:sz w:val="20"/>
                    <w:lang w:eastAsia="en-GB"/>
                  </w:rPr>
                </w:pPr>
                <w:r>
                  <w:rPr>
                    <w:iCs/>
                    <w:sz w:val="20"/>
                    <w:lang w:eastAsia="en-GB"/>
                  </w:rPr>
                  <w:t>7.tiekėjų, tiekiančių bent 10 000 m3 per dieną arba aptarnaujančių bent 50 000 žmonių, atveju – metinė informacija apie:</w:t>
                </w:r>
              </w:p>
              <w:p>
                <w:pPr>
                  <w:jc w:val="both"/>
                  <w:rPr>
                    <w:iCs/>
                    <w:sz w:val="20"/>
                    <w:lang w:eastAsia="en-GB"/>
                  </w:rPr>
                </w:pPr>
                <w:r>
                  <w:rPr>
                    <w:iCs/>
                    <w:sz w:val="20"/>
                    <w:lang w:eastAsia="en-GB"/>
                  </w:rPr>
                  <w:t>a) bendrą vandens sistemos veikimo efektyvumą ir nuotėkio normas, kai tik ta informacija yra prieinama ir ne vėliau kaip 4 straipsnio 3 dalies antroje pastraipoje nustatytą dieną;</w:t>
                </w:r>
              </w:p>
              <w:p>
                <w:pPr>
                  <w:jc w:val="both"/>
                  <w:rPr>
                    <w:iCs/>
                    <w:sz w:val="20"/>
                    <w:lang w:eastAsia="en-GB"/>
                  </w:rPr>
                </w:pPr>
              </w:p>
              <w:p>
                <w:pPr>
                  <w:jc w:val="both"/>
                  <w:rPr>
                    <w:iCs/>
                    <w:sz w:val="20"/>
                    <w:lang w:eastAsia="en-GB"/>
                  </w:rPr>
                </w:pPr>
              </w:p>
            </w:tc>
            <w:tc>
              <w:tcPr>
                <w:tcW w:w="3563" w:type="pct"/>
                <w:shd w:val="clear" w:color="auto" w:fill="FFFFFF"/>
              </w:tcPr>
              <w:p>
                <w:pPr>
                  <w:widowControl w:val="0"/>
                  <w:suppressAutoHyphens/>
                  <w:ind w:left="2410" w:hanging="1690"/>
                  <w:jc w:val="right"/>
                  <w:rPr>
                    <w:rFonts w:eastAsia="Lucida Sans Unicode"/>
                    <w:bCs/>
                    <w:color w:val="000000"/>
                    <w:sz w:val="20"/>
                    <w:lang w:eastAsia="lt-LT" w:bidi="en-US"/>
                  </w:rPr>
                </w:pPr>
                <w:r>
                  <w:rPr>
                    <w:rFonts w:eastAsia="Lucida Sans Unicode"/>
                    <w:bCs/>
                    <w:color w:val="000000"/>
                    <w:sz w:val="20"/>
                    <w:lang w:eastAsia="lt-LT" w:bidi="en-US"/>
                  </w:rPr>
                  <w:t>„Geriamojo vandens tiekimo ir nuotekų tvarkymo</w:t>
                </w:r>
              </w:p>
              <w:p>
                <w:pPr>
                  <w:widowControl w:val="0"/>
                  <w:suppressAutoHyphens/>
                  <w:ind w:left="2410" w:hanging="1690"/>
                  <w:jc w:val="right"/>
                  <w:rPr>
                    <w:rFonts w:eastAsia="Lucida Sans Unicode"/>
                    <w:bCs/>
                    <w:color w:val="000000"/>
                    <w:sz w:val="20"/>
                    <w:lang w:eastAsia="lt-LT" w:bidi="en-US"/>
                  </w:rPr>
                </w:pPr>
                <w:r>
                  <w:rPr>
                    <w:rFonts w:eastAsia="Lucida Sans Unicode"/>
                    <w:bCs/>
                    <w:color w:val="000000"/>
                    <w:sz w:val="20"/>
                    <w:lang w:eastAsia="lt-LT" w:bidi="en-US"/>
                  </w:rPr>
                  <w:t>paslaugų kokybės reikalavimų</w:t>
                </w:r>
              </w:p>
              <w:p>
                <w:pPr>
                  <w:widowControl w:val="0"/>
                  <w:suppressAutoHyphens/>
                  <w:ind w:left="2410" w:hanging="1690"/>
                  <w:jc w:val="right"/>
                  <w:rPr>
                    <w:rFonts w:eastAsia="Lucida Sans Unicode"/>
                    <w:bCs/>
                    <w:color w:val="000000"/>
                    <w:sz w:val="20"/>
                    <w:lang w:eastAsia="lt-LT" w:bidi="en-US"/>
                  </w:rPr>
                </w:pPr>
                <w:r>
                  <w:rPr>
                    <w:rFonts w:eastAsia="Lucida Sans Unicode"/>
                    <w:bCs/>
                    <w:color w:val="000000"/>
                    <w:sz w:val="20"/>
                    <w:lang w:eastAsia="lt-LT" w:bidi="en-US"/>
                  </w:rPr>
                  <w:t>1 priedas</w:t>
                </w:r>
              </w:p>
              <w:p>
                <w:pPr>
                  <w:widowControl w:val="0"/>
                  <w:suppressAutoHyphens/>
                  <w:ind w:left="2410" w:hanging="1690"/>
                  <w:jc w:val="right"/>
                  <w:rPr>
                    <w:rFonts w:eastAsia="Lucida Sans Unicode"/>
                    <w:bCs/>
                    <w:color w:val="000000"/>
                    <w:sz w:val="20"/>
                    <w:lang w:eastAsia="lt-LT" w:bidi="en-US"/>
                  </w:rPr>
                </w:pPr>
              </w:p>
              <w:p>
                <w:pPr>
                  <w:widowControl w:val="0"/>
                  <w:suppressAutoHyphens/>
                  <w:ind w:left="2410" w:hanging="1690"/>
                  <w:jc w:val="right"/>
                  <w:rPr>
                    <w:rFonts w:eastAsia="Lucida Sans Unicode"/>
                    <w:bCs/>
                    <w:color w:val="000000"/>
                    <w:sz w:val="20"/>
                    <w:lang w:eastAsia="lt-LT" w:bidi="en-US"/>
                  </w:rPr>
                </w:pPr>
              </w:p>
              <w:p>
                <w:pPr>
                  <w:widowControl w:val="0"/>
                  <w:suppressAutoHyphens/>
                  <w:ind w:left="2410" w:hanging="1690"/>
                  <w:jc w:val="right"/>
                  <w:rPr>
                    <w:rFonts w:eastAsia="Lucida Sans Unicode"/>
                    <w:bCs/>
                    <w:color w:val="000000"/>
                    <w:sz w:val="20"/>
                    <w:lang w:eastAsia="lt-LT" w:bidi="en-US"/>
                  </w:rPr>
                </w:pPr>
                <w:r>
                  <w:rPr>
                    <w:rFonts w:eastAsia="Lucida Sans Unicode"/>
                    <w:bCs/>
                    <w:color w:val="000000"/>
                    <w:sz w:val="20"/>
                    <w:lang w:eastAsia="lt-LT" w:bidi="en-US"/>
                  </w:rPr>
                  <w:t>GERIAMOJO VANDENS TIEKIMO RODIKLIAI</w:t>
                </w:r>
              </w:p>
              <w:p>
                <w:pPr>
                  <w:widowControl w:val="0"/>
                  <w:suppressAutoHyphens/>
                  <w:ind w:left="2410" w:hanging="1690"/>
                  <w:jc w:val="right"/>
                  <w:rPr>
                    <w:rFonts w:eastAsia="Lucida Sans Unicode"/>
                    <w:bCs/>
                    <w:color w:val="000000"/>
                    <w:sz w:val="20"/>
                    <w:lang w:eastAsia="lt-LT" w:bidi="en-US"/>
                  </w:rPr>
                </w:pPr>
                <w:r>
                  <w:rPr>
                    <w:rFonts w:eastAsia="Lucida Sans Unicode"/>
                    <w:bCs/>
                    <w:color w:val="000000"/>
                    <w:sz w:val="20"/>
                    <w:lang w:eastAsia="lt-LT" w:bidi="en-US"/>
                  </w:rPr>
                  <w:t>&lt;...&gt;</w:t>
                </w:r>
              </w:p>
              <w:tbl>
                <w:tblPr>
                  <w:tblW w:w="976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4394"/>
                  <w:gridCol w:w="4663"/>
                </w:tblGrid>
                <w:tr>
                  <w:trPr>
                    <w:trHeight w:val="20"/>
                  </w:trPr>
                  <w:tc>
                    <w:tcPr>
                      <w:tcW w:w="709"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jc w:val="center"/>
                        <w:rPr>
                          <w:sz w:val="20"/>
                          <w:lang w:eastAsia="ar-SA"/>
                        </w:rPr>
                      </w:pPr>
                      <w:r>
                        <w:rPr>
                          <w:sz w:val="20"/>
                          <w:lang w:eastAsia="ar-SA"/>
                        </w:rPr>
                        <w:t>20.</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rFonts w:eastAsia="Arial Unicode MS"/>
                          <w:sz w:val="20"/>
                          <w:lang w:eastAsia="ar-SA"/>
                        </w:rPr>
                      </w:pPr>
                      <w:r>
                        <w:rPr>
                          <w:rFonts w:eastAsia="Arial Unicode MS"/>
                          <w:sz w:val="20"/>
                          <w:lang w:eastAsia="ar-SA"/>
                        </w:rPr>
                        <w:t>Geriamojo vandens netektis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 w:val="20"/>
                          <w:lang w:eastAsia="ar-SA"/>
                        </w:rPr>
                      </w:pPr>
                      <w:r>
                        <w:rPr>
                          <w:sz w:val="20"/>
                          <w:lang w:eastAsia="ar-SA"/>
                        </w:rPr>
                        <w:t xml:space="preserve">tūks. </w:t>
                      </w:r>
                      <w:r>
                        <w:rPr>
                          <w:rFonts w:eastAsia="Andale Sans UI"/>
                          <w:position w:val="-4"/>
                          <w:sz w:val="20"/>
                          <w:lang w:eastAsia="lt-LT"/>
                        </w:rPr>
                        <w:object w:dxaOrig="720" w:dyaOrig="720" w14:anchorId="1FD283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5pt;height:16.5pt" o:ole="" filled="t">
                            <v:fill color2="black" type="frame"/>
                            <v:imagedata r:id="rId7" o:title=""/>
                          </v:shape>
                          <o:OLEObject Type="Embed" ProgID="Equation.3" ShapeID="_x0000_i1025" DrawAspect="Content" ObjectID="_1732078717" r:id="rId8"/>
                        </w:object>
                      </w:r>
                      <w:r>
                        <w:rPr>
                          <w:sz w:val="20"/>
                          <w:lang w:eastAsia="ar-SA"/>
                        </w:rPr>
                        <w:t xml:space="preserve"> per metus, </w:t>
                      </w:r>
                      <w:r>
                        <w:rPr>
                          <w:rFonts w:eastAsia="Andale Sans UI"/>
                          <w:position w:val="-4"/>
                          <w:sz w:val="20"/>
                          <w:lang w:eastAsia="lt-LT"/>
                        </w:rPr>
                        <w:object w:dxaOrig="720" w:dyaOrig="720" w14:anchorId="6A09B6CF">
                          <v:shape id="_x0000_i1026" type="#_x0000_t75" style="width:16.5pt;height:16.5pt" o:ole="" filled="t">
                            <v:fill color2="black" type="frame"/>
                            <v:imagedata r:id="rId7" o:title=""/>
                          </v:shape>
                          <o:OLEObject Type="Embed" ProgID="Equation.3" ShapeID="_x0000_i1026" DrawAspect="Content" ObjectID="_1732078718" r:id="rId9"/>
                        </w:object>
                      </w:r>
                      <w:r>
                        <w:rPr>
                          <w:sz w:val="20"/>
                          <w:lang w:eastAsia="ar-SA"/>
                        </w:rPr>
                        <w:t xml:space="preserve"> per mėnesį</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 w:val="20"/>
                          <w:lang w:eastAsia="ar-SA"/>
                        </w:rPr>
                      </w:pPr>
                      <w:r>
                        <w:rPr>
                          <w:sz w:val="20"/>
                          <w:lang w:eastAsia="ar-SA"/>
                        </w:rPr>
                        <w:t>21.</w:t>
                      </w:r>
                    </w:p>
                  </w:tc>
                  <w:tc>
                    <w:tcPr>
                      <w:tcW w:w="439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 w:val="20"/>
                          <w:lang w:eastAsia="ar-SA"/>
                        </w:rPr>
                      </w:pPr>
                      <w:r>
                        <w:rPr>
                          <w:sz w:val="20"/>
                          <w:lang w:eastAsia="ar-SA"/>
                        </w:rPr>
                        <w:t>Geriamojo vandens netektis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 w:val="20"/>
                          <w:lang w:eastAsia="ar-SA"/>
                        </w:rPr>
                      </w:pPr>
                      <w:r>
                        <w:rPr>
                          <w:sz w:val="20"/>
                          <w:lang w:eastAsia="ar-SA"/>
                        </w:rPr>
                        <w:t>% gaunamo geriamojo vandens kiekio per mėnesį</w:t>
                      </w:r>
                    </w:p>
                  </w:tc>
                </w:tr>
                <w:tr>
                  <w:trPr>
                    <w:trHeight w:val="20"/>
                  </w:trPr>
                  <w:tc>
                    <w:tcPr>
                      <w:tcW w:w="709"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jc w:val="center"/>
                        <w:rPr>
                          <w:sz w:val="20"/>
                          <w:lang w:eastAsia="ar-SA"/>
                        </w:rPr>
                      </w:pPr>
                      <w:r>
                        <w:rPr>
                          <w:sz w:val="20"/>
                          <w:lang w:eastAsia="ar-SA"/>
                        </w:rPr>
                        <w:t>22.</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rFonts w:eastAsia="Arial Unicode MS"/>
                          <w:sz w:val="20"/>
                          <w:lang w:eastAsia="ar-SA"/>
                        </w:rPr>
                      </w:pPr>
                      <w:r>
                        <w:rPr>
                          <w:rFonts w:eastAsia="Arial Unicode MS"/>
                          <w:sz w:val="20"/>
                          <w:lang w:eastAsia="ar-SA"/>
                        </w:rPr>
                        <w:t>Geriamojo vandens netektis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 w:val="20"/>
                          <w:lang w:eastAsia="ar-SA"/>
                        </w:rPr>
                      </w:pPr>
                      <w:r>
                        <w:rPr>
                          <w:rFonts w:eastAsia="Andale Sans UI"/>
                          <w:position w:val="-4"/>
                          <w:sz w:val="20"/>
                          <w:lang w:eastAsia="lt-LT"/>
                        </w:rPr>
                        <w:object w:dxaOrig="720" w:dyaOrig="720" w14:anchorId="11B7007D">
                          <v:shape id="_x0000_i1027" type="#_x0000_t75" style="width:16.5pt;height:16.5pt" o:ole="" filled="t">
                            <v:fill color2="black" type="frame"/>
                            <v:imagedata r:id="rId7" o:title=""/>
                          </v:shape>
                          <o:OLEObject Type="Embed" ProgID="Equation.3" ShapeID="_x0000_i1027" DrawAspect="Content" ObjectID="_1732078719" r:id="rId10"/>
                        </w:object>
                      </w:r>
                      <w:r>
                        <w:rPr>
                          <w:sz w:val="20"/>
                          <w:lang w:eastAsia="ar-SA"/>
                        </w:rPr>
                        <w:t>/km vamzdyno per mėnesį</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 w:val="20"/>
                          <w:lang w:eastAsia="ar-SA"/>
                        </w:rPr>
                      </w:pPr>
                      <w:r>
                        <w:rPr>
                          <w:sz w:val="20"/>
                          <w:lang w:eastAsia="ar-SA"/>
                        </w:rPr>
                        <w:t>23.</w:t>
                      </w:r>
                    </w:p>
                  </w:tc>
                  <w:tc>
                    <w:tcPr>
                      <w:tcW w:w="439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 w:val="20"/>
                          <w:lang w:eastAsia="ar-SA"/>
                        </w:rPr>
                      </w:pPr>
                      <w:r>
                        <w:rPr>
                          <w:sz w:val="20"/>
                          <w:lang w:eastAsia="ar-SA"/>
                        </w:rPr>
                        <w:t>Geriamojo vandens netektis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 w:val="20"/>
                          <w:lang w:eastAsia="ar-SA"/>
                        </w:rPr>
                      </w:pPr>
                      <w:r>
                        <w:rPr>
                          <w:sz w:val="20"/>
                          <w:lang w:eastAsia="ar-SA"/>
                        </w:rPr>
                        <w:t>litrais abonentui ir vartotojui per mėnesį</w:t>
                      </w:r>
                    </w:p>
                  </w:tc>
                </w:tr>
              </w:tbl>
              <w:p>
                <w:pPr>
                  <w:widowControl w:val="0"/>
                  <w:suppressAutoHyphens/>
                  <w:ind w:left="2410" w:hanging="1690"/>
                  <w:jc w:val="right"/>
                  <w:rPr>
                    <w:rFonts w:eastAsia="Lucida Sans Unicode"/>
                    <w:bCs/>
                    <w:color w:val="000000"/>
                    <w:sz w:val="20"/>
                    <w:lang w:eastAsia="lt-LT" w:bidi="en-US"/>
                  </w:rPr>
                </w:pPr>
              </w:p>
            </w:tc>
            <w:tc>
              <w:tcPr>
                <w:tcW w:w="525" w:type="pct"/>
                <w:shd w:val="clear" w:color="auto" w:fill="FFFFFF"/>
              </w:tcPr>
              <w:p>
                <w:pPr>
                  <w:rPr>
                    <w:color w:val="000000"/>
                    <w:sz w:val="20"/>
                    <w:lang w:eastAsia="lt-LT" w:bidi="lt-LT"/>
                  </w:rPr>
                </w:pPr>
                <w:r>
                  <w:rPr>
                    <w:color w:val="000000"/>
                    <w:sz w:val="20"/>
                    <w:lang w:eastAsia="lt-LT" w:bidi="lt-LT"/>
                  </w:rPr>
                  <w:t>Visiškas</w:t>
                </w:r>
              </w:p>
            </w:tc>
          </w:tr>
          <w:tr>
            <w:trPr>
              <w:trHeight w:val="1875"/>
            </w:trPr>
            <w:tc>
              <w:tcPr>
                <w:tcW w:w="912" w:type="pct"/>
                <w:shd w:val="clear" w:color="auto" w:fill="FFFFFF"/>
              </w:tcPr>
              <w:p>
                <w:pPr>
                  <w:jc w:val="both"/>
                  <w:rPr>
                    <w:iCs/>
                    <w:sz w:val="20"/>
                    <w:lang w:eastAsia="en-GB"/>
                  </w:rPr>
                </w:pPr>
                <w:r>
                  <w:rPr>
                    <w:iCs/>
                    <w:sz w:val="20"/>
                    <w:lang w:eastAsia="en-GB"/>
                  </w:rPr>
                  <w:t>8. pateikus pagrįstą prašymą, vartotojams suteikiama prieiga prie ankstesnių – ne daugiau kaip 10 metų senumo – 2 ir 3 punktuose nurodytų duomenų, jei tokių duomenų yra, neįtraukiant laikotarpio iki 2023 m. sausio 13 d</w:t>
                </w:r>
              </w:p>
            </w:tc>
            <w:tc>
              <w:tcPr>
                <w:tcW w:w="3563" w:type="pct"/>
                <w:shd w:val="clear" w:color="auto" w:fill="FFFFFF"/>
              </w:tcPr>
              <w:p>
                <w:pPr>
                  <w:ind w:firstLine="1060"/>
                  <w:rPr>
                    <w:sz w:val="20"/>
                  </w:rPr>
                </w:pPr>
                <w:r>
                  <w:rPr>
                    <w:sz w:val="20"/>
                  </w:rPr>
                  <w:t xml:space="preserve">„24. Abonentui ir (ar) vartotojui pateikus pagrįstą prašymą suteikti Reikalavimų  17.10 papunktyje nurodytų duomenis, jie turi būti suteikti, tačiau ne daugiau kaip 10 metų senumo, jeigu tokių yra.“</w:t>
                </w:r>
              </w:p>
              <w:p>
                <w:pPr>
                  <w:ind w:firstLine="709"/>
                  <w:jc w:val="both"/>
                  <w:rPr>
                    <w:rFonts w:eastAsia="Lucida Sans Unicode"/>
                    <w:b/>
                    <w:bCs/>
                    <w:color w:val="000000"/>
                    <w:sz w:val="20"/>
                    <w:lang w:eastAsia="lt-LT" w:bidi="en-US"/>
                  </w:rPr>
                </w:pPr>
              </w:p>
            </w:tc>
            <w:tc>
              <w:tcPr>
                <w:tcW w:w="525" w:type="pct"/>
                <w:shd w:val="clear" w:color="auto" w:fill="FFFFFF"/>
              </w:tcPr>
              <w:p>
                <w:pPr>
                  <w:ind w:firstLine="53"/>
                  <w:rPr>
                    <w:color w:val="000000"/>
                    <w:sz w:val="20"/>
                    <w:lang w:eastAsia="lt-LT" w:bidi="lt-LT"/>
                  </w:rPr>
                </w:pPr>
                <w:r>
                  <w:rPr>
                    <w:color w:val="000000"/>
                    <w:sz w:val="20"/>
                    <w:lang w:eastAsia="lt-LT" w:bidi="lt-LT"/>
                  </w:rPr>
                  <w:t>Visiškas</w:t>
                </w:r>
              </w:p>
            </w:tc>
          </w:tr>
        </w:tbl>
        <w:p>
          <w:pPr>
            <w:ind w:firstLine="2880"/>
            <w:jc w:val="center"/>
            <w:rPr>
              <w:rFonts w:ascii="Calibri" w:hAnsi="Calibri"/>
              <w:color w:val="000000"/>
              <w:sz w:val="22"/>
              <w:szCs w:val="22"/>
              <w:u w:val="single"/>
              <w:lang w:eastAsia="lt-LT" w:bidi="lt-LT"/>
            </w:rPr>
          </w:pPr>
        </w:p>
      </w:sdtContent>
    </w:sdt>
    <w:sectPr>
      <w:pgSz w:w="16839" w:h="11907" w:orient="landscape" w:code="9"/>
      <w:pgMar w:top="566" w:right="396" w:bottom="566" w:left="567" w:header="708" w:footer="708" w:gutter="0"/>
      <w:cols w:space="72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hAnsi="Calibri"/>
          <w:color w:val="000000"/>
          <w:sz w:val="22"/>
          <w:lang w:eastAsia="lt-LT" w:bidi="lt-LT"/>
        </w:rPr>
      </w:pPr>
      <w:r>
        <w:rPr>
          <w:rFonts w:ascii="Calibri" w:hAnsi="Calibri"/>
          <w:color w:val="000000"/>
          <w:sz w:val="22"/>
          <w:lang w:eastAsia="lt-LT" w:bidi="lt-LT"/>
        </w:rPr>
        <w:separator/>
      </w:r>
    </w:p>
  </w:endnote>
  <w:endnote w:type="continuationSeparator" w:id="0">
    <w:p>
      <w:pPr>
        <w:rPr>
          <w:rFonts w:ascii="Calibri" w:hAnsi="Calibri"/>
          <w:color w:val="000000"/>
          <w:sz w:val="22"/>
          <w:lang w:eastAsia="lt-LT" w:bidi="lt-LT"/>
        </w:rPr>
      </w:pPr>
      <w:r>
        <w:rPr>
          <w:rFonts w:ascii="Calibri" w:hAnsi="Calibri"/>
          <w:color w:val="000000"/>
          <w:sz w:val="22"/>
          <w:lang w:eastAsia="lt-LT" w:bidi="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Andale Sans UI">
    <w:altName w:val="Times New Roman"/>
    <w:charset w:val="BA"/>
    <w:family w:val="auto"/>
    <w:pitch w:val="variable"/>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hAnsi="Calibri"/>
          <w:color w:val="000000"/>
          <w:sz w:val="22"/>
          <w:lang w:eastAsia="lt-LT" w:bidi="lt-LT"/>
        </w:rPr>
      </w:pPr>
      <w:r>
        <w:rPr>
          <w:rFonts w:ascii="Calibri" w:hAnsi="Calibri"/>
          <w:color w:val="000000"/>
          <w:sz w:val="22"/>
          <w:lang w:eastAsia="lt-LT" w:bidi="lt-LT"/>
        </w:rPr>
        <w:separator/>
      </w:r>
    </w:p>
  </w:footnote>
  <w:footnote w:type="continuationSeparator" w:id="0">
    <w:p>
      <w:pPr>
        <w:rPr>
          <w:rFonts w:ascii="Calibri" w:hAnsi="Calibri"/>
          <w:color w:val="000000"/>
          <w:sz w:val="22"/>
          <w:lang w:eastAsia="lt-LT" w:bidi="lt-LT"/>
        </w:rPr>
      </w:pPr>
      <w:r>
        <w:rPr>
          <w:rFonts w:ascii="Calibri" w:hAnsi="Calibri"/>
          <w:color w:val="000000"/>
          <w:sz w:val="22"/>
          <w:lang w:eastAsia="lt-LT" w:bidi="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1D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5:docId w15:val="{4456CA73-C83D-4D6F-BEC4-A96C277A89B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241632">
      <w:bodyDiv w:val="1"/>
      <w:marLeft w:val="0"/>
      <w:marRight w:val="0"/>
      <w:marTop w:val="0"/>
      <w:marBottom w:val="0"/>
      <w:divBdr>
        <w:top w:val="none" w:sz="0" w:space="0" w:color="auto"/>
        <w:left w:val="none" w:sz="0" w:space="0" w:color="auto"/>
        <w:bottom w:val="none" w:sz="0" w:space="0" w:color="auto"/>
        <w:right w:val="none" w:sz="0" w:space="0" w:color="auto"/>
      </w:divBdr>
      <w:divsChild>
        <w:div w:id="153030342">
          <w:marLeft w:val="0"/>
          <w:marRight w:val="0"/>
          <w:marTop w:val="0"/>
          <w:marBottom w:val="0"/>
          <w:divBdr>
            <w:top w:val="none" w:sz="0" w:space="0" w:color="auto"/>
            <w:left w:val="none" w:sz="0" w:space="0" w:color="auto"/>
            <w:bottom w:val="none" w:sz="0" w:space="0" w:color="auto"/>
            <w:right w:val="none" w:sz="0" w:space="0" w:color="auto"/>
          </w:divBdr>
        </w:div>
        <w:div w:id="1610312418">
          <w:marLeft w:val="0"/>
          <w:marRight w:val="0"/>
          <w:marTop w:val="0"/>
          <w:marBottom w:val="0"/>
          <w:divBdr>
            <w:top w:val="none" w:sz="0" w:space="0" w:color="auto"/>
            <w:left w:val="none" w:sz="0" w:space="0" w:color="auto"/>
            <w:bottom w:val="none" w:sz="0" w:space="0" w:color="auto"/>
            <w:right w:val="none" w:sz="0" w:space="0" w:color="auto"/>
          </w:divBdr>
        </w:div>
      </w:divsChild>
    </w:div>
    <w:div w:id="38867015">
      <w:bodyDiv w:val="1"/>
      <w:marLeft w:val="0"/>
      <w:marRight w:val="0"/>
      <w:marTop w:val="0"/>
      <w:marBottom w:val="0"/>
      <w:divBdr>
        <w:top w:val="none" w:sz="0" w:space="0" w:color="auto"/>
        <w:left w:val="none" w:sz="0" w:space="0" w:color="auto"/>
        <w:bottom w:val="none" w:sz="0" w:space="0" w:color="auto"/>
        <w:right w:val="none" w:sz="0" w:space="0" w:color="auto"/>
      </w:divBdr>
    </w:div>
    <w:div w:id="59180832">
      <w:bodyDiv w:val="1"/>
      <w:marLeft w:val="0"/>
      <w:marRight w:val="0"/>
      <w:marTop w:val="0"/>
      <w:marBottom w:val="0"/>
      <w:divBdr>
        <w:top w:val="none" w:sz="0" w:space="0" w:color="auto"/>
        <w:left w:val="none" w:sz="0" w:space="0" w:color="auto"/>
        <w:bottom w:val="none" w:sz="0" w:space="0" w:color="auto"/>
        <w:right w:val="none" w:sz="0" w:space="0" w:color="auto"/>
      </w:divBdr>
    </w:div>
    <w:div w:id="98572655">
      <w:bodyDiv w:val="1"/>
      <w:marLeft w:val="0"/>
      <w:marRight w:val="0"/>
      <w:marTop w:val="0"/>
      <w:marBottom w:val="0"/>
      <w:divBdr>
        <w:top w:val="none" w:sz="0" w:space="0" w:color="auto"/>
        <w:left w:val="none" w:sz="0" w:space="0" w:color="auto"/>
        <w:bottom w:val="none" w:sz="0" w:space="0" w:color="auto"/>
        <w:right w:val="none" w:sz="0" w:space="0" w:color="auto"/>
      </w:divBdr>
    </w:div>
    <w:div w:id="199392573">
      <w:bodyDiv w:val="1"/>
      <w:marLeft w:val="0"/>
      <w:marRight w:val="0"/>
      <w:marTop w:val="0"/>
      <w:marBottom w:val="0"/>
      <w:divBdr>
        <w:top w:val="none" w:sz="0" w:space="0" w:color="auto"/>
        <w:left w:val="none" w:sz="0" w:space="0" w:color="auto"/>
        <w:bottom w:val="none" w:sz="0" w:space="0" w:color="auto"/>
        <w:right w:val="none" w:sz="0" w:space="0" w:color="auto"/>
      </w:divBdr>
      <w:divsChild>
        <w:div w:id="33389954">
          <w:marLeft w:val="0"/>
          <w:marRight w:val="0"/>
          <w:marTop w:val="0"/>
          <w:marBottom w:val="0"/>
          <w:divBdr>
            <w:top w:val="none" w:sz="0" w:space="0" w:color="auto"/>
            <w:left w:val="none" w:sz="0" w:space="0" w:color="auto"/>
            <w:bottom w:val="none" w:sz="0" w:space="0" w:color="auto"/>
            <w:right w:val="none" w:sz="0" w:space="0" w:color="auto"/>
          </w:divBdr>
          <w:divsChild>
            <w:div w:id="1350640731">
              <w:marLeft w:val="0"/>
              <w:marRight w:val="0"/>
              <w:marTop w:val="0"/>
              <w:marBottom w:val="0"/>
              <w:divBdr>
                <w:top w:val="none" w:sz="0" w:space="0" w:color="auto"/>
                <w:left w:val="none" w:sz="0" w:space="0" w:color="auto"/>
                <w:bottom w:val="none" w:sz="0" w:space="0" w:color="auto"/>
                <w:right w:val="none" w:sz="0" w:space="0" w:color="auto"/>
              </w:divBdr>
            </w:div>
            <w:div w:id="1860387397">
              <w:marLeft w:val="0"/>
              <w:marRight w:val="0"/>
              <w:marTop w:val="0"/>
              <w:marBottom w:val="0"/>
              <w:divBdr>
                <w:top w:val="none" w:sz="0" w:space="0" w:color="auto"/>
                <w:left w:val="none" w:sz="0" w:space="0" w:color="auto"/>
                <w:bottom w:val="none" w:sz="0" w:space="0" w:color="auto"/>
                <w:right w:val="none" w:sz="0" w:space="0" w:color="auto"/>
              </w:divBdr>
            </w:div>
            <w:div w:id="1552426315">
              <w:marLeft w:val="0"/>
              <w:marRight w:val="0"/>
              <w:marTop w:val="0"/>
              <w:marBottom w:val="0"/>
              <w:divBdr>
                <w:top w:val="none" w:sz="0" w:space="0" w:color="auto"/>
                <w:left w:val="none" w:sz="0" w:space="0" w:color="auto"/>
                <w:bottom w:val="none" w:sz="0" w:space="0" w:color="auto"/>
                <w:right w:val="none" w:sz="0" w:space="0" w:color="auto"/>
              </w:divBdr>
            </w:div>
            <w:div w:id="1467818178">
              <w:marLeft w:val="0"/>
              <w:marRight w:val="0"/>
              <w:marTop w:val="0"/>
              <w:marBottom w:val="0"/>
              <w:divBdr>
                <w:top w:val="none" w:sz="0" w:space="0" w:color="auto"/>
                <w:left w:val="none" w:sz="0" w:space="0" w:color="auto"/>
                <w:bottom w:val="none" w:sz="0" w:space="0" w:color="auto"/>
                <w:right w:val="none" w:sz="0" w:space="0" w:color="auto"/>
              </w:divBdr>
            </w:div>
            <w:div w:id="1412434065">
              <w:marLeft w:val="0"/>
              <w:marRight w:val="0"/>
              <w:marTop w:val="0"/>
              <w:marBottom w:val="0"/>
              <w:divBdr>
                <w:top w:val="none" w:sz="0" w:space="0" w:color="auto"/>
                <w:left w:val="none" w:sz="0" w:space="0" w:color="auto"/>
                <w:bottom w:val="none" w:sz="0" w:space="0" w:color="auto"/>
                <w:right w:val="none" w:sz="0" w:space="0" w:color="auto"/>
              </w:divBdr>
            </w:div>
            <w:div w:id="644892098">
              <w:marLeft w:val="0"/>
              <w:marRight w:val="0"/>
              <w:marTop w:val="0"/>
              <w:marBottom w:val="0"/>
              <w:divBdr>
                <w:top w:val="none" w:sz="0" w:space="0" w:color="auto"/>
                <w:left w:val="none" w:sz="0" w:space="0" w:color="auto"/>
                <w:bottom w:val="none" w:sz="0" w:space="0" w:color="auto"/>
                <w:right w:val="none" w:sz="0" w:space="0" w:color="auto"/>
              </w:divBdr>
            </w:div>
            <w:div w:id="1030494006">
              <w:marLeft w:val="0"/>
              <w:marRight w:val="0"/>
              <w:marTop w:val="0"/>
              <w:marBottom w:val="0"/>
              <w:divBdr>
                <w:top w:val="none" w:sz="0" w:space="0" w:color="auto"/>
                <w:left w:val="none" w:sz="0" w:space="0" w:color="auto"/>
                <w:bottom w:val="none" w:sz="0" w:space="0" w:color="auto"/>
                <w:right w:val="none" w:sz="0" w:space="0" w:color="auto"/>
              </w:divBdr>
            </w:div>
            <w:div w:id="678316391">
              <w:marLeft w:val="0"/>
              <w:marRight w:val="0"/>
              <w:marTop w:val="0"/>
              <w:marBottom w:val="0"/>
              <w:divBdr>
                <w:top w:val="none" w:sz="0" w:space="0" w:color="auto"/>
                <w:left w:val="none" w:sz="0" w:space="0" w:color="auto"/>
                <w:bottom w:val="none" w:sz="0" w:space="0" w:color="auto"/>
                <w:right w:val="none" w:sz="0" w:space="0" w:color="auto"/>
              </w:divBdr>
            </w:div>
          </w:divsChild>
        </w:div>
        <w:div w:id="250629189">
          <w:marLeft w:val="0"/>
          <w:marRight w:val="0"/>
          <w:marTop w:val="0"/>
          <w:marBottom w:val="0"/>
          <w:divBdr>
            <w:top w:val="none" w:sz="0" w:space="0" w:color="auto"/>
            <w:left w:val="none" w:sz="0" w:space="0" w:color="auto"/>
            <w:bottom w:val="none" w:sz="0" w:space="0" w:color="auto"/>
            <w:right w:val="none" w:sz="0" w:space="0" w:color="auto"/>
          </w:divBdr>
        </w:div>
      </w:divsChild>
    </w:div>
    <w:div w:id="202058333">
      <w:bodyDiv w:val="1"/>
      <w:marLeft w:val="0"/>
      <w:marRight w:val="0"/>
      <w:marTop w:val="0"/>
      <w:marBottom w:val="0"/>
      <w:divBdr>
        <w:top w:val="none" w:sz="0" w:space="0" w:color="auto"/>
        <w:left w:val="none" w:sz="0" w:space="0" w:color="auto"/>
        <w:bottom w:val="none" w:sz="0" w:space="0" w:color="auto"/>
        <w:right w:val="none" w:sz="0" w:space="0" w:color="auto"/>
      </w:divBdr>
      <w:divsChild>
        <w:div w:id="1044334005">
          <w:marLeft w:val="0"/>
          <w:marRight w:val="0"/>
          <w:marTop w:val="0"/>
          <w:marBottom w:val="0"/>
          <w:divBdr>
            <w:top w:val="none" w:sz="0" w:space="0" w:color="auto"/>
            <w:left w:val="none" w:sz="0" w:space="0" w:color="auto"/>
            <w:bottom w:val="none" w:sz="0" w:space="0" w:color="auto"/>
            <w:right w:val="none" w:sz="0" w:space="0" w:color="auto"/>
          </w:divBdr>
        </w:div>
        <w:div w:id="1438870402">
          <w:marLeft w:val="0"/>
          <w:marRight w:val="0"/>
          <w:marTop w:val="0"/>
          <w:marBottom w:val="0"/>
          <w:divBdr>
            <w:top w:val="none" w:sz="0" w:space="0" w:color="auto"/>
            <w:left w:val="none" w:sz="0" w:space="0" w:color="auto"/>
            <w:bottom w:val="none" w:sz="0" w:space="0" w:color="auto"/>
            <w:right w:val="none" w:sz="0" w:space="0" w:color="auto"/>
          </w:divBdr>
        </w:div>
      </w:divsChild>
    </w:div>
    <w:div w:id="202913173">
      <w:bodyDiv w:val="1"/>
      <w:marLeft w:val="0"/>
      <w:marRight w:val="0"/>
      <w:marTop w:val="0"/>
      <w:marBottom w:val="0"/>
      <w:divBdr>
        <w:top w:val="none" w:sz="0" w:space="0" w:color="auto"/>
        <w:left w:val="none" w:sz="0" w:space="0" w:color="auto"/>
        <w:bottom w:val="none" w:sz="0" w:space="0" w:color="auto"/>
        <w:right w:val="none" w:sz="0" w:space="0" w:color="auto"/>
      </w:divBdr>
      <w:divsChild>
        <w:div w:id="391851033">
          <w:marLeft w:val="0"/>
          <w:marRight w:val="0"/>
          <w:marTop w:val="0"/>
          <w:marBottom w:val="0"/>
          <w:divBdr>
            <w:top w:val="none" w:sz="0" w:space="0" w:color="auto"/>
            <w:left w:val="none" w:sz="0" w:space="0" w:color="auto"/>
            <w:bottom w:val="none" w:sz="0" w:space="0" w:color="auto"/>
            <w:right w:val="none" w:sz="0" w:space="0" w:color="auto"/>
          </w:divBdr>
          <w:divsChild>
            <w:div w:id="1541479825">
              <w:marLeft w:val="0"/>
              <w:marRight w:val="0"/>
              <w:marTop w:val="0"/>
              <w:marBottom w:val="0"/>
              <w:divBdr>
                <w:top w:val="none" w:sz="0" w:space="0" w:color="auto"/>
                <w:left w:val="none" w:sz="0" w:space="0" w:color="auto"/>
                <w:bottom w:val="none" w:sz="0" w:space="0" w:color="auto"/>
                <w:right w:val="none" w:sz="0" w:space="0" w:color="auto"/>
              </w:divBdr>
            </w:div>
            <w:div w:id="1363820044">
              <w:marLeft w:val="0"/>
              <w:marRight w:val="0"/>
              <w:marTop w:val="0"/>
              <w:marBottom w:val="0"/>
              <w:divBdr>
                <w:top w:val="none" w:sz="0" w:space="0" w:color="auto"/>
                <w:left w:val="none" w:sz="0" w:space="0" w:color="auto"/>
                <w:bottom w:val="none" w:sz="0" w:space="0" w:color="auto"/>
                <w:right w:val="none" w:sz="0" w:space="0" w:color="auto"/>
              </w:divBdr>
            </w:div>
            <w:div w:id="1682321025">
              <w:marLeft w:val="0"/>
              <w:marRight w:val="0"/>
              <w:marTop w:val="0"/>
              <w:marBottom w:val="0"/>
              <w:divBdr>
                <w:top w:val="none" w:sz="0" w:space="0" w:color="auto"/>
                <w:left w:val="none" w:sz="0" w:space="0" w:color="auto"/>
                <w:bottom w:val="none" w:sz="0" w:space="0" w:color="auto"/>
                <w:right w:val="none" w:sz="0" w:space="0" w:color="auto"/>
              </w:divBdr>
            </w:div>
          </w:divsChild>
        </w:div>
        <w:div w:id="1553226635">
          <w:marLeft w:val="0"/>
          <w:marRight w:val="0"/>
          <w:marTop w:val="0"/>
          <w:marBottom w:val="0"/>
          <w:divBdr>
            <w:top w:val="none" w:sz="0" w:space="0" w:color="auto"/>
            <w:left w:val="none" w:sz="0" w:space="0" w:color="auto"/>
            <w:bottom w:val="none" w:sz="0" w:space="0" w:color="auto"/>
            <w:right w:val="none" w:sz="0" w:space="0" w:color="auto"/>
          </w:divBdr>
        </w:div>
      </w:divsChild>
    </w:div>
    <w:div w:id="232279271">
      <w:bodyDiv w:val="1"/>
      <w:marLeft w:val="0"/>
      <w:marRight w:val="0"/>
      <w:marTop w:val="0"/>
      <w:marBottom w:val="0"/>
      <w:divBdr>
        <w:top w:val="none" w:sz="0" w:space="0" w:color="auto"/>
        <w:left w:val="none" w:sz="0" w:space="0" w:color="auto"/>
        <w:bottom w:val="none" w:sz="0" w:space="0" w:color="auto"/>
        <w:right w:val="none" w:sz="0" w:space="0" w:color="auto"/>
      </w:divBdr>
      <w:divsChild>
        <w:div w:id="1666393579">
          <w:marLeft w:val="0"/>
          <w:marRight w:val="0"/>
          <w:marTop w:val="0"/>
          <w:marBottom w:val="0"/>
          <w:divBdr>
            <w:top w:val="none" w:sz="0" w:space="0" w:color="auto"/>
            <w:left w:val="none" w:sz="0" w:space="0" w:color="auto"/>
            <w:bottom w:val="none" w:sz="0" w:space="0" w:color="auto"/>
            <w:right w:val="none" w:sz="0" w:space="0" w:color="auto"/>
          </w:divBdr>
        </w:div>
        <w:div w:id="814567476">
          <w:marLeft w:val="0"/>
          <w:marRight w:val="0"/>
          <w:marTop w:val="0"/>
          <w:marBottom w:val="0"/>
          <w:divBdr>
            <w:top w:val="none" w:sz="0" w:space="0" w:color="auto"/>
            <w:left w:val="none" w:sz="0" w:space="0" w:color="auto"/>
            <w:bottom w:val="none" w:sz="0" w:space="0" w:color="auto"/>
            <w:right w:val="none" w:sz="0" w:space="0" w:color="auto"/>
          </w:divBdr>
        </w:div>
        <w:div w:id="2078241795">
          <w:marLeft w:val="0"/>
          <w:marRight w:val="0"/>
          <w:marTop w:val="0"/>
          <w:marBottom w:val="0"/>
          <w:divBdr>
            <w:top w:val="none" w:sz="0" w:space="0" w:color="auto"/>
            <w:left w:val="none" w:sz="0" w:space="0" w:color="auto"/>
            <w:bottom w:val="none" w:sz="0" w:space="0" w:color="auto"/>
            <w:right w:val="none" w:sz="0" w:space="0" w:color="auto"/>
          </w:divBdr>
        </w:div>
        <w:div w:id="1063068099">
          <w:marLeft w:val="0"/>
          <w:marRight w:val="0"/>
          <w:marTop w:val="0"/>
          <w:marBottom w:val="0"/>
          <w:divBdr>
            <w:top w:val="none" w:sz="0" w:space="0" w:color="auto"/>
            <w:left w:val="none" w:sz="0" w:space="0" w:color="auto"/>
            <w:bottom w:val="none" w:sz="0" w:space="0" w:color="auto"/>
            <w:right w:val="none" w:sz="0" w:space="0" w:color="auto"/>
          </w:divBdr>
        </w:div>
        <w:div w:id="1378234319">
          <w:marLeft w:val="0"/>
          <w:marRight w:val="0"/>
          <w:marTop w:val="0"/>
          <w:marBottom w:val="0"/>
          <w:divBdr>
            <w:top w:val="none" w:sz="0" w:space="0" w:color="auto"/>
            <w:left w:val="none" w:sz="0" w:space="0" w:color="auto"/>
            <w:bottom w:val="none" w:sz="0" w:space="0" w:color="auto"/>
            <w:right w:val="none" w:sz="0" w:space="0" w:color="auto"/>
          </w:divBdr>
        </w:div>
        <w:div w:id="920724052">
          <w:marLeft w:val="0"/>
          <w:marRight w:val="0"/>
          <w:marTop w:val="0"/>
          <w:marBottom w:val="0"/>
          <w:divBdr>
            <w:top w:val="none" w:sz="0" w:space="0" w:color="auto"/>
            <w:left w:val="none" w:sz="0" w:space="0" w:color="auto"/>
            <w:bottom w:val="none" w:sz="0" w:space="0" w:color="auto"/>
            <w:right w:val="none" w:sz="0" w:space="0" w:color="auto"/>
          </w:divBdr>
        </w:div>
      </w:divsChild>
    </w:div>
    <w:div w:id="244924377">
      <w:bodyDiv w:val="1"/>
      <w:marLeft w:val="0"/>
      <w:marRight w:val="0"/>
      <w:marTop w:val="0"/>
      <w:marBottom w:val="0"/>
      <w:divBdr>
        <w:top w:val="none" w:sz="0" w:space="0" w:color="auto"/>
        <w:left w:val="none" w:sz="0" w:space="0" w:color="auto"/>
        <w:bottom w:val="none" w:sz="0" w:space="0" w:color="auto"/>
        <w:right w:val="none" w:sz="0" w:space="0" w:color="auto"/>
      </w:divBdr>
    </w:div>
    <w:div w:id="298190082">
      <w:bodyDiv w:val="1"/>
      <w:marLeft w:val="0"/>
      <w:marRight w:val="0"/>
      <w:marTop w:val="0"/>
      <w:marBottom w:val="0"/>
      <w:divBdr>
        <w:top w:val="none" w:sz="0" w:space="0" w:color="auto"/>
        <w:left w:val="none" w:sz="0" w:space="0" w:color="auto"/>
        <w:bottom w:val="none" w:sz="0" w:space="0" w:color="auto"/>
        <w:right w:val="none" w:sz="0" w:space="0" w:color="auto"/>
      </w:divBdr>
    </w:div>
    <w:div w:id="327250832">
      <w:bodyDiv w:val="1"/>
      <w:marLeft w:val="0"/>
      <w:marRight w:val="0"/>
      <w:marTop w:val="0"/>
      <w:marBottom w:val="0"/>
      <w:divBdr>
        <w:top w:val="none" w:sz="0" w:space="0" w:color="auto"/>
        <w:left w:val="none" w:sz="0" w:space="0" w:color="auto"/>
        <w:bottom w:val="none" w:sz="0" w:space="0" w:color="auto"/>
        <w:right w:val="none" w:sz="0" w:space="0" w:color="auto"/>
      </w:divBdr>
      <w:divsChild>
        <w:div w:id="848561395">
          <w:marLeft w:val="0"/>
          <w:marRight w:val="0"/>
          <w:marTop w:val="0"/>
          <w:marBottom w:val="0"/>
          <w:divBdr>
            <w:top w:val="none" w:sz="0" w:space="0" w:color="auto"/>
            <w:left w:val="none" w:sz="0" w:space="0" w:color="auto"/>
            <w:bottom w:val="none" w:sz="0" w:space="0" w:color="auto"/>
            <w:right w:val="none" w:sz="0" w:space="0" w:color="auto"/>
          </w:divBdr>
          <w:divsChild>
            <w:div w:id="1051543001">
              <w:marLeft w:val="0"/>
              <w:marRight w:val="0"/>
              <w:marTop w:val="0"/>
              <w:marBottom w:val="0"/>
              <w:divBdr>
                <w:top w:val="none" w:sz="0" w:space="0" w:color="auto"/>
                <w:left w:val="none" w:sz="0" w:space="0" w:color="auto"/>
                <w:bottom w:val="none" w:sz="0" w:space="0" w:color="auto"/>
                <w:right w:val="none" w:sz="0" w:space="0" w:color="auto"/>
              </w:divBdr>
            </w:div>
            <w:div w:id="1033656541">
              <w:marLeft w:val="0"/>
              <w:marRight w:val="0"/>
              <w:marTop w:val="0"/>
              <w:marBottom w:val="0"/>
              <w:divBdr>
                <w:top w:val="none" w:sz="0" w:space="0" w:color="auto"/>
                <w:left w:val="none" w:sz="0" w:space="0" w:color="auto"/>
                <w:bottom w:val="none" w:sz="0" w:space="0" w:color="auto"/>
                <w:right w:val="none" w:sz="0" w:space="0" w:color="auto"/>
              </w:divBdr>
            </w:div>
            <w:div w:id="1052461685">
              <w:marLeft w:val="0"/>
              <w:marRight w:val="0"/>
              <w:marTop w:val="0"/>
              <w:marBottom w:val="0"/>
              <w:divBdr>
                <w:top w:val="none" w:sz="0" w:space="0" w:color="auto"/>
                <w:left w:val="none" w:sz="0" w:space="0" w:color="auto"/>
                <w:bottom w:val="none" w:sz="0" w:space="0" w:color="auto"/>
                <w:right w:val="none" w:sz="0" w:space="0" w:color="auto"/>
              </w:divBdr>
            </w:div>
            <w:div w:id="643849513">
              <w:marLeft w:val="0"/>
              <w:marRight w:val="0"/>
              <w:marTop w:val="0"/>
              <w:marBottom w:val="0"/>
              <w:divBdr>
                <w:top w:val="none" w:sz="0" w:space="0" w:color="auto"/>
                <w:left w:val="none" w:sz="0" w:space="0" w:color="auto"/>
                <w:bottom w:val="none" w:sz="0" w:space="0" w:color="auto"/>
                <w:right w:val="none" w:sz="0" w:space="0" w:color="auto"/>
              </w:divBdr>
            </w:div>
            <w:div w:id="412245267">
              <w:marLeft w:val="0"/>
              <w:marRight w:val="0"/>
              <w:marTop w:val="0"/>
              <w:marBottom w:val="0"/>
              <w:divBdr>
                <w:top w:val="none" w:sz="0" w:space="0" w:color="auto"/>
                <w:left w:val="none" w:sz="0" w:space="0" w:color="auto"/>
                <w:bottom w:val="none" w:sz="0" w:space="0" w:color="auto"/>
                <w:right w:val="none" w:sz="0" w:space="0" w:color="auto"/>
              </w:divBdr>
            </w:div>
            <w:div w:id="1449009686">
              <w:marLeft w:val="0"/>
              <w:marRight w:val="0"/>
              <w:marTop w:val="0"/>
              <w:marBottom w:val="0"/>
              <w:divBdr>
                <w:top w:val="none" w:sz="0" w:space="0" w:color="auto"/>
                <w:left w:val="none" w:sz="0" w:space="0" w:color="auto"/>
                <w:bottom w:val="none" w:sz="0" w:space="0" w:color="auto"/>
                <w:right w:val="none" w:sz="0" w:space="0" w:color="auto"/>
              </w:divBdr>
            </w:div>
          </w:divsChild>
        </w:div>
        <w:div w:id="1734809098">
          <w:marLeft w:val="0"/>
          <w:marRight w:val="0"/>
          <w:marTop w:val="0"/>
          <w:marBottom w:val="0"/>
          <w:divBdr>
            <w:top w:val="none" w:sz="0" w:space="0" w:color="auto"/>
            <w:left w:val="none" w:sz="0" w:space="0" w:color="auto"/>
            <w:bottom w:val="none" w:sz="0" w:space="0" w:color="auto"/>
            <w:right w:val="none" w:sz="0" w:space="0" w:color="auto"/>
          </w:divBdr>
        </w:div>
      </w:divsChild>
    </w:div>
    <w:div w:id="450708870">
      <w:bodyDiv w:val="1"/>
      <w:marLeft w:val="0"/>
      <w:marRight w:val="0"/>
      <w:marTop w:val="0"/>
      <w:marBottom w:val="0"/>
      <w:divBdr>
        <w:top w:val="none" w:sz="0" w:space="0" w:color="auto"/>
        <w:left w:val="none" w:sz="0" w:space="0" w:color="auto"/>
        <w:bottom w:val="none" w:sz="0" w:space="0" w:color="auto"/>
        <w:right w:val="none" w:sz="0" w:space="0" w:color="auto"/>
      </w:divBdr>
    </w:div>
    <w:div w:id="498814459">
      <w:bodyDiv w:val="1"/>
      <w:marLeft w:val="0"/>
      <w:marRight w:val="0"/>
      <w:marTop w:val="0"/>
      <w:marBottom w:val="0"/>
      <w:divBdr>
        <w:top w:val="none" w:sz="0" w:space="0" w:color="auto"/>
        <w:left w:val="none" w:sz="0" w:space="0" w:color="auto"/>
        <w:bottom w:val="none" w:sz="0" w:space="0" w:color="auto"/>
        <w:right w:val="none" w:sz="0" w:space="0" w:color="auto"/>
      </w:divBdr>
      <w:divsChild>
        <w:div w:id="221327921">
          <w:marLeft w:val="0"/>
          <w:marRight w:val="0"/>
          <w:marTop w:val="0"/>
          <w:marBottom w:val="0"/>
          <w:divBdr>
            <w:top w:val="none" w:sz="0" w:space="0" w:color="auto"/>
            <w:left w:val="none" w:sz="0" w:space="0" w:color="auto"/>
            <w:bottom w:val="none" w:sz="0" w:space="0" w:color="auto"/>
            <w:right w:val="none" w:sz="0" w:space="0" w:color="auto"/>
          </w:divBdr>
          <w:divsChild>
            <w:div w:id="2100589906">
              <w:marLeft w:val="0"/>
              <w:marRight w:val="0"/>
              <w:marTop w:val="0"/>
              <w:marBottom w:val="0"/>
              <w:divBdr>
                <w:top w:val="none" w:sz="0" w:space="0" w:color="auto"/>
                <w:left w:val="none" w:sz="0" w:space="0" w:color="auto"/>
                <w:bottom w:val="none" w:sz="0" w:space="0" w:color="auto"/>
                <w:right w:val="none" w:sz="0" w:space="0" w:color="auto"/>
              </w:divBdr>
            </w:div>
            <w:div w:id="36977189">
              <w:marLeft w:val="0"/>
              <w:marRight w:val="0"/>
              <w:marTop w:val="0"/>
              <w:marBottom w:val="0"/>
              <w:divBdr>
                <w:top w:val="none" w:sz="0" w:space="0" w:color="auto"/>
                <w:left w:val="none" w:sz="0" w:space="0" w:color="auto"/>
                <w:bottom w:val="none" w:sz="0" w:space="0" w:color="auto"/>
                <w:right w:val="none" w:sz="0" w:space="0" w:color="auto"/>
              </w:divBdr>
            </w:div>
            <w:div w:id="2133476901">
              <w:marLeft w:val="0"/>
              <w:marRight w:val="0"/>
              <w:marTop w:val="0"/>
              <w:marBottom w:val="0"/>
              <w:divBdr>
                <w:top w:val="none" w:sz="0" w:space="0" w:color="auto"/>
                <w:left w:val="none" w:sz="0" w:space="0" w:color="auto"/>
                <w:bottom w:val="none" w:sz="0" w:space="0" w:color="auto"/>
                <w:right w:val="none" w:sz="0" w:space="0" w:color="auto"/>
              </w:divBdr>
            </w:div>
          </w:divsChild>
        </w:div>
        <w:div w:id="621034434">
          <w:marLeft w:val="0"/>
          <w:marRight w:val="0"/>
          <w:marTop w:val="0"/>
          <w:marBottom w:val="0"/>
          <w:divBdr>
            <w:top w:val="none" w:sz="0" w:space="0" w:color="auto"/>
            <w:left w:val="none" w:sz="0" w:space="0" w:color="auto"/>
            <w:bottom w:val="none" w:sz="0" w:space="0" w:color="auto"/>
            <w:right w:val="none" w:sz="0" w:space="0" w:color="auto"/>
          </w:divBdr>
        </w:div>
      </w:divsChild>
    </w:div>
    <w:div w:id="500896008">
      <w:bodyDiv w:val="1"/>
      <w:marLeft w:val="0"/>
      <w:marRight w:val="0"/>
      <w:marTop w:val="0"/>
      <w:marBottom w:val="0"/>
      <w:divBdr>
        <w:top w:val="none" w:sz="0" w:space="0" w:color="auto"/>
        <w:left w:val="none" w:sz="0" w:space="0" w:color="auto"/>
        <w:bottom w:val="none" w:sz="0" w:space="0" w:color="auto"/>
        <w:right w:val="none" w:sz="0" w:space="0" w:color="auto"/>
      </w:divBdr>
    </w:div>
    <w:div w:id="611548500">
      <w:bodyDiv w:val="1"/>
      <w:marLeft w:val="0"/>
      <w:marRight w:val="0"/>
      <w:marTop w:val="0"/>
      <w:marBottom w:val="0"/>
      <w:divBdr>
        <w:top w:val="none" w:sz="0" w:space="0" w:color="auto"/>
        <w:left w:val="none" w:sz="0" w:space="0" w:color="auto"/>
        <w:bottom w:val="none" w:sz="0" w:space="0" w:color="auto"/>
        <w:right w:val="none" w:sz="0" w:space="0" w:color="auto"/>
      </w:divBdr>
      <w:divsChild>
        <w:div w:id="1010448442">
          <w:marLeft w:val="0"/>
          <w:marRight w:val="0"/>
          <w:marTop w:val="0"/>
          <w:marBottom w:val="0"/>
          <w:divBdr>
            <w:top w:val="none" w:sz="0" w:space="0" w:color="auto"/>
            <w:left w:val="none" w:sz="0" w:space="0" w:color="auto"/>
            <w:bottom w:val="none" w:sz="0" w:space="0" w:color="auto"/>
            <w:right w:val="none" w:sz="0" w:space="0" w:color="auto"/>
          </w:divBdr>
          <w:divsChild>
            <w:div w:id="1043750977">
              <w:marLeft w:val="0"/>
              <w:marRight w:val="0"/>
              <w:marTop w:val="0"/>
              <w:marBottom w:val="0"/>
              <w:divBdr>
                <w:top w:val="none" w:sz="0" w:space="0" w:color="auto"/>
                <w:left w:val="none" w:sz="0" w:space="0" w:color="auto"/>
                <w:bottom w:val="none" w:sz="0" w:space="0" w:color="auto"/>
                <w:right w:val="none" w:sz="0" w:space="0" w:color="auto"/>
              </w:divBdr>
            </w:div>
            <w:div w:id="880363533">
              <w:marLeft w:val="0"/>
              <w:marRight w:val="0"/>
              <w:marTop w:val="0"/>
              <w:marBottom w:val="0"/>
              <w:divBdr>
                <w:top w:val="none" w:sz="0" w:space="0" w:color="auto"/>
                <w:left w:val="none" w:sz="0" w:space="0" w:color="auto"/>
                <w:bottom w:val="none" w:sz="0" w:space="0" w:color="auto"/>
                <w:right w:val="none" w:sz="0" w:space="0" w:color="auto"/>
              </w:divBdr>
            </w:div>
            <w:div w:id="1124428094">
              <w:marLeft w:val="0"/>
              <w:marRight w:val="0"/>
              <w:marTop w:val="0"/>
              <w:marBottom w:val="0"/>
              <w:divBdr>
                <w:top w:val="none" w:sz="0" w:space="0" w:color="auto"/>
                <w:left w:val="none" w:sz="0" w:space="0" w:color="auto"/>
                <w:bottom w:val="none" w:sz="0" w:space="0" w:color="auto"/>
                <w:right w:val="none" w:sz="0" w:space="0" w:color="auto"/>
              </w:divBdr>
            </w:div>
            <w:div w:id="1943102252">
              <w:marLeft w:val="0"/>
              <w:marRight w:val="0"/>
              <w:marTop w:val="0"/>
              <w:marBottom w:val="0"/>
              <w:divBdr>
                <w:top w:val="none" w:sz="0" w:space="0" w:color="auto"/>
                <w:left w:val="none" w:sz="0" w:space="0" w:color="auto"/>
                <w:bottom w:val="none" w:sz="0" w:space="0" w:color="auto"/>
                <w:right w:val="none" w:sz="0" w:space="0" w:color="auto"/>
              </w:divBdr>
            </w:div>
            <w:div w:id="292566791">
              <w:marLeft w:val="0"/>
              <w:marRight w:val="0"/>
              <w:marTop w:val="0"/>
              <w:marBottom w:val="0"/>
              <w:divBdr>
                <w:top w:val="none" w:sz="0" w:space="0" w:color="auto"/>
                <w:left w:val="none" w:sz="0" w:space="0" w:color="auto"/>
                <w:bottom w:val="none" w:sz="0" w:space="0" w:color="auto"/>
                <w:right w:val="none" w:sz="0" w:space="0" w:color="auto"/>
              </w:divBdr>
            </w:div>
            <w:div w:id="540213683">
              <w:marLeft w:val="0"/>
              <w:marRight w:val="0"/>
              <w:marTop w:val="0"/>
              <w:marBottom w:val="0"/>
              <w:divBdr>
                <w:top w:val="none" w:sz="0" w:space="0" w:color="auto"/>
                <w:left w:val="none" w:sz="0" w:space="0" w:color="auto"/>
                <w:bottom w:val="none" w:sz="0" w:space="0" w:color="auto"/>
                <w:right w:val="none" w:sz="0" w:space="0" w:color="auto"/>
              </w:divBdr>
            </w:div>
          </w:divsChild>
        </w:div>
        <w:div w:id="382481322">
          <w:marLeft w:val="0"/>
          <w:marRight w:val="0"/>
          <w:marTop w:val="0"/>
          <w:marBottom w:val="0"/>
          <w:divBdr>
            <w:top w:val="none" w:sz="0" w:space="0" w:color="auto"/>
            <w:left w:val="none" w:sz="0" w:space="0" w:color="auto"/>
            <w:bottom w:val="none" w:sz="0" w:space="0" w:color="auto"/>
            <w:right w:val="none" w:sz="0" w:space="0" w:color="auto"/>
          </w:divBdr>
        </w:div>
      </w:divsChild>
    </w:div>
    <w:div w:id="679434728">
      <w:bodyDiv w:val="1"/>
      <w:marLeft w:val="0"/>
      <w:marRight w:val="0"/>
      <w:marTop w:val="0"/>
      <w:marBottom w:val="0"/>
      <w:divBdr>
        <w:top w:val="none" w:sz="0" w:space="0" w:color="auto"/>
        <w:left w:val="none" w:sz="0" w:space="0" w:color="auto"/>
        <w:bottom w:val="none" w:sz="0" w:space="0" w:color="auto"/>
        <w:right w:val="none" w:sz="0" w:space="0" w:color="auto"/>
      </w:divBdr>
      <w:divsChild>
        <w:div w:id="60058764">
          <w:marLeft w:val="0"/>
          <w:marRight w:val="0"/>
          <w:marTop w:val="0"/>
          <w:marBottom w:val="0"/>
          <w:divBdr>
            <w:top w:val="none" w:sz="0" w:space="0" w:color="auto"/>
            <w:left w:val="none" w:sz="0" w:space="0" w:color="auto"/>
            <w:bottom w:val="none" w:sz="0" w:space="0" w:color="auto"/>
            <w:right w:val="none" w:sz="0" w:space="0" w:color="auto"/>
          </w:divBdr>
          <w:divsChild>
            <w:div w:id="1514608477">
              <w:marLeft w:val="0"/>
              <w:marRight w:val="0"/>
              <w:marTop w:val="0"/>
              <w:marBottom w:val="0"/>
              <w:divBdr>
                <w:top w:val="none" w:sz="0" w:space="0" w:color="auto"/>
                <w:left w:val="none" w:sz="0" w:space="0" w:color="auto"/>
                <w:bottom w:val="none" w:sz="0" w:space="0" w:color="auto"/>
                <w:right w:val="none" w:sz="0" w:space="0" w:color="auto"/>
              </w:divBdr>
            </w:div>
            <w:div w:id="1481119859">
              <w:marLeft w:val="0"/>
              <w:marRight w:val="0"/>
              <w:marTop w:val="0"/>
              <w:marBottom w:val="0"/>
              <w:divBdr>
                <w:top w:val="none" w:sz="0" w:space="0" w:color="auto"/>
                <w:left w:val="none" w:sz="0" w:space="0" w:color="auto"/>
                <w:bottom w:val="none" w:sz="0" w:space="0" w:color="auto"/>
                <w:right w:val="none" w:sz="0" w:space="0" w:color="auto"/>
              </w:divBdr>
            </w:div>
            <w:div w:id="1972124312">
              <w:marLeft w:val="0"/>
              <w:marRight w:val="0"/>
              <w:marTop w:val="0"/>
              <w:marBottom w:val="0"/>
              <w:divBdr>
                <w:top w:val="none" w:sz="0" w:space="0" w:color="auto"/>
                <w:left w:val="none" w:sz="0" w:space="0" w:color="auto"/>
                <w:bottom w:val="none" w:sz="0" w:space="0" w:color="auto"/>
                <w:right w:val="none" w:sz="0" w:space="0" w:color="auto"/>
              </w:divBdr>
            </w:div>
          </w:divsChild>
        </w:div>
        <w:div w:id="1608731734">
          <w:marLeft w:val="0"/>
          <w:marRight w:val="0"/>
          <w:marTop w:val="0"/>
          <w:marBottom w:val="0"/>
          <w:divBdr>
            <w:top w:val="none" w:sz="0" w:space="0" w:color="auto"/>
            <w:left w:val="none" w:sz="0" w:space="0" w:color="auto"/>
            <w:bottom w:val="none" w:sz="0" w:space="0" w:color="auto"/>
            <w:right w:val="none" w:sz="0" w:space="0" w:color="auto"/>
          </w:divBdr>
        </w:div>
      </w:divsChild>
    </w:div>
    <w:div w:id="681082616">
      <w:bodyDiv w:val="1"/>
      <w:marLeft w:val="0"/>
      <w:marRight w:val="0"/>
      <w:marTop w:val="0"/>
      <w:marBottom w:val="0"/>
      <w:divBdr>
        <w:top w:val="none" w:sz="0" w:space="0" w:color="auto"/>
        <w:left w:val="none" w:sz="0" w:space="0" w:color="auto"/>
        <w:bottom w:val="none" w:sz="0" w:space="0" w:color="auto"/>
        <w:right w:val="none" w:sz="0" w:space="0" w:color="auto"/>
      </w:divBdr>
      <w:divsChild>
        <w:div w:id="1203711628">
          <w:marLeft w:val="0"/>
          <w:marRight w:val="0"/>
          <w:marTop w:val="0"/>
          <w:marBottom w:val="0"/>
          <w:divBdr>
            <w:top w:val="none" w:sz="0" w:space="0" w:color="auto"/>
            <w:left w:val="none" w:sz="0" w:space="0" w:color="auto"/>
            <w:bottom w:val="none" w:sz="0" w:space="0" w:color="auto"/>
            <w:right w:val="none" w:sz="0" w:space="0" w:color="auto"/>
          </w:divBdr>
        </w:div>
        <w:div w:id="1037008358">
          <w:marLeft w:val="0"/>
          <w:marRight w:val="0"/>
          <w:marTop w:val="0"/>
          <w:marBottom w:val="0"/>
          <w:divBdr>
            <w:top w:val="none" w:sz="0" w:space="0" w:color="auto"/>
            <w:left w:val="none" w:sz="0" w:space="0" w:color="auto"/>
            <w:bottom w:val="none" w:sz="0" w:space="0" w:color="auto"/>
            <w:right w:val="none" w:sz="0" w:space="0" w:color="auto"/>
          </w:divBdr>
        </w:div>
        <w:div w:id="1313485962">
          <w:marLeft w:val="0"/>
          <w:marRight w:val="0"/>
          <w:marTop w:val="0"/>
          <w:marBottom w:val="0"/>
          <w:divBdr>
            <w:top w:val="none" w:sz="0" w:space="0" w:color="auto"/>
            <w:left w:val="none" w:sz="0" w:space="0" w:color="auto"/>
            <w:bottom w:val="none" w:sz="0" w:space="0" w:color="auto"/>
            <w:right w:val="none" w:sz="0" w:space="0" w:color="auto"/>
          </w:divBdr>
        </w:div>
        <w:div w:id="569119168">
          <w:marLeft w:val="0"/>
          <w:marRight w:val="0"/>
          <w:marTop w:val="0"/>
          <w:marBottom w:val="0"/>
          <w:divBdr>
            <w:top w:val="none" w:sz="0" w:space="0" w:color="auto"/>
            <w:left w:val="none" w:sz="0" w:space="0" w:color="auto"/>
            <w:bottom w:val="none" w:sz="0" w:space="0" w:color="auto"/>
            <w:right w:val="none" w:sz="0" w:space="0" w:color="auto"/>
          </w:divBdr>
        </w:div>
        <w:div w:id="86267147">
          <w:marLeft w:val="0"/>
          <w:marRight w:val="0"/>
          <w:marTop w:val="0"/>
          <w:marBottom w:val="0"/>
          <w:divBdr>
            <w:top w:val="none" w:sz="0" w:space="0" w:color="auto"/>
            <w:left w:val="none" w:sz="0" w:space="0" w:color="auto"/>
            <w:bottom w:val="none" w:sz="0" w:space="0" w:color="auto"/>
            <w:right w:val="none" w:sz="0" w:space="0" w:color="auto"/>
          </w:divBdr>
        </w:div>
        <w:div w:id="631256652">
          <w:marLeft w:val="0"/>
          <w:marRight w:val="0"/>
          <w:marTop w:val="0"/>
          <w:marBottom w:val="0"/>
          <w:divBdr>
            <w:top w:val="none" w:sz="0" w:space="0" w:color="auto"/>
            <w:left w:val="none" w:sz="0" w:space="0" w:color="auto"/>
            <w:bottom w:val="none" w:sz="0" w:space="0" w:color="auto"/>
            <w:right w:val="none" w:sz="0" w:space="0" w:color="auto"/>
          </w:divBdr>
        </w:div>
      </w:divsChild>
    </w:div>
    <w:div w:id="801848645">
      <w:bodyDiv w:val="1"/>
      <w:marLeft w:val="0"/>
      <w:marRight w:val="0"/>
      <w:marTop w:val="0"/>
      <w:marBottom w:val="0"/>
      <w:divBdr>
        <w:top w:val="none" w:sz="0" w:space="0" w:color="auto"/>
        <w:left w:val="none" w:sz="0" w:space="0" w:color="auto"/>
        <w:bottom w:val="none" w:sz="0" w:space="0" w:color="auto"/>
        <w:right w:val="none" w:sz="0" w:space="0" w:color="auto"/>
      </w:divBdr>
      <w:divsChild>
        <w:div w:id="1018384336">
          <w:marLeft w:val="0"/>
          <w:marRight w:val="0"/>
          <w:marTop w:val="0"/>
          <w:marBottom w:val="0"/>
          <w:divBdr>
            <w:top w:val="none" w:sz="0" w:space="0" w:color="auto"/>
            <w:left w:val="none" w:sz="0" w:space="0" w:color="auto"/>
            <w:bottom w:val="none" w:sz="0" w:space="0" w:color="auto"/>
            <w:right w:val="none" w:sz="0" w:space="0" w:color="auto"/>
          </w:divBdr>
        </w:div>
        <w:div w:id="1811822317">
          <w:marLeft w:val="0"/>
          <w:marRight w:val="0"/>
          <w:marTop w:val="0"/>
          <w:marBottom w:val="0"/>
          <w:divBdr>
            <w:top w:val="none" w:sz="0" w:space="0" w:color="auto"/>
            <w:left w:val="none" w:sz="0" w:space="0" w:color="auto"/>
            <w:bottom w:val="none" w:sz="0" w:space="0" w:color="auto"/>
            <w:right w:val="none" w:sz="0" w:space="0" w:color="auto"/>
          </w:divBdr>
        </w:div>
      </w:divsChild>
    </w:div>
    <w:div w:id="849416373">
      <w:bodyDiv w:val="1"/>
      <w:marLeft w:val="0"/>
      <w:marRight w:val="0"/>
      <w:marTop w:val="0"/>
      <w:marBottom w:val="0"/>
      <w:divBdr>
        <w:top w:val="none" w:sz="0" w:space="0" w:color="auto"/>
        <w:left w:val="none" w:sz="0" w:space="0" w:color="auto"/>
        <w:bottom w:val="none" w:sz="0" w:space="0" w:color="auto"/>
        <w:right w:val="none" w:sz="0" w:space="0" w:color="auto"/>
      </w:divBdr>
    </w:div>
    <w:div w:id="861284007">
      <w:bodyDiv w:val="1"/>
      <w:marLeft w:val="0"/>
      <w:marRight w:val="0"/>
      <w:marTop w:val="0"/>
      <w:marBottom w:val="0"/>
      <w:divBdr>
        <w:top w:val="none" w:sz="0" w:space="0" w:color="auto"/>
        <w:left w:val="none" w:sz="0" w:space="0" w:color="auto"/>
        <w:bottom w:val="none" w:sz="0" w:space="0" w:color="auto"/>
        <w:right w:val="none" w:sz="0" w:space="0" w:color="auto"/>
      </w:divBdr>
      <w:divsChild>
        <w:div w:id="1061638796">
          <w:marLeft w:val="0"/>
          <w:marRight w:val="0"/>
          <w:marTop w:val="0"/>
          <w:marBottom w:val="0"/>
          <w:divBdr>
            <w:top w:val="none" w:sz="0" w:space="0" w:color="auto"/>
            <w:left w:val="none" w:sz="0" w:space="0" w:color="auto"/>
            <w:bottom w:val="none" w:sz="0" w:space="0" w:color="auto"/>
            <w:right w:val="none" w:sz="0" w:space="0" w:color="auto"/>
          </w:divBdr>
          <w:divsChild>
            <w:div w:id="446631604">
              <w:marLeft w:val="0"/>
              <w:marRight w:val="0"/>
              <w:marTop w:val="0"/>
              <w:marBottom w:val="0"/>
              <w:divBdr>
                <w:top w:val="none" w:sz="0" w:space="0" w:color="auto"/>
                <w:left w:val="none" w:sz="0" w:space="0" w:color="auto"/>
                <w:bottom w:val="none" w:sz="0" w:space="0" w:color="auto"/>
                <w:right w:val="none" w:sz="0" w:space="0" w:color="auto"/>
              </w:divBdr>
            </w:div>
            <w:div w:id="650401790">
              <w:marLeft w:val="0"/>
              <w:marRight w:val="0"/>
              <w:marTop w:val="0"/>
              <w:marBottom w:val="0"/>
              <w:divBdr>
                <w:top w:val="none" w:sz="0" w:space="0" w:color="auto"/>
                <w:left w:val="none" w:sz="0" w:space="0" w:color="auto"/>
                <w:bottom w:val="none" w:sz="0" w:space="0" w:color="auto"/>
                <w:right w:val="none" w:sz="0" w:space="0" w:color="auto"/>
              </w:divBdr>
            </w:div>
          </w:divsChild>
        </w:div>
        <w:div w:id="2006273825">
          <w:marLeft w:val="0"/>
          <w:marRight w:val="0"/>
          <w:marTop w:val="0"/>
          <w:marBottom w:val="0"/>
          <w:divBdr>
            <w:top w:val="none" w:sz="0" w:space="0" w:color="auto"/>
            <w:left w:val="none" w:sz="0" w:space="0" w:color="auto"/>
            <w:bottom w:val="none" w:sz="0" w:space="0" w:color="auto"/>
            <w:right w:val="none" w:sz="0" w:space="0" w:color="auto"/>
          </w:divBdr>
        </w:div>
      </w:divsChild>
    </w:div>
    <w:div w:id="875389488">
      <w:bodyDiv w:val="1"/>
      <w:marLeft w:val="0"/>
      <w:marRight w:val="0"/>
      <w:marTop w:val="0"/>
      <w:marBottom w:val="0"/>
      <w:divBdr>
        <w:top w:val="none" w:sz="0" w:space="0" w:color="auto"/>
        <w:left w:val="none" w:sz="0" w:space="0" w:color="auto"/>
        <w:bottom w:val="none" w:sz="0" w:space="0" w:color="auto"/>
        <w:right w:val="none" w:sz="0" w:space="0" w:color="auto"/>
      </w:divBdr>
      <w:divsChild>
        <w:div w:id="146479583">
          <w:marLeft w:val="0"/>
          <w:marRight w:val="0"/>
          <w:marTop w:val="0"/>
          <w:marBottom w:val="0"/>
          <w:divBdr>
            <w:top w:val="none" w:sz="0" w:space="0" w:color="auto"/>
            <w:left w:val="none" w:sz="0" w:space="0" w:color="auto"/>
            <w:bottom w:val="none" w:sz="0" w:space="0" w:color="auto"/>
            <w:right w:val="none" w:sz="0" w:space="0" w:color="auto"/>
          </w:divBdr>
        </w:div>
        <w:div w:id="72048845">
          <w:marLeft w:val="0"/>
          <w:marRight w:val="0"/>
          <w:marTop w:val="0"/>
          <w:marBottom w:val="0"/>
          <w:divBdr>
            <w:top w:val="none" w:sz="0" w:space="0" w:color="auto"/>
            <w:left w:val="none" w:sz="0" w:space="0" w:color="auto"/>
            <w:bottom w:val="none" w:sz="0" w:space="0" w:color="auto"/>
            <w:right w:val="none" w:sz="0" w:space="0" w:color="auto"/>
          </w:divBdr>
        </w:div>
      </w:divsChild>
    </w:div>
    <w:div w:id="1031146543">
      <w:bodyDiv w:val="1"/>
      <w:marLeft w:val="0"/>
      <w:marRight w:val="0"/>
      <w:marTop w:val="0"/>
      <w:marBottom w:val="0"/>
      <w:divBdr>
        <w:top w:val="none" w:sz="0" w:space="0" w:color="auto"/>
        <w:left w:val="none" w:sz="0" w:space="0" w:color="auto"/>
        <w:bottom w:val="none" w:sz="0" w:space="0" w:color="auto"/>
        <w:right w:val="none" w:sz="0" w:space="0" w:color="auto"/>
      </w:divBdr>
      <w:divsChild>
        <w:div w:id="1287154431">
          <w:marLeft w:val="0"/>
          <w:marRight w:val="0"/>
          <w:marTop w:val="0"/>
          <w:marBottom w:val="0"/>
          <w:divBdr>
            <w:top w:val="none" w:sz="0" w:space="0" w:color="auto"/>
            <w:left w:val="none" w:sz="0" w:space="0" w:color="auto"/>
            <w:bottom w:val="none" w:sz="0" w:space="0" w:color="auto"/>
            <w:right w:val="none" w:sz="0" w:space="0" w:color="auto"/>
          </w:divBdr>
          <w:divsChild>
            <w:div w:id="1899827053">
              <w:marLeft w:val="0"/>
              <w:marRight w:val="0"/>
              <w:marTop w:val="0"/>
              <w:marBottom w:val="0"/>
              <w:divBdr>
                <w:top w:val="none" w:sz="0" w:space="0" w:color="auto"/>
                <w:left w:val="none" w:sz="0" w:space="0" w:color="auto"/>
                <w:bottom w:val="none" w:sz="0" w:space="0" w:color="auto"/>
                <w:right w:val="none" w:sz="0" w:space="0" w:color="auto"/>
              </w:divBdr>
            </w:div>
            <w:div w:id="642583494">
              <w:marLeft w:val="0"/>
              <w:marRight w:val="0"/>
              <w:marTop w:val="0"/>
              <w:marBottom w:val="0"/>
              <w:divBdr>
                <w:top w:val="none" w:sz="0" w:space="0" w:color="auto"/>
                <w:left w:val="none" w:sz="0" w:space="0" w:color="auto"/>
                <w:bottom w:val="none" w:sz="0" w:space="0" w:color="auto"/>
                <w:right w:val="none" w:sz="0" w:space="0" w:color="auto"/>
              </w:divBdr>
            </w:div>
            <w:div w:id="737552726">
              <w:marLeft w:val="0"/>
              <w:marRight w:val="0"/>
              <w:marTop w:val="0"/>
              <w:marBottom w:val="0"/>
              <w:divBdr>
                <w:top w:val="none" w:sz="0" w:space="0" w:color="auto"/>
                <w:left w:val="none" w:sz="0" w:space="0" w:color="auto"/>
                <w:bottom w:val="none" w:sz="0" w:space="0" w:color="auto"/>
                <w:right w:val="none" w:sz="0" w:space="0" w:color="auto"/>
              </w:divBdr>
            </w:div>
          </w:divsChild>
        </w:div>
        <w:div w:id="1500851718">
          <w:marLeft w:val="0"/>
          <w:marRight w:val="0"/>
          <w:marTop w:val="0"/>
          <w:marBottom w:val="0"/>
          <w:divBdr>
            <w:top w:val="none" w:sz="0" w:space="0" w:color="auto"/>
            <w:left w:val="none" w:sz="0" w:space="0" w:color="auto"/>
            <w:bottom w:val="none" w:sz="0" w:space="0" w:color="auto"/>
            <w:right w:val="none" w:sz="0" w:space="0" w:color="auto"/>
          </w:divBdr>
        </w:div>
      </w:divsChild>
    </w:div>
    <w:div w:id="1074280479">
      <w:bodyDiv w:val="1"/>
      <w:marLeft w:val="0"/>
      <w:marRight w:val="0"/>
      <w:marTop w:val="0"/>
      <w:marBottom w:val="0"/>
      <w:divBdr>
        <w:top w:val="none" w:sz="0" w:space="0" w:color="auto"/>
        <w:left w:val="none" w:sz="0" w:space="0" w:color="auto"/>
        <w:bottom w:val="none" w:sz="0" w:space="0" w:color="auto"/>
        <w:right w:val="none" w:sz="0" w:space="0" w:color="auto"/>
      </w:divBdr>
      <w:divsChild>
        <w:div w:id="274866394">
          <w:marLeft w:val="0"/>
          <w:marRight w:val="0"/>
          <w:marTop w:val="0"/>
          <w:marBottom w:val="0"/>
          <w:divBdr>
            <w:top w:val="none" w:sz="0" w:space="0" w:color="auto"/>
            <w:left w:val="none" w:sz="0" w:space="0" w:color="auto"/>
            <w:bottom w:val="none" w:sz="0" w:space="0" w:color="auto"/>
            <w:right w:val="none" w:sz="0" w:space="0" w:color="auto"/>
          </w:divBdr>
          <w:divsChild>
            <w:div w:id="577636126">
              <w:marLeft w:val="0"/>
              <w:marRight w:val="0"/>
              <w:marTop w:val="0"/>
              <w:marBottom w:val="0"/>
              <w:divBdr>
                <w:top w:val="none" w:sz="0" w:space="0" w:color="auto"/>
                <w:left w:val="none" w:sz="0" w:space="0" w:color="auto"/>
                <w:bottom w:val="none" w:sz="0" w:space="0" w:color="auto"/>
                <w:right w:val="none" w:sz="0" w:space="0" w:color="auto"/>
              </w:divBdr>
            </w:div>
            <w:div w:id="1428034688">
              <w:marLeft w:val="0"/>
              <w:marRight w:val="0"/>
              <w:marTop w:val="0"/>
              <w:marBottom w:val="0"/>
              <w:divBdr>
                <w:top w:val="none" w:sz="0" w:space="0" w:color="auto"/>
                <w:left w:val="none" w:sz="0" w:space="0" w:color="auto"/>
                <w:bottom w:val="none" w:sz="0" w:space="0" w:color="auto"/>
                <w:right w:val="none" w:sz="0" w:space="0" w:color="auto"/>
              </w:divBdr>
            </w:div>
            <w:div w:id="244612787">
              <w:marLeft w:val="0"/>
              <w:marRight w:val="0"/>
              <w:marTop w:val="0"/>
              <w:marBottom w:val="0"/>
              <w:divBdr>
                <w:top w:val="none" w:sz="0" w:space="0" w:color="auto"/>
                <w:left w:val="none" w:sz="0" w:space="0" w:color="auto"/>
                <w:bottom w:val="none" w:sz="0" w:space="0" w:color="auto"/>
                <w:right w:val="none" w:sz="0" w:space="0" w:color="auto"/>
              </w:divBdr>
            </w:div>
            <w:div w:id="1431392537">
              <w:marLeft w:val="0"/>
              <w:marRight w:val="0"/>
              <w:marTop w:val="0"/>
              <w:marBottom w:val="0"/>
              <w:divBdr>
                <w:top w:val="none" w:sz="0" w:space="0" w:color="auto"/>
                <w:left w:val="none" w:sz="0" w:space="0" w:color="auto"/>
                <w:bottom w:val="none" w:sz="0" w:space="0" w:color="auto"/>
                <w:right w:val="none" w:sz="0" w:space="0" w:color="auto"/>
              </w:divBdr>
            </w:div>
            <w:div w:id="1361472870">
              <w:marLeft w:val="0"/>
              <w:marRight w:val="0"/>
              <w:marTop w:val="0"/>
              <w:marBottom w:val="0"/>
              <w:divBdr>
                <w:top w:val="none" w:sz="0" w:space="0" w:color="auto"/>
                <w:left w:val="none" w:sz="0" w:space="0" w:color="auto"/>
                <w:bottom w:val="none" w:sz="0" w:space="0" w:color="auto"/>
                <w:right w:val="none" w:sz="0" w:space="0" w:color="auto"/>
              </w:divBdr>
            </w:div>
            <w:div w:id="2077584278">
              <w:marLeft w:val="0"/>
              <w:marRight w:val="0"/>
              <w:marTop w:val="0"/>
              <w:marBottom w:val="0"/>
              <w:divBdr>
                <w:top w:val="none" w:sz="0" w:space="0" w:color="auto"/>
                <w:left w:val="none" w:sz="0" w:space="0" w:color="auto"/>
                <w:bottom w:val="none" w:sz="0" w:space="0" w:color="auto"/>
                <w:right w:val="none" w:sz="0" w:space="0" w:color="auto"/>
              </w:divBdr>
            </w:div>
          </w:divsChild>
        </w:div>
        <w:div w:id="1500192932">
          <w:marLeft w:val="0"/>
          <w:marRight w:val="0"/>
          <w:marTop w:val="0"/>
          <w:marBottom w:val="0"/>
          <w:divBdr>
            <w:top w:val="none" w:sz="0" w:space="0" w:color="auto"/>
            <w:left w:val="none" w:sz="0" w:space="0" w:color="auto"/>
            <w:bottom w:val="none" w:sz="0" w:space="0" w:color="auto"/>
            <w:right w:val="none" w:sz="0" w:space="0" w:color="auto"/>
          </w:divBdr>
        </w:div>
      </w:divsChild>
    </w:div>
    <w:div w:id="1076055049">
      <w:bodyDiv w:val="1"/>
      <w:marLeft w:val="0"/>
      <w:marRight w:val="0"/>
      <w:marTop w:val="0"/>
      <w:marBottom w:val="0"/>
      <w:divBdr>
        <w:top w:val="none" w:sz="0" w:space="0" w:color="auto"/>
        <w:left w:val="none" w:sz="0" w:space="0" w:color="auto"/>
        <w:bottom w:val="none" w:sz="0" w:space="0" w:color="auto"/>
        <w:right w:val="none" w:sz="0" w:space="0" w:color="auto"/>
      </w:divBdr>
      <w:divsChild>
        <w:div w:id="125584759">
          <w:marLeft w:val="0"/>
          <w:marRight w:val="0"/>
          <w:marTop w:val="0"/>
          <w:marBottom w:val="0"/>
          <w:divBdr>
            <w:top w:val="none" w:sz="0" w:space="0" w:color="auto"/>
            <w:left w:val="none" w:sz="0" w:space="0" w:color="auto"/>
            <w:bottom w:val="none" w:sz="0" w:space="0" w:color="auto"/>
            <w:right w:val="none" w:sz="0" w:space="0" w:color="auto"/>
          </w:divBdr>
        </w:div>
        <w:div w:id="1758593372">
          <w:marLeft w:val="810"/>
          <w:marRight w:val="810"/>
          <w:marTop w:val="360"/>
          <w:marBottom w:val="0"/>
          <w:divBdr>
            <w:top w:val="none" w:sz="0" w:space="0" w:color="auto"/>
            <w:left w:val="none" w:sz="0" w:space="0" w:color="auto"/>
            <w:bottom w:val="none" w:sz="0" w:space="0" w:color="auto"/>
            <w:right w:val="none" w:sz="0" w:space="0" w:color="auto"/>
          </w:divBdr>
          <w:divsChild>
            <w:div w:id="2137135622">
              <w:marLeft w:val="4005"/>
              <w:marRight w:val="810"/>
              <w:marTop w:val="0"/>
              <w:marBottom w:val="0"/>
              <w:divBdr>
                <w:top w:val="none" w:sz="0" w:space="0" w:color="auto"/>
                <w:left w:val="none" w:sz="0" w:space="0" w:color="auto"/>
                <w:bottom w:val="none" w:sz="0" w:space="0" w:color="auto"/>
                <w:right w:val="none" w:sz="0" w:space="0" w:color="auto"/>
              </w:divBdr>
            </w:div>
            <w:div w:id="1499034698">
              <w:marLeft w:val="4005"/>
              <w:marRight w:val="810"/>
              <w:marTop w:val="0"/>
              <w:marBottom w:val="0"/>
              <w:divBdr>
                <w:top w:val="none" w:sz="0" w:space="0" w:color="auto"/>
                <w:left w:val="none" w:sz="0" w:space="0" w:color="auto"/>
                <w:bottom w:val="none" w:sz="0" w:space="0" w:color="auto"/>
                <w:right w:val="none" w:sz="0" w:space="0" w:color="auto"/>
              </w:divBdr>
            </w:div>
          </w:divsChild>
        </w:div>
      </w:divsChild>
    </w:div>
    <w:div w:id="1098137487">
      <w:bodyDiv w:val="1"/>
      <w:marLeft w:val="0"/>
      <w:marRight w:val="0"/>
      <w:marTop w:val="0"/>
      <w:marBottom w:val="0"/>
      <w:divBdr>
        <w:top w:val="none" w:sz="0" w:space="0" w:color="auto"/>
        <w:left w:val="none" w:sz="0" w:space="0" w:color="auto"/>
        <w:bottom w:val="none" w:sz="0" w:space="0" w:color="auto"/>
        <w:right w:val="none" w:sz="0" w:space="0" w:color="auto"/>
      </w:divBdr>
      <w:divsChild>
        <w:div w:id="1846628331">
          <w:marLeft w:val="0"/>
          <w:marRight w:val="0"/>
          <w:marTop w:val="0"/>
          <w:marBottom w:val="0"/>
          <w:divBdr>
            <w:top w:val="none" w:sz="0" w:space="0" w:color="auto"/>
            <w:left w:val="none" w:sz="0" w:space="0" w:color="auto"/>
            <w:bottom w:val="none" w:sz="0" w:space="0" w:color="auto"/>
            <w:right w:val="none" w:sz="0" w:space="0" w:color="auto"/>
          </w:divBdr>
        </w:div>
        <w:div w:id="2089184392">
          <w:marLeft w:val="0"/>
          <w:marRight w:val="0"/>
          <w:marTop w:val="0"/>
          <w:marBottom w:val="0"/>
          <w:divBdr>
            <w:top w:val="none" w:sz="0" w:space="0" w:color="auto"/>
            <w:left w:val="none" w:sz="0" w:space="0" w:color="auto"/>
            <w:bottom w:val="none" w:sz="0" w:space="0" w:color="auto"/>
            <w:right w:val="none" w:sz="0" w:space="0" w:color="auto"/>
          </w:divBdr>
        </w:div>
      </w:divsChild>
    </w:div>
    <w:div w:id="1113402786">
      <w:bodyDiv w:val="1"/>
      <w:marLeft w:val="0"/>
      <w:marRight w:val="0"/>
      <w:marTop w:val="0"/>
      <w:marBottom w:val="0"/>
      <w:divBdr>
        <w:top w:val="none" w:sz="0" w:space="0" w:color="auto"/>
        <w:left w:val="none" w:sz="0" w:space="0" w:color="auto"/>
        <w:bottom w:val="none" w:sz="0" w:space="0" w:color="auto"/>
        <w:right w:val="none" w:sz="0" w:space="0" w:color="auto"/>
      </w:divBdr>
    </w:div>
    <w:div w:id="1117335469">
      <w:bodyDiv w:val="1"/>
      <w:marLeft w:val="0"/>
      <w:marRight w:val="0"/>
      <w:marTop w:val="0"/>
      <w:marBottom w:val="0"/>
      <w:divBdr>
        <w:top w:val="none" w:sz="0" w:space="0" w:color="auto"/>
        <w:left w:val="none" w:sz="0" w:space="0" w:color="auto"/>
        <w:bottom w:val="none" w:sz="0" w:space="0" w:color="auto"/>
        <w:right w:val="none" w:sz="0" w:space="0" w:color="auto"/>
      </w:divBdr>
      <w:divsChild>
        <w:div w:id="254825943">
          <w:marLeft w:val="0"/>
          <w:marRight w:val="0"/>
          <w:marTop w:val="0"/>
          <w:marBottom w:val="0"/>
          <w:divBdr>
            <w:top w:val="none" w:sz="0" w:space="0" w:color="auto"/>
            <w:left w:val="none" w:sz="0" w:space="0" w:color="auto"/>
            <w:bottom w:val="none" w:sz="0" w:space="0" w:color="auto"/>
            <w:right w:val="none" w:sz="0" w:space="0" w:color="auto"/>
          </w:divBdr>
          <w:divsChild>
            <w:div w:id="1734230401">
              <w:marLeft w:val="0"/>
              <w:marRight w:val="0"/>
              <w:marTop w:val="0"/>
              <w:marBottom w:val="0"/>
              <w:divBdr>
                <w:top w:val="none" w:sz="0" w:space="0" w:color="auto"/>
                <w:left w:val="none" w:sz="0" w:space="0" w:color="auto"/>
                <w:bottom w:val="none" w:sz="0" w:space="0" w:color="auto"/>
                <w:right w:val="none" w:sz="0" w:space="0" w:color="auto"/>
              </w:divBdr>
            </w:div>
            <w:div w:id="278493175">
              <w:marLeft w:val="0"/>
              <w:marRight w:val="0"/>
              <w:marTop w:val="0"/>
              <w:marBottom w:val="0"/>
              <w:divBdr>
                <w:top w:val="none" w:sz="0" w:space="0" w:color="auto"/>
                <w:left w:val="none" w:sz="0" w:space="0" w:color="auto"/>
                <w:bottom w:val="none" w:sz="0" w:space="0" w:color="auto"/>
                <w:right w:val="none" w:sz="0" w:space="0" w:color="auto"/>
              </w:divBdr>
            </w:div>
            <w:div w:id="1724790187">
              <w:marLeft w:val="0"/>
              <w:marRight w:val="0"/>
              <w:marTop w:val="0"/>
              <w:marBottom w:val="0"/>
              <w:divBdr>
                <w:top w:val="none" w:sz="0" w:space="0" w:color="auto"/>
                <w:left w:val="none" w:sz="0" w:space="0" w:color="auto"/>
                <w:bottom w:val="none" w:sz="0" w:space="0" w:color="auto"/>
                <w:right w:val="none" w:sz="0" w:space="0" w:color="auto"/>
              </w:divBdr>
            </w:div>
            <w:div w:id="1816145442">
              <w:marLeft w:val="0"/>
              <w:marRight w:val="0"/>
              <w:marTop w:val="0"/>
              <w:marBottom w:val="0"/>
              <w:divBdr>
                <w:top w:val="none" w:sz="0" w:space="0" w:color="auto"/>
                <w:left w:val="none" w:sz="0" w:space="0" w:color="auto"/>
                <w:bottom w:val="none" w:sz="0" w:space="0" w:color="auto"/>
                <w:right w:val="none" w:sz="0" w:space="0" w:color="auto"/>
              </w:divBdr>
            </w:div>
            <w:div w:id="1461335612">
              <w:marLeft w:val="0"/>
              <w:marRight w:val="0"/>
              <w:marTop w:val="0"/>
              <w:marBottom w:val="0"/>
              <w:divBdr>
                <w:top w:val="none" w:sz="0" w:space="0" w:color="auto"/>
                <w:left w:val="none" w:sz="0" w:space="0" w:color="auto"/>
                <w:bottom w:val="none" w:sz="0" w:space="0" w:color="auto"/>
                <w:right w:val="none" w:sz="0" w:space="0" w:color="auto"/>
              </w:divBdr>
            </w:div>
            <w:div w:id="886648731">
              <w:marLeft w:val="0"/>
              <w:marRight w:val="0"/>
              <w:marTop w:val="0"/>
              <w:marBottom w:val="0"/>
              <w:divBdr>
                <w:top w:val="none" w:sz="0" w:space="0" w:color="auto"/>
                <w:left w:val="none" w:sz="0" w:space="0" w:color="auto"/>
                <w:bottom w:val="none" w:sz="0" w:space="0" w:color="auto"/>
                <w:right w:val="none" w:sz="0" w:space="0" w:color="auto"/>
              </w:divBdr>
            </w:div>
            <w:div w:id="1979456361">
              <w:marLeft w:val="0"/>
              <w:marRight w:val="0"/>
              <w:marTop w:val="0"/>
              <w:marBottom w:val="0"/>
              <w:divBdr>
                <w:top w:val="none" w:sz="0" w:space="0" w:color="auto"/>
                <w:left w:val="none" w:sz="0" w:space="0" w:color="auto"/>
                <w:bottom w:val="none" w:sz="0" w:space="0" w:color="auto"/>
                <w:right w:val="none" w:sz="0" w:space="0" w:color="auto"/>
              </w:divBdr>
            </w:div>
          </w:divsChild>
        </w:div>
        <w:div w:id="1016349535">
          <w:marLeft w:val="0"/>
          <w:marRight w:val="0"/>
          <w:marTop w:val="0"/>
          <w:marBottom w:val="0"/>
          <w:divBdr>
            <w:top w:val="none" w:sz="0" w:space="0" w:color="auto"/>
            <w:left w:val="none" w:sz="0" w:space="0" w:color="auto"/>
            <w:bottom w:val="none" w:sz="0" w:space="0" w:color="auto"/>
            <w:right w:val="none" w:sz="0" w:space="0" w:color="auto"/>
          </w:divBdr>
        </w:div>
      </w:divsChild>
    </w:div>
    <w:div w:id="1139372565">
      <w:bodyDiv w:val="1"/>
      <w:marLeft w:val="0"/>
      <w:marRight w:val="0"/>
      <w:marTop w:val="0"/>
      <w:marBottom w:val="0"/>
      <w:divBdr>
        <w:top w:val="none" w:sz="0" w:space="0" w:color="auto"/>
        <w:left w:val="none" w:sz="0" w:space="0" w:color="auto"/>
        <w:bottom w:val="none" w:sz="0" w:space="0" w:color="auto"/>
        <w:right w:val="none" w:sz="0" w:space="0" w:color="auto"/>
      </w:divBdr>
    </w:div>
    <w:div w:id="1242367825">
      <w:bodyDiv w:val="1"/>
      <w:marLeft w:val="0"/>
      <w:marRight w:val="0"/>
      <w:marTop w:val="0"/>
      <w:marBottom w:val="0"/>
      <w:divBdr>
        <w:top w:val="none" w:sz="0" w:space="0" w:color="auto"/>
        <w:left w:val="none" w:sz="0" w:space="0" w:color="auto"/>
        <w:bottom w:val="none" w:sz="0" w:space="0" w:color="auto"/>
        <w:right w:val="none" w:sz="0" w:space="0" w:color="auto"/>
      </w:divBdr>
    </w:div>
    <w:div w:id="1299066023">
      <w:bodyDiv w:val="1"/>
      <w:marLeft w:val="0"/>
      <w:marRight w:val="0"/>
      <w:marTop w:val="0"/>
      <w:marBottom w:val="0"/>
      <w:divBdr>
        <w:top w:val="none" w:sz="0" w:space="0" w:color="auto"/>
        <w:left w:val="none" w:sz="0" w:space="0" w:color="auto"/>
        <w:bottom w:val="none" w:sz="0" w:space="0" w:color="auto"/>
        <w:right w:val="none" w:sz="0" w:space="0" w:color="auto"/>
      </w:divBdr>
      <w:divsChild>
        <w:div w:id="1994336576">
          <w:marLeft w:val="0"/>
          <w:marRight w:val="0"/>
          <w:marTop w:val="0"/>
          <w:marBottom w:val="0"/>
          <w:divBdr>
            <w:top w:val="none" w:sz="0" w:space="0" w:color="auto"/>
            <w:left w:val="none" w:sz="0" w:space="0" w:color="auto"/>
            <w:bottom w:val="none" w:sz="0" w:space="0" w:color="auto"/>
            <w:right w:val="none" w:sz="0" w:space="0" w:color="auto"/>
          </w:divBdr>
        </w:div>
        <w:div w:id="75565682">
          <w:marLeft w:val="0"/>
          <w:marRight w:val="0"/>
          <w:marTop w:val="0"/>
          <w:marBottom w:val="0"/>
          <w:divBdr>
            <w:top w:val="none" w:sz="0" w:space="0" w:color="auto"/>
            <w:left w:val="none" w:sz="0" w:space="0" w:color="auto"/>
            <w:bottom w:val="none" w:sz="0" w:space="0" w:color="auto"/>
            <w:right w:val="none" w:sz="0" w:space="0" w:color="auto"/>
          </w:divBdr>
        </w:div>
      </w:divsChild>
    </w:div>
    <w:div w:id="1349405869">
      <w:bodyDiv w:val="1"/>
      <w:marLeft w:val="0"/>
      <w:marRight w:val="0"/>
      <w:marTop w:val="0"/>
      <w:marBottom w:val="0"/>
      <w:divBdr>
        <w:top w:val="none" w:sz="0" w:space="0" w:color="auto"/>
        <w:left w:val="none" w:sz="0" w:space="0" w:color="auto"/>
        <w:bottom w:val="none" w:sz="0" w:space="0" w:color="auto"/>
        <w:right w:val="none" w:sz="0" w:space="0" w:color="auto"/>
      </w:divBdr>
    </w:div>
    <w:div w:id="1377074910">
      <w:bodyDiv w:val="1"/>
      <w:marLeft w:val="0"/>
      <w:marRight w:val="0"/>
      <w:marTop w:val="0"/>
      <w:marBottom w:val="0"/>
      <w:divBdr>
        <w:top w:val="none" w:sz="0" w:space="0" w:color="auto"/>
        <w:left w:val="none" w:sz="0" w:space="0" w:color="auto"/>
        <w:bottom w:val="none" w:sz="0" w:space="0" w:color="auto"/>
        <w:right w:val="none" w:sz="0" w:space="0" w:color="auto"/>
      </w:divBdr>
      <w:divsChild>
        <w:div w:id="1351180105">
          <w:marLeft w:val="0"/>
          <w:marRight w:val="0"/>
          <w:marTop w:val="0"/>
          <w:marBottom w:val="0"/>
          <w:divBdr>
            <w:top w:val="none" w:sz="0" w:space="0" w:color="auto"/>
            <w:left w:val="none" w:sz="0" w:space="0" w:color="auto"/>
            <w:bottom w:val="none" w:sz="0" w:space="0" w:color="auto"/>
            <w:right w:val="none" w:sz="0" w:space="0" w:color="auto"/>
          </w:divBdr>
        </w:div>
        <w:div w:id="165289046">
          <w:marLeft w:val="0"/>
          <w:marRight w:val="0"/>
          <w:marTop w:val="0"/>
          <w:marBottom w:val="0"/>
          <w:divBdr>
            <w:top w:val="none" w:sz="0" w:space="0" w:color="auto"/>
            <w:left w:val="none" w:sz="0" w:space="0" w:color="auto"/>
            <w:bottom w:val="none" w:sz="0" w:space="0" w:color="auto"/>
            <w:right w:val="none" w:sz="0" w:space="0" w:color="auto"/>
          </w:divBdr>
        </w:div>
        <w:div w:id="449782708">
          <w:marLeft w:val="0"/>
          <w:marRight w:val="0"/>
          <w:marTop w:val="0"/>
          <w:marBottom w:val="0"/>
          <w:divBdr>
            <w:top w:val="none" w:sz="0" w:space="0" w:color="auto"/>
            <w:left w:val="none" w:sz="0" w:space="0" w:color="auto"/>
            <w:bottom w:val="none" w:sz="0" w:space="0" w:color="auto"/>
            <w:right w:val="none" w:sz="0" w:space="0" w:color="auto"/>
          </w:divBdr>
        </w:div>
      </w:divsChild>
    </w:div>
    <w:div w:id="1407189776">
      <w:bodyDiv w:val="1"/>
      <w:marLeft w:val="0"/>
      <w:marRight w:val="0"/>
      <w:marTop w:val="0"/>
      <w:marBottom w:val="0"/>
      <w:divBdr>
        <w:top w:val="none" w:sz="0" w:space="0" w:color="auto"/>
        <w:left w:val="none" w:sz="0" w:space="0" w:color="auto"/>
        <w:bottom w:val="none" w:sz="0" w:space="0" w:color="auto"/>
        <w:right w:val="none" w:sz="0" w:space="0" w:color="auto"/>
      </w:divBdr>
    </w:div>
    <w:div w:id="1470048663">
      <w:bodyDiv w:val="1"/>
      <w:marLeft w:val="0"/>
      <w:marRight w:val="0"/>
      <w:marTop w:val="0"/>
      <w:marBottom w:val="0"/>
      <w:divBdr>
        <w:top w:val="none" w:sz="0" w:space="0" w:color="auto"/>
        <w:left w:val="none" w:sz="0" w:space="0" w:color="auto"/>
        <w:bottom w:val="none" w:sz="0" w:space="0" w:color="auto"/>
        <w:right w:val="none" w:sz="0" w:space="0" w:color="auto"/>
      </w:divBdr>
      <w:divsChild>
        <w:div w:id="2085451736">
          <w:marLeft w:val="0"/>
          <w:marRight w:val="0"/>
          <w:marTop w:val="0"/>
          <w:marBottom w:val="0"/>
          <w:divBdr>
            <w:top w:val="none" w:sz="0" w:space="0" w:color="auto"/>
            <w:left w:val="none" w:sz="0" w:space="0" w:color="auto"/>
            <w:bottom w:val="none" w:sz="0" w:space="0" w:color="auto"/>
            <w:right w:val="none" w:sz="0" w:space="0" w:color="auto"/>
          </w:divBdr>
          <w:divsChild>
            <w:div w:id="1750073854">
              <w:marLeft w:val="0"/>
              <w:marRight w:val="0"/>
              <w:marTop w:val="0"/>
              <w:marBottom w:val="0"/>
              <w:divBdr>
                <w:top w:val="none" w:sz="0" w:space="0" w:color="auto"/>
                <w:left w:val="none" w:sz="0" w:space="0" w:color="auto"/>
                <w:bottom w:val="none" w:sz="0" w:space="0" w:color="auto"/>
                <w:right w:val="none" w:sz="0" w:space="0" w:color="auto"/>
              </w:divBdr>
              <w:divsChild>
                <w:div w:id="631787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0974622">
      <w:bodyDiv w:val="1"/>
      <w:marLeft w:val="0"/>
      <w:marRight w:val="0"/>
      <w:marTop w:val="0"/>
      <w:marBottom w:val="0"/>
      <w:divBdr>
        <w:top w:val="none" w:sz="0" w:space="0" w:color="auto"/>
        <w:left w:val="none" w:sz="0" w:space="0" w:color="auto"/>
        <w:bottom w:val="none" w:sz="0" w:space="0" w:color="auto"/>
        <w:right w:val="none" w:sz="0" w:space="0" w:color="auto"/>
      </w:divBdr>
      <w:divsChild>
        <w:div w:id="217710974">
          <w:marLeft w:val="0"/>
          <w:marRight w:val="0"/>
          <w:marTop w:val="0"/>
          <w:marBottom w:val="0"/>
          <w:divBdr>
            <w:top w:val="none" w:sz="0" w:space="0" w:color="auto"/>
            <w:left w:val="none" w:sz="0" w:space="0" w:color="auto"/>
            <w:bottom w:val="none" w:sz="0" w:space="0" w:color="auto"/>
            <w:right w:val="none" w:sz="0" w:space="0" w:color="auto"/>
          </w:divBdr>
          <w:divsChild>
            <w:div w:id="1272516865">
              <w:marLeft w:val="0"/>
              <w:marRight w:val="0"/>
              <w:marTop w:val="0"/>
              <w:marBottom w:val="0"/>
              <w:divBdr>
                <w:top w:val="none" w:sz="0" w:space="0" w:color="auto"/>
                <w:left w:val="none" w:sz="0" w:space="0" w:color="auto"/>
                <w:bottom w:val="none" w:sz="0" w:space="0" w:color="auto"/>
                <w:right w:val="none" w:sz="0" w:space="0" w:color="auto"/>
              </w:divBdr>
            </w:div>
            <w:div w:id="2109763852">
              <w:marLeft w:val="0"/>
              <w:marRight w:val="0"/>
              <w:marTop w:val="0"/>
              <w:marBottom w:val="0"/>
              <w:divBdr>
                <w:top w:val="none" w:sz="0" w:space="0" w:color="auto"/>
                <w:left w:val="none" w:sz="0" w:space="0" w:color="auto"/>
                <w:bottom w:val="none" w:sz="0" w:space="0" w:color="auto"/>
                <w:right w:val="none" w:sz="0" w:space="0" w:color="auto"/>
              </w:divBdr>
            </w:div>
            <w:div w:id="135539136">
              <w:marLeft w:val="0"/>
              <w:marRight w:val="0"/>
              <w:marTop w:val="0"/>
              <w:marBottom w:val="0"/>
              <w:divBdr>
                <w:top w:val="none" w:sz="0" w:space="0" w:color="auto"/>
                <w:left w:val="none" w:sz="0" w:space="0" w:color="auto"/>
                <w:bottom w:val="none" w:sz="0" w:space="0" w:color="auto"/>
                <w:right w:val="none" w:sz="0" w:space="0" w:color="auto"/>
              </w:divBdr>
            </w:div>
            <w:div w:id="1140534489">
              <w:marLeft w:val="0"/>
              <w:marRight w:val="0"/>
              <w:marTop w:val="0"/>
              <w:marBottom w:val="0"/>
              <w:divBdr>
                <w:top w:val="none" w:sz="0" w:space="0" w:color="auto"/>
                <w:left w:val="none" w:sz="0" w:space="0" w:color="auto"/>
                <w:bottom w:val="none" w:sz="0" w:space="0" w:color="auto"/>
                <w:right w:val="none" w:sz="0" w:space="0" w:color="auto"/>
              </w:divBdr>
            </w:div>
            <w:div w:id="608901853">
              <w:marLeft w:val="0"/>
              <w:marRight w:val="0"/>
              <w:marTop w:val="0"/>
              <w:marBottom w:val="0"/>
              <w:divBdr>
                <w:top w:val="none" w:sz="0" w:space="0" w:color="auto"/>
                <w:left w:val="none" w:sz="0" w:space="0" w:color="auto"/>
                <w:bottom w:val="none" w:sz="0" w:space="0" w:color="auto"/>
                <w:right w:val="none" w:sz="0" w:space="0" w:color="auto"/>
              </w:divBdr>
            </w:div>
            <w:div w:id="614366232">
              <w:marLeft w:val="0"/>
              <w:marRight w:val="0"/>
              <w:marTop w:val="0"/>
              <w:marBottom w:val="0"/>
              <w:divBdr>
                <w:top w:val="none" w:sz="0" w:space="0" w:color="auto"/>
                <w:left w:val="none" w:sz="0" w:space="0" w:color="auto"/>
                <w:bottom w:val="none" w:sz="0" w:space="0" w:color="auto"/>
                <w:right w:val="none" w:sz="0" w:space="0" w:color="auto"/>
              </w:divBdr>
            </w:div>
            <w:div w:id="1086682352">
              <w:marLeft w:val="0"/>
              <w:marRight w:val="0"/>
              <w:marTop w:val="0"/>
              <w:marBottom w:val="0"/>
              <w:divBdr>
                <w:top w:val="none" w:sz="0" w:space="0" w:color="auto"/>
                <w:left w:val="none" w:sz="0" w:space="0" w:color="auto"/>
                <w:bottom w:val="none" w:sz="0" w:space="0" w:color="auto"/>
                <w:right w:val="none" w:sz="0" w:space="0" w:color="auto"/>
              </w:divBdr>
            </w:div>
            <w:div w:id="1372531154">
              <w:marLeft w:val="0"/>
              <w:marRight w:val="0"/>
              <w:marTop w:val="0"/>
              <w:marBottom w:val="0"/>
              <w:divBdr>
                <w:top w:val="none" w:sz="0" w:space="0" w:color="auto"/>
                <w:left w:val="none" w:sz="0" w:space="0" w:color="auto"/>
                <w:bottom w:val="none" w:sz="0" w:space="0" w:color="auto"/>
                <w:right w:val="none" w:sz="0" w:space="0" w:color="auto"/>
              </w:divBdr>
            </w:div>
            <w:div w:id="1940482791">
              <w:marLeft w:val="0"/>
              <w:marRight w:val="0"/>
              <w:marTop w:val="0"/>
              <w:marBottom w:val="0"/>
              <w:divBdr>
                <w:top w:val="none" w:sz="0" w:space="0" w:color="auto"/>
                <w:left w:val="none" w:sz="0" w:space="0" w:color="auto"/>
                <w:bottom w:val="none" w:sz="0" w:space="0" w:color="auto"/>
                <w:right w:val="none" w:sz="0" w:space="0" w:color="auto"/>
              </w:divBdr>
            </w:div>
            <w:div w:id="1037697523">
              <w:marLeft w:val="0"/>
              <w:marRight w:val="0"/>
              <w:marTop w:val="0"/>
              <w:marBottom w:val="0"/>
              <w:divBdr>
                <w:top w:val="none" w:sz="0" w:space="0" w:color="auto"/>
                <w:left w:val="none" w:sz="0" w:space="0" w:color="auto"/>
                <w:bottom w:val="none" w:sz="0" w:space="0" w:color="auto"/>
                <w:right w:val="none" w:sz="0" w:space="0" w:color="auto"/>
              </w:divBdr>
            </w:div>
            <w:div w:id="1480461712">
              <w:marLeft w:val="0"/>
              <w:marRight w:val="0"/>
              <w:marTop w:val="0"/>
              <w:marBottom w:val="0"/>
              <w:divBdr>
                <w:top w:val="none" w:sz="0" w:space="0" w:color="auto"/>
                <w:left w:val="none" w:sz="0" w:space="0" w:color="auto"/>
                <w:bottom w:val="none" w:sz="0" w:space="0" w:color="auto"/>
                <w:right w:val="none" w:sz="0" w:space="0" w:color="auto"/>
              </w:divBdr>
            </w:div>
            <w:div w:id="606230384">
              <w:marLeft w:val="0"/>
              <w:marRight w:val="0"/>
              <w:marTop w:val="0"/>
              <w:marBottom w:val="0"/>
              <w:divBdr>
                <w:top w:val="none" w:sz="0" w:space="0" w:color="auto"/>
                <w:left w:val="none" w:sz="0" w:space="0" w:color="auto"/>
                <w:bottom w:val="none" w:sz="0" w:space="0" w:color="auto"/>
                <w:right w:val="none" w:sz="0" w:space="0" w:color="auto"/>
              </w:divBdr>
            </w:div>
          </w:divsChild>
        </w:div>
        <w:div w:id="1411846611">
          <w:marLeft w:val="0"/>
          <w:marRight w:val="0"/>
          <w:marTop w:val="0"/>
          <w:marBottom w:val="0"/>
          <w:divBdr>
            <w:top w:val="none" w:sz="0" w:space="0" w:color="auto"/>
            <w:left w:val="none" w:sz="0" w:space="0" w:color="auto"/>
            <w:bottom w:val="none" w:sz="0" w:space="0" w:color="auto"/>
            <w:right w:val="none" w:sz="0" w:space="0" w:color="auto"/>
          </w:divBdr>
        </w:div>
      </w:divsChild>
    </w:div>
    <w:div w:id="1528255130">
      <w:bodyDiv w:val="1"/>
      <w:marLeft w:val="0"/>
      <w:marRight w:val="0"/>
      <w:marTop w:val="0"/>
      <w:marBottom w:val="0"/>
      <w:divBdr>
        <w:top w:val="none" w:sz="0" w:space="0" w:color="auto"/>
        <w:left w:val="none" w:sz="0" w:space="0" w:color="auto"/>
        <w:bottom w:val="none" w:sz="0" w:space="0" w:color="auto"/>
        <w:right w:val="none" w:sz="0" w:space="0" w:color="auto"/>
      </w:divBdr>
      <w:divsChild>
        <w:div w:id="124546030">
          <w:marLeft w:val="0"/>
          <w:marRight w:val="0"/>
          <w:marTop w:val="0"/>
          <w:marBottom w:val="0"/>
          <w:divBdr>
            <w:top w:val="none" w:sz="0" w:space="0" w:color="auto"/>
            <w:left w:val="none" w:sz="0" w:space="0" w:color="auto"/>
            <w:bottom w:val="none" w:sz="0" w:space="0" w:color="auto"/>
            <w:right w:val="none" w:sz="0" w:space="0" w:color="auto"/>
          </w:divBdr>
          <w:divsChild>
            <w:div w:id="549457261">
              <w:marLeft w:val="0"/>
              <w:marRight w:val="0"/>
              <w:marTop w:val="0"/>
              <w:marBottom w:val="0"/>
              <w:divBdr>
                <w:top w:val="none" w:sz="0" w:space="0" w:color="auto"/>
                <w:left w:val="none" w:sz="0" w:space="0" w:color="auto"/>
                <w:bottom w:val="none" w:sz="0" w:space="0" w:color="auto"/>
                <w:right w:val="none" w:sz="0" w:space="0" w:color="auto"/>
              </w:divBdr>
            </w:div>
            <w:div w:id="4748977">
              <w:marLeft w:val="0"/>
              <w:marRight w:val="0"/>
              <w:marTop w:val="0"/>
              <w:marBottom w:val="0"/>
              <w:divBdr>
                <w:top w:val="none" w:sz="0" w:space="0" w:color="auto"/>
                <w:left w:val="none" w:sz="0" w:space="0" w:color="auto"/>
                <w:bottom w:val="none" w:sz="0" w:space="0" w:color="auto"/>
                <w:right w:val="none" w:sz="0" w:space="0" w:color="auto"/>
              </w:divBdr>
            </w:div>
            <w:div w:id="769551545">
              <w:marLeft w:val="0"/>
              <w:marRight w:val="0"/>
              <w:marTop w:val="0"/>
              <w:marBottom w:val="0"/>
              <w:divBdr>
                <w:top w:val="none" w:sz="0" w:space="0" w:color="auto"/>
                <w:left w:val="none" w:sz="0" w:space="0" w:color="auto"/>
                <w:bottom w:val="none" w:sz="0" w:space="0" w:color="auto"/>
                <w:right w:val="none" w:sz="0" w:space="0" w:color="auto"/>
              </w:divBdr>
            </w:div>
            <w:div w:id="395980878">
              <w:marLeft w:val="0"/>
              <w:marRight w:val="0"/>
              <w:marTop w:val="0"/>
              <w:marBottom w:val="0"/>
              <w:divBdr>
                <w:top w:val="none" w:sz="0" w:space="0" w:color="auto"/>
                <w:left w:val="none" w:sz="0" w:space="0" w:color="auto"/>
                <w:bottom w:val="none" w:sz="0" w:space="0" w:color="auto"/>
                <w:right w:val="none" w:sz="0" w:space="0" w:color="auto"/>
              </w:divBdr>
            </w:div>
            <w:div w:id="759332818">
              <w:marLeft w:val="0"/>
              <w:marRight w:val="0"/>
              <w:marTop w:val="0"/>
              <w:marBottom w:val="0"/>
              <w:divBdr>
                <w:top w:val="none" w:sz="0" w:space="0" w:color="auto"/>
                <w:left w:val="none" w:sz="0" w:space="0" w:color="auto"/>
                <w:bottom w:val="none" w:sz="0" w:space="0" w:color="auto"/>
                <w:right w:val="none" w:sz="0" w:space="0" w:color="auto"/>
              </w:divBdr>
            </w:div>
            <w:div w:id="1231816081">
              <w:marLeft w:val="0"/>
              <w:marRight w:val="0"/>
              <w:marTop w:val="0"/>
              <w:marBottom w:val="0"/>
              <w:divBdr>
                <w:top w:val="none" w:sz="0" w:space="0" w:color="auto"/>
                <w:left w:val="none" w:sz="0" w:space="0" w:color="auto"/>
                <w:bottom w:val="none" w:sz="0" w:space="0" w:color="auto"/>
                <w:right w:val="none" w:sz="0" w:space="0" w:color="auto"/>
              </w:divBdr>
            </w:div>
          </w:divsChild>
        </w:div>
        <w:div w:id="834883031">
          <w:marLeft w:val="0"/>
          <w:marRight w:val="0"/>
          <w:marTop w:val="0"/>
          <w:marBottom w:val="0"/>
          <w:divBdr>
            <w:top w:val="none" w:sz="0" w:space="0" w:color="auto"/>
            <w:left w:val="none" w:sz="0" w:space="0" w:color="auto"/>
            <w:bottom w:val="none" w:sz="0" w:space="0" w:color="auto"/>
            <w:right w:val="none" w:sz="0" w:space="0" w:color="auto"/>
          </w:divBdr>
        </w:div>
      </w:divsChild>
    </w:div>
    <w:div w:id="1566524185">
      <w:bodyDiv w:val="1"/>
      <w:marLeft w:val="0"/>
      <w:marRight w:val="0"/>
      <w:marTop w:val="0"/>
      <w:marBottom w:val="0"/>
      <w:divBdr>
        <w:top w:val="none" w:sz="0" w:space="0" w:color="auto"/>
        <w:left w:val="none" w:sz="0" w:space="0" w:color="auto"/>
        <w:bottom w:val="none" w:sz="0" w:space="0" w:color="auto"/>
        <w:right w:val="none" w:sz="0" w:space="0" w:color="auto"/>
      </w:divBdr>
      <w:divsChild>
        <w:div w:id="1208224991">
          <w:marLeft w:val="0"/>
          <w:marRight w:val="0"/>
          <w:marTop w:val="0"/>
          <w:marBottom w:val="0"/>
          <w:divBdr>
            <w:top w:val="none" w:sz="0" w:space="0" w:color="auto"/>
            <w:left w:val="none" w:sz="0" w:space="0" w:color="auto"/>
            <w:bottom w:val="none" w:sz="0" w:space="0" w:color="auto"/>
            <w:right w:val="none" w:sz="0" w:space="0" w:color="auto"/>
          </w:divBdr>
        </w:div>
        <w:div w:id="1418557380">
          <w:marLeft w:val="0"/>
          <w:marRight w:val="0"/>
          <w:marTop w:val="0"/>
          <w:marBottom w:val="0"/>
          <w:divBdr>
            <w:top w:val="none" w:sz="0" w:space="0" w:color="auto"/>
            <w:left w:val="none" w:sz="0" w:space="0" w:color="auto"/>
            <w:bottom w:val="none" w:sz="0" w:space="0" w:color="auto"/>
            <w:right w:val="none" w:sz="0" w:space="0" w:color="auto"/>
          </w:divBdr>
        </w:div>
        <w:div w:id="1188828998">
          <w:marLeft w:val="0"/>
          <w:marRight w:val="0"/>
          <w:marTop w:val="0"/>
          <w:marBottom w:val="0"/>
          <w:divBdr>
            <w:top w:val="none" w:sz="0" w:space="0" w:color="auto"/>
            <w:left w:val="none" w:sz="0" w:space="0" w:color="auto"/>
            <w:bottom w:val="none" w:sz="0" w:space="0" w:color="auto"/>
            <w:right w:val="none" w:sz="0" w:space="0" w:color="auto"/>
          </w:divBdr>
        </w:div>
      </w:divsChild>
    </w:div>
    <w:div w:id="1798137579">
      <w:bodyDiv w:val="1"/>
      <w:marLeft w:val="0"/>
      <w:marRight w:val="0"/>
      <w:marTop w:val="0"/>
      <w:marBottom w:val="0"/>
      <w:divBdr>
        <w:top w:val="none" w:sz="0" w:space="0" w:color="auto"/>
        <w:left w:val="none" w:sz="0" w:space="0" w:color="auto"/>
        <w:bottom w:val="none" w:sz="0" w:space="0" w:color="auto"/>
        <w:right w:val="none" w:sz="0" w:space="0" w:color="auto"/>
      </w:divBdr>
    </w:div>
    <w:div w:id="1854682169">
      <w:bodyDiv w:val="1"/>
      <w:marLeft w:val="0"/>
      <w:marRight w:val="0"/>
      <w:marTop w:val="0"/>
      <w:marBottom w:val="0"/>
      <w:divBdr>
        <w:top w:val="none" w:sz="0" w:space="0" w:color="auto"/>
        <w:left w:val="none" w:sz="0" w:space="0" w:color="auto"/>
        <w:bottom w:val="none" w:sz="0" w:space="0" w:color="auto"/>
        <w:right w:val="none" w:sz="0" w:space="0" w:color="auto"/>
      </w:divBdr>
      <w:divsChild>
        <w:div w:id="1530292808">
          <w:marLeft w:val="0"/>
          <w:marRight w:val="0"/>
          <w:marTop w:val="0"/>
          <w:marBottom w:val="0"/>
          <w:divBdr>
            <w:top w:val="none" w:sz="0" w:space="0" w:color="auto"/>
            <w:left w:val="none" w:sz="0" w:space="0" w:color="auto"/>
            <w:bottom w:val="none" w:sz="0" w:space="0" w:color="auto"/>
            <w:right w:val="none" w:sz="0" w:space="0" w:color="auto"/>
          </w:divBdr>
        </w:div>
        <w:div w:id="1730421396">
          <w:marLeft w:val="0"/>
          <w:marRight w:val="0"/>
          <w:marTop w:val="0"/>
          <w:marBottom w:val="0"/>
          <w:divBdr>
            <w:top w:val="none" w:sz="0" w:space="0" w:color="auto"/>
            <w:left w:val="none" w:sz="0" w:space="0" w:color="auto"/>
            <w:bottom w:val="none" w:sz="0" w:space="0" w:color="auto"/>
            <w:right w:val="none" w:sz="0" w:space="0" w:color="auto"/>
          </w:divBdr>
        </w:div>
        <w:div w:id="547910860">
          <w:marLeft w:val="0"/>
          <w:marRight w:val="0"/>
          <w:marTop w:val="0"/>
          <w:marBottom w:val="0"/>
          <w:divBdr>
            <w:top w:val="none" w:sz="0" w:space="0" w:color="auto"/>
            <w:left w:val="none" w:sz="0" w:space="0" w:color="auto"/>
            <w:bottom w:val="none" w:sz="0" w:space="0" w:color="auto"/>
            <w:right w:val="none" w:sz="0" w:space="0" w:color="auto"/>
          </w:divBdr>
        </w:div>
      </w:divsChild>
    </w:div>
    <w:div w:id="1956984636">
      <w:bodyDiv w:val="1"/>
      <w:marLeft w:val="0"/>
      <w:marRight w:val="0"/>
      <w:marTop w:val="0"/>
      <w:marBottom w:val="0"/>
      <w:divBdr>
        <w:top w:val="none" w:sz="0" w:space="0" w:color="auto"/>
        <w:left w:val="none" w:sz="0" w:space="0" w:color="auto"/>
        <w:bottom w:val="none" w:sz="0" w:space="0" w:color="auto"/>
        <w:right w:val="none" w:sz="0" w:space="0" w:color="auto"/>
      </w:divBdr>
    </w:div>
    <w:div w:id="1960916647">
      <w:bodyDiv w:val="1"/>
      <w:marLeft w:val="0"/>
      <w:marRight w:val="0"/>
      <w:marTop w:val="0"/>
      <w:marBottom w:val="0"/>
      <w:divBdr>
        <w:top w:val="none" w:sz="0" w:space="0" w:color="auto"/>
        <w:left w:val="none" w:sz="0" w:space="0" w:color="auto"/>
        <w:bottom w:val="none" w:sz="0" w:space="0" w:color="auto"/>
        <w:right w:val="none" w:sz="0" w:space="0" w:color="auto"/>
      </w:divBdr>
      <w:divsChild>
        <w:div w:id="347635681">
          <w:marLeft w:val="0"/>
          <w:marRight w:val="0"/>
          <w:marTop w:val="0"/>
          <w:marBottom w:val="0"/>
          <w:divBdr>
            <w:top w:val="none" w:sz="0" w:space="0" w:color="auto"/>
            <w:left w:val="none" w:sz="0" w:space="0" w:color="auto"/>
            <w:bottom w:val="none" w:sz="0" w:space="0" w:color="auto"/>
            <w:right w:val="none" w:sz="0" w:space="0" w:color="auto"/>
          </w:divBdr>
          <w:divsChild>
            <w:div w:id="1284996594">
              <w:marLeft w:val="0"/>
              <w:marRight w:val="0"/>
              <w:marTop w:val="0"/>
              <w:marBottom w:val="0"/>
              <w:divBdr>
                <w:top w:val="none" w:sz="0" w:space="0" w:color="auto"/>
                <w:left w:val="none" w:sz="0" w:space="0" w:color="auto"/>
                <w:bottom w:val="none" w:sz="0" w:space="0" w:color="auto"/>
                <w:right w:val="none" w:sz="0" w:space="0" w:color="auto"/>
              </w:divBdr>
            </w:div>
            <w:div w:id="1489593953">
              <w:marLeft w:val="0"/>
              <w:marRight w:val="0"/>
              <w:marTop w:val="0"/>
              <w:marBottom w:val="0"/>
              <w:divBdr>
                <w:top w:val="none" w:sz="0" w:space="0" w:color="auto"/>
                <w:left w:val="none" w:sz="0" w:space="0" w:color="auto"/>
                <w:bottom w:val="none" w:sz="0" w:space="0" w:color="auto"/>
                <w:right w:val="none" w:sz="0" w:space="0" w:color="auto"/>
              </w:divBdr>
            </w:div>
            <w:div w:id="842818047">
              <w:marLeft w:val="0"/>
              <w:marRight w:val="0"/>
              <w:marTop w:val="0"/>
              <w:marBottom w:val="0"/>
              <w:divBdr>
                <w:top w:val="none" w:sz="0" w:space="0" w:color="auto"/>
                <w:left w:val="none" w:sz="0" w:space="0" w:color="auto"/>
                <w:bottom w:val="none" w:sz="0" w:space="0" w:color="auto"/>
                <w:right w:val="none" w:sz="0" w:space="0" w:color="auto"/>
              </w:divBdr>
            </w:div>
            <w:div w:id="246691075">
              <w:marLeft w:val="0"/>
              <w:marRight w:val="0"/>
              <w:marTop w:val="0"/>
              <w:marBottom w:val="0"/>
              <w:divBdr>
                <w:top w:val="none" w:sz="0" w:space="0" w:color="auto"/>
                <w:left w:val="none" w:sz="0" w:space="0" w:color="auto"/>
                <w:bottom w:val="none" w:sz="0" w:space="0" w:color="auto"/>
                <w:right w:val="none" w:sz="0" w:space="0" w:color="auto"/>
              </w:divBdr>
            </w:div>
            <w:div w:id="1075667805">
              <w:marLeft w:val="0"/>
              <w:marRight w:val="0"/>
              <w:marTop w:val="0"/>
              <w:marBottom w:val="0"/>
              <w:divBdr>
                <w:top w:val="none" w:sz="0" w:space="0" w:color="auto"/>
                <w:left w:val="none" w:sz="0" w:space="0" w:color="auto"/>
                <w:bottom w:val="none" w:sz="0" w:space="0" w:color="auto"/>
                <w:right w:val="none" w:sz="0" w:space="0" w:color="auto"/>
              </w:divBdr>
            </w:div>
          </w:divsChild>
        </w:div>
        <w:div w:id="84351421">
          <w:marLeft w:val="0"/>
          <w:marRight w:val="0"/>
          <w:marTop w:val="0"/>
          <w:marBottom w:val="0"/>
          <w:divBdr>
            <w:top w:val="none" w:sz="0" w:space="0" w:color="auto"/>
            <w:left w:val="none" w:sz="0" w:space="0" w:color="auto"/>
            <w:bottom w:val="none" w:sz="0" w:space="0" w:color="auto"/>
            <w:right w:val="none" w:sz="0" w:space="0" w:color="auto"/>
          </w:divBdr>
        </w:div>
      </w:divsChild>
    </w:div>
    <w:div w:id="2006975613">
      <w:bodyDiv w:val="1"/>
      <w:marLeft w:val="0"/>
      <w:marRight w:val="0"/>
      <w:marTop w:val="0"/>
      <w:marBottom w:val="0"/>
      <w:divBdr>
        <w:top w:val="none" w:sz="0" w:space="0" w:color="auto"/>
        <w:left w:val="none" w:sz="0" w:space="0" w:color="auto"/>
        <w:bottom w:val="none" w:sz="0" w:space="0" w:color="auto"/>
        <w:right w:val="none" w:sz="0" w:space="0" w:color="auto"/>
      </w:divBdr>
      <w:divsChild>
        <w:div w:id="597450718">
          <w:marLeft w:val="0"/>
          <w:marRight w:val="0"/>
          <w:marTop w:val="0"/>
          <w:marBottom w:val="0"/>
          <w:divBdr>
            <w:top w:val="none" w:sz="0" w:space="0" w:color="auto"/>
            <w:left w:val="none" w:sz="0" w:space="0" w:color="auto"/>
            <w:bottom w:val="none" w:sz="0" w:space="0" w:color="auto"/>
            <w:right w:val="none" w:sz="0" w:space="0" w:color="auto"/>
          </w:divBdr>
        </w:div>
        <w:div w:id="2124641715">
          <w:marLeft w:val="0"/>
          <w:marRight w:val="0"/>
          <w:marTop w:val="0"/>
          <w:marBottom w:val="0"/>
          <w:divBdr>
            <w:top w:val="none" w:sz="0" w:space="0" w:color="auto"/>
            <w:left w:val="none" w:sz="0" w:space="0" w:color="auto"/>
            <w:bottom w:val="none" w:sz="0" w:space="0" w:color="auto"/>
            <w:right w:val="none" w:sz="0" w:space="0" w:color="auto"/>
          </w:divBdr>
        </w:div>
        <w:div w:id="1618566207">
          <w:marLeft w:val="0"/>
          <w:marRight w:val="0"/>
          <w:marTop w:val="0"/>
          <w:marBottom w:val="0"/>
          <w:divBdr>
            <w:top w:val="none" w:sz="0" w:space="0" w:color="auto"/>
            <w:left w:val="none" w:sz="0" w:space="0" w:color="auto"/>
            <w:bottom w:val="none" w:sz="0" w:space="0" w:color="auto"/>
            <w:right w:val="none" w:sz="0" w:space="0" w:color="auto"/>
          </w:divBdr>
        </w:div>
      </w:divsChild>
    </w:div>
    <w:div w:id="2075465582">
      <w:bodyDiv w:val="1"/>
      <w:marLeft w:val="0"/>
      <w:marRight w:val="0"/>
      <w:marTop w:val="0"/>
      <w:marBottom w:val="0"/>
      <w:divBdr>
        <w:top w:val="none" w:sz="0" w:space="0" w:color="auto"/>
        <w:left w:val="none" w:sz="0" w:space="0" w:color="auto"/>
        <w:bottom w:val="none" w:sz="0" w:space="0" w:color="auto"/>
        <w:right w:val="none" w:sz="0" w:space="0" w:color="auto"/>
      </w:divBdr>
      <w:divsChild>
        <w:div w:id="415781777">
          <w:marLeft w:val="0"/>
          <w:marRight w:val="0"/>
          <w:marTop w:val="0"/>
          <w:marBottom w:val="0"/>
          <w:divBdr>
            <w:top w:val="none" w:sz="0" w:space="0" w:color="auto"/>
            <w:left w:val="none" w:sz="0" w:space="0" w:color="auto"/>
            <w:bottom w:val="none" w:sz="0" w:space="0" w:color="auto"/>
            <w:right w:val="none" w:sz="0" w:space="0" w:color="auto"/>
          </w:divBdr>
        </w:div>
        <w:div w:id="1935547274">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oleObject" Target="embeddings/oleObject3.bin"/>
  <Relationship Id="rId11" Type="http://schemas.openxmlformats.org/officeDocument/2006/relationships/fontTable" Target="fontTable.xml"/>
  <Relationship Id="rId12" Type="http://schemas.openxmlformats.org/officeDocument/2006/relationships/theme" Target="theme/theme1.xml"/>
  <Relationship Id="rId13"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oleObject" Target="embeddings/oleObject1.bin"/>
  <Relationship Id="rId9" Type="http://schemas.openxmlformats.org/officeDocument/2006/relationships/oleObject" Target="embeddings/oleObject2.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ddc74a8fc66347198b799abb5e366f20" PartId="16aefec880ec4cc6bf455249000b65a3"/>
</Parts>
</file>

<file path=customXml/itemProps1.xml><?xml version="1.0" encoding="utf-8"?>
<ds:datastoreItem xmlns:ds="http://schemas.openxmlformats.org/officeDocument/2006/customXml" ds:itemID="{1757C9A2-5D8F-45A9-A070-C26EE8F8ACE8}">
  <ds:schemaRefs>
    <ds:schemaRef ds:uri="http://schemas.openxmlformats.org/officeDocument/2006/bibliography"/>
  </ds:schemaRefs>
</ds:datastoreItem>
</file>

<file path=customXml/itemProps2.xml><?xml version="1.0" encoding="utf-8"?>
<ds:datastoreItem xmlns:ds="http://schemas.openxmlformats.org/officeDocument/2006/customXml" ds:itemID="{DD6EBB98-3B8F-4754-A5E9-837BAF29589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1153</Words>
  <Characters>7986</Characters>
  <Application>Microsoft Office Word</Application>
  <DocSecurity>4</DocSecurity>
  <Lines>221</Lines>
  <Paragraphs>87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9052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2022-12-09T06:11:00Z</dcterms:created>
  <dc:creator>Valentina Tuskenytė</dc:creator>
  <lastModifiedBy>adlibuser</lastModifiedBy>
  <dcterms:modified xsi:type="dcterms:W3CDTF">2022-12-09T06:11:00Z</dcterms:modified>
  <revision>2</revision>
</coreProperties>
</file>