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b2d4c0973b43422f80dc17204a50fb07"/>
        <w:lock w:val="sdtLocked"/>
        <w:richText/>
      </w:sdtPr>
      <w:sdtContent>
        <w:tbl>
          <w:tblPr>
            <w:tblW w:w="9638" w:type="dxa"/>
            <w:tblInd w:w="55" w:type="dxa"/>
            <w:tblLayout w:type="fixed"/>
            <w:tblCellMar>
              <w:top w:w="55" w:type="dxa"/>
              <w:left w:w="55" w:type="dxa"/>
              <w:bottom w:w="55" w:type="dxa"/>
              <w:right w:w="55" w:type="dxa"/>
            </w:tblCellMar>
            <w:tblLook w:val="04A0" w:firstRow="1" w:lastRow="0" w:firstColumn="1" w:lastColumn="0" w:noHBand="0" w:noVBand="1"/>
          </w:tblPr>
          <w:tblGrid>
            <w:gridCol w:w="5529"/>
            <w:gridCol w:w="141"/>
            <w:gridCol w:w="1270"/>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Times New Roman" w:cs="Tahoma"/>
                    <w:szCs w:val="24"/>
                    <w:lang w:eastAsia="zh-CN" w:bidi="en-US"/>
                  </w:rPr>
                </w:pPr>
              </w:p>
              <w:p>
                <w:pPr>
                  <w:widowControl w:val="0"/>
                  <w:suppressLineNumbers/>
                  <w:suppressAutoHyphens/>
                  <w:jc w:val="center"/>
                  <w:rPr>
                    <w:rFonts w:eastAsia="Andale Sans UI;Times New Roman" w:cs="Tahoma"/>
                    <w:b/>
                    <w:bCs/>
                    <w:spacing w:val="20"/>
                    <w:sz w:val="28"/>
                    <w:szCs w:val="28"/>
                    <w:lang w:eastAsia="zh-CN" w:bidi="en-US"/>
                  </w:rPr>
                </w:pPr>
                <w:r>
                  <w:rPr>
                    <w:rFonts w:eastAsia="Andale Sans UI;Times New Roman" w:cs="Tahoma"/>
                    <w:b/>
                    <w:bCs/>
                    <w:spacing w:val="20"/>
                    <w:sz w:val="26"/>
                    <w:szCs w:val="26"/>
                    <w:lang w:val="en-US"/>
                  </w:rPr>
                  <w:drawing>
                    <wp:inline distT="0" distB="0" distL="0" distR="0">
                      <wp:extent cx="522605" cy="617855"/>
                      <wp:effectExtent l="0" t="0" r="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6"/>
                              <a:srcRect l="-11" t="-9" r="-11" b="-9"/>
                              <a:stretch>
                                <a:fillRect/>
                              </a:stretch>
                            </pic:blipFill>
                            <pic:spPr bwMode="auto">
                              <a:xfrm>
                                <a:off x="0" y="0"/>
                                <a:ext cx="522605" cy="617855"/>
                              </a:xfrm>
                              <a:prstGeom prst="rect">
                                <a:avLst/>
                              </a:prstGeom>
                            </pic:spPr>
                          </pic:pic>
                        </a:graphicData>
                      </a:graphic>
                    </wp:inline>
                  </w:drawing>
                </w:r>
              </w:p>
              <w:p>
                <w:pPr>
                  <w:rPr>
                    <w:sz w:val="10"/>
                    <w:szCs w:val="10"/>
                  </w:rPr>
                </w:pPr>
              </w:p>
              <w:p>
                <w:pPr>
                  <w:widowControl w:val="0"/>
                  <w:suppressLineNumbers/>
                  <w:suppressAutoHyphens/>
                  <w:jc w:val="center"/>
                  <w:rPr>
                    <w:rFonts w:eastAsia="Andale Sans UI;Times New Roman" w:cs="Tahoma"/>
                    <w:b/>
                    <w:bCs/>
                    <w:spacing w:val="20"/>
                    <w:sz w:val="28"/>
                    <w:szCs w:val="28"/>
                    <w:lang w:eastAsia="zh-CN" w:bidi="en-US"/>
                  </w:rPr>
                </w:pPr>
                <w:r>
                  <w:rPr>
                    <w:rFonts w:eastAsia="Andale Sans UI;Times New Roman" w:cs="Tahoma"/>
                    <w:b/>
                    <w:bCs/>
                    <w:spacing w:val="20"/>
                    <w:sz w:val="28"/>
                    <w:szCs w:val="28"/>
                    <w:lang w:eastAsia="zh-CN" w:bidi="en-US"/>
                  </w:rPr>
                  <w:t>LIETUVOS RESPUBLIKOS APLINKOS MINISTERIJA</w:t>
                </w:r>
              </w:p>
              <w:p>
                <w:pPr>
                  <w:rPr>
                    <w:sz w:val="10"/>
                    <w:szCs w:val="10"/>
                  </w:rPr>
                </w:pPr>
              </w:p>
              <w:p>
                <w:pPr>
                  <w:widowControl w:val="0"/>
                  <w:suppressLineNumbers/>
                  <w:suppressAutoHyphens/>
                  <w:jc w:val="center"/>
                  <w:rPr>
                    <w:rFonts w:eastAsia="Andale Sans UI;Times New Roman" w:cs="Tahoma"/>
                    <w:szCs w:val="24"/>
                    <w:lang w:eastAsia="zh-CN" w:bidi="en-US"/>
                  </w:rPr>
                </w:pPr>
                <w:r>
                  <w:rPr>
                    <w:rFonts w:ascii="Arial" w:eastAsia="Andale Sans UI;Times New Roman" w:hAnsi="Arial" w:cs="Arial"/>
                    <w:b/>
                    <w:bCs/>
                    <w:spacing w:val="12"/>
                    <w:sz w:val="14"/>
                    <w:szCs w:val="14"/>
                    <w:lang w:eastAsia="zh-CN" w:bidi="en-US"/>
                  </w:rPr>
                  <w:t>Biudžetinė įstaiga, A. Jakšto g. 4, LT-01105 Vilnius,</w:t>
                </w:r>
              </w:p>
              <w:p>
                <w:pPr>
                  <w:widowControl w:val="0"/>
                  <w:suppressLineNumbers/>
                  <w:suppressAutoHyphens/>
                  <w:jc w:val="center"/>
                  <w:rPr>
                    <w:rFonts w:ascii="Arial" w:eastAsia="Andale Sans UI;Times New Roman" w:hAnsi="Arial" w:cs="Arial"/>
                    <w:b/>
                    <w:bCs/>
                    <w:spacing w:val="12"/>
                    <w:sz w:val="14"/>
                    <w:szCs w:val="14"/>
                    <w:lang w:eastAsia="zh-CN" w:bidi="en-US"/>
                  </w:rPr>
                </w:pPr>
                <w:r>
                  <w:rPr>
                    <w:rFonts w:ascii="Arial" w:eastAsia="Andale Sans UI;Times New Roman" w:hAnsi="Arial" w:cs="Arial"/>
                    <w:b/>
                    <w:bCs/>
                    <w:spacing w:val="12"/>
                    <w:sz w:val="14"/>
                    <w:szCs w:val="14"/>
                    <w:lang w:eastAsia="zh-CN" w:bidi="en-US"/>
                  </w:rPr>
                  <w:t>tel. (8~5) 266 3661, faks. (8~5) 266 3663, el. p. info@am.lt, http://www.am.lt.</w:t>
                </w:r>
              </w:p>
              <w:p>
                <w:pPr>
                  <w:widowControl w:val="0"/>
                  <w:suppressLineNumbers/>
                  <w:suppressAutoHyphens/>
                  <w:jc w:val="center"/>
                  <w:rPr>
                    <w:rFonts w:ascii="Arial" w:eastAsia="Andale Sans UI;Times New Roman" w:hAnsi="Arial" w:cs="Arial"/>
                    <w:b/>
                    <w:bCs/>
                    <w:spacing w:val="12"/>
                    <w:sz w:val="14"/>
                    <w:szCs w:val="14"/>
                    <w:lang w:eastAsia="zh-CN" w:bidi="en-US"/>
                  </w:rPr>
                </w:pPr>
                <w:r>
                  <w:rPr>
                    <w:rFonts w:ascii="Arial" w:eastAsia="Andale Sans UI;Times New Roman" w:hAnsi="Arial" w:cs="Arial"/>
                    <w:b/>
                    <w:bCs/>
                    <w:spacing w:val="12"/>
                    <w:sz w:val="14"/>
                    <w:szCs w:val="14"/>
                    <w:lang w:eastAsia="zh-CN"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snapToGrid w:val="0"/>
                  <w:rPr>
                    <w:rFonts w:ascii="Arial" w:eastAsia="Andale Sans UI;Times New Roman" w:hAnsi="Arial" w:cs="Arial"/>
                    <w:b/>
                    <w:bCs/>
                    <w:spacing w:val="12"/>
                    <w:sz w:val="14"/>
                    <w:szCs w:val="14"/>
                    <w:lang w:eastAsia="zh-CN" w:bidi="en-US"/>
                  </w:rPr>
                </w:pPr>
              </w:p>
            </w:tc>
          </w:tr>
          <w:tr>
            <w:trPr>
              <w:cantSplit/>
              <w:trHeight w:val="340"/>
            </w:trPr>
            <w:tc>
              <w:tcPr>
                <w:tcW w:w="5529" w:type="dxa"/>
                <w:vMerge w:val="restart"/>
                <w:tcMar>
                  <w:top w:w="0" w:type="dxa"/>
                  <w:left w:w="0" w:type="dxa"/>
                  <w:bottom w:w="0" w:type="dxa"/>
                  <w:right w:w="0" w:type="dxa"/>
                </w:tcMar>
              </w:tcPr>
              <w:p>
                <w:pPr>
                  <w:widowControl w:val="0"/>
                  <w:suppressLineNumbers/>
                  <w:suppressAutoHyphens/>
                  <w:rPr>
                    <w:rFonts w:eastAsia="Andale Sans UI;Times New Roman" w:cs="Tahoma"/>
                    <w:szCs w:val="24"/>
                    <w:lang w:eastAsia="zh-CN" w:bidi="en-US"/>
                  </w:rPr>
                </w:pPr>
                <w:r>
                  <w:rPr>
                    <w:rFonts w:eastAsia="Andale Sans UI;Times New Roman" w:cs="Tahoma"/>
                    <w:szCs w:val="24"/>
                    <w:lang w:eastAsia="zh-CN" w:bidi="en-US"/>
                  </w:rPr>
                  <w:t>Adresatams pagal sąrašą</w:t>
                </w:r>
              </w:p>
              <w:p>
                <w:pPr>
                  <w:widowControl w:val="0"/>
                  <w:suppressLineNumbers/>
                  <w:suppressAutoHyphens/>
                  <w:rPr>
                    <w:rFonts w:eastAsia="Andale Sans UI;Times New Roman" w:cs="Tahoma"/>
                    <w:szCs w:val="24"/>
                    <w:lang w:eastAsia="zh-CN" w:bidi="en-US"/>
                  </w:rPr>
                </w:pPr>
              </w:p>
            </w:tc>
            <w:tc>
              <w:tcPr>
                <w:tcW w:w="141" w:type="dxa"/>
                <w:tcMar>
                  <w:top w:w="0" w:type="dxa"/>
                  <w:left w:w="0" w:type="dxa"/>
                  <w:bottom w:w="0" w:type="dxa"/>
                  <w:right w:w="0" w:type="dxa"/>
                </w:tcMar>
              </w:tcPr>
              <w:p>
                <w:pPr>
                  <w:widowControl w:val="0"/>
                  <w:suppressAutoHyphens/>
                  <w:snapToGrid w:val="0"/>
                  <w:ind w:right="67"/>
                  <w:jc w:val="right"/>
                  <w:rPr>
                    <w:rFonts w:eastAsia="Andale Sans UI;Times New Roman" w:cs="Tahoma"/>
                    <w:spacing w:val="10"/>
                    <w:szCs w:val="24"/>
                    <w:lang w:eastAsia="zh-CN" w:bidi="en-US"/>
                  </w:rPr>
                </w:pPr>
              </w:p>
            </w:tc>
            <w:tc>
              <w:tcPr>
                <w:tcW w:w="1270" w:type="dxa"/>
                <w:tcMar>
                  <w:top w:w="0" w:type="dxa"/>
                  <w:left w:w="0" w:type="dxa"/>
                  <w:bottom w:w="0" w:type="dxa"/>
                  <w:right w:w="0" w:type="dxa"/>
                </w:tcMar>
              </w:tcPr>
              <w:p>
                <w:pPr>
                  <w:widowControl w:val="0"/>
                  <w:suppressLineNumbers/>
                  <w:suppressAutoHyphens/>
                  <w:snapToGrid w:val="0"/>
                  <w:ind w:right="67"/>
                  <w:rPr>
                    <w:rFonts w:eastAsia="Andale Sans UI;Times New Roman" w:cs="Tahoma"/>
                    <w:spacing w:val="10"/>
                    <w:szCs w:val="24"/>
                    <w:lang w:eastAsia="zh-CN" w:bidi="en-US"/>
                  </w:rPr>
                </w:pPr>
              </w:p>
            </w:tc>
            <w:tc>
              <w:tcPr>
                <w:tcW w:w="565" w:type="dxa"/>
              </w:tcPr>
              <w:p>
                <w:pPr>
                  <w:widowControl w:val="0"/>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Nr.</w:t>
                </w:r>
              </w:p>
            </w:tc>
            <w:tc>
              <w:tcPr>
                <w:tcW w:w="2133" w:type="dxa"/>
              </w:tcPr>
              <w:p>
                <w:pPr>
                  <w:widowControl w:val="0"/>
                  <w:suppressLineNumbers/>
                  <w:suppressAutoHyphens/>
                  <w:snapToGrid w:val="0"/>
                  <w:ind w:right="67"/>
                  <w:rPr>
                    <w:rFonts w:eastAsia="Andale Sans UI;Times New Roman" w:cs="Tahoma"/>
                    <w:spacing w:val="10"/>
                    <w:szCs w:val="24"/>
                    <w:lang w:eastAsia="zh-CN" w:bidi="en-US"/>
                  </w:rPr>
                </w:pPr>
              </w:p>
            </w:tc>
          </w:tr>
          <w:tr>
            <w:trPr>
              <w:cantSplit/>
              <w:trHeight w:val="340"/>
            </w:trPr>
            <w:tc>
              <w:tcPr>
                <w:tcW w:w="5529" w:type="dxa"/>
                <w:vMerge/>
                <w:tcMar>
                  <w:top w:w="0" w:type="dxa"/>
                  <w:left w:w="0" w:type="dxa"/>
                  <w:bottom w:w="0" w:type="dxa"/>
                  <w:right w:w="0" w:type="dxa"/>
                </w:tcMar>
              </w:tcPr>
              <w:p>
                <w:pPr>
                  <w:widowControl w:val="0"/>
                  <w:suppressAutoHyphens/>
                  <w:snapToGrid w:val="0"/>
                  <w:rPr>
                    <w:rFonts w:eastAsia="Andale Sans UI;Times New Roman" w:cs="Tahoma"/>
                    <w:szCs w:val="24"/>
                    <w:lang w:eastAsia="zh-CN" w:bidi="en-US"/>
                  </w:rPr>
                </w:pPr>
              </w:p>
            </w:tc>
            <w:tc>
              <w:tcPr>
                <w:tcW w:w="141" w:type="dxa"/>
                <w:tcMar>
                  <w:top w:w="0" w:type="dxa"/>
                  <w:left w:w="0" w:type="dxa"/>
                  <w:bottom w:w="0" w:type="dxa"/>
                  <w:right w:w="0" w:type="dxa"/>
                </w:tcMar>
              </w:tcPr>
              <w:p>
                <w:pPr>
                  <w:widowControl w:val="0"/>
                  <w:tabs>
                    <w:tab w:val="left" w:pos="2869"/>
                  </w:tabs>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Į</w:t>
                </w:r>
              </w:p>
            </w:tc>
            <w:tc>
              <w:tcPr>
                <w:tcW w:w="1270" w:type="dxa"/>
                <w:tcMar>
                  <w:top w:w="0" w:type="dxa"/>
                  <w:left w:w="0" w:type="dxa"/>
                  <w:bottom w:w="0" w:type="dxa"/>
                  <w:right w:w="0" w:type="dxa"/>
                </w:tcMar>
              </w:tcPr>
              <w:p>
                <w:pPr>
                  <w:widowControl w:val="0"/>
                  <w:suppressLineNumbers/>
                  <w:suppressAutoHyphens/>
                  <w:snapToGrid w:val="0"/>
                  <w:ind w:right="67"/>
                  <w:rPr>
                    <w:rFonts w:eastAsia="Andale Sans UI;Times New Roman" w:cs="Tahoma"/>
                    <w:spacing w:val="10"/>
                    <w:szCs w:val="24"/>
                    <w:lang w:eastAsia="zh-CN" w:bidi="en-US"/>
                  </w:rPr>
                </w:pPr>
              </w:p>
            </w:tc>
            <w:tc>
              <w:tcPr>
                <w:tcW w:w="565" w:type="dxa"/>
              </w:tcPr>
              <w:p>
                <w:pPr>
                  <w:widowControl w:val="0"/>
                  <w:tabs>
                    <w:tab w:val="left" w:pos="2869"/>
                  </w:tabs>
                  <w:suppressAutoHyphens/>
                  <w:ind w:right="67"/>
                  <w:jc w:val="right"/>
                  <w:rPr>
                    <w:rFonts w:eastAsia="Andale Sans UI;Times New Roman" w:cs="Tahoma"/>
                    <w:spacing w:val="10"/>
                    <w:szCs w:val="24"/>
                    <w:lang w:eastAsia="zh-CN" w:bidi="en-US"/>
                  </w:rPr>
                </w:pPr>
                <w:r>
                  <w:rPr>
                    <w:rFonts w:eastAsia="Andale Sans UI;Times New Roman" w:cs="Tahoma"/>
                    <w:spacing w:val="10"/>
                    <w:szCs w:val="24"/>
                    <w:lang w:eastAsia="zh-CN" w:bidi="en-US"/>
                  </w:rPr>
                  <w:t>Nr.</w:t>
                </w:r>
              </w:p>
            </w:tc>
            <w:tc>
              <w:tcPr>
                <w:tcW w:w="2133" w:type="dxa"/>
              </w:tcPr>
              <w:p>
                <w:pPr>
                  <w:widowControl w:val="0"/>
                  <w:suppressLineNumbers/>
                  <w:suppressAutoHyphens/>
                  <w:snapToGrid w:val="0"/>
                  <w:ind w:right="67"/>
                  <w:rPr>
                    <w:rFonts w:eastAsia="Andale Sans UI;Times New Roman" w:cs="Tahoma"/>
                    <w:spacing w:val="10"/>
                    <w:szCs w:val="24"/>
                    <w:lang w:eastAsia="zh-CN" w:bidi="en-US"/>
                  </w:rPr>
                </w:pPr>
              </w:p>
            </w:tc>
          </w:tr>
          <w:tr>
            <w:trPr>
              <w:cantSplit/>
            </w:trPr>
            <w:tc>
              <w:tcPr>
                <w:tcW w:w="5529" w:type="dxa"/>
                <w:vMerge/>
                <w:tcMar>
                  <w:top w:w="0" w:type="dxa"/>
                  <w:left w:w="0" w:type="dxa"/>
                  <w:bottom w:w="0" w:type="dxa"/>
                  <w:right w:w="0" w:type="dxa"/>
                </w:tcMar>
              </w:tcPr>
              <w:p>
                <w:pPr>
                  <w:widowControl w:val="0"/>
                  <w:suppressAutoHyphens/>
                  <w:snapToGrid w:val="0"/>
                  <w:rPr>
                    <w:rFonts w:eastAsia="Andale Sans UI;Times New Roman" w:cs="Tahoma"/>
                    <w:szCs w:val="24"/>
                    <w:lang w:eastAsia="zh-CN" w:bidi="en-US"/>
                  </w:rPr>
                </w:pPr>
              </w:p>
            </w:tc>
            <w:tc>
              <w:tcPr>
                <w:tcW w:w="4109" w:type="dxa"/>
                <w:gridSpan w:val="4"/>
                <w:tcMar>
                  <w:top w:w="0" w:type="dxa"/>
                  <w:left w:w="0" w:type="dxa"/>
                  <w:bottom w:w="0" w:type="dxa"/>
                  <w:right w:w="0" w:type="dxa"/>
                </w:tcMar>
              </w:tcPr>
              <w:p>
                <w:pPr>
                  <w:widowControl w:val="0"/>
                  <w:tabs>
                    <w:tab w:val="left" w:pos="2869"/>
                  </w:tabs>
                  <w:suppressAutoHyphens/>
                  <w:snapToGrid w:val="0"/>
                  <w:ind w:right="67"/>
                  <w:rPr>
                    <w:rFonts w:eastAsia="Andale Sans UI;Times New Roman" w:cs="Tahoma"/>
                    <w:spacing w:val="10"/>
                    <w:szCs w:val="24"/>
                    <w:lang w:eastAsia="zh-CN"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snapToGrid w:val="0"/>
                  <w:jc w:val="both"/>
                  <w:rPr>
                    <w:rFonts w:eastAsia="Andale Sans UI;Times New Roman" w:cs="Tahoma"/>
                    <w:b/>
                    <w:bCs/>
                    <w:caps/>
                    <w:spacing w:val="10"/>
                    <w:szCs w:val="24"/>
                    <w:lang w:eastAsia="zh-CN" w:bidi="en-US"/>
                  </w:rPr>
                </w:pPr>
              </w:p>
              <w:p>
                <w:pPr>
                  <w:widowControl w:val="0"/>
                  <w:suppressLineNumbers/>
                  <w:suppressAutoHyphens/>
                  <w:jc w:val="both"/>
                  <w:rPr>
                    <w:rFonts w:eastAsia="Andale Sans UI;Times New Roman" w:cs="Tahoma"/>
                    <w:b/>
                    <w:bCs/>
                    <w:szCs w:val="24"/>
                    <w:lang w:eastAsia="zh-CN" w:bidi="en-US"/>
                  </w:rPr>
                </w:pPr>
                <w:r>
                  <w:rPr>
                    <w:rFonts w:eastAsia="Andale Sans UI;Times New Roman" w:cs="Tahoma"/>
                    <w:b/>
                    <w:bCs/>
                    <w:caps/>
                    <w:szCs w:val="24"/>
                    <w:lang w:eastAsia="zh-CN" w:bidi="en-US"/>
                  </w:rPr>
                  <w:t>dėl ĮsakymO projektO DERINIMO</w:t>
                </w:r>
              </w:p>
            </w:tc>
          </w:tr>
        </w:tbl>
        <w:p>
          <w:pPr>
            <w:widowControl w:val="0"/>
            <w:suppressAutoHyphens/>
            <w:spacing w:line="360" w:lineRule="auto"/>
            <w:ind w:firstLine="567"/>
            <w:jc w:val="both"/>
            <w:rPr>
              <w:rFonts w:eastAsia="Andale Sans UI;Times New Roman" w:cs="Tahoma"/>
              <w:szCs w:val="24"/>
              <w:lang w:eastAsia="zh-CN" w:bidi="en-US"/>
            </w:rPr>
          </w:pPr>
        </w:p>
        <w:p>
          <w:pPr>
            <w:widowControl w:val="0"/>
            <w:suppressAutoHyphens/>
            <w:spacing w:line="276" w:lineRule="auto"/>
            <w:ind w:firstLine="567"/>
            <w:jc w:val="both"/>
            <w:rPr>
              <w:rFonts w:eastAsia="Andale Sans UI;Times New Roman" w:cs="Tahoma"/>
              <w:szCs w:val="24"/>
              <w:lang w:eastAsia="zh-CN" w:bidi="en-US"/>
            </w:rPr>
          </w:pPr>
        </w:p>
      </w:sdtContent>
    </w:sdt>
    <w:sdt>
      <w:sdtPr>
        <w:alias w:val="pastraipa"/>
        <w:tag w:val="part_1cc33c3029f94c0c941bb9b4a095e402"/>
        <w:lock w:val="sdtLocked"/>
        <w:richText/>
      </w:sdtPr>
      <w:sdtContent>
        <w:p>
          <w:pPr>
            <w:widowControl w:val="0"/>
            <w:suppressAutoHyphens/>
            <w:spacing w:line="276" w:lineRule="auto"/>
            <w:ind w:firstLine="567"/>
            <w:jc w:val="both"/>
            <w:rPr>
              <w:rFonts w:eastAsia="Andale Sans UI;Times New Roman" w:cs="Tahoma"/>
              <w:szCs w:val="24"/>
              <w:lang w:eastAsia="zh-CN" w:bidi="en-US"/>
            </w:rPr>
          </w:pPr>
          <w:r>
            <w:rPr>
              <w:rFonts w:eastAsia="Andale Sans UI;Times New Roman" w:cs="Tahoma"/>
              <w:szCs w:val="24"/>
              <w:lang w:eastAsia="zh-CN" w:bidi="en-US"/>
            </w:rPr>
            <w:t>Aplinkos ministerija parengė ir teikia derinti Lietuvos Respublikos aplinkos ministro 2006 m. gruodžio 29 d. įsakymo Nr. D1-639 „Dėl</w:t>
          </w:r>
          <w:r>
            <w:rPr>
              <w:rFonts w:eastAsia="Andale Sans UI;Times New Roman" w:cs="Tahoma"/>
              <w:b/>
              <w:szCs w:val="24"/>
              <w:lang w:eastAsia="zh-CN" w:bidi="en-US"/>
            </w:rPr>
            <w:t xml:space="preserve"> </w:t>
          </w:r>
          <w:r>
            <w:rPr>
              <w:rFonts w:eastAsia="Andale Sans UI;Times New Roman" w:cs="Tahoma"/>
              <w:szCs w:val="24"/>
              <w:lang w:eastAsia="zh-CN" w:bidi="en-US"/>
            </w:rPr>
            <w:t xml:space="preserve">Geriamojo vandens tiekimo ir nuotekų tvarkymo paslaugų kokybės reikalavimų patvirtinimo“ pakeitimo projektą (toliau – Įsakymo projektas). </w:t>
          </w:r>
        </w:p>
      </w:sdtContent>
    </w:sdt>
    <w:sdt>
      <w:sdtPr>
        <w:alias w:val="pastraipa"/>
        <w:tag w:val="part_7ffad875a4d24b7faf7b1671abda99a6"/>
        <w:lock w:val="sdtLocked"/>
        <w:richText/>
      </w:sdtPr>
      <w:sdtContent>
        <w:p>
          <w:pPr>
            <w:widowControl w:val="0"/>
            <w:suppressAutoHyphens/>
            <w:spacing w:line="276" w:lineRule="auto"/>
            <w:ind w:firstLine="567"/>
            <w:jc w:val="both"/>
            <w:rPr>
              <w:rFonts w:eastAsia="Andale Sans UI;Times New Roman" w:cs="Tahoma"/>
              <w:color w:val="000000"/>
              <w:szCs w:val="24"/>
              <w:lang w:eastAsia="zh-CN" w:bidi="en-US"/>
            </w:rPr>
          </w:pPr>
          <w:r>
            <w:rPr>
              <w:rFonts w:eastAsia="Andale Sans UI;Times New Roman" w:cs="Tahoma"/>
              <w:color w:val="000000"/>
              <w:szCs w:val="24"/>
              <w:lang w:eastAsia="zh-CN" w:bidi="en-US"/>
            </w:rPr>
            <w:t>Įsakymo projektas parengtas vadovaujantis Lietuvos Respublikos geriamojo vandens tiekimo ir nuotekų tvarkymo įstatymo Nr. X-764 pakeitimo įstatymo Nr. XIV-1466 (toliau – Įstatymas) 2 straipsnio 1 dalies nuostatomis</w:t>
          </w:r>
          <w:r>
            <w:rPr>
              <w:rFonts w:eastAsia="Andale Sans UI;Times New Roman" w:cs="Tahoma"/>
              <w:color w:val="000000"/>
              <w:szCs w:val="24"/>
              <w:vertAlign w:val="superscript"/>
              <w:lang w:eastAsia="zh-CN" w:bidi="en-US"/>
            </w:rPr>
            <w:footnoteReference w:id="1"/>
          </w:r>
          <w:r>
            <w:rPr>
              <w:rFonts w:eastAsia="Andale Sans UI;Times New Roman" w:cs="Tahoma"/>
              <w:szCs w:val="24"/>
              <w:lang w:eastAsia="zh-CN" w:bidi="en-US"/>
            </w:rPr>
            <w:t xml:space="preserve"> </w:t>
          </w:r>
          <w:r>
            <w:rPr>
              <w:rFonts w:eastAsia="Andale Sans UI;Times New Roman" w:cs="Tahoma"/>
              <w:color w:val="000000"/>
              <w:szCs w:val="24"/>
              <w:lang w:eastAsia="zh-CN" w:bidi="en-US"/>
            </w:rPr>
            <w:t>ir perkeliant 2020 m. gruodžio 16 d. Europos Parlamento ir Tarybos direktyvos (ES) 2020/2184 dėl žmonėms vartoti skirto vandens kokybės (toliau – Geriamojo vandens direktyva) nuostatas.</w:t>
          </w:r>
        </w:p>
      </w:sdtContent>
    </w:sdt>
    <w:sdt>
      <w:sdtPr>
        <w:alias w:val="pastraipa"/>
        <w:tag w:val="part_8c2d3639a9b143319b341b1c5ebb935f"/>
        <w:lock w:val="sdtLocked"/>
        <w:richText/>
      </w:sdtPr>
      <w:sdtContent>
        <w:p>
          <w:pPr>
            <w:widowControl w:val="0"/>
            <w:suppressAutoHyphens/>
            <w:spacing w:line="276" w:lineRule="auto"/>
            <w:ind w:firstLine="567"/>
            <w:jc w:val="both"/>
            <w:rPr>
              <w:rFonts w:eastAsia="Andale Sans UI;Times New Roman" w:cs="Tahoma"/>
              <w:color w:val="000000"/>
              <w:szCs w:val="24"/>
              <w:lang w:eastAsia="zh-CN" w:bidi="en-US"/>
            </w:rPr>
          </w:pPr>
          <w:r>
            <w:rPr>
              <w:rFonts w:eastAsia="Andale Sans UI;Times New Roman" w:cs="Tahoma"/>
              <w:color w:val="000000"/>
              <w:szCs w:val="24"/>
              <w:lang w:eastAsia="zh-CN" w:bidi="en-US"/>
            </w:rPr>
            <w:t xml:space="preserve">Įsakymo projektu taip pat siūloma pripažinti netekusiu galios </w:t>
          </w:r>
          <w:r>
            <w:rPr>
              <w:rFonts w:eastAsia="Andale Sans UI;Times New Roman" w:cs="Tahoma"/>
              <w:szCs w:val="24"/>
              <w:lang w:eastAsia="zh-CN" w:bidi="en-US"/>
            </w:rPr>
            <w:t xml:space="preserve">Lietuvos Respublikos aplinkos ministro įsakymą „Dėl Lietuvos Respublikos aplinkos ministro 2005 m. gruodžio 15 d. įsakymo   Nr. D1-594 „Dėl Informacijos apie geriamojo vandens tiekimą ir nuotekų tvarkymą teikimo abonentams tvarkos aprašo patvirtinimo“ (toliau – įsakymas), nes </w:t>
          </w:r>
          <w:r>
            <w:rPr>
              <w:rFonts w:eastAsia="Andale Sans UI;Times New Roman" w:cs="Tahoma"/>
              <w:color w:val="000000"/>
              <w:szCs w:val="24"/>
              <w:lang w:eastAsia="zh-CN" w:bidi="en-US"/>
            </w:rPr>
            <w:t>Įstatymas nenumato</w:t>
          </w:r>
          <w:r>
            <w:rPr>
              <w:rFonts w:eastAsia="Andale Sans UI;Times New Roman" w:cs="Tahoma"/>
              <w:szCs w:val="24"/>
              <w:lang w:eastAsia="zh-CN" w:bidi="en-US"/>
            </w:rPr>
            <w:t>, kad „</w:t>
          </w:r>
          <w:r>
            <w:rPr>
              <w:rFonts w:eastAsia="Andale Sans UI;Times New Roman" w:cs="Tahoma"/>
              <w:color w:val="000000"/>
              <w:szCs w:val="24"/>
              <w:lang w:eastAsia="zh-CN" w:bidi="en-US"/>
            </w:rPr>
            <w:t xml:space="preserve">Vandens tiekėjai </w:t>
          </w:r>
          <w:r>
            <w:rPr>
              <w:rFonts w:eastAsia="Andale Sans UI;Times New Roman" w:cs="Tahoma"/>
              <w:i/>
              <w:color w:val="000000"/>
              <w:szCs w:val="24"/>
              <w:lang w:eastAsia="zh-CN" w:bidi="en-US"/>
            </w:rPr>
            <w:t>aplinkos ministro nustatyta tvarka privalo</w:t>
          </w:r>
          <w:r>
            <w:rPr>
              <w:rFonts w:eastAsia="Andale Sans UI;Times New Roman" w:cs="Tahoma"/>
              <w:color w:val="000000"/>
              <w:szCs w:val="24"/>
              <w:lang w:eastAsia="zh-CN" w:bidi="en-US"/>
            </w:rPr>
            <w:t xml:space="preserve"> teikti abonentams (vartotojams) informaciją apie tiekiamo geriamojo vandens kokybę, jos pablogėjimą, avarijas, planuojamus geriamojo vandens tiekimo ir nuotekų tvarkymo paslaugų pertrūkius ir kitus pokyčius, galinčius turėti įtakos abonentams (vartotojams), vandens naudojimą, saugų ir efektyvų vandens tiekimo infrastruktūros naudojimą, jos plėtrą, vandens kainas ir abonentams (vartotojams) teikiamas paslaugas.“, kaip buvo numatyta 2006 m. galiojusiame Geriamojo vandens tiekimo ir nuotekų tvarkymo įstatyme. Pažymėtina, kad Įstatymo 37 straipsnio 1 dalyje nustatyta, kad „</w:t>
          </w:r>
          <w:r>
            <w:rPr>
              <w:rFonts w:eastAsia="Andale Sans UI;Times New Roman" w:cs="Tahoma"/>
              <w:szCs w:val="24"/>
              <w:lang w:eastAsia="ar-SA" w:bidi="en-US"/>
            </w:rPr>
            <w:t xml:space="preserve">Informacija apie geriamojo vandens tiekėją, garantinį vandens tiekėją, paviršinių nuotekų tvarkytoją, </w:t>
          </w:r>
          <w:r>
            <w:rPr>
              <w:rFonts w:eastAsia="Lucida Sans Unicode" w:cs="Tahoma"/>
              <w:szCs w:val="24"/>
              <w:lang w:eastAsia="zh-CN" w:bidi="en-US"/>
            </w:rPr>
            <w:t>tiekiamo geriamojo vandens ir teikiamų nuotekų tvarkymo paslaugų kokybę, geriamojo vandens saugą ir kokybę, paviršinių nuotekų tvarkymą, paslaugų teikimo sąlygas ir planuojamus sutarčių pakeitimus,</w:t>
          </w:r>
          <w:r>
            <w:rPr>
              <w:rFonts w:eastAsia="Andale Sans UI;Times New Roman" w:cs="Tahoma"/>
              <w:szCs w:val="24"/>
              <w:lang w:eastAsia="zh-CN" w:bidi="en-US"/>
            </w:rPr>
            <w:t xml:space="preserve"> </w:t>
          </w:r>
          <w:r>
            <w:rPr>
              <w:rFonts w:eastAsia="Lucida Sans Unicode" w:cs="Tahoma"/>
              <w:szCs w:val="24"/>
              <w:lang w:eastAsia="zh-CN" w:bidi="en-US"/>
            </w:rPr>
            <w:t xml:space="preserve">geriamojo vandens tiekimo ir nuotekų tvarkymo, paviršinių nuotekų tvarkymo infrastruktūros eksploatavimą, modernizavimą, plėtrą, renovaciją, investicijas į geriamojo vandens tiekimo ir nuotekų tvarkymo, paviršinių nuotekų tvarkymo infrastruktūros plėtrą ir renovaciją, paslaugų kainas ir tarifus, jų struktūrą </w:t>
          </w:r>
          <w:r>
            <w:rPr>
              <w:rFonts w:eastAsia="Andale Sans UI;Times New Roman" w:cs="Tahoma"/>
              <w:szCs w:val="24"/>
              <w:lang w:eastAsia="ar-SA" w:bidi="en-US"/>
            </w:rPr>
            <w:t xml:space="preserve">ir </w:t>
          </w:r>
          <w:r>
            <w:rPr>
              <w:rFonts w:eastAsia="Andale Sans UI;Times New Roman" w:cs="Tahoma"/>
              <w:i/>
              <w:szCs w:val="24"/>
              <w:lang w:eastAsia="ar-SA" w:bidi="en-US"/>
            </w:rPr>
            <w:t xml:space="preserve">aplinkos ministro tvirtinamame </w:t>
          </w:r>
          <w:r>
            <w:rPr>
              <w:rFonts w:eastAsia="Lucida Sans Unicode" w:cs="Tahoma"/>
              <w:i/>
              <w:szCs w:val="24"/>
              <w:lang w:eastAsia="zh-CN" w:bidi="en-US"/>
            </w:rPr>
            <w:t>geriamojo vandens tiekimo ir nuotekų tvarkymo paslaugų kokybės reikalavimų apraše</w:t>
          </w:r>
          <w:r>
            <w:rPr>
              <w:rFonts w:eastAsia="Lucida Sans Unicode" w:cs="Tahoma"/>
              <w:szCs w:val="24"/>
              <w:lang w:eastAsia="zh-CN" w:bidi="en-US"/>
            </w:rPr>
            <w:t xml:space="preserve"> nurodyta </w:t>
          </w:r>
          <w:r>
            <w:rPr>
              <w:rFonts w:eastAsia="Lucida Sans Unicode" w:cs="Tahoma"/>
              <w:i/>
              <w:szCs w:val="24"/>
              <w:lang w:eastAsia="zh-CN" w:bidi="en-US"/>
            </w:rPr>
            <w:t>informacija</w:t>
          </w:r>
          <w:r>
            <w:rPr>
              <w:rFonts w:eastAsia="Andale Sans UI;Times New Roman" w:cs="Tahoma"/>
              <w:i/>
              <w:szCs w:val="24"/>
              <w:lang w:eastAsia="ar-SA" w:bidi="en-US"/>
            </w:rPr>
            <w:t xml:space="preserve"> yra vieša, skelbiama geriamojo vandens tiekėjų, garantinių vandens tiekėjų</w:t>
          </w:r>
          <w:r>
            <w:rPr>
              <w:rFonts w:eastAsia="Lucida Sans Unicode" w:cs="Tahoma"/>
              <w:i/>
              <w:szCs w:val="24"/>
              <w:lang w:eastAsia="ar-SA" w:bidi="en-US"/>
            </w:rPr>
            <w:t xml:space="preserve"> ir </w:t>
          </w:r>
          <w:r>
            <w:rPr>
              <w:rFonts w:eastAsia="Andale Sans UI;Times New Roman" w:cs="Tahoma"/>
              <w:i/>
              <w:szCs w:val="24"/>
              <w:lang w:eastAsia="ar-SA" w:bidi="en-US"/>
            </w:rPr>
            <w:t>paviršinių nuotekų tvarkytojų interneto svetainėse.</w:t>
          </w:r>
          <w:r>
            <w:rPr>
              <w:rFonts w:eastAsia="Andale Sans UI;Times New Roman" w:cs="Tahoma"/>
              <w:szCs w:val="24"/>
              <w:lang w:eastAsia="ar-SA" w:bidi="en-US"/>
            </w:rPr>
            <w:t>“. Atsižvelgiant į tai, kad Įstatymu numatyta pareiga geriamojo vandens tiekėjams ir paviršinių nuotekų tvarkytojams skelbti informaciją savo interneto svetainėse, tam tikros</w:t>
          </w:r>
          <w:r>
            <w:rPr>
              <w:rFonts w:eastAsia="Andale Sans UI;Times New Roman" w:cs="Tahoma"/>
              <w:szCs w:val="24"/>
              <w:lang w:eastAsia="zh-CN" w:bidi="en-US"/>
            </w:rPr>
            <w:t xml:space="preserve"> </w:t>
          </w:r>
          <w:r>
            <w:rPr>
              <w:rFonts w:eastAsia="Andale Sans UI;Times New Roman" w:cs="Tahoma"/>
              <w:szCs w:val="24"/>
              <w:lang w:eastAsia="ar-SA" w:bidi="en-US"/>
            </w:rPr>
            <w:t xml:space="preserve">įsakymo nuostatos (t. y. dėl informavimo tvarkos rengimo ir skelbimo) perkeliamos į Įsakymo projektą. </w:t>
          </w:r>
        </w:p>
      </w:sdtContent>
    </w:sdt>
    <w:sdt>
      <w:sdtPr>
        <w:alias w:val="pastraipa"/>
        <w:tag w:val="part_073e7ac953dd4983b9d2888fe0e1dfa2"/>
        <w:lock w:val="sdtLocked"/>
        <w:richText/>
      </w:sdtPr>
      <w:sdtContent>
        <w:p>
          <w:pPr>
            <w:widowControl w:val="0"/>
            <w:suppressAutoHyphens/>
            <w:spacing w:line="276" w:lineRule="auto"/>
            <w:ind w:firstLine="567"/>
            <w:jc w:val="both"/>
            <w:rPr>
              <w:rFonts w:eastAsia="Andale Sans UI;Times New Roman" w:cs="Tahoma"/>
              <w:szCs w:val="24"/>
              <w:lang w:eastAsia="zh-CN" w:bidi="en-US"/>
            </w:rPr>
          </w:pPr>
          <w:r>
            <w:rPr>
              <w:rFonts w:eastAsia="Andale Sans UI;Times New Roman" w:cs="Tahoma"/>
              <w:szCs w:val="24"/>
              <w:lang w:eastAsia="zh-CN" w:bidi="en-US"/>
            </w:rPr>
            <w:t>Įsakymo projekto tikslas – suvienodinti nuostatas su Įstatymo nuostatomis ir užtikrinti Geriamojo vandens direktyvos įgyvendinimą.</w:t>
          </w:r>
        </w:p>
      </w:sdtContent>
    </w:sdt>
    <w:sdt>
      <w:sdtPr>
        <w:alias w:val="pastraipa"/>
        <w:tag w:val="part_b0d0250e946e4306b39cbc04152d9632"/>
        <w:lock w:val="sdtLocked"/>
        <w:richText/>
      </w:sdtPr>
      <w:sdtContent>
        <w:p>
          <w:pPr>
            <w:widowControl w:val="0"/>
            <w:suppressAutoHyphens/>
            <w:spacing w:line="276" w:lineRule="auto"/>
            <w:ind w:firstLine="567"/>
            <w:jc w:val="both"/>
            <w:rPr>
              <w:rFonts w:eastAsia="Andale Sans UI;Times New Roman" w:cs="Tahoma"/>
              <w:szCs w:val="24"/>
              <w:lang w:eastAsia="zh-CN" w:bidi="en-US"/>
            </w:rPr>
          </w:pPr>
          <w:r>
            <w:rPr>
              <w:rFonts w:eastAsia="Andale Sans UI;Times New Roman" w:cs="Tahoma"/>
              <w:color w:val="000000"/>
              <w:szCs w:val="24"/>
              <w:lang w:eastAsia="zh-CN" w:bidi="en-US"/>
            </w:rPr>
            <w:t xml:space="preserve">Atsižvelgiant į tai, kad Įsakymo projekte pakeičiama daugiau kaip pusė jo punktų, minėtas projektas dėstomas nauja redakcija. Įsakymo projekte atlikti teisės aktų projektams taikomi teisinės technikos patikslinimai (pakeistas Valstybinės energetikos reguliavimo tarybos pavadinimas), patikslinta, kad paslaugų kokybės reikalavimai taikomi ne tik geriamojo vandens tiekėjui ir nuotekų tvarkytojui, bet ir viešajam geriamojo vandens tiekėjui ir nuotekų tvarkytojui, regioniniam viešajam geriamojo vandens tiekėjui ir nuotekų tvarkytojui, garantiniam geriamojo vandens tiekėjui ir nuotekų tvarkytojui. Atsisakyta perteklinių nuostatų, kurios nustatytos Įstatyme (dėl geriamojo vandens tiekėjo pareigos nepertraukiamai teikti nuotekų tvarkymo paslaugas (Įstatymo 20 str. 2 d. 5 p.)) ir LR Vyriausybės 2007 m. sausio 31 d. nutarime Nr. 126 „Dėl Geriamojo vandens tiekimo ir (arba) nuotekų tvarkymo viešosios sutarties standartinių sąlygų aprašo patvirtinimo“ (toliau – Nutarimas) (dėl nuotekų transportavimo paslaugas teikiančio asmens pareigos pagal sutartį priimti iš abonento sutartyje nustatyto užterštumo nuotekas ir (ar) nuotekas valant susidariusias atliekas (dumblą) (Nutarimo 27 p.)). </w:t>
          </w:r>
        </w:p>
      </w:sdtContent>
    </w:sdt>
    <w:sdt>
      <w:sdtPr>
        <w:alias w:val="pastraipa"/>
        <w:tag w:val="part_34506a6ae1dd4c19acc52e963a0f00c0"/>
        <w:lock w:val="sdtLocked"/>
        <w:richText/>
      </w:sdtPr>
      <w:sdtContent>
        <w:p>
          <w:pPr>
            <w:widowControl w:val="0"/>
            <w:suppressAutoHyphens/>
            <w:spacing w:line="276" w:lineRule="auto"/>
            <w:ind w:firstLine="567"/>
            <w:jc w:val="both"/>
            <w:rPr>
              <w:rFonts w:eastAsia="Andale Sans UI;Times New Roman" w:cs="Tahoma"/>
              <w:color w:val="000000"/>
              <w:szCs w:val="24"/>
              <w:lang w:eastAsia="zh-CN" w:bidi="en-US"/>
            </w:rPr>
          </w:pPr>
          <w:r>
            <w:rPr>
              <w:rFonts w:eastAsia="Andale Sans UI;Times New Roman" w:cs="Tahoma"/>
              <w:color w:val="000000"/>
              <w:szCs w:val="24"/>
              <w:lang w:eastAsia="zh-CN" w:bidi="en-US"/>
            </w:rPr>
            <w:t>Perkeliant Geriamojo vandens direktyvos nuostatas, Įsakymo projekte įtvirtintas išsamesnės abonentams ir vartotojams teikiamos informacijos suteikimas apie vandentvarkos įmones, geriamojo vandens kokybę ir saugą, geriamojo vandens ruošimo būdus, įskaitant informaciją apie geriamojo vandens valymo tipus ir dezinfekciją, geriamojo vandens tiekimo sistemos rizikos vertinimą ir kita.</w:t>
          </w:r>
        </w:p>
      </w:sdtContent>
    </w:sdt>
    <w:sdt>
      <w:sdtPr>
        <w:alias w:val="pastraipa"/>
        <w:tag w:val="part_be93a97274fa4d788e599819274d3403"/>
        <w:lock w:val="sdtLocked"/>
        <w:richText/>
      </w:sdtPr>
      <w:sdtContent>
        <w:p>
          <w:pPr>
            <w:widowControl w:val="0"/>
            <w:suppressAutoHyphens/>
            <w:spacing w:line="276" w:lineRule="auto"/>
            <w:ind w:firstLine="567"/>
            <w:jc w:val="both"/>
            <w:rPr>
              <w:rFonts w:eastAsia="Andale Sans UI;Times New Roman" w:cs="Tahoma"/>
              <w:color w:val="000000"/>
              <w:szCs w:val="24"/>
              <w:lang w:eastAsia="zh-CN" w:bidi="en-US"/>
            </w:rPr>
          </w:pPr>
          <w:r>
            <w:rPr>
              <w:rFonts w:eastAsia="Andale Sans UI;Times New Roman" w:cs="Tahoma"/>
              <w:color w:val="000000"/>
              <w:szCs w:val="24"/>
              <w:lang w:eastAsia="zh-CN" w:bidi="en-US"/>
            </w:rPr>
            <w:t xml:space="preserve">Siekiant užtikrinti individualiųjų nuotekų tvarkymo priežiūrą, Įsakymo projekte numatoma, kad vandentvarkos įmonės nuo 2023 m. gegužės 2 d. turės pateikti Nuotekų tvarkymo informacinėje sistemoje informaciją apie asmenis, kurie gauna centralizuotas nuotekų tvarkymo paslaugas ir kurie gauna geriamojo vandens tiekėjo ir nuotekų tvarkytojo teikiamas nuotekų transportavimo paslaugas pagal Įsakymo projekto 8 priede nustatytą formą. Pažymėtina, kad Įsakymo projekto 8 priede renkama informacija susijusi su 1991 m. gegužės 21 d. Tarybos direktyvos </w:t>
          </w:r>
          <w:fldSimple w:instr="HYPERLINK http://eur-lex.europa.eu/legal-content/LIT/TXT/?uri=CELEX:31991L0271&amp;locale=lt \t _blank">
            <w:r>
              <w:rPr>
                <w:rFonts w:eastAsia="Andale Sans UI;Times New Roman" w:cs="Tahoma"/>
                <w:color w:val="0000FF" w:themeColor="hyperlink"/>
                <w:szCs w:val="24"/>
                <w:lang w:eastAsia="zh-CN" w:bidi="en-US"/>
                <w:u w:val="single"/>
              </w:rPr>
              <w:t>91/271/EEB</w:t>
            </w:r>
          </w:fldSimple>
          <w:r>
            <w:rPr>
              <w:rFonts w:eastAsia="Andale Sans UI;Times New Roman" w:cs="Tahoma"/>
              <w:color w:val="000000"/>
              <w:szCs w:val="24"/>
              <w:lang w:eastAsia="zh-CN" w:bidi="en-US"/>
            </w:rPr>
            <w:t xml:space="preserve"> dėl miesto nuotekų valymo įgyvendinimu, sukuriant individualių nuotekų tvarkymo sistemą, siekiant apsaugoti aplinką nuo išleidžiamų nuotekų žalingo poveikio.</w:t>
          </w:r>
        </w:p>
      </w:sdtContent>
    </w:sdt>
    <w:sdt>
      <w:sdtPr>
        <w:alias w:val="pastraipa"/>
        <w:tag w:val="part_12e72b54fc134fdba98b51162507ae09"/>
        <w:lock w:val="sdtLocked"/>
        <w:richText/>
      </w:sdtPr>
      <w:sdtContent>
        <w:p>
          <w:pPr>
            <w:widowControl w:val="0"/>
            <w:suppressAutoHyphens/>
            <w:spacing w:line="276" w:lineRule="auto"/>
            <w:ind w:firstLine="567"/>
            <w:jc w:val="both"/>
            <w:rPr>
              <w:rFonts w:eastAsia="Andale Sans UI;Times New Roman" w:cs="Tahoma"/>
              <w:color w:val="000000"/>
              <w:szCs w:val="24"/>
              <w:lang w:eastAsia="zh-CN" w:bidi="en-US"/>
            </w:rPr>
          </w:pPr>
          <w:r>
            <w:rPr>
              <w:rFonts w:eastAsia="Andale Sans UI;Times New Roman" w:cs="Tahoma"/>
              <w:color w:val="000000"/>
              <w:szCs w:val="24"/>
              <w:lang w:eastAsia="zh-CN" w:bidi="en-US"/>
            </w:rPr>
            <w:t>Šių duomenų rinkimo tikslas – nustatyti kiekvieno nekilnojamo turto nuotekų tvarkymo būdą.</w:t>
          </w:r>
        </w:p>
      </w:sdtContent>
    </w:sdt>
    <w:sdt>
      <w:sdtPr>
        <w:alias w:val="pastraipa"/>
        <w:tag w:val="part_895d42f3e5ee4fbcb86a646a145f590f"/>
        <w:lock w:val="sdtLocked"/>
        <w:richText/>
      </w:sdtPr>
      <w:sdtContent>
        <w:p>
          <w:pPr>
            <w:widowControl w:val="0"/>
            <w:suppressAutoHyphens/>
            <w:spacing w:line="276" w:lineRule="auto"/>
            <w:ind w:firstLine="540"/>
            <w:jc w:val="both"/>
            <w:rPr>
              <w:rFonts w:eastAsia="Andale Sans UI;Times New Roman" w:cs="Tahoma"/>
              <w:color w:val="000000"/>
              <w:szCs w:val="24"/>
              <w:lang w:eastAsia="zh-CN" w:bidi="en-US"/>
            </w:rPr>
          </w:pPr>
          <w:r>
            <w:rPr>
              <w:rFonts w:eastAsia="Andale Sans UI;Times New Roman" w:cs="Tahoma"/>
              <w:color w:val="000000"/>
              <w:szCs w:val="24"/>
              <w:lang w:eastAsia="zh-CN" w:bidi="en-US"/>
            </w:rPr>
            <w:t>Įsakymo projektas parengtas laikantis Lietuvos Respublikos valstybinės kalbos, Teisėkūros pagrindų įstatymų reikalavimų. Patikslintos sąvokos derinamos su Valstybine lietuvių kalbos komisija.</w:t>
          </w:r>
        </w:p>
      </w:sdtContent>
    </w:sdt>
    <w:sdt>
      <w:sdtPr>
        <w:alias w:val="pastraipa"/>
        <w:tag w:val="part_c0c2ce296a2d4c71b8425796663fc0d2"/>
        <w:lock w:val="sdtLocked"/>
        <w:richText/>
      </w:sdtPr>
      <w:sdtContent>
        <w:p>
          <w:pPr>
            <w:widowControl w:val="0"/>
            <w:suppressAutoHyphens/>
            <w:spacing w:line="276" w:lineRule="auto"/>
            <w:ind w:firstLine="540"/>
            <w:jc w:val="both"/>
            <w:rPr>
              <w:rFonts w:eastAsia="Andale Sans UI;Times New Roman" w:cs="Tahoma"/>
              <w:szCs w:val="24"/>
              <w:lang w:eastAsia="zh-CN" w:bidi="en-US"/>
            </w:rPr>
          </w:pPr>
          <w:r>
            <w:rPr>
              <w:rFonts w:eastAsia="Andale Sans UI;Times New Roman" w:cs="Tahoma"/>
              <w:color w:val="000000"/>
              <w:szCs w:val="24"/>
              <w:lang w:eastAsia="zh-CN" w:bidi="en-US"/>
            </w:rPr>
            <w:t>Įsakymo projektas atitinka Lietuvos Respublikos Vyriausybės programos nuostatas, neprieštarauja strateginiams planavimo dokumentams.</w:t>
          </w:r>
        </w:p>
      </w:sdtContent>
    </w:sdt>
    <w:sdt>
      <w:sdtPr>
        <w:alias w:val="pastraipa"/>
        <w:tag w:val="part_3fe747b8acd94a89bc6a0a6918d4835f"/>
        <w:lock w:val="sdtLocked"/>
        <w:richText/>
      </w:sdtPr>
      <w:sdtContent>
        <w:p>
          <w:pPr>
            <w:widowControl w:val="0"/>
            <w:suppressAutoHyphens/>
            <w:spacing w:line="276" w:lineRule="auto"/>
            <w:ind w:firstLine="720"/>
            <w:jc w:val="both"/>
            <w:rPr>
              <w:rFonts w:eastAsia="Andale Sans UI;Times New Roman" w:cs="Tahoma"/>
              <w:szCs w:val="24"/>
              <w:lang w:eastAsia="zh-CN" w:bidi="en-US"/>
            </w:rPr>
          </w:pPr>
          <w:r>
            <w:rPr>
              <w:rFonts w:eastAsia="Andale Sans UI;Times New Roman" w:cs="Tahoma"/>
              <w:color w:val="000000"/>
              <w:szCs w:val="24"/>
              <w:lang w:eastAsia="zh-CN" w:bidi="en-US"/>
            </w:rPr>
            <w:t>Įsakymo projektas nenotifikuotinas Europos Komisijai pagal Informacijos apie techninius reglamentus ir atitikties įvertinimo procedūras teikimo taisyklių, patvirtintų Lietuvos Respublikos Vyriausybės 1999 m. gegužės 20 d. nutarimu Nr. 617 „Dėl Informacijos apie techninius reglamentus ir atitikties įvertinimo procedūras teikimo taisyklių patvirtinimo“, reikalavimus.</w:t>
          </w:r>
        </w:p>
      </w:sdtContent>
    </w:sdt>
    <w:sdt>
      <w:sdtPr>
        <w:alias w:val="pastraipa"/>
        <w:tag w:val="part_72a986af630d4dde8c75d8ad95575671"/>
        <w:lock w:val="sdtLocked"/>
        <w:richText/>
      </w:sdtPr>
      <w:sdtContent>
        <w:p>
          <w:pPr>
            <w:widowControl w:val="0"/>
            <w:suppressAutoHyphens/>
            <w:spacing w:line="276" w:lineRule="auto"/>
            <w:ind w:firstLine="540"/>
            <w:jc w:val="both"/>
            <w:rPr>
              <w:rFonts w:eastAsia="Andale Sans UI;Times New Roman" w:cs="Tahoma"/>
              <w:szCs w:val="24"/>
              <w:lang w:eastAsia="zh-CN" w:bidi="en-US"/>
            </w:rPr>
          </w:pPr>
          <w:r>
            <w:rPr>
              <w:rFonts w:eastAsia="Andale Sans UI;Times New Roman" w:cs="Tahoma"/>
              <w:color w:val="000000"/>
              <w:szCs w:val="24"/>
              <w:lang w:eastAsia="zh-CN" w:bidi="en-US"/>
            </w:rPr>
            <w:t>Vadovaujantis Numatomo teisinio reguliavimo poveikio metodikos, patvirtintos Lietuvos Respublikos Vyriausybės 2003 m. vasario 26 d. nutarimu Nr. 276 „Dėl Numatomo teisinio reguliavimo poveikio metodikos patvirtinimo“, 4 punktu, atliktas Įsakymo projekto numatomo teisinio reguliavimo poveikio vertinimas.</w:t>
          </w:r>
        </w:p>
      </w:sdtContent>
    </w:sdt>
    <w:sdt>
      <w:sdtPr>
        <w:alias w:val="pastraipa"/>
        <w:tag w:val="part_e1b8badeabc44395ac025f2a9aecd8d8"/>
        <w:lock w:val="sdtLocked"/>
        <w:richText/>
      </w:sdtPr>
      <w:sdtContent>
        <w:p>
          <w:pPr>
            <w:widowControl w:val="0"/>
            <w:suppressAutoHyphens/>
            <w:spacing w:line="276" w:lineRule="auto"/>
            <w:ind w:firstLine="540"/>
            <w:jc w:val="both"/>
            <w:rPr>
              <w:rFonts w:eastAsia="Andale Sans UI;Times New Roman" w:cs="Tahoma"/>
              <w:szCs w:val="24"/>
              <w:lang w:eastAsia="zh-CN" w:bidi="en-US"/>
            </w:rPr>
          </w:pPr>
          <w:r>
            <w:rPr>
              <w:rFonts w:eastAsia="Andale Sans UI;Times New Roman" w:cs="Tahoma"/>
              <w:color w:val="000000"/>
              <w:szCs w:val="24"/>
              <w:lang w:eastAsia="zh-CN" w:bidi="en-US"/>
            </w:rPr>
            <w:t>Administracinė našta neskaičiuojama, nes skaičiavimai atlikti rengiant Įstatymą.</w:t>
          </w:r>
        </w:p>
      </w:sdtContent>
    </w:sdt>
    <w:sdt>
      <w:sdtPr>
        <w:alias w:val="pastraipa"/>
        <w:tag w:val="part_b707039521474e14af68c4bce055095e"/>
        <w:lock w:val="sdtLocked"/>
        <w:richText/>
      </w:sdtPr>
      <w:sdtContent>
        <w:p>
          <w:pPr>
            <w:widowControl w:val="0"/>
            <w:suppressAutoHyphens/>
            <w:spacing w:line="276" w:lineRule="auto"/>
            <w:ind w:firstLine="540"/>
            <w:jc w:val="both"/>
            <w:rPr>
              <w:rFonts w:eastAsia="Andale Sans UI;Times New Roman" w:cs="Tahoma"/>
              <w:szCs w:val="24"/>
              <w:lang w:eastAsia="zh-CN" w:bidi="en-US"/>
            </w:rPr>
          </w:pPr>
          <w:r>
            <w:rPr>
              <w:rFonts w:eastAsia="Andale Sans UI;Times New Roman" w:cs="Tahoma"/>
              <w:color w:val="000000"/>
              <w:szCs w:val="24"/>
              <w:lang w:eastAsia="zh-CN" w:bidi="en-US"/>
            </w:rPr>
            <w:t xml:space="preserve">Įsakymo projektą parengė Aplinkos ministerijos Taršos prevencijos politikos grupės (grupės vadovas – Vitalijus Auglys, tel. 8 686 46 087, el. p. vitalijus.auglys@am.lt, vyresnysis patarėjas – Irmantas Valūnas tel. 8 684 04 000, el. p. </w:t>
          </w:r>
          <w:r>
            <w:rPr>
              <w:rFonts w:eastAsia="Andale Sans UI;Times New Roman" w:cs="Tahoma"/>
              <w:color w:val="000080"/>
              <w:szCs w:val="24"/>
              <w:u w:val="single"/>
              <w:lang w:eastAsia="zh-CN" w:bidi="en-US"/>
            </w:rPr>
            <w:t>irmantas.valunas@am.lt</w:t>
          </w:r>
          <w:r>
            <w:rPr>
              <w:rFonts w:eastAsia="Andale Sans UI;Times New Roman" w:cs="Tahoma"/>
              <w:color w:val="000000"/>
              <w:szCs w:val="24"/>
              <w:lang w:eastAsia="zh-CN" w:bidi="en-US"/>
            </w:rPr>
            <w:t xml:space="preserve">) patarėja – Judita Vaišnorienė, tel. 8   695 54 136 , el. p. judita.vaisnoriene@am.lt.</w:t>
          </w:r>
        </w:p>
      </w:sdtContent>
    </w:sdt>
    <w:sdt>
      <w:sdtPr>
        <w:alias w:val="pastraipa"/>
        <w:tag w:val="part_bcf156be33414f1ba537f3ce60ffb95b"/>
        <w:lock w:val="sdtLocked"/>
        <w:richText/>
      </w:sdtPr>
      <w:sdtContent>
        <w:p>
          <w:pPr>
            <w:widowControl w:val="0"/>
            <w:suppressAutoHyphens/>
            <w:spacing w:line="276" w:lineRule="auto"/>
            <w:ind w:firstLine="540"/>
            <w:jc w:val="both"/>
            <w:textAlignment w:val="center"/>
            <w:rPr>
              <w:rFonts w:eastAsia="Andale Sans UI;Times New Roman" w:cs="Tahoma"/>
              <w:szCs w:val="24"/>
              <w:lang w:eastAsia="zh-CN" w:bidi="en-US"/>
            </w:rPr>
          </w:pPr>
          <w:r>
            <w:rPr>
              <w:rFonts w:eastAsia="Andale Sans UI;Times New Roman" w:cs="Tahoma"/>
              <w:szCs w:val="24"/>
              <w:lang w:eastAsia="zh-CN" w:bidi="en-US"/>
            </w:rPr>
            <w:t>Įsakymo projektas skelbiamas Lietuvos Respublikos Seimo kanceliarijos teisės aktų informacinėje sistemoje (TAIS), kur su Įsakymo projektu gali susipažinti suinteresuotos institucijos ir visuomenė. Kitų konsultavimosi su visuomene būdų nenumatyta.</w:t>
          </w:r>
        </w:p>
      </w:sdtContent>
    </w:sdt>
    <w:sdt>
      <w:sdtPr>
        <w:alias w:val="pastraipa"/>
        <w:tag w:val="part_510b600440f0448da580820232f6ca2d"/>
        <w:lock w:val="sdtLocked"/>
        <w:richText/>
      </w:sdtPr>
      <w:sdtContent>
        <w:p>
          <w:pPr>
            <w:widowControl w:val="0"/>
            <w:suppressAutoHyphens/>
            <w:spacing w:line="276" w:lineRule="auto"/>
            <w:ind w:firstLine="540"/>
            <w:jc w:val="both"/>
            <w:rPr>
              <w:rFonts w:eastAsia="Andale Sans UI;Times New Roman" w:cs="Tahoma"/>
              <w:szCs w:val="24"/>
              <w:lang w:eastAsia="zh-CN" w:bidi="en-US"/>
            </w:rPr>
          </w:pPr>
          <w:r>
            <w:rPr>
              <w:rFonts w:eastAsia="Andale Sans UI;Times New Roman" w:cs="Tahoma"/>
              <w:szCs w:val="24"/>
              <w:lang w:eastAsia="zh-CN" w:bidi="en-US"/>
            </w:rPr>
            <w:t>Prašome išvadas dėl Įsakymo projekto pateikti per 10 darbo dienų nuo jo paskelbimo TAIS. Negavus argumentuotų pastabų ir pasiūlymų iki nurodyto laiko, bus laikoma, kad Įsakymo projektui pritarta.</w:t>
          </w:r>
        </w:p>
      </w:sdtContent>
    </w:sdt>
    <w:sdt>
      <w:sdtPr>
        <w:alias w:val="pastraipa"/>
        <w:tag w:val="part_7e286d8f0bd04c6fa4846cbdba5dca27"/>
        <w:lock w:val="sdtLocked"/>
        <w:richText/>
      </w:sdtPr>
      <w:sdtContent>
        <w:p>
          <w:pPr>
            <w:widowControl w:val="0"/>
            <w:suppressAutoHyphens/>
            <w:spacing w:line="276" w:lineRule="auto"/>
            <w:ind w:firstLine="540"/>
            <w:jc w:val="both"/>
            <w:rPr>
              <w:rFonts w:eastAsia="Andale Sans UI;Times New Roman" w:cs="Tahoma"/>
              <w:szCs w:val="24"/>
              <w:lang w:eastAsia="zh-CN" w:bidi="en-US"/>
            </w:rPr>
          </w:pPr>
          <w:r>
            <w:rPr>
              <w:rFonts w:eastAsia="Andale Sans UI;Times New Roman" w:cs="Tahoma"/>
              <w:szCs w:val="24"/>
              <w:lang w:eastAsia="zh-CN" w:bidi="en-US"/>
            </w:rPr>
            <w:t>PRIDEDAMA:</w:t>
          </w:r>
        </w:p>
        <w:sdt>
          <w:sdtPr>
            <w:alias w:val="1 p."/>
            <w:tag w:val="part_a003493ef8354388b5e9056220fc54bc"/>
            <w:lock w:val="sdtLocked"/>
            <w:richText/>
          </w:sdtPr>
          <w:sdtContent>
            <w:p>
              <w:pPr>
                <w:widowControl w:val="0"/>
                <w:suppressAutoHyphens/>
                <w:spacing w:line="276" w:lineRule="auto"/>
                <w:ind w:firstLine="567"/>
                <w:jc w:val="both"/>
                <w:rPr>
                  <w:rFonts w:eastAsia="Andale Sans UI;Times New Roman" w:cs="Tahoma"/>
                  <w:color w:val="000000"/>
                  <w:szCs w:val="24"/>
                  <w:lang w:eastAsia="zh-CN" w:bidi="en-US"/>
                </w:rPr>
              </w:pPr>
              <w:sdt>
                <w:sdtPr>
                  <w:alias w:val="Numeris"/>
                  <w:tag w:val="nr_a003493ef8354388b5e9056220fc54bc"/>
                  <w:lock w:val="sdtLocked"/>
                  <w:richText/>
                </w:sdtPr>
                <w:sdtContent>
                  <w:r>
                    <w:rPr>
                      <w:rFonts w:eastAsia="Andale Sans UI;Times New Roman" w:cs="Tahoma"/>
                      <w:color w:val="000000"/>
                      <w:szCs w:val="24"/>
                      <w:lang w:eastAsia="zh-CN" w:bidi="en-US"/>
                    </w:rPr>
                    <w:t>1</w:t>
                  </w:r>
                </w:sdtContent>
              </w:sdt>
              <w:r>
                <w:rPr>
                  <w:rFonts w:eastAsia="Andale Sans UI;Times New Roman" w:cs="Tahoma"/>
                  <w:color w:val="000000"/>
                  <w:szCs w:val="24"/>
                  <w:lang w:eastAsia="zh-CN" w:bidi="en-US"/>
                </w:rPr>
                <w:t>. Įsakymo projektas, 15 lapų.</w:t>
              </w:r>
            </w:p>
          </w:sdtContent>
        </w:sdt>
        <w:sdt>
          <w:sdtPr>
            <w:alias w:val="2 p."/>
            <w:tag w:val="part_1eec55bed5064e429d74c1cae991990e"/>
            <w:lock w:val="sdtLocked"/>
            <w:richText/>
          </w:sdtPr>
          <w:sdtContent>
            <w:p>
              <w:pPr>
                <w:widowControl w:val="0"/>
                <w:suppressAutoHyphens/>
                <w:spacing w:line="276" w:lineRule="auto"/>
                <w:ind w:firstLine="567"/>
                <w:jc w:val="both"/>
                <w:rPr>
                  <w:rFonts w:eastAsia="Andale Sans UI;Times New Roman" w:cs="Tahoma"/>
                  <w:color w:val="000000"/>
                  <w:szCs w:val="24"/>
                  <w:lang w:eastAsia="zh-CN" w:bidi="en-US"/>
                </w:rPr>
              </w:pPr>
              <w:sdt>
                <w:sdtPr>
                  <w:alias w:val="Numeris"/>
                  <w:tag w:val="nr_1eec55bed5064e429d74c1cae991990e"/>
                  <w:lock w:val="sdtLocked"/>
                  <w:richText/>
                </w:sdtPr>
                <w:sdtContent>
                  <w:r>
                    <w:rPr>
                      <w:rFonts w:eastAsia="Andale Sans UI;Times New Roman" w:cs="Tahoma"/>
                      <w:color w:val="000000"/>
                      <w:szCs w:val="24"/>
                      <w:lang w:eastAsia="zh-CN" w:bidi="en-US"/>
                    </w:rPr>
                    <w:t>2</w:t>
                  </w:r>
                </w:sdtContent>
              </w:sdt>
              <w:r>
                <w:rPr>
                  <w:rFonts w:eastAsia="Andale Sans UI;Times New Roman" w:cs="Tahoma"/>
                  <w:color w:val="000000"/>
                  <w:szCs w:val="24"/>
                  <w:lang w:eastAsia="zh-CN" w:bidi="en-US"/>
                </w:rPr>
                <w:t>. Atitikties lentelė (Geriamojo vandens direktyva), 3 lapai.</w:t>
              </w:r>
            </w:p>
          </w:sdtContent>
        </w:sdt>
        <w:sdt>
          <w:sdtPr>
            <w:alias w:val="3 p."/>
            <w:tag w:val="part_1fad56325e284007ba1440314421b3b8"/>
            <w:lock w:val="sdtLocked"/>
            <w:richText/>
          </w:sdtPr>
          <w:sdtContent>
            <w:p>
              <w:pPr>
                <w:widowControl w:val="0"/>
                <w:suppressAutoHyphens/>
                <w:spacing w:line="276" w:lineRule="auto"/>
                <w:ind w:firstLine="567"/>
                <w:jc w:val="both"/>
                <w:rPr>
                  <w:rFonts w:eastAsia="Andale Sans UI;Times New Roman" w:cs="Tahoma"/>
                  <w:color w:val="000000"/>
                  <w:szCs w:val="24"/>
                  <w:lang w:eastAsia="zh-CN" w:bidi="en-US"/>
                </w:rPr>
              </w:pPr>
              <w:sdt>
                <w:sdtPr>
                  <w:alias w:val="Numeris"/>
                  <w:tag w:val="nr_1fad56325e284007ba1440314421b3b8"/>
                  <w:lock w:val="sdtLocked"/>
                  <w:richText/>
                </w:sdtPr>
                <w:sdtContent>
                  <w:r>
                    <w:rPr>
                      <w:rFonts w:eastAsia="Andale Sans UI;Times New Roman" w:cs="Tahoma"/>
                      <w:color w:val="000000"/>
                      <w:szCs w:val="24"/>
                      <w:lang w:eastAsia="zh-CN" w:bidi="en-US"/>
                    </w:rPr>
                    <w:t>3</w:t>
                  </w:r>
                </w:sdtContent>
              </w:sdt>
              <w:r>
                <w:rPr>
                  <w:rFonts w:eastAsia="Andale Sans UI;Times New Roman" w:cs="Tahoma"/>
                  <w:color w:val="000000"/>
                  <w:szCs w:val="24"/>
                  <w:lang w:eastAsia="zh-CN" w:bidi="en-US"/>
                </w:rPr>
                <w:t>. Įsakymo projekto Numatomo poveikio vertinimo pažyma, 2 lapai.</w:t>
              </w:r>
            </w:p>
          </w:sdtContent>
        </w:sdt>
        <w:sdt>
          <w:sdtPr>
            <w:alias w:val="4 p."/>
            <w:tag w:val="part_832af4edf7964ec6b9a2e5c68494679f"/>
            <w:lock w:val="sdtLocked"/>
            <w:richText/>
          </w:sdtPr>
          <w:sdtContent>
            <w:p>
              <w:pPr>
                <w:widowControl w:val="0"/>
                <w:suppressAutoHyphens/>
                <w:spacing w:line="276" w:lineRule="auto"/>
                <w:ind w:firstLine="567"/>
                <w:jc w:val="both"/>
                <w:rPr>
                  <w:rFonts w:eastAsia="Andale Sans UI;Times New Roman" w:cs="Tahoma"/>
                  <w:color w:val="000000"/>
                  <w:szCs w:val="24"/>
                  <w:lang w:eastAsia="zh-CN" w:bidi="en-US"/>
                </w:rPr>
              </w:pPr>
              <w:sdt>
                <w:sdtPr>
                  <w:alias w:val="Numeris"/>
                  <w:tag w:val="nr_832af4edf7964ec6b9a2e5c68494679f"/>
                  <w:lock w:val="sdtLocked"/>
                  <w:richText/>
                </w:sdtPr>
                <w:sdtContent>
                  <w:r>
                    <w:rPr>
                      <w:rFonts w:eastAsia="Andale Sans UI;Times New Roman" w:cs="Tahoma"/>
                      <w:color w:val="000000"/>
                      <w:szCs w:val="24"/>
                      <w:lang w:eastAsia="zh-CN" w:bidi="en-US"/>
                    </w:rPr>
                    <w:t>4</w:t>
                  </w:r>
                </w:sdtContent>
              </w:sdt>
              <w:r>
                <w:rPr>
                  <w:rFonts w:eastAsia="Andale Sans UI;Times New Roman" w:cs="Tahoma"/>
                  <w:color w:val="000000"/>
                  <w:szCs w:val="24"/>
                  <w:lang w:eastAsia="zh-CN" w:bidi="en-US"/>
                </w:rPr>
                <w:t>. Antikorupcinio vertinimo pažyma, 7 lapai.</w:t>
              </w:r>
            </w:p>
            <w:p>
              <w:pPr>
                <w:widowControl w:val="0"/>
                <w:suppressAutoHyphens/>
                <w:spacing w:line="276" w:lineRule="auto"/>
                <w:ind w:firstLine="567"/>
                <w:jc w:val="both"/>
                <w:rPr>
                  <w:rFonts w:eastAsia="Andale Sans UI;Times New Roman" w:cs="Tahoma"/>
                  <w:color w:val="000000"/>
                  <w:szCs w:val="24"/>
                  <w:lang w:eastAsia="zh-CN" w:bidi="en-US"/>
                </w:rPr>
              </w:pPr>
            </w:p>
            <w:p>
              <w:pPr>
                <w:widowControl w:val="0"/>
                <w:suppressAutoHyphens/>
                <w:spacing w:line="276" w:lineRule="auto"/>
                <w:ind w:firstLine="567"/>
                <w:jc w:val="both"/>
                <w:rPr>
                  <w:rFonts w:eastAsia="Andale Sans UI;Times New Roman" w:cs="Tahoma"/>
                  <w:color w:val="000000"/>
                  <w:szCs w:val="24"/>
                  <w:lang w:eastAsia="zh-CN" w:bidi="en-US"/>
                </w:rPr>
              </w:pPr>
            </w:p>
            <w:p>
              <w:pPr>
                <w:widowControl w:val="0"/>
                <w:suppressAutoHyphens/>
                <w:spacing w:line="276" w:lineRule="auto"/>
                <w:ind w:firstLine="567"/>
                <w:jc w:val="both"/>
                <w:rPr>
                  <w:rFonts w:eastAsia="Andale Sans UI;Times New Roman" w:cs="Tahoma"/>
                  <w:color w:val="000000"/>
                  <w:szCs w:val="24"/>
                  <w:lang w:eastAsia="zh-CN" w:bidi="en-US"/>
                </w:rPr>
              </w:pPr>
            </w:p>
            <w:p>
              <w:pPr>
                <w:widowControl w:val="0"/>
                <w:suppressAutoHyphens/>
                <w:spacing w:line="276" w:lineRule="auto"/>
                <w:jc w:val="both"/>
                <w:rPr>
                  <w:rFonts w:eastAsia="Andale Sans UI;Times New Roman" w:cs="Tahoma"/>
                  <w:color w:val="000000"/>
                  <w:szCs w:val="24"/>
                  <w:lang w:eastAsia="zh-CN" w:bidi="en-US"/>
                </w:rPr>
              </w:pPr>
              <w:r>
                <w:rPr>
                  <w:rFonts w:eastAsia="Andale Sans UI;Times New Roman" w:cs="Tahoma"/>
                  <w:color w:val="000000"/>
                  <w:szCs w:val="24"/>
                  <w:lang w:eastAsia="zh-CN" w:bidi="en-US"/>
                </w:rPr>
                <w:t>Aplinkos viceministrė</w:t>
                <w:tab/>
                <w:tab/>
                <w:tab/>
                <w:tab/>
                <w:tab/>
                <w:tab/>
                <w:tab/>
                <w:tab/>
                <w:tab/>
                <w:tab/>
                <w:t>Raminta Radavičienė</w:t>
              </w:r>
            </w:p>
            <w:p>
              <w:pPr>
                <w:widowControl w:val="0"/>
                <w:suppressAutoHyphens/>
                <w:spacing w:line="276" w:lineRule="auto"/>
                <w:ind w:firstLine="567"/>
                <w:jc w:val="both"/>
                <w:rPr>
                  <w:rFonts w:eastAsia="Andale Sans UI;Times New Roman" w:cs="Tahoma"/>
                  <w:color w:val="000000"/>
                  <w:szCs w:val="24"/>
                  <w:lang w:eastAsia="zh-CN" w:bidi="en-US"/>
                </w:rPr>
              </w:pPr>
            </w:p>
            <w:p>
              <w:pPr>
                <w:widowControl w:val="0"/>
                <w:suppressAutoHyphens/>
                <w:spacing w:line="276" w:lineRule="auto"/>
                <w:ind w:firstLine="567"/>
                <w:jc w:val="both"/>
                <w:rPr>
                  <w:rFonts w:eastAsia="Andale Sans UI;Times New Roman" w:cs="Tahoma"/>
                  <w:color w:val="000000"/>
                  <w:szCs w:val="24"/>
                  <w:lang w:eastAsia="zh-CN" w:bidi="en-US"/>
                </w:rPr>
              </w:pPr>
            </w:p>
            <w:p>
              <w:pPr>
                <w:widowControl w:val="0"/>
                <w:suppressAutoHyphens/>
                <w:spacing w:line="276" w:lineRule="auto"/>
                <w:ind w:firstLine="567"/>
                <w:jc w:val="both"/>
                <w:rPr>
                  <w:rFonts w:eastAsia="Andale Sans UI;Times New Roman" w:cs="Tahoma"/>
                  <w:color w:val="000000"/>
                  <w:szCs w:val="24"/>
                  <w:lang w:eastAsia="zh-CN" w:bidi="en-US"/>
                </w:rPr>
              </w:pPr>
            </w:p>
            <w:p>
              <w:pPr>
                <w:widowControl w:val="0"/>
                <w:suppressAutoHyphens/>
                <w:spacing w:line="276" w:lineRule="auto"/>
                <w:ind w:firstLine="567"/>
                <w:jc w:val="both"/>
                <w:rPr>
                  <w:rFonts w:eastAsia="Andale Sans UI;Times New Roman" w:cs="Tahoma"/>
                  <w:color w:val="000000"/>
                  <w:szCs w:val="24"/>
                  <w:lang w:eastAsia="zh-CN" w:bidi="en-US"/>
                </w:rPr>
              </w:pPr>
            </w:p>
            <w:p>
              <w:pPr>
                <w:widowControl w:val="0"/>
                <w:suppressAutoHyphens/>
                <w:spacing w:line="360" w:lineRule="auto"/>
                <w:ind w:firstLine="567"/>
                <w:jc w:val="both"/>
                <w:rPr>
                  <w:rFonts w:eastAsia="Andale Sans UI;Times New Roman" w:cs="Tahoma"/>
                  <w:color w:val="000000"/>
                  <w:szCs w:val="24"/>
                  <w:lang w:eastAsia="zh-CN" w:bidi="en-US"/>
                </w:rPr>
              </w:pPr>
            </w:p>
            <w:p>
              <w:pPr>
                <w:widowControl w:val="0"/>
                <w:suppressAutoHyphens/>
                <w:spacing w:line="480" w:lineRule="auto"/>
                <w:ind w:firstLine="567"/>
                <w:jc w:val="both"/>
                <w:rPr>
                  <w:rFonts w:eastAsia="Andale Sans UI;Times New Roman" w:cs="Tahoma"/>
                  <w:szCs w:val="24"/>
                  <w:lang w:eastAsia="zh-CN" w:bidi="en-US"/>
                </w:rPr>
              </w:pPr>
            </w:p>
            <w:p>
              <w:pPr>
                <w:widowControl w:val="0"/>
                <w:suppressAutoHyphens/>
                <w:spacing w:line="480" w:lineRule="auto"/>
                <w:ind w:firstLine="567"/>
                <w:jc w:val="both"/>
                <w:rPr>
                  <w:rFonts w:eastAsia="Andale Sans UI;Times New Roman" w:cs="Tahoma"/>
                  <w:szCs w:val="24"/>
                  <w:lang w:eastAsia="zh-CN" w:bidi="en-US"/>
                </w:rPr>
              </w:pPr>
            </w:p>
            <w:p>
              <w:pPr>
                <w:widowControl w:val="0"/>
                <w:suppressAutoHyphens/>
                <w:spacing w:line="480" w:lineRule="auto"/>
                <w:ind w:firstLine="567"/>
                <w:jc w:val="both"/>
                <w:rPr>
                  <w:rFonts w:eastAsia="Andale Sans UI;Times New Roman" w:cs="Tahoma"/>
                  <w:szCs w:val="24"/>
                  <w:lang w:eastAsia="zh-CN" w:bidi="en-US"/>
                </w:rPr>
              </w:pPr>
            </w:p>
            <w:p>
              <w:pPr>
                <w:widowControl w:val="0"/>
                <w:suppressAutoHyphens/>
                <w:spacing w:line="480" w:lineRule="auto"/>
                <w:ind w:firstLine="567"/>
                <w:jc w:val="both"/>
                <w:rPr>
                  <w:rFonts w:eastAsia="Andale Sans UI;Times New Roman" w:cs="Tahoma"/>
                  <w:szCs w:val="24"/>
                  <w:lang w:eastAsia="zh-CN" w:bidi="en-US"/>
                </w:rPr>
              </w:pPr>
            </w:p>
            <w:p>
              <w:pPr>
                <w:widowControl w:val="0"/>
                <w:suppressAutoHyphens/>
                <w:spacing w:line="480" w:lineRule="auto"/>
                <w:ind w:firstLine="567"/>
                <w:jc w:val="both"/>
                <w:rPr>
                  <w:rFonts w:eastAsia="Andale Sans UI;Times New Roman" w:cs="Tahoma"/>
                  <w:szCs w:val="24"/>
                  <w:lang w:eastAsia="zh-CN" w:bidi="en-US"/>
                </w:rPr>
              </w:pPr>
            </w:p>
            <w:p>
              <w:pPr>
                <w:widowControl w:val="0"/>
                <w:suppressAutoHyphens/>
                <w:spacing w:line="480" w:lineRule="auto"/>
                <w:ind w:firstLine="567"/>
                <w:jc w:val="both"/>
                <w:rPr>
                  <w:rFonts w:eastAsia="Andale Sans UI;Times New Roman" w:cs="Tahoma"/>
                  <w:szCs w:val="24"/>
                  <w:lang w:eastAsia="zh-CN" w:bidi="en-US"/>
                </w:rPr>
              </w:pPr>
            </w:p>
            <w:p>
              <w:pPr>
                <w:widowControl w:val="0"/>
                <w:suppressAutoHyphens/>
                <w:spacing w:line="480" w:lineRule="auto"/>
                <w:ind w:firstLine="567"/>
                <w:jc w:val="both"/>
                <w:rPr>
                  <w:rFonts w:eastAsia="Andale Sans UI;Times New Roman" w:cs="Tahoma"/>
                  <w:szCs w:val="24"/>
                  <w:lang w:eastAsia="zh-CN" w:bidi="en-US"/>
                </w:rPr>
              </w:pPr>
            </w:p>
            <w:p>
              <w:pPr>
                <w:widowControl w:val="0"/>
                <w:suppressAutoHyphens/>
                <w:spacing w:line="480" w:lineRule="auto"/>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p>
              <w:pPr>
                <w:widowControl w:val="0"/>
                <w:suppressAutoHyphens/>
                <w:ind w:firstLine="567"/>
                <w:jc w:val="both"/>
                <w:rPr>
                  <w:rFonts w:eastAsia="Andale Sans UI;Times New Roman" w:cs="Tahoma"/>
                  <w:szCs w:val="24"/>
                  <w:lang w:eastAsia="zh-CN" w:bidi="en-US"/>
                </w:rPr>
              </w:pPr>
            </w:p>
            <w:tbl>
              <w:tblPr>
                <w:tblW w:w="9643" w:type="dxa"/>
                <w:tblInd w:w="8" w:type="dxa"/>
                <w:tblLayout w:type="fixed"/>
                <w:tblCellMar>
                  <w:left w:w="0" w:type="dxa"/>
                  <w:right w:w="0" w:type="dxa"/>
                </w:tblCellMar>
                <w:tblLook w:val="04A0" w:firstRow="1" w:lastRow="0" w:firstColumn="1" w:lastColumn="0" w:noHBand="0" w:noVBand="1"/>
              </w:tblPr>
              <w:tblGrid>
                <w:gridCol w:w="9643"/>
              </w:tblGrid>
              <w:tr>
                <w:trPr>
                  <w:trHeight w:val="340"/>
                </w:trPr>
                <w:tc>
                  <w:tcPr>
                    <w:tcW w:w="9643" w:type="dxa"/>
                  </w:tcPr>
                  <w:p>
                    <w:pPr>
                      <w:rPr>
                        <w:sz w:val="8"/>
                        <w:szCs w:val="8"/>
                      </w:rPr>
                    </w:pPr>
                  </w:p>
                  <w:p>
                    <w:pPr>
                      <w:rPr>
                        <w:szCs w:val="24"/>
                        <w:lang w:eastAsia="zh-CN"/>
                      </w:rPr>
                    </w:pPr>
                    <w:r>
                      <w:rPr>
                        <w:szCs w:val="24"/>
                        <w:lang w:eastAsia="zh-CN"/>
                      </w:rPr>
                      <w:t xml:space="preserve">J. Vaišnorienė, 8  695 54 136, el. p. j.vaisnoriene@am.lt</w:t>
                    </w:r>
                  </w:p>
                </w:tc>
              </w:tr>
            </w:tbl>
            <w:p>
              <w:pPr>
                <w:widowControl w:val="0"/>
                <w:suppressAutoHyphens/>
                <w:jc w:val="both"/>
                <w:rPr>
                  <w:rFonts w:eastAsia="Andale Sans UI;Times New Roman" w:cs="Tahoma"/>
                  <w:szCs w:val="24"/>
                  <w:lang w:val="en-US" w:eastAsia="zh-CN" w:bidi="en-US"/>
                </w:rPr>
              </w:pPr>
            </w:p>
            <w:p>
              <w:pPr>
                <w:widowControl w:val="0"/>
                <w:suppressAutoHyphens/>
                <w:jc w:val="both"/>
                <w:rPr>
                  <w:rFonts w:eastAsia="Andale Sans UI;Times New Roman" w:cs="Tahoma"/>
                  <w:szCs w:val="24"/>
                  <w:lang w:val="en-US" w:eastAsia="zh-CN" w:bidi="en-US"/>
                </w:rPr>
              </w:pPr>
            </w:p>
            <w:p>
              <w:pPr>
                <w:widowControl w:val="0"/>
                <w:suppressAutoHyphens/>
                <w:jc w:val="both"/>
                <w:rPr>
                  <w:rFonts w:eastAsia="Andale Sans UI;Times New Roman" w:cs="Tahoma"/>
                  <w:szCs w:val="24"/>
                  <w:lang w:val="en-US" w:eastAsia="zh-CN" w:bidi="en-US"/>
                </w:rPr>
              </w:pPr>
            </w:p>
            <w:p>
              <w:pPr>
                <w:widowControl w:val="0"/>
                <w:suppressAutoHyphens/>
                <w:jc w:val="both"/>
                <w:rPr>
                  <w:rFonts w:eastAsia="Andale Sans UI;Times New Roman" w:cs="Tahoma"/>
                  <w:szCs w:val="24"/>
                  <w:lang w:val="en-US" w:eastAsia="zh-CN" w:bidi="en-US"/>
                </w:rPr>
              </w:pPr>
            </w:p>
          </w:sdtContent>
        </w:sdt>
        <w:sdt>
          <w:sdtPr>
            <w:alias w:val="signatura"/>
            <w:tag w:val="part_16b1724756c84af5b4ab593e0dff6638"/>
            <w:lock w:val="sdtLocked"/>
            <w:richText/>
          </w:sdtPr>
          <w:sdtContent>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Adresatų sąrašas:</w:t>
              </w:r>
            </w:p>
            <w:p>
              <w:pPr>
                <w:widowControl w:val="0"/>
                <w:suppressAutoHyphens/>
                <w:jc w:val="both"/>
                <w:rPr>
                  <w:rFonts w:eastAsia="Andale Sans UI;Times New Roman" w:cs="Tahoma"/>
                  <w:szCs w:val="24"/>
                  <w:lang w:eastAsia="zh-CN" w:bidi="en-US"/>
                </w:rPr>
              </w:pP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Atsakingai vandentvarkos asociacijai „Vandens jėga“</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ekonomikos ir inovacijų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teisingumo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specialiųjų tyrimų tarnybai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Respublikos sveikatos apsaugos ministerijai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nuotekų vežėjų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savivaldybių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vandens tiekėjų asociacijai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Lietuvos vyriausiojo archyvaro tarnybai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Valstybinei duomenų apsaugos inspekcijai</w:t>
              </w:r>
            </w:p>
            <w:p>
              <w:pPr>
                <w:widowControl w:val="0"/>
                <w:suppressAutoHyphens/>
                <w:jc w:val="both"/>
                <w:rPr>
                  <w:rFonts w:eastAsia="Andale Sans UI;Times New Roman" w:cs="Tahoma"/>
                  <w:szCs w:val="24"/>
                  <w:lang w:eastAsia="zh-CN" w:bidi="en-US"/>
                </w:rPr>
              </w:pPr>
              <w:r>
                <w:rPr>
                  <w:rFonts w:eastAsia="Andale Sans UI;Times New Roman" w:cs="Tahoma"/>
                  <w:szCs w:val="24"/>
                  <w:lang w:eastAsia="zh-CN" w:bidi="en-US"/>
                </w:rPr>
                <w:t>Valstybinei energetikos reguliavimo tarybai</w:t>
              </w:r>
            </w:p>
            <w:p>
              <w:pPr>
                <w:widowControl w:val="0"/>
                <w:suppressAutoHyphens/>
                <w:rPr>
                  <w:rFonts w:eastAsia="Andale Sans UI;Times New Roman" w:cs="Tahoma"/>
                  <w:szCs w:val="24"/>
                  <w:lang w:eastAsia="zh-CN" w:bidi="en-US"/>
                </w:rPr>
              </w:pPr>
              <w:r>
                <w:rPr>
                  <w:rFonts w:eastAsia="Andale Sans UI;Times New Roman" w:cs="Tahoma"/>
                  <w:szCs w:val="24"/>
                  <w:lang w:eastAsia="zh-CN" w:bidi="en-US"/>
                </w:rPr>
                <w:t>Valstybinei vartotojų teisių apsaugos tarnybai</w:t>
              </w:r>
            </w:p>
            <w:p>
              <w:pPr>
                <w:widowControl w:val="0"/>
                <w:suppressAutoHyphens/>
                <w:rPr>
                  <w:rFonts w:eastAsia="Andale Sans UI;Times New Roman" w:cs="Tahoma"/>
                  <w:szCs w:val="24"/>
                  <w:lang w:eastAsia="zh-CN" w:bidi="en-US"/>
                </w:rPr>
              </w:pPr>
              <w:r>
                <w:rPr>
                  <w:rFonts w:eastAsia="Andale Sans UI;Times New Roman" w:cs="Tahoma"/>
                  <w:szCs w:val="24"/>
                  <w:lang w:eastAsia="zh-CN" w:bidi="en-US"/>
                </w:rPr>
                <w:t>Valstybinei maisto ir veterinarijos tarnybai</w:t>
              </w:r>
            </w:p>
            <w:p>
              <w:pPr>
                <w:widowControl w:val="0"/>
                <w:tabs>
                  <w:tab w:val="left" w:pos="3802"/>
                </w:tabs>
                <w:suppressAutoHyphens/>
                <w:rPr>
                  <w:szCs w:val="24"/>
                  <w:lang w:eastAsia="zh-CN" w:bidi="en-US"/>
                </w:rPr>
              </w:pPr>
              <w:r>
                <w:rPr>
                  <w:szCs w:val="24"/>
                  <w:lang w:eastAsia="zh-CN" w:bidi="en-US"/>
                </w:rPr>
                <w:t>UAB „Akmenės vandenys“</w:t>
              </w:r>
            </w:p>
            <w:p>
              <w:pPr>
                <w:widowControl w:val="0"/>
                <w:tabs>
                  <w:tab w:val="left" w:pos="3802"/>
                </w:tabs>
                <w:suppressAutoHyphens/>
                <w:rPr>
                  <w:szCs w:val="24"/>
                  <w:lang w:eastAsia="zh-CN" w:bidi="en-US"/>
                </w:rPr>
              </w:pPr>
              <w:r>
                <w:rPr>
                  <w:szCs w:val="24"/>
                  <w:lang w:eastAsia="zh-CN" w:bidi="en-US"/>
                </w:rPr>
                <w:t>UAB „Dzūkijos vandenys“</w:t>
              </w:r>
            </w:p>
            <w:p>
              <w:pPr>
                <w:widowControl w:val="0"/>
                <w:tabs>
                  <w:tab w:val="left" w:pos="3802"/>
                </w:tabs>
                <w:suppressAutoHyphens/>
                <w:rPr>
                  <w:rFonts w:eastAsia="Andale Sans UI;Times New Roman" w:cs="Tahoma"/>
                  <w:szCs w:val="24"/>
                  <w:lang w:eastAsia="zh-CN" w:bidi="en-US"/>
                </w:rPr>
              </w:pPr>
              <w:r>
                <w:rPr>
                  <w:szCs w:val="24"/>
                  <w:lang w:eastAsia="zh-CN" w:bidi="en-US"/>
                </w:rPr>
                <w:t>SĮ „Simno komunalininkas“</w:t>
              </w:r>
            </w:p>
            <w:p>
              <w:pPr>
                <w:widowControl w:val="0"/>
                <w:tabs>
                  <w:tab w:val="left" w:pos="3802"/>
                </w:tabs>
                <w:suppressAutoHyphens/>
                <w:rPr>
                  <w:szCs w:val="24"/>
                  <w:lang w:eastAsia="zh-CN" w:bidi="en-US"/>
                </w:rPr>
              </w:pPr>
              <w:r>
                <w:rPr>
                  <w:szCs w:val="24"/>
                  <w:lang w:eastAsia="zh-CN" w:bidi="en-US"/>
                </w:rPr>
                <w:t>UAB „Anykščių vandenys“</w:t>
              </w:r>
            </w:p>
            <w:p>
              <w:pPr>
                <w:widowControl w:val="0"/>
                <w:tabs>
                  <w:tab w:val="left" w:pos="3802"/>
                </w:tabs>
                <w:suppressAutoHyphens/>
                <w:rPr>
                  <w:szCs w:val="24"/>
                  <w:lang w:eastAsia="zh-CN" w:bidi="en-US"/>
                </w:rPr>
              </w:pPr>
              <w:r>
                <w:rPr>
                  <w:szCs w:val="24"/>
                  <w:lang w:eastAsia="zh-CN" w:bidi="en-US"/>
                </w:rPr>
                <w:t>UAB „Birštono vandentiekis“</w:t>
              </w:r>
            </w:p>
            <w:p>
              <w:pPr>
                <w:widowControl w:val="0"/>
                <w:tabs>
                  <w:tab w:val="left" w:pos="3802"/>
                </w:tabs>
                <w:suppressAutoHyphens/>
                <w:rPr>
                  <w:szCs w:val="24"/>
                  <w:lang w:eastAsia="zh-CN" w:bidi="en-US"/>
                </w:rPr>
              </w:pPr>
              <w:r>
                <w:rPr>
                  <w:szCs w:val="24"/>
                  <w:lang w:eastAsia="zh-CN" w:bidi="en-US"/>
                </w:rPr>
                <w:t>UAB „Biržų vandenys“</w:t>
              </w:r>
            </w:p>
            <w:p>
              <w:pPr>
                <w:widowControl w:val="0"/>
                <w:tabs>
                  <w:tab w:val="left" w:pos="3802"/>
                </w:tabs>
                <w:suppressAutoHyphens/>
                <w:rPr>
                  <w:szCs w:val="24"/>
                  <w:lang w:eastAsia="zh-CN" w:bidi="en-US"/>
                </w:rPr>
              </w:pPr>
              <w:r>
                <w:rPr>
                  <w:szCs w:val="24"/>
                  <w:lang w:eastAsia="zh-CN" w:bidi="en-US"/>
                </w:rPr>
                <w:t>UAB „Druskininkų vandenys“</w:t>
              </w:r>
            </w:p>
            <w:p>
              <w:pPr>
                <w:widowControl w:val="0"/>
                <w:tabs>
                  <w:tab w:val="left" w:pos="3802"/>
                </w:tabs>
                <w:suppressAutoHyphens/>
                <w:rPr>
                  <w:szCs w:val="24"/>
                  <w:lang w:eastAsia="zh-CN" w:bidi="en-US"/>
                </w:rPr>
              </w:pPr>
              <w:r>
                <w:rPr>
                  <w:szCs w:val="24"/>
                  <w:lang w:eastAsia="zh-CN" w:bidi="en-US"/>
                </w:rPr>
                <w:t>UAB „Elektrėnų komunalinis ūkis“</w:t>
              </w:r>
            </w:p>
            <w:p>
              <w:pPr>
                <w:widowControl w:val="0"/>
                <w:tabs>
                  <w:tab w:val="left" w:pos="3802"/>
                </w:tabs>
                <w:suppressAutoHyphens/>
                <w:rPr>
                  <w:szCs w:val="24"/>
                  <w:lang w:eastAsia="zh-CN" w:bidi="en-US"/>
                </w:rPr>
              </w:pPr>
              <w:r>
                <w:rPr>
                  <w:szCs w:val="24"/>
                  <w:lang w:eastAsia="zh-CN" w:bidi="en-US"/>
                </w:rPr>
                <w:t xml:space="preserve">UAB „Ignalinos vanduo“ </w:t>
              </w:r>
            </w:p>
            <w:p>
              <w:pPr>
                <w:widowControl w:val="0"/>
                <w:tabs>
                  <w:tab w:val="left" w:pos="3802"/>
                </w:tabs>
                <w:suppressAutoHyphens/>
                <w:rPr>
                  <w:szCs w:val="24"/>
                  <w:lang w:eastAsia="zh-CN" w:bidi="en-US"/>
                </w:rPr>
              </w:pPr>
              <w:r>
                <w:rPr>
                  <w:szCs w:val="24"/>
                  <w:lang w:eastAsia="zh-CN" w:bidi="en-US"/>
                </w:rPr>
                <w:t>UAB „Didžiasalio komunalinės paslaugos“</w:t>
              </w:r>
            </w:p>
            <w:p>
              <w:pPr>
                <w:widowControl w:val="0"/>
                <w:tabs>
                  <w:tab w:val="left" w:pos="3802"/>
                </w:tabs>
                <w:suppressAutoHyphens/>
                <w:rPr>
                  <w:szCs w:val="24"/>
                  <w:lang w:eastAsia="zh-CN" w:bidi="en-US"/>
                </w:rPr>
              </w:pPr>
              <w:r>
                <w:rPr>
                  <w:szCs w:val="24"/>
                  <w:lang w:eastAsia="zh-CN" w:bidi="en-US"/>
                </w:rPr>
                <w:t>UAB „Jonavos vandenys“</w:t>
              </w:r>
            </w:p>
            <w:p>
              <w:pPr>
                <w:widowControl w:val="0"/>
                <w:tabs>
                  <w:tab w:val="left" w:pos="3802"/>
                </w:tabs>
                <w:suppressAutoHyphens/>
                <w:rPr>
                  <w:szCs w:val="24"/>
                  <w:lang w:eastAsia="zh-CN" w:bidi="en-US"/>
                </w:rPr>
              </w:pPr>
              <w:r>
                <w:rPr>
                  <w:szCs w:val="24"/>
                  <w:lang w:eastAsia="zh-CN" w:bidi="en-US"/>
                </w:rPr>
                <w:t>UAB „Joniškio vandenys“</w:t>
              </w:r>
            </w:p>
            <w:p>
              <w:pPr>
                <w:widowControl w:val="0"/>
                <w:tabs>
                  <w:tab w:val="left" w:pos="3802"/>
                </w:tabs>
                <w:suppressAutoHyphens/>
                <w:rPr>
                  <w:szCs w:val="24"/>
                  <w:lang w:eastAsia="zh-CN" w:bidi="en-US"/>
                </w:rPr>
              </w:pPr>
              <w:r>
                <w:rPr>
                  <w:szCs w:val="24"/>
                  <w:lang w:eastAsia="zh-CN" w:bidi="en-US"/>
                </w:rPr>
                <w:t>UAB „Jurbarko vandenys“</w:t>
              </w:r>
            </w:p>
            <w:p>
              <w:pPr>
                <w:widowControl w:val="0"/>
                <w:tabs>
                  <w:tab w:val="left" w:pos="3802"/>
                </w:tabs>
                <w:suppressAutoHyphens/>
                <w:rPr>
                  <w:szCs w:val="24"/>
                  <w:lang w:eastAsia="zh-CN" w:bidi="en-US"/>
                </w:rPr>
              </w:pPr>
              <w:r>
                <w:rPr>
                  <w:szCs w:val="24"/>
                  <w:lang w:eastAsia="zh-CN" w:bidi="en-US"/>
                </w:rPr>
                <w:t>UAB „ Kaišiadorių vandenys“</w:t>
              </w:r>
            </w:p>
            <w:p>
              <w:pPr>
                <w:widowControl w:val="0"/>
                <w:tabs>
                  <w:tab w:val="left" w:pos="3802"/>
                </w:tabs>
                <w:suppressAutoHyphens/>
                <w:rPr>
                  <w:szCs w:val="24"/>
                  <w:lang w:eastAsia="zh-CN" w:bidi="en-US"/>
                </w:rPr>
              </w:pPr>
              <w:r>
                <w:rPr>
                  <w:szCs w:val="24"/>
                  <w:lang w:eastAsia="zh-CN" w:bidi="en-US"/>
                </w:rPr>
                <w:t>UAB „Kalvarijos komunalininkas“</w:t>
              </w:r>
            </w:p>
            <w:p>
              <w:pPr>
                <w:widowControl w:val="0"/>
                <w:tabs>
                  <w:tab w:val="left" w:pos="3802"/>
                </w:tabs>
                <w:suppressAutoHyphens/>
                <w:rPr>
                  <w:szCs w:val="24"/>
                  <w:lang w:eastAsia="zh-CN" w:bidi="en-US"/>
                </w:rPr>
              </w:pPr>
              <w:r>
                <w:rPr>
                  <w:szCs w:val="24"/>
                  <w:lang w:eastAsia="zh-CN" w:bidi="en-US"/>
                </w:rPr>
                <w:t>UAB „Kauno vandenys“</w:t>
              </w:r>
            </w:p>
            <w:p>
              <w:pPr>
                <w:widowControl w:val="0"/>
                <w:tabs>
                  <w:tab w:val="left" w:pos="3802"/>
                </w:tabs>
                <w:suppressAutoHyphens/>
                <w:rPr>
                  <w:szCs w:val="24"/>
                  <w:lang w:eastAsia="zh-CN" w:bidi="en-US"/>
                </w:rPr>
              </w:pPr>
              <w:r>
                <w:rPr>
                  <w:szCs w:val="24"/>
                  <w:lang w:eastAsia="zh-CN" w:bidi="en-US"/>
                </w:rPr>
                <w:t>UAB „Giraitės vandenys“</w:t>
              </w:r>
            </w:p>
            <w:p>
              <w:pPr>
                <w:widowControl w:val="0"/>
                <w:tabs>
                  <w:tab w:val="left" w:pos="3802"/>
                </w:tabs>
                <w:suppressAutoHyphens/>
                <w:rPr>
                  <w:szCs w:val="24"/>
                  <w:lang w:eastAsia="zh-CN" w:bidi="en-US"/>
                </w:rPr>
              </w:pPr>
              <w:r>
                <w:rPr>
                  <w:szCs w:val="24"/>
                  <w:lang w:eastAsia="zh-CN" w:bidi="en-US"/>
                </w:rPr>
                <w:t>UAB „Kazlų Rūdos komunalininkas“</w:t>
              </w:r>
            </w:p>
            <w:p>
              <w:pPr>
                <w:widowControl w:val="0"/>
                <w:tabs>
                  <w:tab w:val="left" w:pos="3802"/>
                </w:tabs>
                <w:suppressAutoHyphens/>
                <w:rPr>
                  <w:szCs w:val="24"/>
                  <w:lang w:eastAsia="zh-CN" w:bidi="en-US"/>
                </w:rPr>
              </w:pPr>
              <w:r>
                <w:rPr>
                  <w:szCs w:val="24"/>
                  <w:lang w:eastAsia="zh-CN" w:bidi="en-US"/>
                </w:rPr>
                <w:t>UAB „Kelmės vanduo“</w:t>
              </w:r>
            </w:p>
            <w:p>
              <w:pPr>
                <w:widowControl w:val="0"/>
                <w:tabs>
                  <w:tab w:val="left" w:pos="3802"/>
                </w:tabs>
                <w:suppressAutoHyphens/>
                <w:rPr>
                  <w:szCs w:val="24"/>
                  <w:lang w:eastAsia="zh-CN" w:bidi="en-US"/>
                </w:rPr>
              </w:pPr>
              <w:r>
                <w:rPr>
                  <w:szCs w:val="24"/>
                  <w:lang w:eastAsia="zh-CN" w:bidi="en-US"/>
                </w:rPr>
                <w:t>UAB „Kėdainių vandenys“</w:t>
              </w:r>
            </w:p>
            <w:p>
              <w:pPr>
                <w:widowControl w:val="0"/>
                <w:tabs>
                  <w:tab w:val="left" w:pos="3802"/>
                </w:tabs>
                <w:suppressAutoHyphens/>
                <w:rPr>
                  <w:szCs w:val="24"/>
                  <w:lang w:eastAsia="zh-CN" w:bidi="en-US"/>
                </w:rPr>
              </w:pPr>
              <w:r>
                <w:rPr>
                  <w:szCs w:val="24"/>
                  <w:lang w:eastAsia="zh-CN" w:bidi="en-US"/>
                </w:rPr>
                <w:t>AB „Klaipėdos vanduo“</w:t>
              </w:r>
            </w:p>
            <w:p>
              <w:pPr>
                <w:widowControl w:val="0"/>
                <w:tabs>
                  <w:tab w:val="left" w:pos="3802"/>
                </w:tabs>
                <w:suppressAutoHyphens/>
                <w:rPr>
                  <w:szCs w:val="24"/>
                  <w:lang w:eastAsia="zh-CN" w:bidi="en-US"/>
                </w:rPr>
              </w:pPr>
              <w:r>
                <w:rPr>
                  <w:szCs w:val="24"/>
                  <w:lang w:eastAsia="zh-CN" w:bidi="en-US"/>
                </w:rPr>
                <w:t>AB „Klaipėdos vanduo“</w:t>
              </w:r>
            </w:p>
            <w:p>
              <w:pPr>
                <w:widowControl w:val="0"/>
                <w:tabs>
                  <w:tab w:val="left" w:pos="3802"/>
                </w:tabs>
                <w:suppressAutoHyphens/>
                <w:rPr>
                  <w:szCs w:val="24"/>
                  <w:lang w:eastAsia="zh-CN" w:bidi="en-US"/>
                </w:rPr>
              </w:pPr>
              <w:r>
                <w:rPr>
                  <w:szCs w:val="24"/>
                  <w:lang w:eastAsia="zh-CN" w:bidi="en-US"/>
                </w:rPr>
                <w:t>UAB „Kretingos vandenys“</w:t>
              </w:r>
            </w:p>
            <w:p>
              <w:pPr>
                <w:widowControl w:val="0"/>
                <w:tabs>
                  <w:tab w:val="left" w:pos="3802"/>
                </w:tabs>
                <w:suppressAutoHyphens/>
                <w:rPr>
                  <w:szCs w:val="24"/>
                  <w:lang w:eastAsia="zh-CN" w:bidi="en-US"/>
                </w:rPr>
              </w:pPr>
              <w:r>
                <w:rPr>
                  <w:szCs w:val="24"/>
                  <w:lang w:eastAsia="zh-CN" w:bidi="en-US"/>
                </w:rPr>
                <w:t>UAB „Kupiškio vandenys“</w:t>
              </w:r>
            </w:p>
            <w:p>
              <w:pPr>
                <w:widowControl w:val="0"/>
                <w:tabs>
                  <w:tab w:val="left" w:pos="3802"/>
                </w:tabs>
                <w:suppressAutoHyphens/>
                <w:rPr>
                  <w:szCs w:val="24"/>
                  <w:lang w:eastAsia="zh-CN" w:bidi="en-US"/>
                </w:rPr>
              </w:pPr>
              <w:r>
                <w:rPr>
                  <w:szCs w:val="24"/>
                  <w:lang w:eastAsia="zh-CN" w:bidi="en-US"/>
                </w:rPr>
                <w:t>UAB „Lazdijų vanduo“</w:t>
              </w:r>
            </w:p>
            <w:p>
              <w:pPr>
                <w:widowControl w:val="0"/>
                <w:tabs>
                  <w:tab w:val="left" w:pos="3802"/>
                </w:tabs>
                <w:suppressAutoHyphens/>
                <w:rPr>
                  <w:szCs w:val="24"/>
                  <w:lang w:eastAsia="zh-CN" w:bidi="en-US"/>
                </w:rPr>
              </w:pPr>
              <w:r>
                <w:rPr>
                  <w:szCs w:val="24"/>
                  <w:lang w:eastAsia="zh-CN" w:bidi="en-US"/>
                </w:rPr>
                <w:t>UAB „Sūduvos vandenys“</w:t>
              </w:r>
            </w:p>
            <w:p>
              <w:pPr>
                <w:widowControl w:val="0"/>
                <w:tabs>
                  <w:tab w:val="left" w:pos="3802"/>
                </w:tabs>
                <w:suppressAutoHyphens/>
                <w:rPr>
                  <w:szCs w:val="24"/>
                  <w:lang w:eastAsia="zh-CN" w:bidi="en-US"/>
                </w:rPr>
              </w:pPr>
              <w:r>
                <w:rPr>
                  <w:szCs w:val="24"/>
                  <w:lang w:eastAsia="zh-CN" w:bidi="en-US"/>
                </w:rPr>
                <w:t>UAB „Mažeikių vandenys“</w:t>
              </w:r>
            </w:p>
            <w:p>
              <w:pPr>
                <w:widowControl w:val="0"/>
                <w:tabs>
                  <w:tab w:val="left" w:pos="3802"/>
                </w:tabs>
                <w:suppressAutoHyphens/>
                <w:rPr>
                  <w:szCs w:val="24"/>
                  <w:lang w:eastAsia="zh-CN" w:bidi="en-US"/>
                </w:rPr>
              </w:pPr>
              <w:r>
                <w:rPr>
                  <w:szCs w:val="24"/>
                  <w:lang w:eastAsia="zh-CN" w:bidi="en-US"/>
                </w:rPr>
                <w:t>UAB „Molėtų vanduo“</w:t>
              </w:r>
            </w:p>
            <w:p>
              <w:pPr>
                <w:widowControl w:val="0"/>
                <w:tabs>
                  <w:tab w:val="left" w:pos="3802"/>
                </w:tabs>
                <w:suppressAutoHyphens/>
                <w:rPr>
                  <w:szCs w:val="24"/>
                  <w:lang w:eastAsia="zh-CN" w:bidi="en-US"/>
                </w:rPr>
              </w:pPr>
              <w:r>
                <w:rPr>
                  <w:szCs w:val="24"/>
                  <w:lang w:eastAsia="zh-CN" w:bidi="en-US"/>
                </w:rPr>
                <w:t>UAB „Neringos vanduo“</w:t>
              </w:r>
            </w:p>
            <w:p>
              <w:pPr>
                <w:widowControl w:val="0"/>
                <w:tabs>
                  <w:tab w:val="left" w:pos="3802"/>
                </w:tabs>
                <w:suppressAutoHyphens/>
                <w:rPr>
                  <w:szCs w:val="24"/>
                  <w:lang w:eastAsia="zh-CN" w:bidi="en-US"/>
                </w:rPr>
              </w:pPr>
              <w:r>
                <w:rPr>
                  <w:szCs w:val="24"/>
                  <w:lang w:eastAsia="zh-CN" w:bidi="en-US"/>
                </w:rPr>
                <w:t>UAB „Pagėgių komunalinis ūkis“</w:t>
              </w:r>
            </w:p>
            <w:p>
              <w:pPr>
                <w:widowControl w:val="0"/>
                <w:tabs>
                  <w:tab w:val="left" w:pos="3802"/>
                </w:tabs>
                <w:suppressAutoHyphens/>
                <w:rPr>
                  <w:szCs w:val="24"/>
                  <w:lang w:eastAsia="zh-CN" w:bidi="en-US"/>
                </w:rPr>
              </w:pPr>
              <w:r>
                <w:rPr>
                  <w:szCs w:val="24"/>
                  <w:lang w:eastAsia="zh-CN" w:bidi="en-US"/>
                </w:rPr>
                <w:t>UAB „Pakruojo vandentiekis“</w:t>
              </w:r>
            </w:p>
            <w:p>
              <w:pPr>
                <w:widowControl w:val="0"/>
                <w:tabs>
                  <w:tab w:val="left" w:pos="3802"/>
                </w:tabs>
                <w:suppressAutoHyphens/>
                <w:rPr>
                  <w:szCs w:val="24"/>
                  <w:lang w:eastAsia="zh-CN" w:bidi="en-US"/>
                </w:rPr>
              </w:pPr>
              <w:r>
                <w:rPr>
                  <w:szCs w:val="24"/>
                  <w:lang w:eastAsia="zh-CN" w:bidi="en-US"/>
                </w:rPr>
                <w:t>UAB „Palangos vandenys“</w:t>
              </w:r>
            </w:p>
            <w:p>
              <w:pPr>
                <w:widowControl w:val="0"/>
                <w:tabs>
                  <w:tab w:val="left" w:pos="3802"/>
                </w:tabs>
                <w:suppressAutoHyphens/>
                <w:rPr>
                  <w:szCs w:val="24"/>
                  <w:lang w:eastAsia="zh-CN" w:bidi="en-US"/>
                </w:rPr>
              </w:pPr>
              <w:r>
                <w:rPr>
                  <w:szCs w:val="24"/>
                  <w:lang w:eastAsia="zh-CN" w:bidi="en-US"/>
                </w:rPr>
                <w:t>UAB „Aukštaitijos vandenys“</w:t>
              </w:r>
            </w:p>
            <w:p>
              <w:pPr>
                <w:widowControl w:val="0"/>
                <w:tabs>
                  <w:tab w:val="left" w:pos="3802"/>
                </w:tabs>
                <w:suppressAutoHyphens/>
                <w:rPr>
                  <w:szCs w:val="24"/>
                  <w:lang w:eastAsia="zh-CN" w:bidi="en-US"/>
                </w:rPr>
              </w:pPr>
              <w:r>
                <w:rPr>
                  <w:szCs w:val="24"/>
                  <w:lang w:eastAsia="zh-CN" w:bidi="en-US"/>
                </w:rPr>
                <w:t>VšĮ „Velžio komunalinis ūkis“</w:t>
              </w:r>
            </w:p>
            <w:p>
              <w:pPr>
                <w:widowControl w:val="0"/>
                <w:tabs>
                  <w:tab w:val="left" w:pos="3802"/>
                </w:tabs>
                <w:suppressAutoHyphens/>
                <w:rPr>
                  <w:szCs w:val="24"/>
                  <w:lang w:eastAsia="zh-CN" w:bidi="en-US"/>
                </w:rPr>
              </w:pPr>
              <w:r>
                <w:rPr>
                  <w:szCs w:val="24"/>
                  <w:lang w:eastAsia="zh-CN" w:bidi="en-US"/>
                </w:rPr>
                <w:t>UAB „Pasvalio vandenys“</w:t>
              </w:r>
            </w:p>
            <w:p>
              <w:pPr>
                <w:widowControl w:val="0"/>
                <w:tabs>
                  <w:tab w:val="left" w:pos="3802"/>
                </w:tabs>
                <w:suppressAutoHyphens/>
                <w:rPr>
                  <w:szCs w:val="24"/>
                  <w:lang w:eastAsia="zh-CN" w:bidi="en-US"/>
                </w:rPr>
              </w:pPr>
              <w:r>
                <w:rPr>
                  <w:szCs w:val="24"/>
                  <w:lang w:eastAsia="zh-CN" w:bidi="en-US"/>
                </w:rPr>
                <w:t>UAB „Plungės vandenys“</w:t>
              </w:r>
            </w:p>
            <w:p>
              <w:pPr>
                <w:widowControl w:val="0"/>
                <w:tabs>
                  <w:tab w:val="left" w:pos="3802"/>
                </w:tabs>
                <w:suppressAutoHyphens/>
                <w:rPr>
                  <w:szCs w:val="24"/>
                  <w:lang w:eastAsia="zh-CN" w:bidi="en-US"/>
                </w:rPr>
              </w:pPr>
              <w:r>
                <w:rPr>
                  <w:szCs w:val="24"/>
                  <w:lang w:eastAsia="zh-CN" w:bidi="en-US"/>
                </w:rPr>
                <w:t>UAB „Prienų vandenys“</w:t>
              </w:r>
            </w:p>
            <w:p>
              <w:pPr>
                <w:widowControl w:val="0"/>
                <w:tabs>
                  <w:tab w:val="left" w:pos="3802"/>
                </w:tabs>
                <w:suppressAutoHyphens/>
                <w:rPr>
                  <w:szCs w:val="24"/>
                  <w:lang w:eastAsia="zh-CN" w:bidi="en-US"/>
                </w:rPr>
              </w:pPr>
              <w:r>
                <w:rPr>
                  <w:szCs w:val="24"/>
                  <w:lang w:eastAsia="zh-CN" w:bidi="en-US"/>
                </w:rPr>
                <w:t>UAB „Radviliškio vanduo“</w:t>
              </w:r>
            </w:p>
            <w:p>
              <w:pPr>
                <w:widowControl w:val="0"/>
                <w:tabs>
                  <w:tab w:val="left" w:pos="3802"/>
                </w:tabs>
                <w:suppressAutoHyphens/>
                <w:rPr>
                  <w:szCs w:val="24"/>
                  <w:lang w:eastAsia="zh-CN" w:bidi="en-US"/>
                </w:rPr>
              </w:pPr>
              <w:r>
                <w:rPr>
                  <w:szCs w:val="24"/>
                  <w:lang w:eastAsia="zh-CN" w:bidi="en-US"/>
                </w:rPr>
                <w:t>UAB „Raseinių vandenys“</w:t>
              </w:r>
            </w:p>
            <w:p>
              <w:pPr>
                <w:widowControl w:val="0"/>
                <w:tabs>
                  <w:tab w:val="left" w:pos="3802"/>
                </w:tabs>
                <w:suppressAutoHyphens/>
                <w:rPr>
                  <w:szCs w:val="24"/>
                  <w:lang w:eastAsia="zh-CN" w:bidi="en-US"/>
                </w:rPr>
              </w:pPr>
              <w:r>
                <w:rPr>
                  <w:szCs w:val="24"/>
                  <w:lang w:eastAsia="zh-CN" w:bidi="en-US"/>
                </w:rPr>
                <w:t>UAB „Rietavo komunalinis ūkis“</w:t>
              </w:r>
            </w:p>
            <w:p>
              <w:pPr>
                <w:widowControl w:val="0"/>
                <w:tabs>
                  <w:tab w:val="left" w:pos="3802"/>
                </w:tabs>
                <w:suppressAutoHyphens/>
                <w:rPr>
                  <w:szCs w:val="24"/>
                  <w:lang w:eastAsia="zh-CN" w:bidi="en-US"/>
                </w:rPr>
              </w:pPr>
              <w:r>
                <w:rPr>
                  <w:szCs w:val="24"/>
                  <w:lang w:eastAsia="zh-CN" w:bidi="en-US"/>
                </w:rPr>
                <w:t>UAB „Rokiškio vandenys“</w:t>
              </w:r>
            </w:p>
            <w:p>
              <w:pPr>
                <w:widowControl w:val="0"/>
                <w:tabs>
                  <w:tab w:val="left" w:pos="3802"/>
                </w:tabs>
                <w:suppressAutoHyphens/>
                <w:rPr>
                  <w:szCs w:val="24"/>
                  <w:lang w:eastAsia="zh-CN" w:bidi="en-US"/>
                </w:rPr>
              </w:pPr>
              <w:r>
                <w:rPr>
                  <w:szCs w:val="24"/>
                  <w:lang w:eastAsia="zh-CN" w:bidi="en-US"/>
                </w:rPr>
                <w:t>UAB „Skuodo vandenys“</w:t>
              </w:r>
            </w:p>
            <w:p>
              <w:pPr>
                <w:widowControl w:val="0"/>
                <w:tabs>
                  <w:tab w:val="left" w:pos="3802"/>
                </w:tabs>
                <w:suppressAutoHyphens/>
                <w:rPr>
                  <w:szCs w:val="24"/>
                  <w:lang w:eastAsia="zh-CN" w:bidi="en-US"/>
                </w:rPr>
              </w:pPr>
              <w:r>
                <w:rPr>
                  <w:szCs w:val="24"/>
                  <w:lang w:eastAsia="zh-CN" w:bidi="en-US"/>
                </w:rPr>
                <w:t>UAB „Šakių vandenys“</w:t>
              </w:r>
            </w:p>
            <w:p>
              <w:pPr>
                <w:widowControl w:val="0"/>
                <w:tabs>
                  <w:tab w:val="left" w:pos="3802"/>
                </w:tabs>
                <w:suppressAutoHyphens/>
                <w:rPr>
                  <w:szCs w:val="24"/>
                  <w:lang w:eastAsia="zh-CN" w:bidi="en-US"/>
                </w:rPr>
              </w:pPr>
              <w:r>
                <w:rPr>
                  <w:szCs w:val="24"/>
                  <w:lang w:eastAsia="zh-CN" w:bidi="en-US"/>
                </w:rPr>
                <w:t>UAB „Tvarkyba“</w:t>
              </w:r>
            </w:p>
            <w:p>
              <w:pPr>
                <w:widowControl w:val="0"/>
                <w:tabs>
                  <w:tab w:val="left" w:pos="3802"/>
                </w:tabs>
                <w:suppressAutoHyphens/>
                <w:rPr>
                  <w:szCs w:val="24"/>
                  <w:lang w:eastAsia="zh-CN" w:bidi="en-US"/>
                </w:rPr>
              </w:pPr>
              <w:r>
                <w:rPr>
                  <w:szCs w:val="24"/>
                  <w:lang w:eastAsia="zh-CN" w:bidi="en-US"/>
                </w:rPr>
                <w:t>UAB „Šiaulių vandenys“</w:t>
              </w:r>
            </w:p>
            <w:p>
              <w:pPr>
                <w:widowControl w:val="0"/>
                <w:tabs>
                  <w:tab w:val="left" w:pos="3802"/>
                </w:tabs>
                <w:suppressAutoHyphens/>
                <w:rPr>
                  <w:szCs w:val="24"/>
                  <w:lang w:eastAsia="zh-CN" w:bidi="en-US"/>
                </w:rPr>
              </w:pPr>
              <w:r>
                <w:rPr>
                  <w:szCs w:val="24"/>
                  <w:lang w:eastAsia="zh-CN" w:bidi="en-US"/>
                </w:rPr>
                <w:t>UAB „Kuršėnų vandenys“</w:t>
              </w:r>
            </w:p>
            <w:p>
              <w:pPr>
                <w:widowControl w:val="0"/>
                <w:tabs>
                  <w:tab w:val="left" w:pos="3802"/>
                </w:tabs>
                <w:suppressAutoHyphens/>
                <w:rPr>
                  <w:szCs w:val="24"/>
                  <w:lang w:eastAsia="zh-CN" w:bidi="en-US"/>
                </w:rPr>
              </w:pPr>
              <w:r>
                <w:rPr>
                  <w:szCs w:val="24"/>
                  <w:lang w:eastAsia="zh-CN" w:bidi="en-US"/>
                </w:rPr>
                <w:t>UAB „Šilalės vandenys“</w:t>
              </w:r>
            </w:p>
            <w:p>
              <w:pPr>
                <w:widowControl w:val="0"/>
                <w:tabs>
                  <w:tab w:val="left" w:pos="3802"/>
                </w:tabs>
                <w:suppressAutoHyphens/>
                <w:rPr>
                  <w:szCs w:val="24"/>
                  <w:lang w:eastAsia="zh-CN" w:bidi="en-US"/>
                </w:rPr>
              </w:pPr>
              <w:r>
                <w:rPr>
                  <w:szCs w:val="24"/>
                  <w:lang w:eastAsia="zh-CN" w:bidi="en-US"/>
                </w:rPr>
                <w:t>UAB „Šilutės vandenys“</w:t>
              </w:r>
            </w:p>
            <w:p>
              <w:pPr>
                <w:widowControl w:val="0"/>
                <w:tabs>
                  <w:tab w:val="left" w:pos="3802"/>
                </w:tabs>
                <w:suppressAutoHyphens/>
                <w:rPr>
                  <w:szCs w:val="24"/>
                  <w:lang w:eastAsia="zh-CN" w:bidi="en-US"/>
                </w:rPr>
              </w:pPr>
              <w:r>
                <w:rPr>
                  <w:szCs w:val="24"/>
                  <w:lang w:eastAsia="zh-CN" w:bidi="en-US"/>
                </w:rPr>
                <w:t>UAB „Širvintų vandenys“</w:t>
              </w:r>
            </w:p>
            <w:p>
              <w:pPr>
                <w:widowControl w:val="0"/>
                <w:tabs>
                  <w:tab w:val="left" w:pos="3802"/>
                </w:tabs>
                <w:suppressAutoHyphens/>
                <w:rPr>
                  <w:szCs w:val="24"/>
                  <w:lang w:eastAsia="zh-CN" w:bidi="en-US"/>
                </w:rPr>
              </w:pPr>
              <w:r>
                <w:rPr>
                  <w:szCs w:val="24"/>
                  <w:lang w:eastAsia="zh-CN" w:bidi="en-US"/>
                </w:rPr>
                <w:t>UAB „Pabradės komunalinis ūkis“</w:t>
              </w:r>
            </w:p>
            <w:p>
              <w:pPr>
                <w:widowControl w:val="0"/>
                <w:tabs>
                  <w:tab w:val="left" w:pos="3802"/>
                </w:tabs>
                <w:suppressAutoHyphens/>
                <w:rPr>
                  <w:szCs w:val="24"/>
                  <w:lang w:eastAsia="zh-CN" w:bidi="en-US"/>
                </w:rPr>
              </w:pPr>
              <w:r>
                <w:rPr>
                  <w:szCs w:val="24"/>
                  <w:lang w:eastAsia="zh-CN" w:bidi="en-US"/>
                </w:rPr>
                <w:t>UAB „Tauragės vandenys“</w:t>
              </w:r>
            </w:p>
            <w:p>
              <w:pPr>
                <w:widowControl w:val="0"/>
                <w:tabs>
                  <w:tab w:val="left" w:pos="3802"/>
                </w:tabs>
                <w:suppressAutoHyphens/>
                <w:rPr>
                  <w:szCs w:val="24"/>
                  <w:lang w:eastAsia="zh-CN" w:bidi="en-US"/>
                </w:rPr>
              </w:pPr>
              <w:r>
                <w:rPr>
                  <w:szCs w:val="24"/>
                  <w:lang w:eastAsia="zh-CN" w:bidi="en-US"/>
                </w:rPr>
                <w:t>UAB „Telšių vandenys“</w:t>
              </w:r>
            </w:p>
            <w:p>
              <w:pPr>
                <w:widowControl w:val="0"/>
                <w:tabs>
                  <w:tab w:val="left" w:pos="3802"/>
                </w:tabs>
                <w:suppressAutoHyphens/>
                <w:rPr>
                  <w:szCs w:val="24"/>
                  <w:lang w:eastAsia="zh-CN" w:bidi="en-US"/>
                </w:rPr>
              </w:pPr>
              <w:r>
                <w:rPr>
                  <w:szCs w:val="24"/>
                  <w:lang w:eastAsia="zh-CN" w:bidi="en-US"/>
                </w:rPr>
                <w:t>UAB „Trakų vandenys“</w:t>
              </w:r>
            </w:p>
            <w:p>
              <w:pPr>
                <w:widowControl w:val="0"/>
                <w:tabs>
                  <w:tab w:val="left" w:pos="3802"/>
                </w:tabs>
                <w:suppressAutoHyphens/>
                <w:rPr>
                  <w:szCs w:val="24"/>
                  <w:lang w:eastAsia="zh-CN" w:bidi="en-US"/>
                </w:rPr>
              </w:pPr>
              <w:r>
                <w:rPr>
                  <w:szCs w:val="24"/>
                  <w:lang w:eastAsia="zh-CN" w:bidi="en-US"/>
                </w:rPr>
                <w:t>UAB „Ukmergės vandenys“</w:t>
              </w:r>
            </w:p>
            <w:p>
              <w:pPr>
                <w:widowControl w:val="0"/>
                <w:tabs>
                  <w:tab w:val="left" w:pos="3802"/>
                </w:tabs>
                <w:suppressAutoHyphens/>
                <w:rPr>
                  <w:szCs w:val="24"/>
                  <w:lang w:eastAsia="zh-CN" w:bidi="en-US"/>
                </w:rPr>
              </w:pPr>
              <w:r>
                <w:rPr>
                  <w:szCs w:val="24"/>
                  <w:lang w:eastAsia="zh-CN" w:bidi="en-US"/>
                </w:rPr>
                <w:t>UAB „Utenos vandenys“</w:t>
              </w:r>
            </w:p>
            <w:p>
              <w:pPr>
                <w:widowControl w:val="0"/>
                <w:tabs>
                  <w:tab w:val="left" w:pos="3802"/>
                </w:tabs>
                <w:suppressAutoHyphens/>
                <w:rPr>
                  <w:szCs w:val="24"/>
                  <w:lang w:eastAsia="zh-CN" w:bidi="en-US"/>
                </w:rPr>
              </w:pPr>
              <w:r>
                <w:rPr>
                  <w:szCs w:val="24"/>
                  <w:lang w:eastAsia="zh-CN" w:bidi="en-US"/>
                </w:rPr>
                <w:t>UAB „Varėnos vandenys“</w:t>
              </w:r>
            </w:p>
            <w:p>
              <w:pPr>
                <w:widowControl w:val="0"/>
                <w:tabs>
                  <w:tab w:val="left" w:pos="3802"/>
                </w:tabs>
                <w:suppressAutoHyphens/>
                <w:rPr>
                  <w:szCs w:val="24"/>
                  <w:lang w:eastAsia="zh-CN" w:bidi="en-US"/>
                </w:rPr>
              </w:pPr>
              <w:r>
                <w:rPr>
                  <w:szCs w:val="24"/>
                  <w:lang w:eastAsia="zh-CN" w:bidi="en-US"/>
                </w:rPr>
                <w:t>UAB „Vilkaviškio vandenys“</w:t>
              </w:r>
            </w:p>
            <w:p>
              <w:pPr>
                <w:widowControl w:val="0"/>
                <w:tabs>
                  <w:tab w:val="left" w:pos="3802"/>
                </w:tabs>
                <w:suppressAutoHyphens/>
                <w:rPr>
                  <w:szCs w:val="24"/>
                  <w:lang w:eastAsia="zh-CN" w:bidi="en-US"/>
                </w:rPr>
              </w:pPr>
              <w:r>
                <w:rPr>
                  <w:szCs w:val="24"/>
                  <w:lang w:eastAsia="zh-CN" w:bidi="en-US"/>
                </w:rPr>
                <w:t>UAB „Vilniaus vandenys“</w:t>
              </w:r>
            </w:p>
            <w:p>
              <w:pPr>
                <w:widowControl w:val="0"/>
                <w:tabs>
                  <w:tab w:val="left" w:pos="3802"/>
                </w:tabs>
                <w:suppressAutoHyphens/>
                <w:rPr>
                  <w:szCs w:val="24"/>
                  <w:lang w:eastAsia="zh-CN" w:bidi="en-US"/>
                </w:rPr>
              </w:pPr>
              <w:r>
                <w:rPr>
                  <w:szCs w:val="24"/>
                  <w:lang w:eastAsia="zh-CN" w:bidi="en-US"/>
                </w:rPr>
                <w:t xml:space="preserve">UAB „Nemėžio komunalininkas“ </w:t>
              </w:r>
            </w:p>
            <w:p>
              <w:pPr>
                <w:widowControl w:val="0"/>
                <w:tabs>
                  <w:tab w:val="left" w:pos="3802"/>
                </w:tabs>
                <w:suppressAutoHyphens/>
                <w:rPr>
                  <w:szCs w:val="24"/>
                  <w:lang w:eastAsia="zh-CN" w:bidi="en-US"/>
                </w:rPr>
              </w:pPr>
              <w:r>
                <w:rPr>
                  <w:szCs w:val="24"/>
                  <w:lang w:eastAsia="zh-CN" w:bidi="en-US"/>
                </w:rPr>
                <w:t>UAB „Nemenčinės komunalininkas“</w:t>
              </w:r>
            </w:p>
            <w:p>
              <w:pPr>
                <w:widowControl w:val="0"/>
                <w:tabs>
                  <w:tab w:val="left" w:pos="3802"/>
                </w:tabs>
                <w:suppressAutoHyphens/>
                <w:rPr>
                  <w:szCs w:val="24"/>
                  <w:lang w:eastAsia="zh-CN" w:bidi="en-US"/>
                </w:rPr>
              </w:pPr>
              <w:r>
                <w:rPr>
                  <w:szCs w:val="24"/>
                  <w:lang w:eastAsia="zh-CN" w:bidi="en-US"/>
                </w:rPr>
                <w:t>VĮ „Visagino energija“</w:t>
              </w:r>
            </w:p>
            <w:p>
              <w:pPr>
                <w:widowControl w:val="0"/>
                <w:suppressAutoHyphens/>
                <w:rPr>
                  <w:szCs w:val="24"/>
                  <w:lang w:eastAsia="zh-CN" w:bidi="en-US"/>
                </w:rPr>
              </w:pPr>
            </w:p>
          </w:sdtContent>
        </w:sdt>
      </w:sdtContent>
    </w:sdt>
    <w:sectPr>
      <w:headerReference w:type="even" r:id="rId8"/>
      <w:headerReference w:type="default" r:id="rId9"/>
      <w:footerReference w:type="even" r:id="rId10"/>
      <w:footerReference w:type="default" r:id="rId11"/>
      <w:headerReference w:type="first" r:id="rId12"/>
      <w:footerReference w:type="first" r:id="rId13"/>
      <w:footnotePr>
        <w:numRestart w:val="eachPage"/>
      </w:footnotePr>
      <w:pgSz w:w="11906" w:h="16838"/>
      <w:pgMar w:top="671" w:right="567" w:bottom="851" w:left="1701" w:header="567" w:footer="230" w:gutter="0"/>
      <w:cols w:space="720"/>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Times New Roman" w:cs="Tahoma"/>
          <w:szCs w:val="24"/>
          <w:lang w:eastAsia="zh-CN" w:bidi="en-US"/>
        </w:rPr>
      </w:pPr>
      <w:r>
        <w:rPr>
          <w:rFonts w:eastAsia="Andale Sans UI;Times New Roman" w:cs="Tahoma"/>
          <w:szCs w:val="24"/>
          <w:lang w:eastAsia="zh-CN" w:bidi="en-US"/>
        </w:rPr>
        <w:separator/>
      </w:r>
    </w:p>
  </w:endnote>
  <w:endnote w:type="continuationSeparator" w:id="0">
    <w:p>
      <w:pPr>
        <w:widowControl w:val="0"/>
        <w:suppressAutoHyphens/>
        <w:rPr>
          <w:rFonts w:eastAsia="Andale Sans UI;Times New Roman" w:cs="Tahoma"/>
          <w:szCs w:val="24"/>
          <w:lang w:eastAsia="zh-CN" w:bidi="en-US"/>
        </w:rPr>
      </w:pPr>
      <w:r>
        <w:rPr>
          <w:rFonts w:eastAsia="Andale Sans UI;Times New Roman" w:cs="Tahoma"/>
          <w:szCs w:val="24"/>
          <w:lang w:eastAsia="zh-CN"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Times New Roman">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eastAsia="Andale Sans UI;Times New Roman" w:cs="Tahoma"/>
        <w:szCs w:val="24"/>
        <w:lang w:eastAsia="zh-CN"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Times New Roman" w:cs="Tahoma"/>
          <w:sz w:val="12"/>
          <w:szCs w:val="24"/>
          <w:lang w:eastAsia="zh-CN" w:bidi="en-US"/>
        </w:rPr>
      </w:pPr>
      <w:r>
        <w:rPr>
          <w:rFonts w:eastAsia="Andale Sans UI;Times New Roman" w:cs="Tahoma"/>
          <w:szCs w:val="24"/>
          <w:lang w:eastAsia="zh-CN" w:bidi="en-US"/>
        </w:rPr>
        <w:separator/>
      </w:r>
    </w:p>
  </w:footnote>
  <w:footnote w:type="continuationSeparator" w:id="0">
    <w:p>
      <w:pPr>
        <w:widowControl w:val="0"/>
        <w:suppressAutoHyphens/>
        <w:rPr>
          <w:rFonts w:eastAsia="Andale Sans UI;Times New Roman" w:cs="Tahoma"/>
          <w:sz w:val="12"/>
          <w:szCs w:val="24"/>
          <w:lang w:eastAsia="zh-CN" w:bidi="en-US"/>
        </w:rPr>
      </w:pPr>
      <w:r>
        <w:rPr>
          <w:rFonts w:eastAsia="Andale Sans UI;Times New Roman" w:cs="Tahoma"/>
          <w:szCs w:val="24"/>
          <w:lang w:eastAsia="zh-CN" w:bidi="en-US"/>
        </w:rPr>
        <w:continuationSeparator/>
      </w:r>
    </w:p>
  </w:footnote>
  <w:footnote w:id="1">
    <w:p>
      <w:pPr>
        <w:widowControl w:val="0"/>
        <w:suppressAutoHyphens/>
        <w:jc w:val="both"/>
        <w:rPr>
          <w:rFonts w:eastAsia="Andale Sans UI;Times New Roman" w:cs="Tahoma"/>
          <w:sz w:val="20"/>
          <w:lang w:eastAsia="zh-CN" w:bidi="en-US"/>
        </w:rPr>
      </w:pPr>
      <w:r>
        <w:rPr>
          <w:rFonts w:eastAsia="Andale Sans UI;Times New Roman" w:cs="Tahoma"/>
          <w:sz w:val="20"/>
          <w:lang w:eastAsia="zh-CN" w:bidi="en-US"/>
        </w:rPr>
        <w:footnoteRef/>
      </w:r>
      <w:r>
        <w:rPr>
          <w:rFonts w:eastAsia="Andale Sans UI;Times New Roman" w:cs="Tahoma"/>
          <w:sz w:val="18"/>
          <w:szCs w:val="18"/>
          <w:lang w:eastAsia="zh-CN" w:bidi="en-US"/>
        </w:rPr>
        <w:t xml:space="preserve"> „1. Lietuvos Respublikos Vyriausybė, aplinkos ministras, sveikatos apsaugos ministras ir Valstybinė energetikos reguliavimo taryba priima šio įstatymo įgyvendinamuosius teisės aktus.“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r>
      <w:rPr>
        <w:rFonts w:eastAsia="Andale Sans UI;Times New Roman" w:cs="Tahoma"/>
        <w:szCs w:val="24"/>
        <w:lang w:val="en-US"/>
      </w:rPr>
      <mc:AlternateContent>
        <mc:Choice Requires="wps">
          <w:drawing>
            <wp:anchor distT="0" distB="0" distL="0" distR="0" simplePos="0" relativeHeight="6" behindDoc="0" locked="0" layoutInCell="0" allowOverlap="1">
              <wp:simplePos x="0" y="0"/>
              <wp:positionH relativeFrom="margin">
                <wp:align>center</wp:align>
              </wp:positionH>
              <wp:positionV relativeFrom="paragraph">
                <wp:posOffset>635</wp:posOffset>
              </wp:positionV>
              <wp:extent cx="76835" cy="168910"/>
              <wp:effectExtent l="0" t="0" r="0" b="0"/>
              <wp:wrapSquare wrapText="largest"/>
              <wp:docPr id="2" name="Frame1"/>
              <wp:cNvGraphicFramePr/>
              <a:graphic xmlns:a="http://schemas.openxmlformats.org/drawingml/2006/main">
                <a:graphicData uri="http://schemas.microsoft.com/office/word/2010/wordprocessingShape">
                  <wps:wsp>
                    <wps:cNvSpPr txBox="1"/>
                    <wps:spPr>
                      <a:xfrm>
                        <a:off x="0" y="0"/>
                        <a:ext cx="76835" cy="168910"/>
                      </a:xfrm>
                      <a:prstGeom prst="rect">
                        <a:avLst/>
                      </a:prstGeom>
                      <a:solidFill>
                        <a:srgbClr val="FFFFFF">
                          <a:alpha val="0"/>
                        </a:srgbClr>
                      </a:solidFill>
                    </wps:spPr>
                    <wps:txbx>
                      <w:txbxContent>
                        <w:p>
                          <w:pPr>
                            <w:widowControl w:val="0"/>
                            <w:suppressLineNumbers/>
                            <w:tabs>
                              <w:tab w:val="center" w:pos="4800"/>
                              <w:tab w:val="right" w:pos="9601"/>
                            </w:tabs>
                            <w:suppressAutoHyphens/>
                            <w:rPr>
                              <w:rFonts w:eastAsia="Andale Sans UI;Times New Roman"/>
                              <w:szCs w:val="24"/>
                              <w:lang w:eastAsia="zh-CN" w:bidi="en-US"/>
                            </w:rPr>
                          </w:pPr>
                          <w:r>
                            <w:rPr>
                              <w:rFonts w:eastAsia="Andale Sans UI;Times New Roman"/>
                              <w:szCs w:val="24"/>
                              <w:lang w:eastAsia="zh-CN" w:bidi="en-US"/>
                            </w:rPr>
                            <w:fldChar w:fldCharType="begin"/>
                          </w:r>
                          <w:r>
                            <w:rPr>
                              <w:rFonts w:eastAsia="Andale Sans UI;Times New Roman"/>
                              <w:szCs w:val="24"/>
                              <w:lang w:eastAsia="zh-CN" w:bidi="en-US"/>
                            </w:rPr>
                            <w:instrText xml:space="preserve"> PAGE </w:instrText>
                          </w:r>
                          <w:r>
                            <w:rPr>
                              <w:rFonts w:eastAsia="Andale Sans UI;Times New Roman"/>
                              <w:szCs w:val="24"/>
                              <w:lang w:eastAsia="zh-CN" w:bidi="en-US"/>
                            </w:rPr>
                            <w:fldChar w:fldCharType="separate"/>
                          </w:r>
                          <w:r>
                            <w:rPr>
                              <w:rFonts w:eastAsia="Andale Sans UI;Times New Roman"/>
                              <w:szCs w:val="24"/>
                              <w:lang w:eastAsia="zh-CN" w:bidi="en-US"/>
                            </w:rPr>
                            <w:t>5</w:t>
                          </w:r>
                          <w:r>
                            <w:rPr>
                              <w:rFonts w:eastAsia="Andale Sans UI;Times New Roman"/>
                              <w:szCs w:val="24"/>
                              <w:lang w:eastAsia="zh-CN" w:bidi="en-US"/>
                            </w:rPr>
                            <w:fldChar w:fldCharType="end"/>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margin-left:0;margin-top:.05pt;width:6.05pt;height:13.3pt;z-index:6;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Q6ENswEAAGQDAAAOAAAAZHJzL2Uyb0RvYy54bWysU82O0zAQviPxDpbvNE0RpURNV8CqCAnB SgsP4Dh2Y8n2WGNvk749Y6fpruCGyMGeP38z38xkfzc5y84KowHf8nq15kx5Cb3xp5b/+nl8s+Ms JuF7YcGrll9U5HeH16/2Y2jUBgawvUJGID42Y2j5kFJoqirKQTkRVxCUJ6cGdCKRiqeqRzESurPV Zr3eViNgHxCkipGs97OTHwq+1kqmH1pHlZhtOdWWyonl7PJZHfaiOaEIg5HXMsQ/VOGE8ZT0BnUv kmBPaP6CckYiRNBpJcFVoLWRqnAgNvX6DzaPgwiqcKHmxHBrU/x/sPL7+QGZ6Vu+4cwLRyM6Il11 7swYYkMBj4FC0vQJJprwYo9kzIQnjS7fRIWRn3p8ufVVTYlJMr7f7t6+40ySp97uPtSl7dXz24Ax fVHgWBZajjS10kxx/hYT1UGhS0hOFcGa/misLQqeus8W2VnQhI/lm9/aMIjZuqSLc2jBe4FRZZoz nSylqZuu3DvoL0TdfvXU8bw9i4CL0C2C8HIA2qu5cA8fnxJoU4rPoDMSZc4KjbLUcF27vCsv9RL1 /HMcfgMAAP//AwBQSwMEFAAGAAgAAAAhAGJpG0fYAAAAAwEAAA8AAABkcnMvZG93bnJldi54bWxM j0FvwjAMhe+T+A+RkbiNlCIB65oixrRdp3WTuJrGNFUbp2oCdP9+6Wk7Wc/Peu9zvh9tJ240+Max gtUyAUFcOd1wreD76+1xB8IHZI2dY1LwQx72xewhx0y7O3/SrQy1iCHsM1RgQugzKX1lyKJfup44 ehc3WAxRDrXUA95juO1kmiQbabHh2GCwp6Ohqi2vVsH6I92e/Hv5euxP9NTu/Et7YaPUYj4enkEE GsPfMUz4ER2KyHR2V9ZedAriI2HaislL4zwrSDdbkEUu/7MXvwAAAP//AwBQSwECLQAUAAYACAAA ACEAtoM4kv4AAADhAQAAEwAAAAAAAAAAAAAAAAAAAAAAW0NvbnRlbnRfVHlwZXNdLnhtbFBLAQIt ABQABgAIAAAAIQA4/SH/1gAAAJQBAAALAAAAAAAAAAAAAAAAAC8BAABfcmVscy8ucmVsc1BLAQIt ABQABgAIAAAAIQA6Q6ENswEAAGQDAAAOAAAAAAAAAAAAAAAAAC4CAABkcnMvZTJvRG9jLnhtbFBL AQItABQABgAIAAAAIQBiaRtH2AAAAAMBAAAPAAAAAAAAAAAAAAAAAA0EAABkcnMvZG93bnJldi54 bWxQSwUGAAAAAAQABADzAAAAEgUAAAAA " o:allowincell="f" stroked="f">
              <v:fill opacity="0"/>
              <v:textbox inset="0,0,0,0">
                <w:txbxContent>
                  <w:p>
                    <w:pPr>
                      <w:widowControl w:val="0"/>
                      <w:suppressLineNumbers/>
                      <w:tabs>
                        <w:tab w:val="center" w:leader="none" w:pos="4800"/>
                        <w:tab w:val="right" w:leader="none" w:pos="9601"/>
                      </w:tabs>
                      <w:suppressAutoHyphens w:val="1"/>
                      <w:rPr>
                        <w:rFonts w:ascii="Times New Roman" w:hAnsi="Times New Roman" w:eastAsia="Andale Sans UI;Times New Roman" w:cs="Times New Roman"/>
                        <w:szCs w:val="24"/>
                        <w:lang w:eastAsia="zh-CN" w:bidi="en-US"/>
                      </w:rPr>
                    </w:pPr>
                    <w:r>
                      <w:rPr>
                        <w:rFonts w:ascii="Times New Roman" w:hAnsi="Times New Roman" w:eastAsia="Andale Sans UI;Times New Roman" w:cs="Times New Roman"/>
                        <w:szCs w:val="24"/>
                        <w:lang w:eastAsia="zh-CN" w:bidi="en-US"/>
                      </w:rPr>
                      <w:fldChar w:fldCharType="begin"/>
                    </w:r>
                    <w:r>
                      <w:rPr>
                        <w:rFonts w:ascii="Times New Roman" w:hAnsi="Times New Roman" w:eastAsia="Andale Sans UI;Times New Roman" w:cs="Times New Roman"/>
                        <w:szCs w:val="24"/>
                        <w:lang w:eastAsia="zh-CN" w:bidi="en-US"/>
                      </w:rPr>
                      <w:instrText xml:space="preserve"> PAGE </w:instrText>
                    </w:r>
                    <w:r>
                      <w:rPr>
                        <w:rFonts w:ascii="Times New Roman" w:hAnsi="Times New Roman" w:eastAsia="Andale Sans UI;Times New Roman" w:cs="Times New Roman"/>
                        <w:szCs w:val="24"/>
                        <w:lang w:eastAsia="zh-CN" w:bidi="en-US"/>
                      </w:rPr>
                      <w:fldChar w:fldCharType="separate"/>
                    </w:r>
                    <w:r>
                      <w:rPr>
                        <w:rFonts w:ascii="Times New Roman" w:hAnsi="Times New Roman" w:eastAsia="Andale Sans UI;Times New Roman" w:cs="Times New Roman"/>
                        <w:szCs w:val="24"/>
                        <w:lang w:eastAsia="zh-CN" w:bidi="en-US"/>
                      </w:rPr>
                      <w:t>5</w:t>
                    </w:r>
                    <w:r>
                      <w:rPr>
                        <w:rFonts w:ascii="Times New Roman" w:hAnsi="Times New Roman" w:eastAsia="Andale Sans UI;Times New Roman" w:cs="Times New Roman"/>
                        <w:szCs w:val="24"/>
                        <w:lang w:eastAsia="zh-CN" w:bidi="en-US"/>
                      </w:rPr>
                      <w:fldChar w:fldCharType="end"/>
                    </w:r>
                  </w:p>
                </w:txbxContent>
              </v:textbox>
              <w10:wrap type="square" side="largest" anchorx="margin"/>
            </v:shape>
          </w:pict>
        </mc:Fallback>
      </mc:AlternateContent>
    </w:r>
  </w:p>
  <w:p>
    <w:pPr>
      <w:widowControl w:val="0"/>
      <w:suppressLineNumbers/>
      <w:tabs>
        <w:tab w:val="center" w:pos="4800"/>
        <w:tab w:val="right" w:pos="9601"/>
      </w:tabs>
      <w:suppressAutoHyphens/>
      <w:rPr>
        <w:rFonts w:eastAsia="Andale Sans UI;Times New Roman" w:cs="Tahoma"/>
        <w:szCs w:val="24"/>
        <w:lang w:eastAsia="zh-CN"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Times New Roman" w:cs="Tahoma"/>
        <w:szCs w:val="24"/>
        <w:lang w:eastAsia="zh-CN"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67"/>
  <w:doNotHyphenateCaps/>
  <w:characterSpacingControl w:val="doNotCompress"/>
  <w:footnotePr>
    <w:numRestart w:val="eachPage"/>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7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759984-70F2-4FF4-B3DA-445D4387F2C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076ceea3beb74040907d657900298fd3" PartId="b2d4c0973b43422f80dc17204a50fb07"/>
  <Part Type="pastraipa" DocPartId="528f73a131ee4eb3a4e282f473113931" PartId="1cc33c3029f94c0c941bb9b4a095e402"/>
  <Part Type="pastraipa" DocPartId="9b500a01799446a183cfb20a3b7206be" PartId="7ffad875a4d24b7faf7b1671abda99a6"/>
  <Part Type="pastraipa" DocPartId="28e25db0ba204084a81208b761f2e8ca" PartId="8c2d3639a9b143319b341b1c5ebb935f"/>
  <Part Type="pastraipa" DocPartId="71385cce3091421bb70a99534a0797af" PartId="073e7ac953dd4983b9d2888fe0e1dfa2"/>
  <Part Type="pastraipa" DocPartId="d78caf04c22d4141ba310cc58af63736" PartId="b0d0250e946e4306b39cbc04152d9632"/>
  <Part Type="pastraipa" DocPartId="349d500bf08d45ac902c63457c3899f7" PartId="34506a6ae1dd4c19acc52e963a0f00c0"/>
  <Part Type="pastraipa" DocPartId="935831683f9c47eab6182ca1d3adb818" PartId="be93a97274fa4d788e599819274d3403"/>
  <Part Type="pastraipa" DocPartId="4206eb3960844971a82f1f7c2bf88006" PartId="12e72b54fc134fdba98b51162507ae09"/>
  <Part Type="pastraipa" DocPartId="1a1d7ef3a6554f64a41d4cf0e3a11950" PartId="895d42f3e5ee4fbcb86a646a145f590f"/>
  <Part Type="pastraipa" DocPartId="2e707722de6243dd84e778270c706eba" PartId="c0c2ce296a2d4c71b8425796663fc0d2"/>
  <Part Type="pastraipa" DocPartId="fc4f784713d74cd7a5bb7b91c3999dd6" PartId="3fe747b8acd94a89bc6a0a6918d4835f"/>
  <Part Type="pastraipa" DocPartId="873ae6bce86749799b0b6c36eb837329" PartId="72a986af630d4dde8c75d8ad95575671"/>
  <Part Type="pastraipa" DocPartId="83d3bee7a2fa45d5aa8b9a24b6b3e43a" PartId="e1b8badeabc44395ac025f2a9aecd8d8"/>
  <Part Type="pastraipa" DocPartId="9d63acd929874153a7fca8d78823ad8c" PartId="b707039521474e14af68c4bce055095e"/>
  <Part Type="pastraipa" DocPartId="cf9b3d89a2ca4b92890367cce3780699" PartId="bcf156be33414f1ba537f3ce60ffb95b"/>
  <Part Type="pastraipa" DocPartId="9978e20225174504afc65ac32a4134de" PartId="510b600440f0448da580820232f6ca2d"/>
  <Part Type="pastraipa" DocPartId="d68fe5e030fa43a6bdb81e8e95ed6e23" PartId="7e286d8f0bd04c6fa4846cbdba5dca27">
    <Part Type="punktas" Nr="1" Abbr="1 p." DocPartId="04621b8c165c418e9918fa86b7d527e3" PartId="a003493ef8354388b5e9056220fc54bc"/>
    <Part Type="punktas" Nr="2" Abbr="2 p." DocPartId="605150a0ec7d463f8e4ff4d10d7a3725" PartId="1eec55bed5064e429d74c1cae991990e"/>
    <Part Type="punktas" Nr="3" Abbr="3 p." DocPartId="81abe8c9b4af4384bfa6c1d70ec0180b" PartId="1fad56325e284007ba1440314421b3b8"/>
    <Part Type="punktas" Nr="4" Abbr="4 p." DocPartId="b295a818b71f4d848c3a7597926aa58d" PartId="832af4edf7964ec6b9a2e5c68494679f"/>
    <Part Type="signatura" DocPartId="120eaaeaec2c42edaed45dce69f7f76f" PartId="16b1724756c84af5b4ab593e0dff6638"/>
  </Part>
</Parts>
</file>

<file path=customXml/itemProps1.xml><?xml version="1.0" encoding="utf-8"?>
<ds:datastoreItem xmlns:ds="http://schemas.openxmlformats.org/officeDocument/2006/customXml" ds:itemID="{FA55A573-3F5C-4715-8EF7-D6BCD0E83B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1216</Words>
  <Characters>8848</Characters>
  <Application>Microsoft Office Word</Application>
  <DocSecurity>4</DocSecurity>
  <Lines>226</Lines>
  <Paragraphs>122</Paragraphs>
  <ScaleCrop>false</ScaleCrop>
  <Company>LRS Kanceliarija</Company>
  <LinksUpToDate>false</LinksUpToDate>
  <CharactersWithSpaces>9942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2022-12-09T06:11:00Z</dcterms:created>
  <dc:creator>i.valunas</dc:creator>
  <dc:language>lt-LT</dc:language>
  <lastModifiedBy>adlibuser</lastModifiedBy>
  <lastPrinted>2019-03-26T10:15:00Z</lastPrinted>
  <dcterms:modified xsi:type="dcterms:W3CDTF">2022-12-09T06:11:00Z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CdDocAuthor">
    <vt:lpwstr>j.vaisnoriene</vt:lpwstr>
  </property>
  <property fmtid="{D5CDD505-2E9C-101B-9397-08002B2CF9AE}" pid="3" name="DISProperties">
    <vt:lpwstr>DISidcName,DISdID,DISCdDocAuthor,VDVISDokPavadinimas,VDVISDokTipas,DIScgiUrl,DISTaskPaneUrl,DISdUser,DISdDocName</vt:lpwstr>
  </property>
  <property fmtid="{D5CDD505-2E9C-101B-9397-08002B2CF9AE}" pid="4" name="DISTaskPaneUrl">
    <vt:lpwstr>https://vdvis.am.lt/cs/idcplg?IdcService=DESKTOP_DOC_INFO&amp;dDocName=AM_4223439&amp;dID=4270060&amp;ClientControlled=DocMan,taskpane&amp;coreContentOnly=1</vt:lpwstr>
  </property>
  <property fmtid="{D5CDD505-2E9C-101B-9397-08002B2CF9AE}" pid="5" name="DIScgiUrl">
    <vt:lpwstr>https://vdvis.am.lt/cs/idcplg</vt:lpwstr>
  </property>
  <property fmtid="{D5CDD505-2E9C-101B-9397-08002B2CF9AE}" pid="6" name="DISdDocName">
    <vt:lpwstr>AM_4223439</vt:lpwstr>
  </property>
  <property fmtid="{D5CDD505-2E9C-101B-9397-08002B2CF9AE}" pid="7" name="DISdID">
    <vt:lpwstr>4270060</vt:lpwstr>
  </property>
  <property fmtid="{D5CDD505-2E9C-101B-9397-08002B2CF9AE}" pid="8" name="DISdUser">
    <vt:lpwstr>j.vaisnoriene</vt:lpwstr>
  </property>
  <property fmtid="{D5CDD505-2E9C-101B-9397-08002B2CF9AE}" pid="9" name="DISidcName">
    <vt:lpwstr>vdvis_dev</vt:lpwstr>
  </property>
  <property fmtid="{D5CDD505-2E9C-101B-9397-08002B2CF9AE}" pid="10" name="VDVISDokPavadinimas">
    <vt:lpwstr>DĖL ĮSAKYMŲ PROJEKTŲ DERINIMO</vt:lpwstr>
  </property>
  <property fmtid="{D5CDD505-2E9C-101B-9397-08002B2CF9AE}" pid="11" name="VDVISDokTipas">
    <vt:lpwstr>Raštas</vt:lpwstr>
  </property>
</Properties>
</file>