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736185b85314a10a5514489fc32767f"/>
        <w:lock w:val="sdtLocked"/>
        <w:richText/>
      </w:sdtPr>
      <w:sdtContent>
        <w:tbl>
          <w:tblPr>
            <w:tblW w:w="0" w:type="auto"/>
            <w:tblLook w:val="04A0" w:firstRow="1" w:lastRow="0" w:firstColumn="1" w:lastColumn="0" w:noHBand="0" w:noVBand="1"/>
          </w:tblPr>
          <w:tblGrid>
            <w:gridCol w:w="5073"/>
            <w:gridCol w:w="4565"/>
          </w:tblGrid>
          <w:tr>
            <w:tc>
              <w:tcPr>
                <w:tcW w:w="5211" w:type="dxa"/>
              </w:tcPr>
              <w:p>
                <w:pPr>
                  <w:tabs>
                    <w:tab w:val="center" w:pos="4819"/>
                    <w:tab w:val="right" w:pos="9638"/>
                  </w:tabs>
                  <w:spacing w:line="276" w:lineRule="auto"/>
                  <w:rPr>
                    <w:rFonts w:ascii="Calibri" w:eastAsia="Calibri" w:hAnsi="Calibri"/>
                    <w:sz w:val="22"/>
                    <w:szCs w:val="22"/>
                    <w:lang w:val="x-none"/>
                  </w:rPr>
                </w:pPr>
              </w:p>
              <w:p>
                <w:pPr>
                  <w:rPr>
                    <w:sz w:val="18"/>
                    <w:szCs w:val="18"/>
                  </w:rPr>
                </w:pPr>
              </w:p>
              <w:p>
                <w:pPr>
                  <w:jc w:val="center"/>
                  <w:rPr>
                    <w:rFonts w:eastAsia="Calibri"/>
                    <w:szCs w:val="24"/>
                  </w:rPr>
                </w:pPr>
              </w:p>
            </w:tc>
            <w:tc>
              <w:tcPr>
                <w:tcW w:w="4643" w:type="dxa"/>
              </w:tcPr>
              <w:p>
                <w:pPr>
                  <w:rPr>
                    <w:rFonts w:eastAsia="Calibri"/>
                    <w:szCs w:val="24"/>
                  </w:rPr>
                </w:pPr>
                <w:r>
                  <w:rPr>
                    <w:rFonts w:eastAsia="Calibri"/>
                    <w:szCs w:val="24"/>
                  </w:rPr>
                  <w:t>PATVIRTINTA</w:t>
                </w:r>
              </w:p>
              <w:p>
                <w:pPr>
                  <w:rPr>
                    <w:rFonts w:eastAsia="Calibri"/>
                    <w:szCs w:val="24"/>
                  </w:rPr>
                </w:pPr>
                <w:r>
                  <w:rPr>
                    <w:rFonts w:eastAsia="Calibri"/>
                    <w:szCs w:val="24"/>
                  </w:rPr>
                  <w:t>Šiaulių miesto savivaldybės tarybos</w:t>
                </w:r>
              </w:p>
              <w:p>
                <w:pPr>
                  <w:rPr>
                    <w:rFonts w:eastAsia="Calibri"/>
                    <w:strike/>
                    <w:szCs w:val="24"/>
                  </w:rPr>
                </w:pPr>
                <w:r>
                  <w:rPr>
                    <w:rFonts w:eastAsia="Calibri"/>
                    <w:strike/>
                    <w:szCs w:val="24"/>
                  </w:rPr>
                  <w:t xml:space="preserve">2024 m. birželio       d. sprendimu Nr. T-    </w:t>
                </w:r>
              </w:p>
              <w:p>
                <w:pPr>
                  <w:rPr>
                    <w:rFonts w:eastAsia="Calibri"/>
                    <w:b/>
                    <w:bCs/>
                    <w:szCs w:val="24"/>
                  </w:rPr>
                </w:pPr>
                <w:r>
                  <w:rPr>
                    <w:rFonts w:eastAsia="Calibri"/>
                    <w:b/>
                    <w:bCs/>
                    <w:szCs w:val="24"/>
                  </w:rPr>
                  <w:t xml:space="preserve">2025 m. kovo          d. sprendimu Nr. T-           </w:t>
                </w:r>
              </w:p>
            </w:tc>
          </w:tr>
        </w:tbl>
        <w:p>
          <w:pPr>
            <w:rPr>
              <w:rFonts w:eastAsia="Calibri"/>
              <w:szCs w:val="24"/>
            </w:rPr>
          </w:pPr>
        </w:p>
      </w:sdtContent>
    </w:sdt>
    <w:sdt>
      <w:sdtPr>
        <w:alias w:val="lentele"/>
        <w:tag w:val="part_e5afad756db44ba584e4831966eff21a"/>
        <w:lock w:val="sdtLocked"/>
        <w:richText/>
      </w:sdtPr>
      <w:sdtContent>
        <w:p>
          <w:pPr>
            <w:spacing w:line="276" w:lineRule="auto"/>
            <w:jc w:val="center"/>
            <w:rPr>
              <w:rFonts w:eastAsia="Calibri"/>
              <w:b/>
              <w:szCs w:val="24"/>
            </w:rPr>
          </w:pPr>
          <w:sdt>
            <w:sdtPr>
              <w:alias w:val="Pavadinimas"/>
              <w:tag w:val="title_e5afad756db44ba584e4831966eff21a"/>
              <w:lock w:val="sdtLocked"/>
              <w:richText/>
            </w:sdtPr>
            <w:sdtContent>
              <w:r>
                <w:rPr>
                  <w:rFonts w:eastAsia="Calibri"/>
                  <w:b/>
                  <w:szCs w:val="24"/>
                </w:rPr>
                <w:t>ŠIAULIŲ MIESTO KONCERTINĖS ĮSTAIGOS „SAULĖ“ TEIKIAMŲ ATLYGINTINŲ PASLAUGŲ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3275"/>
            <w:gridCol w:w="1600"/>
            <w:gridCol w:w="3686"/>
          </w:tblGrid>
          <w:tr>
            <w:tc>
              <w:tcPr>
                <w:tcW w:w="932" w:type="dxa"/>
                <w:shd w:val="clear" w:color="auto" w:fill="auto"/>
              </w:tcPr>
              <w:p>
                <w:pPr>
                  <w:jc w:val="center"/>
                  <w:rPr>
                    <w:rFonts w:eastAsia="Calibri"/>
                    <w:i/>
                    <w:szCs w:val="24"/>
                  </w:rPr>
                </w:pPr>
                <w:r>
                  <w:rPr>
                    <w:rFonts w:eastAsia="Calibri"/>
                    <w:i/>
                    <w:szCs w:val="24"/>
                  </w:rPr>
                  <w:t>Eil. Nr.</w:t>
                </w:r>
              </w:p>
            </w:tc>
            <w:tc>
              <w:tcPr>
                <w:tcW w:w="3275" w:type="dxa"/>
                <w:shd w:val="clear" w:color="auto" w:fill="auto"/>
              </w:tcPr>
              <w:p>
                <w:pPr>
                  <w:jc w:val="center"/>
                  <w:rPr>
                    <w:rFonts w:eastAsia="Calibri"/>
                    <w:i/>
                    <w:szCs w:val="24"/>
                  </w:rPr>
                </w:pPr>
                <w:r>
                  <w:rPr>
                    <w:rFonts w:eastAsia="Calibri"/>
                    <w:i/>
                    <w:szCs w:val="24"/>
                  </w:rPr>
                  <w:t>Pavadinimas</w:t>
                </w:r>
              </w:p>
            </w:tc>
            <w:tc>
              <w:tcPr>
                <w:tcW w:w="1600" w:type="dxa"/>
                <w:shd w:val="clear" w:color="auto" w:fill="auto"/>
              </w:tcPr>
              <w:p>
                <w:pPr>
                  <w:jc w:val="center"/>
                  <w:rPr>
                    <w:rFonts w:eastAsia="Calibri"/>
                    <w:i/>
                    <w:szCs w:val="24"/>
                  </w:rPr>
                </w:pPr>
                <w:r>
                  <w:rPr>
                    <w:rFonts w:eastAsia="Calibri"/>
                    <w:i/>
                    <w:szCs w:val="24"/>
                  </w:rPr>
                  <w:t>Mato vienetas</w:t>
                </w:r>
              </w:p>
            </w:tc>
            <w:tc>
              <w:tcPr>
                <w:tcW w:w="3686" w:type="dxa"/>
                <w:shd w:val="clear" w:color="auto" w:fill="auto"/>
              </w:tcPr>
              <w:p>
                <w:pPr>
                  <w:jc w:val="center"/>
                  <w:rPr>
                    <w:rFonts w:eastAsia="Calibri"/>
                    <w:i/>
                    <w:szCs w:val="24"/>
                  </w:rPr>
                </w:pPr>
                <w:r>
                  <w:rPr>
                    <w:rFonts w:eastAsia="Calibri"/>
                    <w:i/>
                    <w:szCs w:val="24"/>
                  </w:rPr>
                  <w:t>Kaina eurais / procentais / antkainis / kainos skaičiavimo būdas</w:t>
                </w:r>
              </w:p>
            </w:tc>
          </w:tr>
          <w:tr>
            <w:tc>
              <w:tcPr>
                <w:tcW w:w="932" w:type="dxa"/>
                <w:shd w:val="clear" w:color="auto" w:fill="auto"/>
              </w:tcPr>
              <w:p>
                <w:pPr>
                  <w:jc w:val="center"/>
                  <w:rPr>
                    <w:rFonts w:eastAsia="Calibri"/>
                    <w:i/>
                    <w:szCs w:val="24"/>
                  </w:rPr>
                </w:pPr>
                <w:r>
                  <w:rPr>
                    <w:rFonts w:eastAsia="Calibri"/>
                    <w:szCs w:val="24"/>
                  </w:rPr>
                  <w:t>1.</w:t>
                </w:r>
              </w:p>
            </w:tc>
            <w:tc>
              <w:tcPr>
                <w:tcW w:w="3275" w:type="dxa"/>
                <w:shd w:val="clear" w:color="auto" w:fill="auto"/>
              </w:tcPr>
              <w:p>
                <w:pPr>
                  <w:rPr>
                    <w:rFonts w:eastAsia="Calibri"/>
                    <w:iCs/>
                    <w:szCs w:val="24"/>
                  </w:rPr>
                </w:pPr>
                <w:r>
                  <w:rPr>
                    <w:rFonts w:eastAsia="Calibri"/>
                    <w:iCs/>
                    <w:szCs w:val="24"/>
                  </w:rPr>
                  <w:t>Šiaulių miesto koncertinės įstaigos „Saulė“ organizuojamos kultūrinės veiklos bilietų kainos (koncertai, spektakliai, edukacinės programos, kūrybinės dirbtuvės, nekomerciniai kino filmai, seminarai ir kt.):</w:t>
                </w:r>
              </w:p>
            </w:tc>
            <w:tc>
              <w:tcPr>
                <w:tcW w:w="1600" w:type="dxa"/>
                <w:shd w:val="clear" w:color="auto" w:fill="auto"/>
              </w:tcPr>
              <w:p>
                <w:pPr>
                  <w:rPr>
                    <w:rFonts w:eastAsia="Calibri"/>
                    <w:i/>
                    <w:strike/>
                    <w:color w:val="FF0000"/>
                    <w:szCs w:val="24"/>
                  </w:rPr>
                </w:pPr>
              </w:p>
            </w:tc>
            <w:tc>
              <w:tcPr>
                <w:tcW w:w="3686" w:type="dxa"/>
                <w:shd w:val="clear" w:color="auto" w:fill="auto"/>
              </w:tcPr>
              <w:p>
                <w:pPr>
                  <w:rPr>
                    <w:rFonts w:eastAsia="Calibri"/>
                    <w:i/>
                    <w:szCs w:val="24"/>
                  </w:rPr>
                </w:pPr>
              </w:p>
            </w:tc>
          </w:tr>
          <w:tr>
            <w:tc>
              <w:tcPr>
                <w:tcW w:w="932" w:type="dxa"/>
                <w:shd w:val="clear" w:color="auto" w:fill="auto"/>
              </w:tcPr>
              <w:p>
                <w:pPr>
                  <w:jc w:val="center"/>
                  <w:rPr>
                    <w:rFonts w:eastAsia="Calibri"/>
                    <w:szCs w:val="24"/>
                  </w:rPr>
                </w:pPr>
                <w:r>
                  <w:rPr>
                    <w:rFonts w:eastAsia="Calibri"/>
                    <w:szCs w:val="24"/>
                  </w:rPr>
                  <w:t>1.1.</w:t>
                </w:r>
              </w:p>
            </w:tc>
            <w:tc>
              <w:tcPr>
                <w:tcW w:w="3275" w:type="dxa"/>
                <w:shd w:val="clear" w:color="auto" w:fill="auto"/>
              </w:tcPr>
              <w:p>
                <w:pPr>
                  <w:rPr>
                    <w:rFonts w:eastAsia="Calibri"/>
                    <w:strike/>
                    <w:color w:val="FF0000"/>
                    <w:szCs w:val="24"/>
                  </w:rPr>
                </w:pPr>
                <w:r>
                  <w:rPr>
                    <w:rFonts w:eastAsia="HG Mincho Light J"/>
                    <w:color w:val="000000"/>
                    <w:szCs w:val="24"/>
                    <w:lang w:eastAsia="lt-LT"/>
                  </w:rPr>
                  <w:t>suaugusiesiems</w:t>
                </w:r>
              </w:p>
            </w:tc>
            <w:tc>
              <w:tcPr>
                <w:tcW w:w="1600" w:type="dxa"/>
                <w:shd w:val="clear" w:color="auto" w:fill="auto"/>
              </w:tcPr>
              <w:p>
                <w:pPr>
                  <w:rPr>
                    <w:rFonts w:eastAsia="Calibri"/>
                    <w:szCs w:val="24"/>
                  </w:rPr>
                </w:pPr>
                <w:r>
                  <w:rPr>
                    <w:rFonts w:eastAsia="Calibri"/>
                    <w:szCs w:val="24"/>
                  </w:rPr>
                  <w:t>1 asmeniui</w:t>
                </w:r>
              </w:p>
            </w:tc>
            <w:tc>
              <w:tcPr>
                <w:tcW w:w="3686" w:type="dxa"/>
                <w:shd w:val="clear" w:color="auto" w:fill="auto"/>
              </w:tcPr>
              <w:p>
                <w:pPr>
                  <w:rPr>
                    <w:rFonts w:eastAsia="Calibri"/>
                    <w:szCs w:val="24"/>
                  </w:rPr>
                </w:pPr>
                <w:r>
                  <w:rPr>
                    <w:rFonts w:eastAsia="Calibri"/>
                    <w:szCs w:val="24"/>
                  </w:rPr>
                  <w:t>bilieto kaina skaičiuojama pagal formulę</w:t>
                </w:r>
                <w:r>
                  <w:rPr>
                    <w:rFonts w:eastAsia="Calibri"/>
                    <w:szCs w:val="24"/>
                    <w:vertAlign w:val="superscript"/>
                  </w:rPr>
                  <w:t>3</w:t>
                </w:r>
              </w:p>
            </w:tc>
          </w:tr>
          <w:tr>
            <w:tc>
              <w:tcPr>
                <w:tcW w:w="932" w:type="dxa"/>
                <w:shd w:val="clear" w:color="auto" w:fill="auto"/>
              </w:tcPr>
              <w:p>
                <w:pPr>
                  <w:jc w:val="center"/>
                  <w:rPr>
                    <w:rFonts w:eastAsia="Calibri"/>
                    <w:szCs w:val="24"/>
                  </w:rPr>
                </w:pPr>
                <w:r>
                  <w:rPr>
                    <w:rFonts w:eastAsia="Calibri"/>
                    <w:szCs w:val="24"/>
                    <w:lang w:eastAsia="lt-LT"/>
                  </w:rPr>
                  <w:t>1.2.</w:t>
                </w:r>
              </w:p>
            </w:tc>
            <w:tc>
              <w:tcPr>
                <w:tcW w:w="3275" w:type="dxa"/>
                <w:shd w:val="clear" w:color="auto" w:fill="auto"/>
              </w:tcPr>
              <w:p>
                <w:pPr>
                  <w:rPr>
                    <w:rFonts w:eastAsia="Calibri"/>
                    <w:strike/>
                    <w:color w:val="FF0000"/>
                    <w:szCs w:val="24"/>
                  </w:rPr>
                </w:pPr>
                <w:r>
                  <w:rPr>
                    <w:rFonts w:eastAsia="HG Mincho Light J"/>
                    <w:color w:val="000000"/>
                    <w:szCs w:val="24"/>
                    <w:lang w:eastAsia="lt-LT"/>
                  </w:rPr>
                  <w:t>suaugusiesiems</w:t>
                </w:r>
              </w:p>
            </w:tc>
            <w:tc>
              <w:tcPr>
                <w:tcW w:w="1600" w:type="dxa"/>
                <w:shd w:val="clear" w:color="auto" w:fill="auto"/>
              </w:tcPr>
              <w:p>
                <w:pPr>
                  <w:rPr>
                    <w:rFonts w:eastAsia="Calibri"/>
                    <w:szCs w:val="24"/>
                  </w:rPr>
                </w:pPr>
                <w:r>
                  <w:rPr>
                    <w:rFonts w:eastAsia="Calibri"/>
                    <w:szCs w:val="24"/>
                    <w:lang w:eastAsia="lt-LT"/>
                  </w:rPr>
                  <w:t>1 asmeniui</w:t>
                </w:r>
              </w:p>
            </w:tc>
            <w:tc>
              <w:tcPr>
                <w:tcW w:w="3686" w:type="dxa"/>
                <w:shd w:val="clear" w:color="auto" w:fill="auto"/>
              </w:tcPr>
              <w:p>
                <w:pPr>
                  <w:rPr>
                    <w:rFonts w:eastAsia="HG Mincho Light J"/>
                    <w:color w:val="000000"/>
                    <w:szCs w:val="24"/>
                    <w:vertAlign w:val="superscript"/>
                    <w:lang w:eastAsia="lt-LT"/>
                  </w:rPr>
                </w:pPr>
                <w:r>
                  <w:rPr>
                    <w:rFonts w:eastAsia="Calibri"/>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4</w:t>
                </w:r>
              </w:p>
            </w:tc>
          </w:tr>
          <w:tr>
            <w:tc>
              <w:tcPr>
                <w:tcW w:w="932" w:type="dxa"/>
                <w:shd w:val="clear" w:color="auto" w:fill="auto"/>
              </w:tcPr>
              <w:p>
                <w:pPr>
                  <w:jc w:val="center"/>
                  <w:rPr>
                    <w:rFonts w:eastAsia="Calibri"/>
                    <w:szCs w:val="24"/>
                    <w:lang w:eastAsia="lt-LT"/>
                  </w:rPr>
                </w:pPr>
                <w:r>
                  <w:rPr>
                    <w:rFonts w:eastAsia="Calibri"/>
                    <w:szCs w:val="24"/>
                    <w:lang w:eastAsia="lt-LT"/>
                  </w:rPr>
                  <w:t>1.3.</w:t>
                </w:r>
              </w:p>
            </w:tc>
            <w:tc>
              <w:tcPr>
                <w:tcW w:w="3275" w:type="dxa"/>
                <w:shd w:val="clear" w:color="auto" w:fill="auto"/>
              </w:tcPr>
              <w:p>
                <w:pPr>
                  <w:rPr>
                    <w:rFonts w:eastAsia="HG Mincho Light J"/>
                    <w:color w:val="000000"/>
                    <w:szCs w:val="24"/>
                    <w:lang w:eastAsia="lt-LT"/>
                  </w:rPr>
                </w:pPr>
                <w:r>
                  <w:rPr>
                    <w:rFonts w:eastAsia="Calibri"/>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rFonts w:eastAsia="Calibri"/>
                    <w:szCs w:val="24"/>
                    <w:lang w:eastAsia="lt-LT"/>
                  </w:rPr>
                  <w:t>neįgaliajam, socialiai remtinų šeimų moksleivių grupei, pateikusiai sąrašą</w:t>
                </w:r>
              </w:p>
            </w:tc>
            <w:tc>
              <w:tcPr>
                <w:tcW w:w="1600" w:type="dxa"/>
                <w:shd w:val="clear" w:color="auto" w:fill="auto"/>
              </w:tcPr>
              <w:p>
                <w:pPr>
                  <w:rPr>
                    <w:rFonts w:eastAsia="Calibri"/>
                    <w:szCs w:val="24"/>
                    <w:lang w:eastAsia="lt-LT"/>
                  </w:rPr>
                </w:pPr>
                <w:r>
                  <w:rPr>
                    <w:rFonts w:eastAsia="Calibri"/>
                    <w:szCs w:val="24"/>
                    <w:lang w:eastAsia="lt-LT"/>
                  </w:rPr>
                  <w:t>1 asmeniui</w:t>
                </w:r>
              </w:p>
            </w:tc>
            <w:tc>
              <w:tcPr>
                <w:tcW w:w="3686" w:type="dxa"/>
                <w:shd w:val="clear" w:color="auto" w:fill="auto"/>
              </w:tcPr>
              <w:p>
                <w:pPr>
                  <w:tabs>
                    <w:tab w:val="left" w:pos="345"/>
                  </w:tabs>
                  <w:rPr>
                    <w:rFonts w:eastAsia="Calibri"/>
                    <w:szCs w:val="24"/>
                    <w:lang w:eastAsia="lt-LT"/>
                  </w:rPr>
                </w:pPr>
                <w:r>
                  <w:rPr>
                    <w:rFonts w:eastAsia="Calibri"/>
                    <w:szCs w:val="24"/>
                    <w:lang w:eastAsia="lt-LT"/>
                  </w:rPr>
                  <w:t xml:space="preserve">50 </w:t>
                </w:r>
                <w:r>
                  <w:rPr>
                    <w:rFonts w:eastAsia="HG Mincho Light J"/>
                    <w:color w:val="000000"/>
                    <w:szCs w:val="24"/>
                    <w:lang w:eastAsia="lt-LT"/>
                  </w:rPr>
                  <w:t>proc. nuolaida</w:t>
                </w:r>
              </w:p>
            </w:tc>
          </w:tr>
          <w:tr>
            <w:tc>
              <w:tcPr>
                <w:tcW w:w="932" w:type="dxa"/>
                <w:shd w:val="clear" w:color="auto" w:fill="auto"/>
              </w:tcPr>
              <w:p>
                <w:pPr>
                  <w:jc w:val="center"/>
                  <w:rPr>
                    <w:rFonts w:eastAsia="Calibri"/>
                    <w:szCs w:val="24"/>
                    <w:lang w:eastAsia="lt-LT"/>
                  </w:rPr>
                </w:pPr>
                <w:r>
                  <w:rPr>
                    <w:rFonts w:eastAsia="Calibri"/>
                    <w:szCs w:val="24"/>
                    <w:lang w:eastAsia="lt-LT"/>
                  </w:rPr>
                  <w:t>1.4.</w:t>
                </w:r>
              </w:p>
            </w:tc>
            <w:tc>
              <w:tcPr>
                <w:tcW w:w="3275" w:type="dxa"/>
                <w:shd w:val="clear" w:color="auto" w:fill="auto"/>
              </w:tcPr>
              <w:p>
                <w:pPr>
                  <w:rPr>
                    <w:rFonts w:eastAsia="HG Mincho Light J"/>
                    <w:color w:val="000000"/>
                    <w:szCs w:val="24"/>
                    <w:lang w:eastAsia="lt-LT"/>
                  </w:rPr>
                </w:pPr>
                <w:r>
                  <w:rPr>
                    <w:rFonts w:eastAsia="Calibri"/>
                    <w:szCs w:val="24"/>
                    <w:lang w:eastAsia="lt-LT"/>
                  </w:rPr>
                  <w:t>vaikui iki 5 metų, neužimančiam papildomos sėdimos vietos renginio metu, neįgaliajam, kuriam reikalinga lydinčiojo asmens (1 asmuo) pagalba, ir lydinčiajam asmeniui (būtina išankstinė registracija)</w:t>
                </w:r>
              </w:p>
            </w:tc>
            <w:tc>
              <w:tcPr>
                <w:tcW w:w="1600" w:type="dxa"/>
                <w:shd w:val="clear" w:color="auto" w:fill="auto"/>
              </w:tcPr>
              <w:p>
                <w:pPr>
                  <w:rPr>
                    <w:rFonts w:eastAsia="Calibri"/>
                    <w:szCs w:val="24"/>
                    <w:lang w:eastAsia="lt-LT"/>
                  </w:rPr>
                </w:pPr>
                <w:r>
                  <w:rPr>
                    <w:rFonts w:eastAsia="Calibri"/>
                    <w:szCs w:val="24"/>
                    <w:lang w:eastAsia="lt-LT"/>
                  </w:rPr>
                  <w:t>1 asmeniui</w:t>
                </w:r>
              </w:p>
            </w:tc>
            <w:tc>
              <w:tcPr>
                <w:tcW w:w="3686" w:type="dxa"/>
                <w:shd w:val="clear" w:color="auto" w:fill="auto"/>
              </w:tcPr>
              <w:p>
                <w:pPr>
                  <w:tabs>
                    <w:tab w:val="left" w:pos="345"/>
                  </w:tabs>
                  <w:rPr>
                    <w:rFonts w:eastAsia="Calibri"/>
                    <w:szCs w:val="24"/>
                    <w:lang w:eastAsia="lt-LT"/>
                  </w:rPr>
                </w:pPr>
                <w:r>
                  <w:rPr>
                    <w:rFonts w:eastAsia="Calibri"/>
                    <w:szCs w:val="24"/>
                    <w:lang w:eastAsia="lt-LT"/>
                  </w:rPr>
                  <w:t>100 proc. nuolaida</w:t>
                </w:r>
              </w:p>
            </w:tc>
          </w:tr>
          <w:tr>
            <w:tc>
              <w:tcPr>
                <w:tcW w:w="932" w:type="dxa"/>
                <w:shd w:val="clear" w:color="auto" w:fill="auto"/>
              </w:tcPr>
              <w:p>
                <w:pPr>
                  <w:jc w:val="center"/>
                  <w:rPr>
                    <w:rFonts w:eastAsia="Calibri"/>
                    <w:szCs w:val="24"/>
                  </w:rPr>
                </w:pPr>
                <w:r>
                  <w:rPr>
                    <w:rFonts w:eastAsia="Calibri"/>
                    <w:szCs w:val="24"/>
                  </w:rPr>
                  <w:t>2.</w:t>
                </w:r>
              </w:p>
            </w:tc>
            <w:tc>
              <w:tcPr>
                <w:tcW w:w="3275" w:type="dxa"/>
                <w:shd w:val="clear" w:color="auto" w:fill="auto"/>
              </w:tcPr>
              <w:p>
                <w:pPr>
                  <w:rPr>
                    <w:rFonts w:eastAsia="Calibri"/>
                    <w:szCs w:val="24"/>
                  </w:rPr>
                </w:pPr>
                <w:r>
                  <w:rPr>
                    <w:rFonts w:eastAsia="Calibri"/>
                    <w:szCs w:val="24"/>
                  </w:rPr>
                  <w:t>Meninių programų atlikimas:</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b/>
                    <w:bCs/>
                    <w:szCs w:val="24"/>
                  </w:rPr>
                </w:pPr>
                <w:r>
                  <w:rPr>
                    <w:rFonts w:eastAsia="Calibri"/>
                    <w:b/>
                    <w:bCs/>
                    <w:szCs w:val="24"/>
                  </w:rPr>
                  <w:t>2.1.</w:t>
                </w:r>
              </w:p>
            </w:tc>
            <w:tc>
              <w:tcPr>
                <w:tcW w:w="3275" w:type="dxa"/>
                <w:shd w:val="clear" w:color="auto" w:fill="auto"/>
              </w:tcPr>
              <w:p>
                <w:pPr>
                  <w:rPr>
                    <w:rFonts w:eastAsia="Calibri"/>
                    <w:szCs w:val="24"/>
                  </w:rPr>
                </w:pPr>
                <w:r>
                  <w:rPr>
                    <w:rFonts w:eastAsia="Calibri"/>
                    <w:b/>
                    <w:bCs/>
                    <w:szCs w:val="24"/>
                  </w:rPr>
                  <w:t xml:space="preserve">Šiaulių miesto simfoninio orkestro programa </w:t>
                </w:r>
              </w:p>
            </w:tc>
            <w:tc>
              <w:tcPr>
                <w:tcW w:w="1600" w:type="dxa"/>
                <w:shd w:val="clear" w:color="auto" w:fill="auto"/>
              </w:tcPr>
              <w:p>
                <w:pPr>
                  <w:rPr>
                    <w:rFonts w:eastAsia="Calibri"/>
                    <w:szCs w:val="24"/>
                  </w:rPr>
                </w:pPr>
                <w:r>
                  <w:rPr>
                    <w:rFonts w:eastAsia="Calibri"/>
                    <w:b/>
                    <w:bCs/>
                    <w:szCs w:val="24"/>
                  </w:rPr>
                  <w:t>1 val. trukmės programos atlikimas</w:t>
                </w:r>
              </w:p>
            </w:tc>
            <w:tc>
              <w:tcPr>
                <w:tcW w:w="3686" w:type="dxa"/>
                <w:shd w:val="clear" w:color="auto" w:fill="auto"/>
              </w:tcPr>
              <w:p>
                <w:pPr>
                  <w:rPr>
                    <w:rFonts w:eastAsia="Calibri"/>
                    <w:b/>
                    <w:bCs/>
                    <w:szCs w:val="24"/>
                  </w:rPr>
                </w:pPr>
                <w:r>
                  <w:rPr>
                    <w:rFonts w:eastAsia="Calibri"/>
                    <w:b/>
                    <w:bCs/>
                    <w:szCs w:val="24"/>
                  </w:rPr>
                  <w:t>3000</w:t>
                </w:r>
              </w:p>
            </w:tc>
          </w:tr>
          <w:tr>
            <w:tc>
              <w:tcPr>
                <w:tcW w:w="932" w:type="dxa"/>
                <w:shd w:val="clear" w:color="auto" w:fill="auto"/>
              </w:tcPr>
              <w:p>
                <w:pPr>
                  <w:jc w:val="center"/>
                  <w:rPr>
                    <w:rFonts w:eastAsia="Calibri"/>
                    <w:strike/>
                    <w:szCs w:val="24"/>
                  </w:rPr>
                </w:pPr>
                <w:r>
                  <w:rPr>
                    <w:rFonts w:eastAsia="Calibri"/>
                    <w:strike/>
                    <w:szCs w:val="24"/>
                  </w:rPr>
                  <w:t>2.1.</w:t>
                </w:r>
              </w:p>
              <w:p>
                <w:pPr>
                  <w:jc w:val="center"/>
                  <w:rPr>
                    <w:rFonts w:eastAsia="Calibri"/>
                    <w:b/>
                    <w:bCs/>
                    <w:szCs w:val="24"/>
                  </w:rPr>
                </w:pPr>
                <w:r>
                  <w:rPr>
                    <w:rFonts w:eastAsia="Calibri"/>
                    <w:b/>
                    <w:bCs/>
                    <w:szCs w:val="24"/>
                  </w:rPr>
                  <w:t>2.2.</w:t>
                </w:r>
              </w:p>
            </w:tc>
            <w:tc>
              <w:tcPr>
                <w:tcW w:w="3275" w:type="dxa"/>
                <w:shd w:val="clear" w:color="auto" w:fill="auto"/>
              </w:tcPr>
              <w:p>
                <w:pPr>
                  <w:rPr>
                    <w:rFonts w:eastAsia="Calibri"/>
                    <w:szCs w:val="24"/>
                  </w:rPr>
                </w:pPr>
                <w:r>
                  <w:rPr>
                    <w:rFonts w:eastAsia="Calibri"/>
                    <w:strike/>
                    <w:szCs w:val="24"/>
                  </w:rPr>
                  <w:t>kamerinio orkestro</w:t>
                </w:r>
                <w:r>
                  <w:rPr>
                    <w:rFonts w:eastAsia="Calibri"/>
                    <w:szCs w:val="24"/>
                  </w:rPr>
                  <w:t xml:space="preserve"> </w:t>
                </w:r>
                <w:r>
                  <w:rPr>
                    <w:rFonts w:eastAsia="Calibri"/>
                    <w:b/>
                    <w:bCs/>
                    <w:szCs w:val="24"/>
                  </w:rPr>
                  <w:t xml:space="preserve">Šiaulių miesto simfoninio orkestro styginių grupės </w:t>
                </w:r>
                <w:r>
                  <w:rPr>
                    <w:rFonts w:eastAsia="Calibri"/>
                    <w:strike/>
                    <w:szCs w:val="24"/>
                  </w:rPr>
                  <w:t>„Camerata Solaris“</w:t>
                </w:r>
                <w:r>
                  <w:rPr>
                    <w:rFonts w:eastAsia="Calibri"/>
                    <w:szCs w:val="24"/>
                  </w:rPr>
                  <w:t xml:space="preserve"> programa (turimas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zCs w:val="24"/>
                  </w:rPr>
                </w:pPr>
                <w:r>
                  <w:rPr>
                    <w:rFonts w:eastAsia="Calibri"/>
                    <w:szCs w:val="24"/>
                  </w:rPr>
                  <w:t>1500</w:t>
                </w:r>
              </w:p>
            </w:tc>
          </w:tr>
          <w:tr>
            <w:tc>
              <w:tcPr>
                <w:tcW w:w="932" w:type="dxa"/>
                <w:shd w:val="clear" w:color="auto" w:fill="auto"/>
              </w:tcPr>
              <w:p>
                <w:pPr>
                  <w:jc w:val="center"/>
                  <w:rPr>
                    <w:rFonts w:eastAsia="Calibri"/>
                    <w:strike/>
                    <w:szCs w:val="24"/>
                  </w:rPr>
                </w:pPr>
                <w:r>
                  <w:rPr>
                    <w:rFonts w:eastAsia="Calibri"/>
                    <w:strike/>
                    <w:szCs w:val="24"/>
                  </w:rPr>
                  <w:t>2.2.</w:t>
                </w:r>
              </w:p>
              <w:p>
                <w:pPr>
                  <w:jc w:val="center"/>
                  <w:rPr>
                    <w:rFonts w:eastAsia="Calibri"/>
                    <w:b/>
                    <w:bCs/>
                    <w:szCs w:val="24"/>
                  </w:rPr>
                </w:pPr>
                <w:r>
                  <w:rPr>
                    <w:rFonts w:eastAsia="Calibri"/>
                    <w:b/>
                    <w:bCs/>
                    <w:szCs w:val="24"/>
                  </w:rPr>
                  <w:t>2.3.</w:t>
                </w:r>
              </w:p>
              <w:p>
                <w:pPr>
                  <w:jc w:val="center"/>
                  <w:rPr>
                    <w:rFonts w:eastAsia="Calibri"/>
                    <w:szCs w:val="24"/>
                  </w:rPr>
                </w:pPr>
              </w:p>
            </w:tc>
            <w:tc>
              <w:tcPr>
                <w:tcW w:w="3275" w:type="dxa"/>
                <w:shd w:val="clear" w:color="auto" w:fill="auto"/>
              </w:tcPr>
              <w:p>
                <w:pPr>
                  <w:rPr>
                    <w:rFonts w:eastAsia="Calibri"/>
                    <w:strike/>
                    <w:szCs w:val="24"/>
                  </w:rPr>
                </w:pPr>
                <w:r>
                  <w:rPr>
                    <w:rFonts w:eastAsia="Calibri"/>
                    <w:strike/>
                    <w:szCs w:val="24"/>
                  </w:rPr>
                  <w:t>kamerinio orkestro „Camerata Solaris“ programa (naujai rengiamas repertuaras)</w:t>
                </w:r>
              </w:p>
              <w:p>
                <w:pPr>
                  <w:rPr>
                    <w:rFonts w:eastAsia="Calibri"/>
                    <w:szCs w:val="24"/>
                  </w:rPr>
                </w:pPr>
                <w:r>
                  <w:rPr>
                    <w:rFonts w:eastAsia="Calibri"/>
                    <w:b/>
                    <w:bCs/>
                    <w:szCs w:val="24"/>
                  </w:rPr>
                  <w:t>Šiaulių miesto simfoninio orkestro styginių grupės</w:t>
                </w:r>
                <w:r>
                  <w:rPr>
                    <w:rFonts w:eastAsia="Calibri"/>
                    <w:szCs w:val="24"/>
                  </w:rPr>
                  <w:t xml:space="preserve"> programa (naujai rengiamas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trike/>
                    <w:szCs w:val="24"/>
                  </w:rPr>
                  <w:t>2.3.</w:t>
                </w:r>
              </w:p>
              <w:p>
                <w:pPr>
                  <w:jc w:val="center"/>
                  <w:rPr>
                    <w:rFonts w:eastAsia="Calibri"/>
                    <w:b/>
                    <w:bCs/>
                    <w:strike/>
                    <w:szCs w:val="24"/>
                  </w:rPr>
                </w:pPr>
                <w:r>
                  <w:rPr>
                    <w:rFonts w:eastAsia="Calibri"/>
                    <w:b/>
                    <w:bCs/>
                    <w:szCs w:val="24"/>
                  </w:rPr>
                  <w:t>2.4.</w:t>
                </w:r>
              </w:p>
            </w:tc>
            <w:tc>
              <w:tcPr>
                <w:tcW w:w="3275" w:type="dxa"/>
                <w:shd w:val="clear" w:color="auto" w:fill="auto"/>
              </w:tcPr>
              <w:p>
                <w:pPr>
                  <w:rPr>
                    <w:rFonts w:eastAsia="Calibri"/>
                    <w:szCs w:val="24"/>
                  </w:rPr>
                </w:pPr>
                <w:r>
                  <w:rPr>
                    <w:rFonts w:eastAsia="Calibri"/>
                    <w:szCs w:val="24"/>
                  </w:rPr>
                  <w:t>pučiamųjų orkestro programa (turimas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trike/>
                    <w:szCs w:val="24"/>
                  </w:rPr>
                </w:pPr>
                <w:r>
                  <w:rPr>
                    <w:rFonts w:eastAsia="Calibri"/>
                    <w:strike/>
                    <w:szCs w:val="24"/>
                  </w:rPr>
                  <w:t>2.4.</w:t>
                </w:r>
              </w:p>
              <w:p>
                <w:pPr>
                  <w:jc w:val="center"/>
                  <w:rPr>
                    <w:rFonts w:eastAsia="Calibri"/>
                    <w:b/>
                    <w:bCs/>
                    <w:szCs w:val="24"/>
                  </w:rPr>
                </w:pPr>
                <w:r>
                  <w:rPr>
                    <w:rFonts w:eastAsia="Calibri"/>
                    <w:b/>
                    <w:bCs/>
                    <w:szCs w:val="24"/>
                  </w:rPr>
                  <w:t>2.5.</w:t>
                </w:r>
              </w:p>
            </w:tc>
            <w:tc>
              <w:tcPr>
                <w:tcW w:w="3275" w:type="dxa"/>
                <w:shd w:val="clear" w:color="auto" w:fill="auto"/>
              </w:tcPr>
              <w:p>
                <w:pPr>
                  <w:rPr>
                    <w:rFonts w:eastAsia="Calibri"/>
                    <w:szCs w:val="24"/>
                  </w:rPr>
                </w:pPr>
                <w:r>
                  <w:rPr>
                    <w:rFonts w:eastAsia="Calibri"/>
                    <w:szCs w:val="24"/>
                  </w:rPr>
                  <w:t>pučiamųjų orkestro programa (naujai rengiamas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trike/>
                    <w:szCs w:val="24"/>
                  </w:rPr>
                  <w:t>2.5.</w:t>
                </w:r>
              </w:p>
              <w:p>
                <w:pPr>
                  <w:jc w:val="center"/>
                  <w:rPr>
                    <w:rFonts w:eastAsia="Calibri"/>
                    <w:b/>
                    <w:bCs/>
                    <w:strike/>
                    <w:szCs w:val="24"/>
                  </w:rPr>
                </w:pPr>
                <w:r>
                  <w:rPr>
                    <w:rFonts w:eastAsia="Calibri"/>
                    <w:b/>
                    <w:bCs/>
                    <w:szCs w:val="24"/>
                  </w:rPr>
                  <w:t>2.6.</w:t>
                </w:r>
              </w:p>
            </w:tc>
            <w:tc>
              <w:tcPr>
                <w:tcW w:w="3275" w:type="dxa"/>
                <w:shd w:val="clear" w:color="auto" w:fill="auto"/>
              </w:tcPr>
              <w:p>
                <w:pPr>
                  <w:rPr>
                    <w:rFonts w:eastAsia="Calibri"/>
                    <w:szCs w:val="24"/>
                  </w:rPr>
                </w:pPr>
                <w:r>
                  <w:rPr>
                    <w:rFonts w:eastAsia="Calibri"/>
                    <w:szCs w:val="24"/>
                  </w:rPr>
                  <w:t>bigbendo programa (turimas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trike/>
                    <w:szCs w:val="24"/>
                  </w:rPr>
                </w:pPr>
                <w:r>
                  <w:rPr>
                    <w:rFonts w:eastAsia="Calibri"/>
                    <w:strike/>
                    <w:szCs w:val="24"/>
                  </w:rPr>
                  <w:t>2.6.</w:t>
                </w:r>
              </w:p>
              <w:p>
                <w:pPr>
                  <w:jc w:val="center"/>
                  <w:rPr>
                    <w:rFonts w:eastAsia="Calibri"/>
                    <w:b/>
                    <w:bCs/>
                    <w:szCs w:val="24"/>
                  </w:rPr>
                </w:pPr>
                <w:r>
                  <w:rPr>
                    <w:rFonts w:eastAsia="Calibri"/>
                    <w:b/>
                    <w:bCs/>
                    <w:szCs w:val="24"/>
                  </w:rPr>
                  <w:t>2.7.</w:t>
                </w:r>
              </w:p>
            </w:tc>
            <w:tc>
              <w:tcPr>
                <w:tcW w:w="3275" w:type="dxa"/>
                <w:shd w:val="clear" w:color="auto" w:fill="auto"/>
              </w:tcPr>
              <w:p>
                <w:pPr>
                  <w:rPr>
                    <w:rFonts w:eastAsia="Calibri"/>
                    <w:szCs w:val="24"/>
                  </w:rPr>
                </w:pPr>
                <w:r>
                  <w:rPr>
                    <w:rFonts w:eastAsia="Calibri"/>
                    <w:szCs w:val="24"/>
                  </w:rPr>
                  <w:t>bigbendo programa (naujai rengiamas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trike/>
                    <w:szCs w:val="24"/>
                  </w:rPr>
                  <w:t>2.7.</w:t>
                </w:r>
              </w:p>
              <w:p>
                <w:pPr>
                  <w:jc w:val="center"/>
                  <w:rPr>
                    <w:rFonts w:eastAsia="Calibri"/>
                    <w:b/>
                    <w:bCs/>
                    <w:strike/>
                    <w:szCs w:val="24"/>
                  </w:rPr>
                </w:pPr>
                <w:r>
                  <w:rPr>
                    <w:rFonts w:eastAsia="Calibri"/>
                    <w:b/>
                    <w:bCs/>
                    <w:szCs w:val="24"/>
                  </w:rPr>
                  <w:t>2.8.</w:t>
                </w:r>
              </w:p>
            </w:tc>
            <w:tc>
              <w:tcPr>
                <w:tcW w:w="3275" w:type="dxa"/>
                <w:shd w:val="clear" w:color="auto" w:fill="auto"/>
              </w:tcPr>
              <w:p>
                <w:pPr>
                  <w:rPr>
                    <w:rFonts w:eastAsia="Calibri"/>
                    <w:szCs w:val="24"/>
                  </w:rPr>
                </w:pPr>
                <w:r>
                  <w:rPr>
                    <w:rFonts w:eastAsia="Calibri"/>
                    <w:strike/>
                    <w:szCs w:val="24"/>
                  </w:rPr>
                  <w:t>kamerinio „Camerata Solaris“</w:t>
                </w:r>
                <w:r>
                  <w:rPr>
                    <w:rFonts w:eastAsia="Calibri"/>
                    <w:szCs w:val="24"/>
                  </w:rPr>
                  <w:t xml:space="preserve"> </w:t>
                </w:r>
              </w:p>
              <w:p>
                <w:pPr>
                  <w:rPr>
                    <w:rFonts w:eastAsia="Calibri"/>
                    <w:szCs w:val="24"/>
                  </w:rPr>
                </w:pPr>
                <w:r>
                  <w:rPr>
                    <w:rFonts w:eastAsia="Calibri"/>
                    <w:b/>
                    <w:bCs/>
                    <w:szCs w:val="24"/>
                  </w:rPr>
                  <w:t>Šiaulių miesto simfoninio orkestro styginių grupės</w:t>
                </w:r>
              </w:p>
              <w:p>
                <w:pPr>
                  <w:rPr>
                    <w:rFonts w:eastAsia="Calibri"/>
                    <w:szCs w:val="24"/>
                  </w:rPr>
                </w:pPr>
                <w:r>
                  <w:rPr>
                    <w:rFonts w:eastAsia="Calibri"/>
                    <w:szCs w:val="24"/>
                  </w:rPr>
                  <w:t>arba pučiamųjų orkestrų, arba bigbendo programa Šiaulių miesto savivaldybės biudžetinėms įstaigoms (turimas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zCs w:val="24"/>
                  </w:rPr>
                </w:pPr>
                <w:r>
                  <w:rPr>
                    <w:rFonts w:eastAsia="Calibri"/>
                    <w:szCs w:val="24"/>
                  </w:rPr>
                  <w:t>300</w:t>
                </w:r>
              </w:p>
              <w:p>
                <w:pPr>
                  <w:rPr>
                    <w:rFonts w:eastAsia="Calibri"/>
                    <w:b/>
                    <w:bCs/>
                    <w:szCs w:val="24"/>
                  </w:rPr>
                </w:pPr>
              </w:p>
            </w:tc>
          </w:tr>
          <w:tr>
            <w:tc>
              <w:tcPr>
                <w:tcW w:w="932" w:type="dxa"/>
                <w:shd w:val="clear" w:color="auto" w:fill="auto"/>
              </w:tcPr>
              <w:p>
                <w:pPr>
                  <w:jc w:val="center"/>
                  <w:rPr>
                    <w:rFonts w:eastAsia="Calibri"/>
                    <w:strike/>
                    <w:szCs w:val="24"/>
                  </w:rPr>
                </w:pPr>
                <w:r>
                  <w:rPr>
                    <w:rFonts w:eastAsia="Calibri"/>
                    <w:strike/>
                    <w:szCs w:val="24"/>
                  </w:rPr>
                  <w:t>2.8.</w:t>
                </w:r>
              </w:p>
              <w:p>
                <w:pPr>
                  <w:jc w:val="center"/>
                  <w:rPr>
                    <w:rFonts w:eastAsia="Calibri"/>
                    <w:b/>
                    <w:bCs/>
                    <w:szCs w:val="24"/>
                  </w:rPr>
                </w:pPr>
                <w:r>
                  <w:rPr>
                    <w:rFonts w:eastAsia="Calibri"/>
                    <w:b/>
                    <w:bCs/>
                    <w:szCs w:val="24"/>
                  </w:rPr>
                  <w:t>2.9.</w:t>
                </w:r>
              </w:p>
            </w:tc>
            <w:tc>
              <w:tcPr>
                <w:tcW w:w="3275" w:type="dxa"/>
                <w:shd w:val="clear" w:color="auto" w:fill="auto"/>
              </w:tcPr>
              <w:p>
                <w:pPr>
                  <w:rPr>
                    <w:rFonts w:eastAsia="Calibri"/>
                    <w:szCs w:val="24"/>
                  </w:rPr>
                </w:pPr>
                <w:r>
                  <w:rPr>
                    <w:rFonts w:eastAsia="Calibri"/>
                    <w:strike/>
                    <w:szCs w:val="24"/>
                  </w:rPr>
                  <w:t>kamerinio „Camerata Solaris“</w:t>
                </w:r>
                <w:r>
                  <w:rPr>
                    <w:rFonts w:eastAsia="Calibri"/>
                    <w:szCs w:val="24"/>
                  </w:rPr>
                  <w:t xml:space="preserve"> </w:t>
                </w:r>
              </w:p>
              <w:p>
                <w:pPr>
                  <w:rPr>
                    <w:rFonts w:eastAsia="Calibri"/>
                    <w:szCs w:val="24"/>
                  </w:rPr>
                </w:pPr>
                <w:r>
                  <w:rPr>
                    <w:rFonts w:eastAsia="Calibri"/>
                    <w:b/>
                    <w:bCs/>
                    <w:szCs w:val="24"/>
                  </w:rPr>
                  <w:t>Šiaulių miesto simfoninio orkestro styginių grupės</w:t>
                </w:r>
              </w:p>
              <w:p>
                <w:pPr>
                  <w:rPr>
                    <w:rFonts w:eastAsia="Calibri"/>
                    <w:szCs w:val="24"/>
                  </w:rPr>
                </w:pPr>
                <w:r>
                  <w:rPr>
                    <w:rFonts w:eastAsia="Calibri"/>
                    <w:szCs w:val="24"/>
                  </w:rPr>
                  <w:t>arba pučiamųjų orkestrų, arba bigbendo programa Šiaulių miesto savivaldybės biudžetinėms įstaigoms (naujai rengiamas repertuaras)</w:t>
                </w:r>
              </w:p>
            </w:tc>
            <w:tc>
              <w:tcPr>
                <w:tcW w:w="1600" w:type="dxa"/>
                <w:shd w:val="clear" w:color="auto" w:fill="auto"/>
              </w:tcPr>
              <w:p>
                <w:pPr>
                  <w:rPr>
                    <w:rFonts w:eastAsia="Calibri"/>
                    <w:strike/>
                    <w:szCs w:val="24"/>
                  </w:rPr>
                </w:pPr>
                <w:r>
                  <w:rPr>
                    <w:rFonts w:eastAsia="Calibri"/>
                    <w:strike/>
                    <w:szCs w:val="24"/>
                  </w:rPr>
                  <w:t>1 paslauga</w:t>
                </w:r>
              </w:p>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szCs w:val="24"/>
                  </w:rPr>
                </w:pPr>
                <w:r>
                  <w:rPr>
                    <w:rFonts w:eastAsia="Calibri"/>
                    <w:szCs w:val="24"/>
                  </w:rPr>
                  <w:t>600</w:t>
                </w:r>
              </w:p>
            </w:tc>
          </w:tr>
          <w:tr>
            <w:tc>
              <w:tcPr>
                <w:tcW w:w="932" w:type="dxa"/>
                <w:shd w:val="clear" w:color="auto" w:fill="auto"/>
              </w:tcPr>
              <w:p>
                <w:pPr>
                  <w:jc w:val="center"/>
                  <w:rPr>
                    <w:rFonts w:eastAsia="Calibri"/>
                    <w:b/>
                    <w:bCs/>
                    <w:szCs w:val="24"/>
                  </w:rPr>
                </w:pPr>
                <w:r>
                  <w:rPr>
                    <w:rFonts w:eastAsia="Calibri"/>
                    <w:b/>
                    <w:bCs/>
                    <w:szCs w:val="24"/>
                  </w:rPr>
                  <w:t>2.10.</w:t>
                </w:r>
              </w:p>
            </w:tc>
            <w:tc>
              <w:tcPr>
                <w:tcW w:w="3275" w:type="dxa"/>
                <w:shd w:val="clear" w:color="auto" w:fill="auto"/>
              </w:tcPr>
              <w:p>
                <w:pPr>
                  <w:rPr>
                    <w:rFonts w:eastAsia="Calibri"/>
                    <w:color w:val="FF0000"/>
                    <w:szCs w:val="24"/>
                    <w:highlight w:val="yellow"/>
                  </w:rPr>
                </w:pPr>
                <w:r>
                  <w:rPr>
                    <w:rFonts w:eastAsia="Calibri"/>
                    <w:b/>
                    <w:bCs/>
                    <w:szCs w:val="24"/>
                  </w:rPr>
                  <w:t xml:space="preserve">Šiaulių miesto simfoninio orkestro programa Šiaulių miesto savivaldybės biudžetinėms įstaigoms (turimas repertuaras) </w:t>
                </w:r>
              </w:p>
            </w:tc>
            <w:tc>
              <w:tcPr>
                <w:tcW w:w="1600" w:type="dxa"/>
                <w:shd w:val="clear" w:color="auto" w:fill="auto"/>
              </w:tcPr>
              <w:p>
                <w:pPr>
                  <w:rPr>
                    <w:rFonts w:eastAsia="Calibri"/>
                    <w:strike/>
                    <w:szCs w:val="24"/>
                  </w:rPr>
                </w:pPr>
                <w:r>
                  <w:rPr>
                    <w:rFonts w:eastAsia="Calibri"/>
                    <w:b/>
                    <w:bCs/>
                    <w:szCs w:val="24"/>
                  </w:rPr>
                  <w:t>1 val. trukmės programos atlikimas</w:t>
                </w:r>
              </w:p>
            </w:tc>
            <w:tc>
              <w:tcPr>
                <w:tcW w:w="3686" w:type="dxa"/>
                <w:shd w:val="clear" w:color="auto" w:fill="auto"/>
              </w:tcPr>
              <w:p>
                <w:pPr>
                  <w:rPr>
                    <w:rFonts w:eastAsia="Calibri"/>
                    <w:b/>
                    <w:bCs/>
                    <w:szCs w:val="24"/>
                  </w:rPr>
                </w:pPr>
                <w:r>
                  <w:rPr>
                    <w:rFonts w:eastAsia="Calibri"/>
                    <w:b/>
                    <w:bCs/>
                    <w:szCs w:val="24"/>
                  </w:rPr>
                  <w:t>600</w:t>
                </w:r>
              </w:p>
            </w:tc>
          </w:tr>
          <w:tr>
            <w:tc>
              <w:tcPr>
                <w:tcW w:w="932" w:type="dxa"/>
                <w:shd w:val="clear" w:color="auto" w:fill="auto"/>
              </w:tcPr>
              <w:p>
                <w:pPr>
                  <w:jc w:val="center"/>
                  <w:rPr>
                    <w:rFonts w:eastAsia="Calibri"/>
                    <w:b/>
                    <w:bCs/>
                    <w:szCs w:val="24"/>
                  </w:rPr>
                </w:pPr>
                <w:r>
                  <w:rPr>
                    <w:rFonts w:eastAsia="Calibri"/>
                    <w:b/>
                    <w:bCs/>
                    <w:szCs w:val="24"/>
                  </w:rPr>
                  <w:t>2.11.</w:t>
                </w:r>
              </w:p>
            </w:tc>
            <w:tc>
              <w:tcPr>
                <w:tcW w:w="3275" w:type="dxa"/>
                <w:shd w:val="clear" w:color="auto" w:fill="auto"/>
              </w:tcPr>
              <w:p>
                <w:pPr>
                  <w:rPr>
                    <w:rFonts w:eastAsia="Calibri"/>
                    <w:b/>
                    <w:bCs/>
                    <w:szCs w:val="24"/>
                  </w:rPr>
                </w:pPr>
                <w:r>
                  <w:rPr>
                    <w:rFonts w:eastAsia="Calibri"/>
                    <w:b/>
                    <w:bCs/>
                    <w:szCs w:val="24"/>
                  </w:rPr>
                  <w:t>Šiaulių miesto simfoninio orkestro programa Šiaulių miesto savivaldybės biudžetinėms įstaigoms (naujai rengiamas repertuaras)</w:t>
                </w:r>
              </w:p>
            </w:tc>
            <w:tc>
              <w:tcPr>
                <w:tcW w:w="1600" w:type="dxa"/>
                <w:shd w:val="clear" w:color="auto" w:fill="auto"/>
              </w:tcPr>
              <w:p>
                <w:pPr>
                  <w:rPr>
                    <w:rFonts w:eastAsia="Calibri"/>
                    <w:b/>
                    <w:bCs/>
                    <w:szCs w:val="24"/>
                  </w:rPr>
                </w:pPr>
                <w:r>
                  <w:rPr>
                    <w:rFonts w:eastAsia="Calibri"/>
                    <w:b/>
                    <w:bCs/>
                    <w:szCs w:val="24"/>
                  </w:rPr>
                  <w:t>1 val. trukmės programos atlikimas</w:t>
                </w:r>
              </w:p>
            </w:tc>
            <w:tc>
              <w:tcPr>
                <w:tcW w:w="3686" w:type="dxa"/>
                <w:shd w:val="clear" w:color="auto" w:fill="auto"/>
              </w:tcPr>
              <w:p>
                <w:pPr>
                  <w:rPr>
                    <w:rFonts w:eastAsia="Calibri"/>
                    <w:b/>
                    <w:bCs/>
                    <w:szCs w:val="24"/>
                  </w:rPr>
                </w:pPr>
                <w:r>
                  <w:rPr>
                    <w:rFonts w:eastAsia="Calibri"/>
                    <w:b/>
                    <w:bCs/>
                    <w:szCs w:val="24"/>
                  </w:rPr>
                  <w:t>1200</w:t>
                </w:r>
              </w:p>
            </w:tc>
          </w:tr>
          <w:tr>
            <w:tc>
              <w:tcPr>
                <w:tcW w:w="932" w:type="dxa"/>
                <w:shd w:val="clear" w:color="auto" w:fill="auto"/>
              </w:tcPr>
              <w:p>
                <w:pPr>
                  <w:jc w:val="center"/>
                  <w:rPr>
                    <w:rFonts w:eastAsia="Calibri"/>
                    <w:szCs w:val="24"/>
                  </w:rPr>
                </w:pPr>
                <w:r>
                  <w:rPr>
                    <w:rFonts w:eastAsia="Calibri"/>
                    <w:szCs w:val="24"/>
                  </w:rPr>
                  <w:t>3.</w:t>
                </w:r>
              </w:p>
            </w:tc>
            <w:tc>
              <w:tcPr>
                <w:tcW w:w="3275" w:type="dxa"/>
                <w:shd w:val="clear" w:color="auto" w:fill="auto"/>
              </w:tcPr>
              <w:p>
                <w:pPr>
                  <w:rPr>
                    <w:rFonts w:eastAsia="Calibri"/>
                    <w:szCs w:val="24"/>
                  </w:rPr>
                </w:pPr>
                <w:r>
                  <w:rPr>
                    <w:rFonts w:eastAsia="Calibri"/>
                    <w:szCs w:val="24"/>
                  </w:rPr>
                  <w:t>Patalpų nuoma Šiaulių miesto koncertinėje įstaigoje „Saulė“:</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3.1.</w:t>
                </w:r>
              </w:p>
            </w:tc>
            <w:tc>
              <w:tcPr>
                <w:tcW w:w="3275" w:type="dxa"/>
                <w:shd w:val="clear" w:color="auto" w:fill="auto"/>
              </w:tcPr>
              <w:p>
                <w:pPr>
                  <w:rPr>
                    <w:rFonts w:eastAsia="Calibri"/>
                    <w:szCs w:val="24"/>
                  </w:rPr>
                </w:pPr>
                <w:r>
                  <w:rPr>
                    <w:rFonts w:eastAsia="Calibri"/>
                    <w:szCs w:val="24"/>
                  </w:rPr>
                  <w:t xml:space="preserve">koncertų salės „Saulė“ </w:t>
                </w:r>
                <w:r>
                  <w:rPr>
                    <w:rFonts w:eastAsia="Calibri"/>
                    <w:b/>
                    <w:bCs/>
                    <w:szCs w:val="24"/>
                  </w:rPr>
                  <w:t>nuoma</w:t>
                </w:r>
                <w:r>
                  <w:rPr>
                    <w:rFonts w:eastAsia="Calibri"/>
                    <w:strike/>
                    <w:szCs w:val="24"/>
                  </w:rPr>
                  <w:t>:</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trike/>
                    <w:szCs w:val="24"/>
                  </w:rPr>
                </w:pPr>
                <w:r>
                  <w:rPr>
                    <w:rFonts w:eastAsia="Calibri"/>
                    <w:szCs w:val="24"/>
                    <w:lang w:eastAsia="lt-LT"/>
                  </w:rPr>
                  <w:t>392 / 47</w:t>
                </w:r>
                <w:r>
                  <w:rPr>
                    <w:rFonts w:eastAsia="Calibri"/>
                    <w:szCs w:val="24"/>
                    <w:vertAlign w:val="superscript"/>
                    <w:lang w:eastAsia="lt-LT"/>
                  </w:rPr>
                  <w:t>1</w:t>
                </w:r>
                <w:r>
                  <w:rPr>
                    <w:rFonts w:eastAsia="Calibri"/>
                    <w:szCs w:val="24"/>
                    <w:lang w:eastAsia="lt-LT"/>
                  </w:rPr>
                  <w:t xml:space="preserve"> / 220</w:t>
                </w:r>
                <w:r>
                  <w:rPr>
                    <w:rFonts w:eastAsia="Calibri"/>
                    <w:szCs w:val="24"/>
                    <w:vertAlign w:val="superscript"/>
                    <w:lang w:eastAsia="lt-LT"/>
                  </w:rPr>
                  <w:t>2</w:t>
                </w:r>
              </w:p>
            </w:tc>
          </w:tr>
          <w:tr>
            <w:tc>
              <w:tcPr>
                <w:tcW w:w="932" w:type="dxa"/>
                <w:shd w:val="clear" w:color="auto" w:fill="auto"/>
              </w:tcPr>
              <w:p>
                <w:pPr>
                  <w:jc w:val="center"/>
                  <w:rPr>
                    <w:rFonts w:eastAsia="Calibri"/>
                    <w:strike/>
                    <w:color w:val="FF0000"/>
                    <w:szCs w:val="24"/>
                  </w:rPr>
                </w:pPr>
                <w:r>
                  <w:rPr>
                    <w:rFonts w:eastAsia="Calibri"/>
                    <w:strike/>
                    <w:szCs w:val="24"/>
                  </w:rPr>
                  <w:t xml:space="preserve">3.1.1. </w:t>
                </w:r>
                <w:r>
                  <w:rPr>
                    <w:rFonts w:eastAsia="Calibri"/>
                    <w:b/>
                    <w:bCs/>
                    <w:szCs w:val="24"/>
                  </w:rPr>
                  <w:t>3.2.</w:t>
                </w:r>
              </w:p>
            </w:tc>
            <w:tc>
              <w:tcPr>
                <w:tcW w:w="3275" w:type="dxa"/>
                <w:shd w:val="clear" w:color="auto" w:fill="auto"/>
              </w:tcPr>
              <w:p>
                <w:pPr>
                  <w:rPr>
                    <w:rFonts w:eastAsia="Calibri"/>
                    <w:szCs w:val="24"/>
                  </w:rPr>
                </w:pPr>
                <w:r>
                  <w:rPr>
                    <w:rFonts w:eastAsia="Calibri"/>
                    <w:szCs w:val="24"/>
                  </w:rPr>
                  <w:t xml:space="preserve">pasiruošimas renginiui </w:t>
                </w:r>
                <w:r>
                  <w:rPr>
                    <w:rFonts w:eastAsia="Calibri"/>
                    <w:b/>
                    <w:bCs/>
                    <w:szCs w:val="24"/>
                  </w:rPr>
                  <w:t>koncertų salėje „Saulė“</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lang w:eastAsia="lt-LT"/>
                  </w:rPr>
                  <w:t>196 / 23,50</w:t>
                </w:r>
                <w:r>
                  <w:rPr>
                    <w:rFonts w:eastAsia="Calibri"/>
                    <w:szCs w:val="24"/>
                    <w:vertAlign w:val="superscript"/>
                    <w:lang w:eastAsia="lt-LT"/>
                  </w:rPr>
                  <w:t>1</w:t>
                </w:r>
                <w:r>
                  <w:rPr>
                    <w:rFonts w:eastAsia="Calibri"/>
                    <w:szCs w:val="24"/>
                    <w:lang w:eastAsia="lt-LT"/>
                  </w:rPr>
                  <w:t xml:space="preserve"> / 110</w:t>
                </w:r>
                <w:r>
                  <w:rPr>
                    <w:rFonts w:eastAsia="Calibri"/>
                    <w:szCs w:val="24"/>
                    <w:vertAlign w:val="superscript"/>
                    <w:lang w:eastAsia="lt-LT"/>
                  </w:rPr>
                  <w:t>2</w:t>
                </w:r>
              </w:p>
            </w:tc>
          </w:tr>
          <w:tr>
            <w:tc>
              <w:tcPr>
                <w:tcW w:w="932" w:type="dxa"/>
                <w:shd w:val="clear" w:color="auto" w:fill="auto"/>
              </w:tcPr>
              <w:p>
                <w:pPr>
                  <w:jc w:val="center"/>
                  <w:rPr>
                    <w:rFonts w:eastAsia="Calibri"/>
                    <w:strike/>
                    <w:szCs w:val="24"/>
                  </w:rPr>
                </w:pPr>
                <w:r>
                  <w:rPr>
                    <w:rFonts w:eastAsia="Calibri"/>
                    <w:strike/>
                    <w:szCs w:val="24"/>
                  </w:rPr>
                  <w:t>3.2.</w:t>
                </w:r>
              </w:p>
              <w:p>
                <w:pPr>
                  <w:jc w:val="center"/>
                  <w:rPr>
                    <w:rFonts w:eastAsia="Calibri"/>
                    <w:b/>
                    <w:bCs/>
                    <w:szCs w:val="24"/>
                  </w:rPr>
                </w:pPr>
                <w:r>
                  <w:rPr>
                    <w:rFonts w:eastAsia="Calibri"/>
                    <w:b/>
                    <w:bCs/>
                    <w:szCs w:val="24"/>
                  </w:rPr>
                  <w:t>3.3.</w:t>
                </w:r>
              </w:p>
            </w:tc>
            <w:tc>
              <w:tcPr>
                <w:tcW w:w="3275" w:type="dxa"/>
                <w:shd w:val="clear" w:color="auto" w:fill="auto"/>
              </w:tcPr>
              <w:p>
                <w:pPr>
                  <w:rPr>
                    <w:rFonts w:eastAsia="Calibri"/>
                    <w:szCs w:val="24"/>
                  </w:rPr>
                </w:pPr>
                <w:r>
                  <w:rPr>
                    <w:rFonts w:eastAsia="Calibri"/>
                    <w:szCs w:val="24"/>
                  </w:rPr>
                  <w:t xml:space="preserve">„Vitražo“ salės </w:t>
                </w:r>
                <w:r>
                  <w:rPr>
                    <w:rFonts w:eastAsia="Calibri"/>
                    <w:b/>
                    <w:bCs/>
                    <w:szCs w:val="24"/>
                  </w:rPr>
                  <w:t>nuoma</w:t>
                </w:r>
                <w:r>
                  <w:rPr>
                    <w:rFonts w:eastAsia="Calibri"/>
                    <w:strike/>
                    <w:szCs w:val="24"/>
                  </w:rPr>
                  <w:t>:</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vertAlign w:val="superscript"/>
                    <w:lang w:eastAsia="lt-LT"/>
                  </w:rPr>
                </w:pPr>
                <w:r>
                  <w:rPr>
                    <w:rFonts w:eastAsia="Calibri"/>
                    <w:szCs w:val="24"/>
                  </w:rPr>
                  <w:t>100 / 21</w:t>
                </w:r>
                <w:r>
                  <w:rPr>
                    <w:rFonts w:eastAsia="Calibri"/>
                    <w:szCs w:val="24"/>
                    <w:vertAlign w:val="superscript"/>
                    <w:lang w:eastAsia="lt-LT"/>
                  </w:rPr>
                  <w:t>1</w:t>
                </w:r>
                <w:r>
                  <w:rPr>
                    <w:rFonts w:eastAsia="Calibri"/>
                    <w:szCs w:val="24"/>
                  </w:rPr>
                  <w:t xml:space="preserve"> / 61</w:t>
                </w:r>
                <w:r>
                  <w:rPr>
                    <w:rFonts w:eastAsia="Calibri"/>
                    <w:szCs w:val="24"/>
                    <w:vertAlign w:val="superscript"/>
                    <w:lang w:eastAsia="lt-LT"/>
                  </w:rPr>
                  <w:t>2</w:t>
                </w:r>
              </w:p>
            </w:tc>
          </w:tr>
          <w:tr>
            <w:tc>
              <w:tcPr>
                <w:tcW w:w="932" w:type="dxa"/>
                <w:shd w:val="clear" w:color="auto" w:fill="auto"/>
              </w:tcPr>
              <w:p>
                <w:pPr>
                  <w:jc w:val="center"/>
                  <w:rPr>
                    <w:rFonts w:eastAsia="Calibri"/>
                    <w:strike/>
                    <w:szCs w:val="24"/>
                  </w:rPr>
                </w:pPr>
                <w:r>
                  <w:rPr>
                    <w:rFonts w:eastAsia="Calibri"/>
                    <w:strike/>
                    <w:szCs w:val="24"/>
                  </w:rPr>
                  <w:t>3.2.1.</w:t>
                </w:r>
              </w:p>
              <w:p>
                <w:pPr>
                  <w:jc w:val="center"/>
                  <w:rPr>
                    <w:rFonts w:eastAsia="Calibri"/>
                    <w:b/>
                    <w:bCs/>
                    <w:szCs w:val="24"/>
                  </w:rPr>
                </w:pPr>
                <w:r>
                  <w:rPr>
                    <w:rFonts w:eastAsia="Calibri"/>
                    <w:b/>
                    <w:bCs/>
                    <w:szCs w:val="24"/>
                  </w:rPr>
                  <w:t>3.4.</w:t>
                </w:r>
              </w:p>
            </w:tc>
            <w:tc>
              <w:tcPr>
                <w:tcW w:w="3275" w:type="dxa"/>
                <w:shd w:val="clear" w:color="auto" w:fill="auto"/>
              </w:tcPr>
              <w:p>
                <w:pPr>
                  <w:rPr>
                    <w:rFonts w:eastAsia="Calibri"/>
                    <w:szCs w:val="24"/>
                  </w:rPr>
                </w:pPr>
                <w:r>
                  <w:rPr>
                    <w:rFonts w:eastAsia="Calibri"/>
                    <w:szCs w:val="24"/>
                  </w:rPr>
                  <w:t xml:space="preserve">pasiruošimas renginiui </w:t>
                </w:r>
                <w:r>
                  <w:rPr>
                    <w:rFonts w:eastAsia="Calibri"/>
                    <w:b/>
                    <w:bCs/>
                    <w:szCs w:val="24"/>
                  </w:rPr>
                  <w:t>„Vitražo“ salėje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vertAlign w:val="superscript"/>
                    <w:lang w:eastAsia="lt-LT"/>
                  </w:rPr>
                </w:pPr>
                <w:r>
                  <w:rPr>
                    <w:rFonts w:eastAsia="Calibri"/>
                    <w:szCs w:val="24"/>
                  </w:rPr>
                  <w:t>50 / 10,50</w:t>
                </w:r>
                <w:r>
                  <w:rPr>
                    <w:rFonts w:eastAsia="Calibri"/>
                    <w:szCs w:val="24"/>
                    <w:vertAlign w:val="superscript"/>
                    <w:lang w:eastAsia="lt-LT"/>
                  </w:rPr>
                  <w:t>1</w:t>
                </w:r>
                <w:r>
                  <w:rPr>
                    <w:rFonts w:eastAsia="Calibri"/>
                    <w:szCs w:val="24"/>
                  </w:rPr>
                  <w:t xml:space="preserve"> / 30,50</w:t>
                </w:r>
                <w:r>
                  <w:rPr>
                    <w:rFonts w:eastAsia="Calibri"/>
                    <w:szCs w:val="24"/>
                    <w:vertAlign w:val="superscript"/>
                    <w:lang w:eastAsia="lt-LT"/>
                  </w:rPr>
                  <w:t>2</w:t>
                </w:r>
              </w:p>
            </w:tc>
          </w:tr>
          <w:tr>
            <w:tc>
              <w:tcPr>
                <w:tcW w:w="932" w:type="dxa"/>
                <w:shd w:val="clear" w:color="auto" w:fill="auto"/>
              </w:tcPr>
              <w:p>
                <w:pPr>
                  <w:jc w:val="center"/>
                  <w:rPr>
                    <w:rFonts w:eastAsia="Calibri"/>
                    <w:strike/>
                    <w:szCs w:val="24"/>
                  </w:rPr>
                </w:pPr>
                <w:r>
                  <w:rPr>
                    <w:rFonts w:eastAsia="Calibri"/>
                    <w:strike/>
                    <w:szCs w:val="24"/>
                  </w:rPr>
                  <w:t>3.3.</w:t>
                </w:r>
              </w:p>
              <w:p>
                <w:pPr>
                  <w:jc w:val="center"/>
                  <w:rPr>
                    <w:rFonts w:eastAsia="Calibri"/>
                    <w:b/>
                    <w:bCs/>
                    <w:color w:val="FF0000"/>
                    <w:szCs w:val="24"/>
                  </w:rPr>
                </w:pPr>
                <w:r>
                  <w:rPr>
                    <w:rFonts w:eastAsia="Calibri"/>
                    <w:b/>
                    <w:bCs/>
                    <w:szCs w:val="24"/>
                  </w:rPr>
                  <w:t>3.5.</w:t>
                </w:r>
              </w:p>
            </w:tc>
            <w:tc>
              <w:tcPr>
                <w:tcW w:w="3275" w:type="dxa"/>
                <w:shd w:val="clear" w:color="auto" w:fill="auto"/>
              </w:tcPr>
              <w:p>
                <w:pPr>
                  <w:rPr>
                    <w:rFonts w:eastAsia="Calibri"/>
                    <w:color w:val="FF0000"/>
                    <w:szCs w:val="24"/>
                  </w:rPr>
                </w:pPr>
                <w:r>
                  <w:rPr>
                    <w:rFonts w:eastAsia="Calibri"/>
                    <w:szCs w:val="24"/>
                  </w:rPr>
                  <w:t xml:space="preserve">konferencijų patalpos </w:t>
                </w:r>
                <w:r>
                  <w:rPr>
                    <w:rFonts w:eastAsia="Calibri"/>
                    <w:b/>
                    <w:bCs/>
                    <w:szCs w:val="24"/>
                  </w:rPr>
                  <w:t>nuoma</w:t>
                </w:r>
              </w:p>
            </w:tc>
            <w:tc>
              <w:tcPr>
                <w:tcW w:w="1600" w:type="dxa"/>
                <w:shd w:val="clear" w:color="auto" w:fill="auto"/>
              </w:tcPr>
              <w:p>
                <w:pPr>
                  <w:rPr>
                    <w:rFonts w:eastAsia="Calibri"/>
                    <w:strike/>
                    <w:color w:val="FF0000"/>
                    <w:szCs w:val="24"/>
                  </w:rPr>
                </w:pPr>
                <w:r>
                  <w:rPr>
                    <w:rFonts w:eastAsia="Calibri"/>
                    <w:szCs w:val="24"/>
                  </w:rPr>
                  <w:t>1 valanda</w:t>
                </w:r>
              </w:p>
            </w:tc>
            <w:tc>
              <w:tcPr>
                <w:tcW w:w="3686" w:type="dxa"/>
                <w:shd w:val="clear" w:color="auto" w:fill="auto"/>
              </w:tcPr>
              <w:p>
                <w:pPr>
                  <w:rPr>
                    <w:rFonts w:eastAsia="Calibri"/>
                    <w:strike/>
                    <w:color w:val="FF0000"/>
                    <w:szCs w:val="24"/>
                  </w:rPr>
                </w:pPr>
                <w:r>
                  <w:rPr>
                    <w:rFonts w:eastAsia="Calibri"/>
                    <w:szCs w:val="24"/>
                  </w:rPr>
                  <w:t>18 / 4</w:t>
                </w:r>
                <w:r>
                  <w:rPr>
                    <w:rFonts w:eastAsia="Calibri"/>
                    <w:szCs w:val="24"/>
                    <w:vertAlign w:val="superscript"/>
                    <w:lang w:eastAsia="lt-LT"/>
                  </w:rPr>
                  <w:t>1</w:t>
                </w:r>
                <w:r>
                  <w:rPr>
                    <w:rFonts w:eastAsia="Calibri"/>
                    <w:szCs w:val="24"/>
                  </w:rPr>
                  <w:t xml:space="preserve"> / 11</w:t>
                </w:r>
                <w:r>
                  <w:rPr>
                    <w:rFonts w:eastAsia="Calibri"/>
                    <w:szCs w:val="24"/>
                    <w:vertAlign w:val="superscript"/>
                    <w:lang w:eastAsia="lt-LT"/>
                  </w:rPr>
                  <w:t>2</w:t>
                </w:r>
              </w:p>
            </w:tc>
          </w:tr>
          <w:tr>
            <w:tc>
              <w:tcPr>
                <w:tcW w:w="932" w:type="dxa"/>
                <w:shd w:val="clear" w:color="auto" w:fill="auto"/>
              </w:tcPr>
              <w:p>
                <w:pPr>
                  <w:jc w:val="center"/>
                  <w:rPr>
                    <w:rFonts w:eastAsia="Calibri"/>
                    <w:szCs w:val="24"/>
                  </w:rPr>
                </w:pPr>
                <w:r>
                  <w:rPr>
                    <w:rFonts w:eastAsia="Calibri"/>
                    <w:szCs w:val="24"/>
                  </w:rPr>
                  <w:t>4.</w:t>
                </w:r>
              </w:p>
            </w:tc>
            <w:tc>
              <w:tcPr>
                <w:tcW w:w="3275" w:type="dxa"/>
                <w:shd w:val="clear" w:color="auto" w:fill="auto"/>
              </w:tcPr>
              <w:p>
                <w:pPr>
                  <w:rPr>
                    <w:rFonts w:eastAsia="Calibri"/>
                    <w:szCs w:val="24"/>
                  </w:rPr>
                </w:pPr>
                <w:r>
                  <w:rPr>
                    <w:rFonts w:eastAsia="Calibri"/>
                    <w:szCs w:val="24"/>
                  </w:rPr>
                  <w:t>Įgarsinimo paslauga Šiaulių miesto koncertinės įstaigos „Saulė“ patalpose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rPr>
                  <w:t>50 / 25</w:t>
                </w:r>
                <w:r>
                  <w:rPr>
                    <w:rFonts w:eastAsia="Calibri"/>
                    <w:szCs w:val="24"/>
                    <w:vertAlign w:val="superscript"/>
                  </w:rPr>
                  <w:t>1, 2</w:t>
                </w:r>
              </w:p>
            </w:tc>
          </w:tr>
          <w:tr>
            <w:tc>
              <w:tcPr>
                <w:tcW w:w="932" w:type="dxa"/>
                <w:shd w:val="clear" w:color="auto" w:fill="auto"/>
              </w:tcPr>
              <w:p>
                <w:pPr>
                  <w:jc w:val="center"/>
                  <w:rPr>
                    <w:rFonts w:eastAsia="Calibri"/>
                    <w:szCs w:val="24"/>
                  </w:rPr>
                </w:pPr>
                <w:r>
                  <w:rPr>
                    <w:rFonts w:eastAsia="Calibri"/>
                    <w:szCs w:val="24"/>
                  </w:rPr>
                  <w:t>5.</w:t>
                </w:r>
              </w:p>
            </w:tc>
            <w:tc>
              <w:tcPr>
                <w:tcW w:w="3275" w:type="dxa"/>
                <w:shd w:val="clear" w:color="auto" w:fill="auto"/>
              </w:tcPr>
              <w:p>
                <w:pPr>
                  <w:rPr>
                    <w:rFonts w:eastAsia="Calibri"/>
                    <w:szCs w:val="24"/>
                  </w:rPr>
                </w:pPr>
                <w:r>
                  <w:rPr>
                    <w:rFonts w:eastAsia="Calibri"/>
                    <w:szCs w:val="24"/>
                  </w:rPr>
                  <w:t>Apšvietimo paslauga Šiaulių miesto koncertinės įstaigos „Saulė“ patalpose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rPr>
                  <w:t>50 / 25</w:t>
                </w:r>
                <w:r>
                  <w:rPr>
                    <w:rFonts w:eastAsia="Calibri"/>
                    <w:szCs w:val="24"/>
                    <w:vertAlign w:val="superscript"/>
                  </w:rPr>
                  <w:t>1, 2</w:t>
                </w:r>
              </w:p>
            </w:tc>
          </w:tr>
          <w:tr>
            <w:tc>
              <w:tcPr>
                <w:tcW w:w="932" w:type="dxa"/>
                <w:shd w:val="clear" w:color="auto" w:fill="auto"/>
              </w:tcPr>
              <w:p>
                <w:pPr>
                  <w:jc w:val="center"/>
                  <w:rPr>
                    <w:rFonts w:eastAsia="Calibri"/>
                    <w:strike/>
                    <w:color w:val="FF0000"/>
                    <w:szCs w:val="24"/>
                  </w:rPr>
                </w:pPr>
                <w:r>
                  <w:rPr>
                    <w:rFonts w:eastAsia="Calibri"/>
                    <w:szCs w:val="24"/>
                  </w:rPr>
                  <w:t>6.</w:t>
                </w:r>
              </w:p>
            </w:tc>
            <w:tc>
              <w:tcPr>
                <w:tcW w:w="3275" w:type="dxa"/>
                <w:shd w:val="clear" w:color="auto" w:fill="auto"/>
              </w:tcPr>
              <w:p>
                <w:pPr>
                  <w:rPr>
                    <w:rFonts w:eastAsia="Calibri"/>
                    <w:strike/>
                    <w:color w:val="FF0000"/>
                    <w:szCs w:val="24"/>
                  </w:rPr>
                </w:pPr>
                <w:r>
                  <w:rPr>
                    <w:rFonts w:eastAsia="Calibri"/>
                    <w:szCs w:val="24"/>
                  </w:rPr>
                  <w:t>Kitos paslaugos:</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6.1.</w:t>
                </w:r>
              </w:p>
            </w:tc>
            <w:tc>
              <w:tcPr>
                <w:tcW w:w="3275" w:type="dxa"/>
                <w:shd w:val="clear" w:color="auto" w:fill="auto"/>
              </w:tcPr>
              <w:p>
                <w:pPr>
                  <w:rPr>
                    <w:rFonts w:eastAsia="Calibri"/>
                    <w:szCs w:val="24"/>
                  </w:rPr>
                </w:pPr>
                <w:r>
                  <w:rPr>
                    <w:rFonts w:eastAsia="Calibri"/>
                    <w:szCs w:val="24"/>
                  </w:rPr>
                  <w:t>bilietų platinimo paslauga</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zCs w:val="24"/>
                  </w:rPr>
                </w:pPr>
                <w:r>
                  <w:rPr>
                    <w:rFonts w:eastAsia="Calibri"/>
                    <w:szCs w:val="24"/>
                  </w:rPr>
                  <w:t xml:space="preserve">3 </w:t>
                </w:r>
                <w:r>
                  <w:rPr>
                    <w:rFonts w:eastAsia="Calibri"/>
                    <w:szCs w:val="24"/>
                    <w:lang w:val="pt-BR"/>
                  </w:rPr>
                  <w:t>proc. nuo parduotų bilietų sumos</w:t>
                </w:r>
              </w:p>
            </w:tc>
          </w:tr>
          <w:tr>
            <w:tc>
              <w:tcPr>
                <w:tcW w:w="932" w:type="dxa"/>
                <w:shd w:val="clear" w:color="auto" w:fill="auto"/>
              </w:tcPr>
              <w:p>
                <w:pPr>
                  <w:jc w:val="center"/>
                  <w:rPr>
                    <w:rFonts w:eastAsia="Calibri"/>
                    <w:szCs w:val="24"/>
                  </w:rPr>
                </w:pPr>
                <w:r>
                  <w:rPr>
                    <w:rFonts w:eastAsia="Calibri"/>
                    <w:szCs w:val="24"/>
                  </w:rPr>
                  <w:t xml:space="preserve">6.2. </w:t>
                </w:r>
              </w:p>
            </w:tc>
            <w:tc>
              <w:tcPr>
                <w:tcW w:w="3275" w:type="dxa"/>
                <w:shd w:val="clear" w:color="auto" w:fill="auto"/>
              </w:tcPr>
              <w:p>
                <w:pPr>
                  <w:rPr>
                    <w:rFonts w:eastAsia="Calibri"/>
                    <w:szCs w:val="24"/>
                  </w:rPr>
                </w:pPr>
                <w:r>
                  <w:rPr>
                    <w:rFonts w:eastAsia="Calibri"/>
                    <w:szCs w:val="24"/>
                    <w:lang w:eastAsia="lt-LT"/>
                  </w:rPr>
                  <w:t>prekių su Šiaulių miesto koncertinės įstaigos „Saulė“ simbolika pardavimo paslauga (pieštukų, tušinukų, magnetukų, padėkliukų, raktų pakabukų, ženkliukų, sagių, maišelių, marškinėlių, kalendorių, nedidelių leidinių, kompaktinių plokštelių ir pan.)</w:t>
                </w:r>
              </w:p>
            </w:tc>
            <w:tc>
              <w:tcPr>
                <w:tcW w:w="1600" w:type="dxa"/>
                <w:shd w:val="clear" w:color="auto" w:fill="auto"/>
              </w:tcPr>
              <w:p>
                <w:pPr>
                  <w:rPr>
                    <w:rFonts w:eastAsia="Calibri"/>
                    <w:szCs w:val="24"/>
                  </w:rPr>
                </w:pPr>
                <w:r>
                  <w:rPr>
                    <w:rFonts w:eastAsia="Calibri"/>
                    <w:szCs w:val="24"/>
                    <w:lang w:eastAsia="lt-LT"/>
                  </w:rPr>
                  <w:t>1 paslauga</w:t>
                </w:r>
              </w:p>
            </w:tc>
            <w:tc>
              <w:tcPr>
                <w:tcW w:w="3686" w:type="dxa"/>
                <w:shd w:val="clear" w:color="auto" w:fill="auto"/>
              </w:tcPr>
              <w:p>
                <w:pPr>
                  <w:rPr>
                    <w:rFonts w:eastAsia="Calibri"/>
                    <w:szCs w:val="24"/>
                    <w:lang w:eastAsia="lt-LT"/>
                  </w:rPr>
                </w:pPr>
                <w:r>
                  <w:rPr>
                    <w:rFonts w:eastAsia="Calibri"/>
                    <w:szCs w:val="24"/>
                    <w:lang w:eastAsia="lt-LT"/>
                  </w:rPr>
                  <w:t>prekių savikaina (su PVM) nuo 1 ct iki 10 Eur – 40 proc.;</w:t>
                </w:r>
              </w:p>
              <w:p>
                <w:pPr>
                  <w:rPr>
                    <w:rFonts w:eastAsia="Calibri"/>
                    <w:szCs w:val="24"/>
                    <w:lang w:eastAsia="lt-LT"/>
                  </w:rPr>
                </w:pPr>
                <w:r>
                  <w:rPr>
                    <w:rFonts w:eastAsia="Calibri"/>
                    <w:szCs w:val="24"/>
                    <w:lang w:eastAsia="lt-LT"/>
                  </w:rPr>
                  <w:t>prekių savikaina (su PVM) nuo 10,01 iki 20 Eur – 30 proc.;</w:t>
                </w:r>
              </w:p>
              <w:p>
                <w:pPr>
                  <w:rPr>
                    <w:rFonts w:eastAsia="Calibri"/>
                    <w:szCs w:val="24"/>
                    <w:lang w:eastAsia="lt-LT"/>
                  </w:rPr>
                </w:pPr>
                <w:r>
                  <w:rPr>
                    <w:rFonts w:eastAsia="Calibri"/>
                    <w:szCs w:val="24"/>
                    <w:lang w:eastAsia="lt-LT"/>
                  </w:rPr>
                  <w:t>prekių savikaina (su PVM) nuo 20,01 Eur – 20 proc.</w:t>
                </w:r>
              </w:p>
              <w:p>
                <w:pPr>
                  <w:rPr>
                    <w:rFonts w:eastAsia="Calibri"/>
                    <w:szCs w:val="24"/>
                  </w:rPr>
                </w:pPr>
              </w:p>
            </w:tc>
          </w:tr>
          <w:tr>
            <w:tc>
              <w:tcPr>
                <w:tcW w:w="932" w:type="dxa"/>
                <w:shd w:val="clear" w:color="auto" w:fill="auto"/>
              </w:tcPr>
              <w:p>
                <w:pPr>
                  <w:jc w:val="center"/>
                  <w:rPr>
                    <w:rFonts w:eastAsia="Calibri"/>
                    <w:szCs w:val="24"/>
                  </w:rPr>
                </w:pPr>
                <w:r>
                  <w:rPr>
                    <w:rFonts w:eastAsia="Calibri"/>
                    <w:szCs w:val="24"/>
                  </w:rPr>
                  <w:t>6.3.</w:t>
                </w:r>
              </w:p>
            </w:tc>
            <w:tc>
              <w:tcPr>
                <w:tcW w:w="3275" w:type="dxa"/>
                <w:shd w:val="clear" w:color="auto" w:fill="auto"/>
              </w:tcPr>
              <w:p>
                <w:pPr>
                  <w:rPr>
                    <w:rFonts w:eastAsia="Calibri"/>
                    <w:szCs w:val="24"/>
                    <w:lang w:eastAsia="lt-LT"/>
                  </w:rPr>
                </w:pPr>
                <w:r>
                  <w:rPr>
                    <w:rFonts w:eastAsia="Calibri"/>
                    <w:szCs w:val="24"/>
                    <w:lang w:eastAsia="lt-LT"/>
                  </w:rPr>
                  <w:t>transporto (kolektyvo narių vežimas, techninės įrangos pervežimas) organizavimas</w:t>
                </w:r>
              </w:p>
            </w:tc>
            <w:tc>
              <w:tcPr>
                <w:tcW w:w="1600" w:type="dxa"/>
                <w:shd w:val="clear" w:color="auto" w:fill="auto"/>
              </w:tcPr>
              <w:p>
                <w:pPr>
                  <w:rPr>
                    <w:rFonts w:eastAsia="Calibri"/>
                    <w:szCs w:val="24"/>
                    <w:lang w:eastAsia="lt-LT"/>
                  </w:rPr>
                </w:pPr>
                <w:r>
                  <w:rPr>
                    <w:rFonts w:eastAsia="Calibri"/>
                    <w:szCs w:val="24"/>
                    <w:lang w:eastAsia="lt-LT"/>
                  </w:rPr>
                  <w:t>1 paslauga</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r>
            <w:tc>
              <w:tcPr>
                <w:tcW w:w="932" w:type="dxa"/>
                <w:shd w:val="clear" w:color="auto" w:fill="auto"/>
              </w:tcPr>
              <w:p>
                <w:pPr>
                  <w:jc w:val="center"/>
                  <w:rPr>
                    <w:rFonts w:eastAsia="Calibri"/>
                    <w:szCs w:val="24"/>
                  </w:rPr>
                </w:pPr>
                <w:r>
                  <w:rPr>
                    <w:rFonts w:eastAsia="Calibri"/>
                    <w:szCs w:val="24"/>
                  </w:rPr>
                  <w:t>6.4.</w:t>
                </w:r>
              </w:p>
            </w:tc>
            <w:tc>
              <w:tcPr>
                <w:tcW w:w="3275" w:type="dxa"/>
                <w:shd w:val="clear" w:color="auto" w:fill="auto"/>
              </w:tcPr>
              <w:p>
                <w:pPr>
                  <w:rPr>
                    <w:rFonts w:eastAsia="Calibri"/>
                    <w:szCs w:val="24"/>
                    <w:lang w:eastAsia="lt-LT"/>
                  </w:rPr>
                </w:pPr>
                <w:r>
                  <w:rPr>
                    <w:rFonts w:eastAsia="Calibri"/>
                    <w:szCs w:val="24"/>
                    <w:lang w:eastAsia="lt-LT"/>
                  </w:rPr>
                  <w:t xml:space="preserve">renginio organizavimas </w:t>
                </w:r>
              </w:p>
            </w:tc>
            <w:tc>
              <w:tcPr>
                <w:tcW w:w="1600" w:type="dxa"/>
                <w:shd w:val="clear" w:color="auto" w:fill="auto"/>
              </w:tcPr>
              <w:p>
                <w:pPr>
                  <w:rPr>
                    <w:rFonts w:eastAsia="Calibri"/>
                    <w:szCs w:val="24"/>
                    <w:lang w:eastAsia="lt-LT"/>
                  </w:rPr>
                </w:pPr>
                <w:r>
                  <w:rPr>
                    <w:rFonts w:eastAsia="Calibri"/>
                    <w:szCs w:val="24"/>
                    <w:lang w:eastAsia="lt-LT"/>
                  </w:rPr>
                  <w:t xml:space="preserve">1 paslauga </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r>
            <w:tc>
              <w:tcPr>
                <w:tcW w:w="932" w:type="dxa"/>
                <w:shd w:val="clear" w:color="auto" w:fill="auto"/>
              </w:tcPr>
              <w:p>
                <w:pPr>
                  <w:jc w:val="center"/>
                  <w:rPr>
                    <w:rFonts w:eastAsia="Calibri"/>
                    <w:szCs w:val="24"/>
                  </w:rPr>
                </w:pPr>
                <w:r>
                  <w:rPr>
                    <w:rFonts w:eastAsia="Calibri"/>
                    <w:szCs w:val="24"/>
                  </w:rPr>
                  <w:t>6.5.</w:t>
                </w:r>
              </w:p>
            </w:tc>
            <w:tc>
              <w:tcPr>
                <w:tcW w:w="3275" w:type="dxa"/>
                <w:shd w:val="clear" w:color="auto" w:fill="auto"/>
              </w:tcPr>
              <w:p>
                <w:pPr>
                  <w:rPr>
                    <w:rFonts w:eastAsia="Calibri"/>
                    <w:szCs w:val="24"/>
                    <w:lang w:eastAsia="lt-LT"/>
                  </w:rPr>
                </w:pPr>
                <w:r>
                  <w:rPr>
                    <w:rFonts w:eastAsia="Calibri"/>
                    <w:szCs w:val="24"/>
                    <w:lang w:eastAsia="lt-LT"/>
                  </w:rPr>
                  <w:t xml:space="preserve">atlikėjo (solistas, grupė, orkestras ir kt.) organizavimas </w:t>
                </w:r>
              </w:p>
            </w:tc>
            <w:tc>
              <w:tcPr>
                <w:tcW w:w="1600" w:type="dxa"/>
                <w:shd w:val="clear" w:color="auto" w:fill="auto"/>
              </w:tcPr>
              <w:p>
                <w:pPr>
                  <w:rPr>
                    <w:rFonts w:eastAsia="Calibri"/>
                    <w:szCs w:val="24"/>
                    <w:lang w:eastAsia="lt-LT"/>
                  </w:rPr>
                </w:pPr>
                <w:r>
                  <w:rPr>
                    <w:rFonts w:eastAsia="Calibri"/>
                    <w:szCs w:val="24"/>
                    <w:lang w:eastAsia="lt-LT"/>
                  </w:rPr>
                  <w:t xml:space="preserve">1 paslauga </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bl>
        <w:p>
          <w:pPr>
            <w:ind w:firstLine="567"/>
            <w:jc w:val="both"/>
            <w:rPr>
              <w:szCs w:val="24"/>
              <w:lang w:eastAsia="lt-LT"/>
            </w:rPr>
          </w:pPr>
        </w:p>
      </w:sdtContent>
    </w:sdt>
    <w:sdt>
      <w:sdtPr>
        <w:alias w:val="pastraipa"/>
        <w:tag w:val="part_6431c46294ad4f88a7793d808c40e022"/>
        <w:lock w:val="sdtLocked"/>
        <w:richText/>
      </w:sdtPr>
      <w:sdtContent>
        <w:p>
          <w:pPr>
            <w:ind w:firstLine="567"/>
            <w:jc w:val="both"/>
            <w:rPr>
              <w:szCs w:val="24"/>
              <w:lang w:eastAsia="lt-LT"/>
            </w:rPr>
          </w:pPr>
          <w:r>
            <w:rPr>
              <w:bCs/>
              <w:szCs w:val="24"/>
              <w:vertAlign w:val="superscript"/>
              <w:lang w:eastAsia="lt-LT"/>
            </w:rPr>
            <w:t>1</w:t>
          </w:r>
          <w:r>
            <w:rPr>
              <w:b/>
              <w:szCs w:val="24"/>
              <w:vertAlign w:val="superscript"/>
              <w:lang w:eastAsia="lt-LT"/>
            </w:rPr>
            <w:t xml:space="preserve"> </w:t>
          </w:r>
          <w:r>
            <w:rPr>
              <w:szCs w:val="24"/>
              <w:lang w:eastAsia="lt-LT"/>
            </w:rPr>
            <w:t xml:space="preserve">Nuolaida taikoma Šiaulių miesto </w:t>
          </w:r>
          <w:r>
            <w:rPr>
              <w:strike/>
              <w:szCs w:val="24"/>
              <w:lang w:eastAsia="lt-LT"/>
            </w:rPr>
            <w:t>savivaldybės</w:t>
          </w:r>
          <w:r>
            <w:rPr>
              <w:szCs w:val="24"/>
              <w:lang w:eastAsia="lt-LT"/>
            </w:rPr>
            <w:t xml:space="preserve"> </w:t>
          </w:r>
          <w:r>
            <w:rPr>
              <w:b/>
              <w:bCs/>
              <w:szCs w:val="24"/>
              <w:lang w:eastAsia="lt-LT"/>
            </w:rPr>
            <w:t>savivaldybėje</w:t>
          </w:r>
          <w:r>
            <w:rPr>
              <w:szCs w:val="24"/>
              <w:lang w:eastAsia="lt-LT"/>
            </w:rPr>
            <w:t xml:space="preserve"> </w:t>
          </w:r>
          <w:r>
            <w:rPr>
              <w:b/>
              <w:bCs/>
              <w:szCs w:val="24"/>
              <w:lang w:eastAsia="lt-LT"/>
            </w:rPr>
            <w:t>įregistruotoms ir / ar</w:t>
          </w:r>
          <w:r>
            <w:rPr>
              <w:szCs w:val="24"/>
              <w:lang w:eastAsia="lt-LT"/>
            </w:rPr>
            <w:t xml:space="preserve"> </w:t>
          </w:r>
          <w:r>
            <w:rPr>
              <w:b/>
              <w:bCs/>
              <w:szCs w:val="24"/>
              <w:lang w:eastAsia="lt-LT"/>
            </w:rPr>
            <w:t>Šiaulių miesto savivaldybėje veikiančioms</w:t>
          </w:r>
          <w:r>
            <w:rPr>
              <w:szCs w:val="24"/>
              <w:lang w:eastAsia="lt-LT"/>
            </w:rPr>
            <w:t xml:space="preserve"> </w:t>
          </w:r>
          <w:r>
            <w:rPr>
              <w:strike/>
              <w:szCs w:val="24"/>
              <w:lang w:eastAsia="lt-LT"/>
            </w:rPr>
            <w:t>biudžetinių įstaigų</w:t>
          </w:r>
          <w:r>
            <w:rPr>
              <w:szCs w:val="24"/>
              <w:lang w:eastAsia="lt-LT"/>
            </w:rPr>
            <w:t xml:space="preserve"> </w:t>
          </w:r>
          <w:r>
            <w:rPr>
              <w:b/>
              <w:bCs/>
              <w:szCs w:val="24"/>
              <w:lang w:eastAsia="lt-LT"/>
            </w:rPr>
            <w:t>biudžetinėms įstaigoms</w:t>
          </w:r>
          <w:r>
            <w:rPr>
              <w:szCs w:val="24"/>
              <w:lang w:eastAsia="lt-LT"/>
            </w:rPr>
            <w:t xml:space="preserve">, </w:t>
          </w:r>
          <w:r>
            <w:rPr>
              <w:b/>
              <w:bCs/>
              <w:szCs w:val="24"/>
              <w:lang w:eastAsia="lt-LT"/>
            </w:rPr>
            <w:t xml:space="preserve">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w:t>
          </w:r>
          <w:r>
            <w:rPr>
              <w:strike/>
              <w:szCs w:val="24"/>
              <w:lang w:eastAsia="lt-LT"/>
            </w:rPr>
            <w:t>kūrybinių sąjungų</w:t>
          </w:r>
          <w:r>
            <w:rPr>
              <w:szCs w:val="24"/>
              <w:lang w:eastAsia="lt-LT"/>
            </w:rPr>
            <w:t xml:space="preserve">, </w:t>
          </w:r>
          <w:r>
            <w:rPr>
              <w:strike/>
              <w:szCs w:val="24"/>
              <w:lang w:eastAsia="lt-LT"/>
            </w:rPr>
            <w:t>nevyriausybinių organizacijų</w:t>
          </w:r>
          <w:r>
            <w:rPr>
              <w:szCs w:val="24"/>
              <w:lang w:eastAsia="lt-LT"/>
            </w:rPr>
            <w:t xml:space="preserve"> </w:t>
          </w:r>
          <w:r>
            <w:rPr>
              <w:b/>
              <w:bCs/>
              <w:szCs w:val="24"/>
              <w:lang w:eastAsia="lt-LT"/>
            </w:rPr>
            <w:t>nevyriausybinėms organizacijoms</w:t>
          </w:r>
          <w:r>
            <w:rPr>
              <w:szCs w:val="24"/>
              <w:lang w:eastAsia="lt-LT"/>
            </w:rPr>
            <w:t xml:space="preserve"> </w:t>
          </w:r>
          <w:r>
            <w:rPr>
              <w:strike/>
              <w:szCs w:val="24"/>
              <w:lang w:eastAsia="lt-LT"/>
            </w:rPr>
            <w:t>asociacijų</w:t>
          </w:r>
          <w:r>
            <w:rPr>
              <w:szCs w:val="24"/>
              <w:lang w:eastAsia="lt-LT"/>
            </w:rPr>
            <w:t xml:space="preserve"> kultūrinio, socialinio pobūdžio nekomerciniams renginiams, </w:t>
          </w:r>
          <w:r>
            <w:rPr>
              <w:b/>
              <w:bCs/>
              <w:szCs w:val="24"/>
              <w:lang w:eastAsia="lt-LT"/>
            </w:rPr>
            <w:t>vykdomiems</w:t>
          </w:r>
          <w:r>
            <w:rPr>
              <w:szCs w:val="24"/>
              <w:lang w:eastAsia="lt-LT"/>
            </w:rPr>
            <w:t xml:space="preserve"> darbo dienomis </w:t>
          </w:r>
          <w:r>
            <w:rPr>
              <w:b/>
              <w:bCs/>
              <w:szCs w:val="24"/>
              <w:lang w:eastAsia="lt-LT"/>
            </w:rPr>
            <w:t>nuo</w:t>
          </w:r>
          <w:r>
            <w:rPr>
              <w:szCs w:val="24"/>
              <w:lang w:eastAsia="lt-LT"/>
            </w:rPr>
            <w:t xml:space="preserve"> 8 </w:t>
          </w:r>
          <w:r>
            <w:rPr>
              <w:b/>
              <w:bCs/>
              <w:szCs w:val="24"/>
              <w:lang w:eastAsia="lt-LT"/>
            </w:rPr>
            <w:t>iki</w:t>
          </w:r>
          <w:r>
            <w:rPr>
              <w:szCs w:val="24"/>
              <w:lang w:eastAsia="lt-LT"/>
            </w:rPr>
            <w:t xml:space="preserve"> 17 val.</w:t>
          </w:r>
        </w:p>
      </w:sdtContent>
    </w:sdt>
    <w:sdt>
      <w:sdtPr>
        <w:alias w:val="pastraipa"/>
        <w:tag w:val="part_3ee6147296c4415297c877dc5abb90c6"/>
        <w:lock w:val="sdtLocked"/>
        <w:richText/>
      </w:sdtPr>
      <w:sdtContent>
        <w:p>
          <w:pPr>
            <w:ind w:firstLine="567"/>
            <w:jc w:val="both"/>
            <w:rPr>
              <w:szCs w:val="24"/>
              <w:lang w:eastAsia="lt-LT"/>
            </w:rPr>
          </w:pPr>
          <w:r>
            <w:rPr>
              <w:bCs/>
              <w:szCs w:val="24"/>
              <w:vertAlign w:val="superscript"/>
              <w:lang w:eastAsia="lt-LT"/>
            </w:rPr>
            <w:t>2</w:t>
          </w:r>
          <w:r>
            <w:rPr>
              <w:b/>
              <w:szCs w:val="24"/>
              <w:vertAlign w:val="superscript"/>
              <w:lang w:eastAsia="lt-LT"/>
            </w:rPr>
            <w:t xml:space="preserve"> </w:t>
          </w:r>
          <w:r>
            <w:rPr>
              <w:szCs w:val="24"/>
              <w:lang w:eastAsia="lt-LT"/>
            </w:rPr>
            <w:t xml:space="preserve">Nuolaida taikoma Šiaulių miesto </w:t>
          </w:r>
          <w:r>
            <w:rPr>
              <w:strike/>
              <w:szCs w:val="24"/>
              <w:lang w:eastAsia="lt-LT"/>
            </w:rPr>
            <w:t>savivaldybės</w:t>
          </w:r>
          <w:r>
            <w:rPr>
              <w:szCs w:val="24"/>
              <w:lang w:eastAsia="lt-LT"/>
            </w:rPr>
            <w:t xml:space="preserve"> </w:t>
          </w:r>
          <w:r>
            <w:rPr>
              <w:b/>
              <w:bCs/>
              <w:szCs w:val="24"/>
              <w:lang w:eastAsia="lt-LT"/>
            </w:rPr>
            <w:t>savivaldybėje</w:t>
          </w:r>
          <w:r>
            <w:rPr>
              <w:szCs w:val="24"/>
              <w:lang w:eastAsia="lt-LT"/>
            </w:rPr>
            <w:t xml:space="preserve"> </w:t>
          </w:r>
          <w:r>
            <w:rPr>
              <w:b/>
              <w:bCs/>
              <w:szCs w:val="24"/>
              <w:lang w:eastAsia="lt-LT"/>
            </w:rPr>
            <w:t>įregistruotoms ir / ar</w:t>
          </w:r>
          <w:r>
            <w:rPr>
              <w:szCs w:val="24"/>
              <w:lang w:eastAsia="lt-LT"/>
            </w:rPr>
            <w:t xml:space="preserve"> </w:t>
          </w:r>
          <w:r>
            <w:rPr>
              <w:b/>
              <w:bCs/>
              <w:szCs w:val="24"/>
              <w:lang w:eastAsia="lt-LT"/>
            </w:rPr>
            <w:t>Šiaulių miesto savivaldybėje veikiančioms</w:t>
          </w:r>
          <w:r>
            <w:rPr>
              <w:szCs w:val="24"/>
              <w:lang w:eastAsia="lt-LT"/>
            </w:rPr>
            <w:t xml:space="preserve"> </w:t>
          </w:r>
          <w:r>
            <w:rPr>
              <w:strike/>
              <w:szCs w:val="24"/>
              <w:lang w:eastAsia="lt-LT"/>
            </w:rPr>
            <w:t>biudžetinių įstaigų</w:t>
          </w:r>
          <w:r>
            <w:rPr>
              <w:szCs w:val="24"/>
              <w:lang w:eastAsia="lt-LT"/>
            </w:rPr>
            <w:t xml:space="preserve"> </w:t>
          </w:r>
          <w:r>
            <w:rPr>
              <w:b/>
              <w:bCs/>
              <w:szCs w:val="24"/>
              <w:lang w:eastAsia="lt-LT"/>
            </w:rPr>
            <w:t>biudžetinėms įstaigoms</w:t>
          </w:r>
          <w:r>
            <w:rPr>
              <w:szCs w:val="24"/>
              <w:lang w:eastAsia="lt-LT"/>
            </w:rPr>
            <w:t xml:space="preserve">, </w:t>
          </w:r>
          <w:r>
            <w:rPr>
              <w:b/>
              <w:bCs/>
              <w:szCs w:val="24"/>
              <w:lang w:eastAsia="lt-LT"/>
            </w:rPr>
            <w:t xml:space="preserve">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w:t>
          </w:r>
          <w:r>
            <w:rPr>
              <w:strike/>
              <w:szCs w:val="24"/>
              <w:lang w:eastAsia="lt-LT"/>
            </w:rPr>
            <w:t>kūrybinių sąjungų</w:t>
          </w:r>
          <w:r>
            <w:rPr>
              <w:szCs w:val="24"/>
              <w:lang w:eastAsia="lt-LT"/>
            </w:rPr>
            <w:t xml:space="preserve">, </w:t>
          </w:r>
          <w:r>
            <w:rPr>
              <w:strike/>
              <w:szCs w:val="24"/>
              <w:lang w:eastAsia="lt-LT"/>
            </w:rPr>
            <w:t>nevyriausybinių organizacijų</w:t>
          </w:r>
          <w:r>
            <w:rPr>
              <w:szCs w:val="24"/>
              <w:lang w:eastAsia="lt-LT"/>
            </w:rPr>
            <w:t xml:space="preserve"> </w:t>
          </w:r>
          <w:r>
            <w:rPr>
              <w:b/>
              <w:bCs/>
              <w:szCs w:val="24"/>
              <w:lang w:eastAsia="lt-LT"/>
            </w:rPr>
            <w:t>nevyriausybinėms organizacijoms</w:t>
          </w:r>
          <w:r>
            <w:rPr>
              <w:szCs w:val="24"/>
              <w:lang w:eastAsia="lt-LT"/>
            </w:rPr>
            <w:t xml:space="preserve"> </w:t>
          </w:r>
          <w:r>
            <w:rPr>
              <w:strike/>
              <w:szCs w:val="24"/>
              <w:lang w:eastAsia="lt-LT"/>
            </w:rPr>
            <w:t>asociacijų</w:t>
          </w:r>
          <w:r>
            <w:rPr>
              <w:szCs w:val="24"/>
              <w:lang w:eastAsia="lt-LT"/>
            </w:rPr>
            <w:t xml:space="preserve"> kultūrinio, socialinio pobūdžio nekomerciniams renginiams, </w:t>
          </w:r>
          <w:r>
            <w:rPr>
              <w:b/>
              <w:bCs/>
              <w:szCs w:val="24"/>
              <w:lang w:eastAsia="lt-LT"/>
            </w:rPr>
            <w:t>vykdomiems</w:t>
          </w:r>
          <w:r>
            <w:rPr>
              <w:szCs w:val="24"/>
              <w:lang w:eastAsia="lt-LT"/>
            </w:rPr>
            <w:t xml:space="preserve"> darbo dienomis nuo 17 val., savaitgaliais ir švenčių dienomis.</w:t>
          </w:r>
        </w:p>
      </w:sdtContent>
    </w:sdt>
    <w:sdt>
      <w:sdtPr>
        <w:alias w:val="pastraipa"/>
        <w:tag w:val="part_21541c17ced044b1bbb4e8ec6032b527"/>
        <w:lock w:val="sdtLocked"/>
        <w:richText/>
      </w:sdtPr>
      <w:sdtContent>
        <w:p>
          <w:pPr>
            <w:ind w:firstLine="567"/>
            <w:jc w:val="both"/>
            <w:rPr>
              <w:rFonts w:eastAsia="Calibri"/>
              <w:color w:val="000000"/>
              <w:szCs w:val="24"/>
              <w:shd w:val="clear" w:color="auto" w:fill="FFFFFF"/>
            </w:rPr>
          </w:pPr>
          <w:r>
            <w:rPr>
              <w:bCs/>
              <w:szCs w:val="24"/>
              <w:vertAlign w:val="superscript"/>
              <w:lang w:eastAsia="lt-LT"/>
            </w:rPr>
            <w:t>3</w:t>
          </w:r>
          <w:r>
            <w:rPr>
              <w:b/>
              <w:szCs w:val="24"/>
              <w:vertAlign w:val="superscript"/>
              <w:lang w:eastAsia="lt-LT"/>
            </w:rPr>
            <w:t xml:space="preserve"> </w:t>
          </w:r>
          <w:r>
            <w:rPr>
              <w:szCs w:val="24"/>
              <w:lang w:eastAsia="lt-LT"/>
            </w:rPr>
            <w:t xml:space="preserve"> Bilieto </w:t>
          </w:r>
          <w:r>
            <w:rPr>
              <w:rFonts w:eastAsia="Calibri"/>
              <w:color w:val="000000"/>
              <w:szCs w:val="24"/>
              <w:shd w:val="clear" w:color="auto" w:fill="FFFFFF"/>
            </w:rPr>
            <w:t>kaina skaičiuojama pagal formulę B = ((DS + ES x P(n)/ P(b))/M x H + R) x V/S, kur:</w:t>
          </w:r>
        </w:p>
      </w:sdtContent>
    </w:sdt>
    <w:sdt>
      <w:sdtPr>
        <w:alias w:val="pastraipa"/>
        <w:tag w:val="part_b5012d417b1a4b85af79ff04e82003c5"/>
        <w:lock w:val="sdtLocked"/>
        <w:richText/>
      </w:sdtPr>
      <w:sdtContent>
        <w:p>
          <w:pPr>
            <w:ind w:firstLine="567"/>
            <w:jc w:val="both"/>
            <w:rPr>
              <w:rFonts w:eastAsia="Calibri"/>
              <w:szCs w:val="24"/>
            </w:rPr>
          </w:pPr>
          <w:r>
            <w:rPr>
              <w:rFonts w:eastAsia="Calibri"/>
              <w:szCs w:val="24"/>
            </w:rPr>
            <w:t>B – bilieto kaina;</w:t>
            <w:tab/>
            <w:tab/>
            <w:tab/>
            <w:tab/>
            <w:tab/>
            <w:tab/>
          </w:r>
        </w:p>
      </w:sdtContent>
    </w:sdt>
    <w:sdt>
      <w:sdtPr>
        <w:alias w:val="pastraipa"/>
        <w:tag w:val="part_85fe1fe702b34826ae0f1ce9daa06e09"/>
        <w:lock w:val="sdtLocked"/>
        <w:richText/>
      </w:sdtPr>
      <w:sdtContent>
        <w:p>
          <w:pPr>
            <w:ind w:firstLine="567"/>
            <w:jc w:val="both"/>
            <w:rPr>
              <w:rFonts w:eastAsia="Calibri"/>
              <w:szCs w:val="24"/>
            </w:rPr>
          </w:pPr>
          <w:r>
            <w:rPr>
              <w:rFonts w:eastAsia="Calibri"/>
              <w:szCs w:val="24"/>
            </w:rPr>
            <w:t>DS – administracinio, ūkinio ir aptarnaujančio personalo, prižiūrinčio konkretų renginį, darbo užmokesčio ir socialinio draudimo sąnaudų metinė suma (1 pareigybė – 1 etatas);</w:t>
            <w:tab/>
          </w:r>
        </w:p>
      </w:sdtContent>
    </w:sdt>
    <w:sdt>
      <w:sdtPr>
        <w:alias w:val="pastraipa"/>
        <w:tag w:val="part_106c219cd3e94963ac02988acf1b2d2c"/>
        <w:lock w:val="sdtLocked"/>
        <w:richText/>
      </w:sdtPr>
      <w:sdtContent>
        <w:p>
          <w:pPr>
            <w:ind w:firstLine="567"/>
            <w:jc w:val="both"/>
            <w:rPr>
              <w:rFonts w:eastAsia="Calibri"/>
              <w:szCs w:val="24"/>
            </w:rPr>
          </w:pPr>
          <w:r>
            <w:rPr>
              <w:rFonts w:eastAsia="Calibri"/>
              <w:szCs w:val="24"/>
            </w:rPr>
            <w:t>ES – vienos salės / patalpų visų su paslaugos teikimu susijusių sąnaudų, t. y. šildymo ir sistemos priežiūros, elektros, vandentiekio, kanalizacijos, komunalinių atliekų tvarkymo, priešgaisrinės ir turto apsaugos, turto draudimo, einamojo remonto ir kitų paslaugų bei panaudotų prekių, susijusių su salės, kurioje vyksta renginys, metinė suma;</w:t>
            <w:tab/>
            <w:tab/>
          </w:r>
        </w:p>
      </w:sdtContent>
    </w:sdt>
    <w:sdt>
      <w:sdtPr>
        <w:alias w:val="pastraipa"/>
        <w:tag w:val="part_bc1db83fb3dd4517af2d6e80cbd0e3a9"/>
        <w:lock w:val="sdtLocked"/>
        <w:richText/>
      </w:sdtPr>
      <w:sdtContent>
        <w:p>
          <w:pPr>
            <w:ind w:firstLine="567"/>
            <w:jc w:val="both"/>
            <w:rPr>
              <w:rFonts w:eastAsia="Calibri"/>
              <w:szCs w:val="24"/>
            </w:rPr>
          </w:pPr>
          <w:r>
            <w:rPr>
              <w:rFonts w:eastAsia="Calibri"/>
              <w:szCs w:val="24"/>
            </w:rPr>
            <w:t>P(b) – viso pastato, kuriame yra salė/patalpa, bendras plotas kv. m;</w:t>
            <w:tab/>
            <w:tab/>
          </w:r>
        </w:p>
      </w:sdtContent>
    </w:sdt>
    <w:sdt>
      <w:sdtPr>
        <w:alias w:val="pastraipa"/>
        <w:tag w:val="part_4bd422c39cfb4555bc7234d1b910170e"/>
        <w:lock w:val="sdtLocked"/>
        <w:richText/>
      </w:sdtPr>
      <w:sdtContent>
        <w:p>
          <w:pPr>
            <w:ind w:firstLine="567"/>
            <w:jc w:val="both"/>
            <w:rPr>
              <w:rFonts w:eastAsia="Calibri"/>
              <w:szCs w:val="24"/>
            </w:rPr>
          </w:pPr>
          <w:r>
            <w:rPr>
              <w:rFonts w:eastAsia="Calibri"/>
              <w:szCs w:val="24"/>
            </w:rPr>
            <w:t>P(n) – salės / patalpos plotas kv. m.;</w:t>
            <w:tab/>
            <w:tab/>
          </w:r>
        </w:p>
      </w:sdtContent>
    </w:sdt>
    <w:sdt>
      <w:sdtPr>
        <w:alias w:val="pastraipa"/>
        <w:tag w:val="part_48ec153d97b947098de036efa211a6ba"/>
        <w:lock w:val="sdtLocked"/>
        <w:richText/>
      </w:sdtPr>
      <w:sdtContent>
        <w:p>
          <w:pPr>
            <w:ind w:firstLine="567"/>
            <w:jc w:val="both"/>
            <w:rPr>
              <w:rFonts w:eastAsia="Calibri"/>
              <w:szCs w:val="24"/>
            </w:rPr>
          </w:pPr>
          <w:r>
            <w:rPr>
              <w:rFonts w:eastAsia="Calibri"/>
              <w:szCs w:val="24"/>
            </w:rPr>
            <w:t>M – darbo valandų skaičius per metus – 2010;</w:t>
            <w:tab/>
            <w:tab/>
            <w:tab/>
          </w:r>
        </w:p>
      </w:sdtContent>
    </w:sdt>
    <w:sdt>
      <w:sdtPr>
        <w:alias w:val="pastraipa"/>
        <w:tag w:val="part_eab8ffdb21e24339a23d7c9f7fd743d2"/>
        <w:lock w:val="sdtLocked"/>
        <w:richText/>
      </w:sdtPr>
      <w:sdtContent>
        <w:p>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b5b5401528cd43a886312efcfcbffe78"/>
        <w:lock w:val="sdtLocked"/>
        <w:richText/>
      </w:sdtPr>
      <w:sdtContent>
        <w:p>
          <w:pPr>
            <w:ind w:firstLine="567"/>
            <w:jc w:val="both"/>
            <w:rPr>
              <w:rFonts w:eastAsia="Calibri"/>
              <w:szCs w:val="24"/>
            </w:rPr>
          </w:pPr>
          <w:r>
            <w:rPr>
              <w:rFonts w:eastAsia="Calibri"/>
              <w:szCs w:val="24"/>
            </w:rPr>
            <w:t>V – renginio patrauklumo koeficientas:</w:t>
            <w:tab/>
            <w:tab/>
            <w:tab/>
            <w:tab/>
          </w:r>
        </w:p>
      </w:sdtContent>
    </w:sdt>
    <w:sdt>
      <w:sdtPr>
        <w:alias w:val="pastraipa"/>
        <w:tag w:val="part_671501d913684014946628f93d0a7113"/>
        <w:lock w:val="sdtLocked"/>
        <w:richText/>
      </w:sdtPr>
      <w:sdtContent>
        <w:p>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221a88c45b734cc6b817ec801378245b"/>
        <w:lock w:val="sdtLocked"/>
        <w:richText/>
      </w:sdtPr>
      <w:sdtContent>
        <w:p>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c71b88789c0c4b3ab080a79dc30adf27"/>
        <w:lock w:val="sdtLocked"/>
        <w:richText/>
      </w:sdtPr>
      <w:sdtContent>
        <w:p>
          <w:pPr>
            <w:ind w:firstLine="567"/>
            <w:jc w:val="both"/>
            <w:rPr>
              <w:rFonts w:eastAsia="Calibri"/>
              <w:szCs w:val="24"/>
            </w:rPr>
          </w:pPr>
          <w:r>
            <w:rPr>
              <w:rFonts w:eastAsia="Calibri"/>
              <w:szCs w:val="24"/>
            </w:rPr>
            <w:t>S – vidutinis renginio lankytojų skaičius;</w:t>
            <w:tab/>
            <w:tab/>
            <w:tab/>
            <w:tab/>
          </w:r>
        </w:p>
      </w:sdtContent>
    </w:sdt>
    <w:sdt>
      <w:sdtPr>
        <w:alias w:val="pastraipa"/>
        <w:tag w:val="part_a8b3e7c007394ea3a5ffdd93378160c3"/>
        <w:lock w:val="sdtLocked"/>
        <w:richText/>
      </w:sdtPr>
      <w:sdtContent>
        <w:p>
          <w:pPr>
            <w:ind w:firstLine="567"/>
            <w:jc w:val="both"/>
            <w:rPr>
              <w:rFonts w:eastAsia="Calibri"/>
              <w:szCs w:val="24"/>
            </w:rPr>
          </w:pPr>
          <w:r>
            <w:rPr>
              <w:rFonts w:eastAsia="Calibri"/>
              <w:szCs w:val="24"/>
            </w:rPr>
            <w:t>H – renginio trukmė valandomis.</w:t>
          </w:r>
        </w:p>
      </w:sdtContent>
    </w:sdt>
    <w:sdt>
      <w:sdtPr>
        <w:alias w:val="pastraipa"/>
        <w:tag w:val="part_8ddf4bb0f3ea42deadc179f8df529af5"/>
        <w:lock w:val="sdtLocked"/>
        <w:richText/>
      </w:sdtPr>
      <w:sdtContent>
        <w:p>
          <w:pPr>
            <w:ind w:firstLine="567"/>
            <w:jc w:val="both"/>
            <w:rPr>
              <w:rFonts w:eastAsia="Calibri"/>
              <w:b/>
              <w:bCs/>
              <w:szCs w:val="24"/>
            </w:rPr>
          </w:pPr>
          <w:r>
            <w:rPr>
              <w:rFonts w:eastAsia="HG Mincho Light J"/>
              <w:color w:val="000000"/>
              <w:szCs w:val="24"/>
              <w:vertAlign w:val="superscript"/>
              <w:lang w:eastAsia="lt-LT"/>
            </w:rPr>
            <w:t>4</w:t>
          </w:r>
          <w:r>
            <w:rPr>
              <w:rFonts w:eastAsia="HG Mincho Light J"/>
              <w:color w:val="000000"/>
              <w:szCs w:val="24"/>
              <w:lang w:eastAsia="lt-LT"/>
            </w:rPr>
            <w:t xml:space="preserve"> Nuolaida taikoma Šiaulių miesto savivaldybėje gyvenamąją vietą deklaravusiam asmeniui, kuris, </w:t>
          </w:r>
          <w:r>
            <w:rPr>
              <w:rFonts w:eastAsia="HG Mincho Light J"/>
              <w:strike/>
              <w:color w:val="000000"/>
              <w:szCs w:val="24"/>
              <w:lang w:eastAsia="lt-LT"/>
            </w:rPr>
            <w:t>naudodamasis mobiliąja programėle „Šiauliai“, pateikia virtualiąją šiauliečio kortelę</w:t>
          </w:r>
          <w:r>
            <w:rPr>
              <w:rFonts w:eastAsia="HG Mincho Light J"/>
              <w:color w:val="000000"/>
              <w:szCs w:val="24"/>
              <w:lang w:eastAsia="lt-LT"/>
            </w:rPr>
            <w:t xml:space="preserve"> </w:t>
          </w:r>
          <w:r>
            <w:rPr>
              <w:rFonts w:eastAsia="Calibri"/>
              <w:b/>
              <w:bCs/>
              <w:szCs w:val="24"/>
            </w:rPr>
            <w:t>pateikia fizinę plastikinę šiauliečio kortelę arba naudodamasis mobiliąja programėle „Šiauliai“ pateikia virtualiąją šiauliečio kortelę.</w:t>
          </w:r>
        </w:p>
        <w:p>
          <w:pPr>
            <w:ind w:firstLine="567"/>
            <w:jc w:val="both"/>
            <w:rPr>
              <w:rFonts w:eastAsia="Calibri"/>
              <w:strike/>
              <w:szCs w:val="24"/>
              <w:lang w:eastAsia="lt-LT"/>
            </w:rPr>
          </w:pPr>
        </w:p>
        <w:sdt>
          <w:sdtPr>
            <w:alias w:val="signatura"/>
            <w:tag w:val="part_0ef0a8039ff347389052a989f2d18767"/>
            <w:lock w:val="sdtLocked"/>
            <w:richText/>
          </w:sdtPr>
          <w:sdtContent>
            <w:p>
              <w:pPr>
                <w:ind w:firstLine="567"/>
                <w:jc w:val="center"/>
                <w:rPr>
                  <w:rFonts w:eastAsia="Calibri"/>
                  <w:szCs w:val="24"/>
                </w:rPr>
              </w:pPr>
              <w:r>
                <w:rPr>
                  <w:rFonts w:eastAsia="Calibri"/>
                  <w:szCs w:val="24"/>
                </w:rPr>
                <w:t>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 xml:space="preserve"> PAGE   \* MERGEFORMAT </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0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0BDEE4-7E2D-4E07-BCB6-D9FE65B475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5995176">
      <w:bodyDiv w:val="1"/>
      <w:marLeft w:val="0"/>
      <w:marRight w:val="0"/>
      <w:marTop w:val="0"/>
      <w:marBottom w:val="0"/>
      <w:divBdr>
        <w:top w:val="none" w:sz="0" w:space="0" w:color="auto"/>
        <w:left w:val="none" w:sz="0" w:space="0" w:color="auto"/>
        <w:bottom w:val="none" w:sz="0" w:space="0" w:color="auto"/>
        <w:right w:val="none" w:sz="0" w:space="0" w:color="auto"/>
      </w:divBdr>
    </w:div>
    <w:div w:id="652761923">
      <w:bodyDiv w:val="1"/>
      <w:marLeft w:val="0"/>
      <w:marRight w:val="0"/>
      <w:marTop w:val="0"/>
      <w:marBottom w:val="0"/>
      <w:divBdr>
        <w:top w:val="none" w:sz="0" w:space="0" w:color="auto"/>
        <w:left w:val="none" w:sz="0" w:space="0" w:color="auto"/>
        <w:bottom w:val="none" w:sz="0" w:space="0" w:color="auto"/>
        <w:right w:val="none" w:sz="0" w:space="0" w:color="auto"/>
      </w:divBdr>
    </w:div>
    <w:div w:id="806825238">
      <w:bodyDiv w:val="1"/>
      <w:marLeft w:val="0"/>
      <w:marRight w:val="0"/>
      <w:marTop w:val="0"/>
      <w:marBottom w:val="0"/>
      <w:divBdr>
        <w:top w:val="none" w:sz="0" w:space="0" w:color="auto"/>
        <w:left w:val="none" w:sz="0" w:space="0" w:color="auto"/>
        <w:bottom w:val="none" w:sz="0" w:space="0" w:color="auto"/>
        <w:right w:val="none" w:sz="0" w:space="0" w:color="auto"/>
      </w:divBdr>
    </w:div>
    <w:div w:id="86502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d4d447359d00426883ab067b2695fd5a" PartId="4736185b85314a10a5514489fc32767f"/>
  <Part Type="lentele" Title="ŠIAULIŲ MIESTO KONCERTINĖS ĮSTAIGOS „SAULĖ“ TEIKIAMŲ ATLYGINTINŲ PASLAUGŲ SĄRAŠAS" DocPartId="f84416c466f54726922c1fa5f67ee73a" PartId="e5afad756db44ba584e4831966eff21a"/>
  <Part Type="pastraipa" DocPartId="02f34acfcc8940c8aa0327fe3da0dda9" PartId="6431c46294ad4f88a7793d808c40e022"/>
  <Part Type="pastraipa" DocPartId="fc340a2d064f4bd1a5ee3477a5535aaa" PartId="3ee6147296c4415297c877dc5abb90c6"/>
  <Part Type="pastraipa" DocPartId="7de2365e8c2343cf9314fb0624f20099" PartId="21541c17ced044b1bbb4e8ec6032b527"/>
  <Part Type="pastraipa" DocPartId="0cc2520cbe284fdb98da11ca5c91228d" PartId="b5012d417b1a4b85af79ff04e82003c5"/>
  <Part Type="pastraipa" DocPartId="27faab852c214937a133fc46f5f9c759" PartId="85fe1fe702b34826ae0f1ce9daa06e09"/>
  <Part Type="pastraipa" DocPartId="86b9bdef69f448618ce2af94a92edd27" PartId="106c219cd3e94963ac02988acf1b2d2c"/>
  <Part Type="pastraipa" DocPartId="64b16a9a007f4d0182ca3fe56c9778de" PartId="bc1db83fb3dd4517af2d6e80cbd0e3a9"/>
  <Part Type="pastraipa" DocPartId="ef6f8d1a23224cd5b80e68d757f8f30d" PartId="4bd422c39cfb4555bc7234d1b910170e"/>
  <Part Type="pastraipa" DocPartId="e2a319351b0e418ab03302e64862ac10" PartId="48ec153d97b947098de036efa211a6ba"/>
  <Part Type="pastraipa" DocPartId="a354eaa46bc74529a89e184c394ac51d" PartId="eab8ffdb21e24339a23d7c9f7fd743d2"/>
  <Part Type="pastraipa" DocPartId="ac1e6deac7204ccb82f84ba01d2d0d4c" PartId="b5b5401528cd43a886312efcfcbffe78"/>
  <Part Type="pastraipa" DocPartId="5cd4b039ef254a94884afe5da9637b29" PartId="671501d913684014946628f93d0a7113"/>
  <Part Type="pastraipa" DocPartId="b386abfc435c4522bfec99d0e5fa9719" PartId="221a88c45b734cc6b817ec801378245b"/>
  <Part Type="pastraipa" DocPartId="c930362b987b4639b6b2afdd4f62f98c" PartId="c71b88789c0c4b3ab080a79dc30adf27"/>
  <Part Type="pastraipa" DocPartId="b2fd8680f70e4f8b8e0cb558cac5913b" PartId="a8b3e7c007394ea3a5ffdd93378160c3"/>
  <Part Type="pastraipa" DocPartId="d02ee131271f414681cf360ff5f7d8e5" PartId="8ddf4bb0f3ea42deadc179f8df529af5">
    <Part Type="signatura" DocPartId="a19f0a07264847878d8b4cc0af896f7f" PartId="0ef0a8039ff347389052a989f2d18767"/>
  </Part>
</Parts>
</file>

<file path=customXml/itemProps1.xml><?xml version="1.0" encoding="utf-8"?>
<ds:datastoreItem xmlns:ds="http://schemas.openxmlformats.org/officeDocument/2006/customXml" ds:itemID="{C17D59D2-E421-40CF-8621-E225ECAA55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1014</Words>
  <Characters>7028</Characters>
  <Application>Microsoft Office Word</Application>
  <DocSecurity>4</DocSecurity>
  <Lines>351</Lines>
  <Paragraphs>191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7851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2025-02-05T14:37:00Z</dcterms:created>
  <dc:creator>Simona</dc:creator>
  <lastModifiedBy>adlibuser</lastModifiedBy>
  <lastPrinted>2018-10-08T05:37:00Z</lastPrinted>
  <dcterms:modified xsi:type="dcterms:W3CDTF">2025-02-05T14:37:00Z</dcterms:modified>
  <revision>2</revision>
</coreProperties>
</file>