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6041460b9b242db93a18ad20c2bae56"/>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suppressAutoHyphens/>
            <w:jc w:val="center"/>
            <w:rPr>
              <w:b/>
              <w:bCs/>
              <w:color w:val="000000"/>
              <w:kern w:val="2"/>
              <w:szCs w:val="24"/>
              <w:lang w:eastAsia="zh-CN"/>
            </w:rPr>
          </w:pPr>
          <w:r>
            <w:rPr>
              <w:b/>
              <w:bCs/>
              <w:color w:val="000000"/>
              <w:kern w:val="2"/>
              <w:szCs w:val="24"/>
              <w:lang w:eastAsia="zh-CN"/>
            </w:rPr>
            <w:t>ŠIAULIŲ MIESTO SAVIVALDYBĖS ADMINISTRACIJOS</w:t>
          </w:r>
        </w:p>
        <w:sdt>
          <w:sdtPr>
            <w:alias w:val="skyrius"/>
            <w:tag w:val="part_1fed5fec6eac49e5b5694aa76c308042"/>
            <w:lock w:val="sdtLocked"/>
            <w:richText/>
          </w:sdtPr>
          <w:sdtContent>
            <w:p>
              <w:pPr>
                <w:suppressAutoHyphens/>
                <w:jc w:val="center"/>
                <w:rPr>
                  <w:b/>
                  <w:bCs/>
                  <w:kern w:val="2"/>
                  <w:szCs w:val="24"/>
                  <w:lang w:eastAsia="zh-CN"/>
                </w:rPr>
              </w:pPr>
              <w:r>
                <w:rPr>
                  <w:b/>
                  <w:bCs/>
                  <w:kern w:val="2"/>
                  <w:szCs w:val="24"/>
                  <w:lang w:eastAsia="zh-CN"/>
                </w:rPr>
                <w:t>KULTŪROS SKYRIUS</w:t>
              </w:r>
            </w:p>
            <w:p>
              <w:pPr>
                <w:suppressAutoHyphens/>
                <w:jc w:val="center"/>
                <w:rPr>
                  <w:kern w:val="2"/>
                  <w:szCs w:val="24"/>
                  <w:lang w:eastAsia="zh-CN"/>
                </w:rPr>
              </w:pPr>
            </w:p>
            <w:sdt>
              <w:sdtPr>
                <w:alias w:val="Pavadinimas"/>
                <w:tag w:val="title_1fed5fec6eac49e5b5694aa76c308042"/>
                <w:lock w:val="sdtLocked"/>
                <w:richText/>
              </w:sdtPr>
              <w:sdtContent>
                <w:p>
                  <w:pPr>
                    <w:jc w:val="center"/>
                    <w:rPr>
                      <w:rFonts w:eastAsia="Calibri"/>
                      <w:b/>
                      <w:bCs/>
                      <w:szCs w:val="24"/>
                    </w:rPr>
                  </w:pPr>
                  <w:r>
                    <w:rPr>
                      <w:rFonts w:eastAsia="Calibri"/>
                      <w:b/>
                      <w:bCs/>
                      <w:szCs w:val="24"/>
                    </w:rPr>
                    <w:t xml:space="preserve">SPRENDIMO </w:t>
                  </w:r>
                </w:p>
                <w:p>
                  <w:pPr>
                    <w:jc w:val="center"/>
                    <w:rPr>
                      <w:rFonts w:eastAsia="Calibri"/>
                      <w:b/>
                      <w:bCs/>
                      <w:szCs w:val="24"/>
                    </w:rPr>
                  </w:pPr>
                  <w:r>
                    <w:rPr>
                      <w:rFonts w:eastAsia="Calibri"/>
                      <w:b/>
                      <w:bCs/>
                      <w:szCs w:val="24"/>
                    </w:rPr>
                    <w:t>“DĖL ŠIAULIŲ MIESTO KONCERTINĖS ĮSTAIGOS „SAULĖ“ TEIKIAMŲ ATLYGINTINŲ PASLAUGŲ SĄRAŠO PATVIRTINIMO“ PROJEKTO</w:t>
                  </w:r>
                </w:p>
                <w:p>
                  <w:pPr>
                    <w:jc w:val="center"/>
                    <w:rPr>
                      <w:rFonts w:eastAsia="Calibri"/>
                      <w:b/>
                      <w:bCs/>
                      <w:szCs w:val="24"/>
                    </w:rPr>
                  </w:pPr>
                  <w:r>
                    <w:rPr>
                      <w:rFonts w:eastAsia="Calibri"/>
                      <w:b/>
                      <w:bCs/>
                      <w:szCs w:val="24"/>
                    </w:rPr>
                    <w:t>AIŠKINAMASIS RAŠTAS</w:t>
                  </w:r>
                </w:p>
              </w:sdtContent>
            </w:sdt>
            <w:p>
              <w:pPr>
                <w:jc w:val="center"/>
                <w:rPr>
                  <w:rFonts w:eastAsia="Calibri"/>
                  <w:b/>
                  <w:bCs/>
                  <w:szCs w:val="24"/>
                </w:rPr>
              </w:pPr>
            </w:p>
            <w:p>
              <w:pPr>
                <w:jc w:val="center"/>
                <w:rPr>
                  <w:szCs w:val="24"/>
                </w:rPr>
              </w:pPr>
              <w:r>
                <w:rPr>
                  <w:szCs w:val="24"/>
                </w:rPr>
                <w:t>2025-02-03</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
              <w:sdtPr>
                <w:alias w:val="poskyris"/>
                <w:tag w:val="part_d263cdb94c42413e98da2d2c8c3c03bb"/>
                <w:lock w:val="sdtLocked"/>
                <w:richText/>
              </w:sdtPr>
              <w:sdtContent>
                <w:p>
                  <w:pPr>
                    <w:widowControl w:val="0"/>
                    <w:ind w:firstLine="624"/>
                    <w:jc w:val="both"/>
                    <w:rPr>
                      <w:b/>
                      <w:szCs w:val="24"/>
                      <w:lang w:eastAsia="lt-LT"/>
                    </w:rPr>
                  </w:pPr>
                  <w:sdt>
                    <w:sdtPr>
                      <w:alias w:val="Pavadinimas"/>
                      <w:tag w:val="title_d263cdb94c42413e98da2d2c8c3c03bb"/>
                      <w:lock w:val="sdtLocked"/>
                      <w:richText/>
                    </w:sdtPr>
                    <w:sdtContent>
                      <w:r>
                        <w:rPr>
                          <w:b/>
                          <w:szCs w:val="24"/>
                          <w:lang w:eastAsia="lt-LT"/>
                        </w:rPr>
                        <w:t xml:space="preserve">Parengto sprendimo projekto tikslai ir uždaviniai. </w:t>
                      </w:r>
                    </w:sdtContent>
                  </w:sdt>
                </w:p>
                <w:p>
                  <w:pPr>
                    <w:ind w:firstLine="624"/>
                    <w:jc w:val="both"/>
                    <w:rPr>
                      <w:rFonts w:eastAsia="Calibri"/>
                      <w:szCs w:val="24"/>
                    </w:rPr>
                  </w:pPr>
                  <w:r>
                    <w:rPr>
                      <w:rFonts w:eastAsia="Calibri"/>
                      <w:szCs w:val="24"/>
                    </w:rPr>
                    <w:t>Sprendimo projekto tikslas yra patvirtinti Šiaulių miesto koncertinės įstaigos „Saulė“ teikiamų atlygintinų paslaugų sąrašą.</w:t>
                  </w:r>
                </w:p>
              </w:sdtContent>
            </w:sdt>
            <w:sdt>
              <w:sdtPr>
                <w:alias w:val="poskyris"/>
                <w:tag w:val="part_8b6033e472cb4bce92ace538ad171df9"/>
                <w:lock w:val="sdtLocked"/>
                <w:richText/>
              </w:sdtPr>
              <w:sdtContent>
                <w:p>
                  <w:pPr>
                    <w:ind w:firstLine="624"/>
                    <w:jc w:val="both"/>
                    <w:rPr>
                      <w:szCs w:val="24"/>
                    </w:rPr>
                  </w:pPr>
                  <w:sdt>
                    <w:sdtPr>
                      <w:alias w:val="Pavadinimas"/>
                      <w:tag w:val="title_8b6033e472cb4bce92ace538ad171df9"/>
                      <w:lock w:val="sdtLocked"/>
                      <w:richText/>
                    </w:sdtPr>
                    <w:sdtContent>
                      <w:r>
                        <w:rPr>
                          <w:b/>
                          <w:szCs w:val="24"/>
                        </w:rPr>
                        <w:t xml:space="preserve">Dabartinis sprendimo projekte aptariamų klausimų reguliavimas. </w:t>
                      </w:r>
                    </w:sdtContent>
                  </w:sdt>
                </w:p>
                <w:p>
                  <w:pPr>
                    <w:ind w:firstLine="624"/>
                    <w:jc w:val="both"/>
                    <w:rPr>
                      <w:szCs w:val="24"/>
                    </w:rPr>
                  </w:pPr>
                  <w:r>
                    <w:rPr>
                      <w:szCs w:val="24"/>
                    </w:rPr>
                    <w:t xml:space="preserve">Dabar galiojantis Šiaulių miesto koncertinės įstaigos „Saulė“ (toliau – Koncertinė įstaiga) teikiamų atlygintinų paslaugų sąrašas (toliau – paslaugų sąrašas) yra patvirtintas Šiaulių miesto savivaldybės tarybos 2024 m. birželio 6 d. sprendimu Nr. T-213 „Dėl Šiaulių miesto koncertinės įstaigos „Saulė“ teikiamų atlygintinų paslaugų sąrašo patvirtinimo“. </w:t>
                  </w:r>
                </w:p>
                <w:p>
                  <w:pPr>
                    <w:ind w:firstLine="624"/>
                    <w:jc w:val="both"/>
                    <w:rPr>
                      <w:szCs w:val="24"/>
                    </w:rPr>
                  </w:pPr>
                  <w:r>
                    <w:rPr>
                      <w:szCs w:val="24"/>
                    </w:rPr>
                    <w:t>Naujas sprendimo projektas parengtas atsižvelgiant į Šiaulių miesto koncertinės įstaigos „Saulė“ 2025-01-31 raštą Nr. 23-(1.5.) „Dėl Šiaulių miesto koncertinės įstaigos „Saulė“ teikiamų atlygintinų paslaugų sąrašo pakeitimo“.</w:t>
                  </w:r>
                </w:p>
              </w:sdtContent>
            </w:sdt>
            <w:sdt>
              <w:sdtPr>
                <w:alias w:val="poskyris"/>
                <w:tag w:val="part_dbc7c1b9872d4c37b0d36acb0d8763d9"/>
                <w:lock w:val="sdtLocked"/>
                <w:richText/>
              </w:sdtPr>
              <w:sdtContent>
                <w:p>
                  <w:pPr>
                    <w:ind w:firstLine="624"/>
                    <w:jc w:val="both"/>
                    <w:rPr>
                      <w:rFonts w:eastAsia="Calibri"/>
                      <w:b/>
                      <w:color w:val="000000"/>
                      <w:szCs w:val="24"/>
                    </w:rPr>
                  </w:pPr>
                  <w:sdt>
                    <w:sdtPr>
                      <w:alias w:val="Pavadinimas"/>
                      <w:tag w:val="title_dbc7c1b9872d4c37b0d36acb0d8763d9"/>
                      <w:lock w:val="sdtLocked"/>
                      <w:richText/>
                    </w:sdtPr>
                    <w:sdtContent>
                      <w:r>
                        <w:rPr>
                          <w:rFonts w:eastAsia="Calibri"/>
                          <w:b/>
                          <w:color w:val="000000"/>
                          <w:szCs w:val="24"/>
                        </w:rPr>
                        <w:t xml:space="preserve">Sprendimo projekte numatytos naujos teisinio reglamentavimo nuostatos. </w:t>
                      </w:r>
                    </w:sdtContent>
                  </w:sdt>
                </w:p>
                <w:p>
                  <w:pPr>
                    <w:ind w:firstLine="624"/>
                    <w:jc w:val="both"/>
                    <w:rPr>
                      <w:rFonts w:eastAsia="Calibri"/>
                      <w:szCs w:val="24"/>
                    </w:rPr>
                  </w:pPr>
                  <w:r>
                    <w:rPr>
                      <w:rFonts w:eastAsia="Calibri"/>
                      <w:szCs w:val="24"/>
                    </w:rPr>
                    <w:t>Koncertinė įstaiga, atsižvelgdama į planuojamą kultūrinę veiklą, peržiūrėjo, pakeitė ir papildė paslaugų sąrašą.</w:t>
                  </w:r>
                </w:p>
                <w:p>
                  <w:pPr>
                    <w:ind w:firstLine="624"/>
                    <w:jc w:val="both"/>
                    <w:rPr>
                      <w:rFonts w:eastAsia="Calibri"/>
                      <w:szCs w:val="24"/>
                    </w:rPr>
                  </w:pPr>
                  <w:r>
                    <w:rPr>
                      <w:rFonts w:eastAsia="Calibri"/>
                      <w:szCs w:val="24"/>
                    </w:rPr>
                    <w:t xml:space="preserve">Atsižvelgiant į tai, kad Koncertinėje įstaigoje 2025 m. savo veiklą pradeda naujas kolektyvas – Šiaulių miesto simfoninis orkestras – į paslaugų sąrašą siūloma įtraukti 3 naujas paslaugas, susijusias su Šiaulių miesto simfoninio orkestro kultūrine veikla: 2.1 eil. „Šiaulių miesto simfoninio orkestro programa“ – 3000 Eur, 2.10 eil. „Šiaulių miesto simfoninio orkestro programa Šiaulių miesto savivaldybės biudžetinėms įstaigoms (turimas repertuaras)“ – 600 Eur, 2.11 eil. „Šiaulių miesto simfoninio orkestro programa Šiaulių miesto savivaldybės biudžetinėms įstaigoms (naujai rengiamas repertuaras)“ – 1200 Eur. </w:t>
                  </w:r>
                </w:p>
                <w:p>
                  <w:pPr>
                    <w:ind w:firstLine="624"/>
                    <w:jc w:val="both"/>
                    <w:rPr>
                      <w:rFonts w:eastAsia="Calibri"/>
                      <w:szCs w:val="24"/>
                    </w:rPr>
                  </w:pPr>
                  <w:r>
                    <w:rPr>
                      <w:rFonts w:eastAsia="Calibri"/>
                      <w:szCs w:val="24"/>
                    </w:rPr>
                    <w:t xml:space="preserve">Šių paslaugų įkainiai nustatyti atlikus rinkos tyrimą, kurio metu buvo įvertintos panašių orkestrų (atsižvelgiant į orkestro sudėtį ir atliekamo repertuaro specifiką), teikiamų paslaugų teikiamų programų apimtys ir sudėtingumas bei jų kainos. </w:t>
                  </w:r>
                </w:p>
                <w:p>
                  <w:pPr>
                    <w:ind w:firstLine="624"/>
                    <w:jc w:val="both"/>
                    <w:rPr>
                      <w:rFonts w:eastAsia="Calibri"/>
                      <w:szCs w:val="24"/>
                    </w:rPr>
                  </w:pPr>
                  <w:r>
                    <w:rPr>
                      <w:rFonts w:eastAsia="Calibri"/>
                      <w:szCs w:val="24"/>
                    </w:rPr>
                    <w:t xml:space="preserve">Paslaugų sąrašo 2.2, 2.2, 2.3, 2.8 ir 2.9 eilutėse paslaugos pavadinimo formuluotė iš „kamerinis orkestras „Camerata Solaris“ keičiamas į „Šiaulių miesto simfoninio orkestro styginių grupė“, atsižvelgiant į tai, jog pasikeitė kolektyvo pavadinimas bei sudėtis. </w:t>
                  </w:r>
                </w:p>
                <w:p>
                  <w:pPr>
                    <w:ind w:firstLine="624"/>
                    <w:jc w:val="both"/>
                    <w:rPr>
                      <w:rFonts w:eastAsia="Calibri"/>
                      <w:szCs w:val="24"/>
                    </w:rPr>
                  </w:pPr>
                  <w:r>
                    <w:rPr>
                      <w:rFonts w:eastAsia="Calibri"/>
                      <w:szCs w:val="24"/>
                    </w:rPr>
                    <w:t xml:space="preserve">Taip pat yra koreguojami visų siūlomų meninių paslaugų mato vienetai: 2.1, 2.2, 2.3, 2.4, 2.5, 2.6, 2.7, 2.8, 2.9, 2.10 ir 2.11 eilutėse vietoje „1 paslauga“ įrašoma „1 val. trukmės programos atlikimas“. Ši korekcija suteiks galimybę lanksčiau organizuoti paslaugų teikimą, sudarant sąlygas kolektyvams atlikti ir minimalios trukmės koncertines programas, kurios atitinkamai būtų ir pigesnės. </w:t>
                  </w:r>
                </w:p>
                <w:p>
                  <w:pPr>
                    <w:ind w:firstLine="624"/>
                    <w:jc w:val="both"/>
                    <w:rPr>
                      <w:rFonts w:eastAsia="Calibri"/>
                      <w:szCs w:val="24"/>
                    </w:rPr>
                  </w:pPr>
                  <w:r>
                    <w:rPr>
                      <w:rFonts w:eastAsia="Calibri"/>
                      <w:szCs w:val="24"/>
                    </w:rPr>
                    <w:t xml:space="preserve">Siekiant išvengti interpretacijų ir praplėsti subjektų sąrašą, kuriems yra taikomos nuolaidos įsigyjant patalpų nuomos, įgarsinimo ir apšvietimo paslaugas (3.1, 3.1.1, 3.2, 3.2.1, 3.3, 4 ir 5 eilutės), siūloma koreguoti </w:t>
                  </w:r>
                  <w:r>
                    <w:rPr>
                      <w:rFonts w:eastAsia="HG Mincho Light J"/>
                      <w:color w:val="000000"/>
                      <w:szCs w:val="24"/>
                      <w:vertAlign w:val="superscript"/>
                      <w:lang w:eastAsia="lt-LT"/>
                    </w:rPr>
                    <w:t xml:space="preserve">1 </w:t>
                  </w:r>
                  <w:r>
                    <w:rPr>
                      <w:rFonts w:eastAsia="Calibri"/>
                      <w:szCs w:val="24"/>
                    </w:rPr>
                    <w:t xml:space="preserve">ir </w:t>
                  </w:r>
                  <w:r>
                    <w:rPr>
                      <w:rFonts w:eastAsia="HG Mincho Light J"/>
                      <w:color w:val="000000"/>
                      <w:szCs w:val="24"/>
                      <w:vertAlign w:val="superscript"/>
                      <w:lang w:eastAsia="lt-LT"/>
                    </w:rPr>
                    <w:t xml:space="preserve">2 </w:t>
                  </w:r>
                  <w:r>
                    <w:rPr>
                      <w:rFonts w:eastAsia="Calibri"/>
                      <w:szCs w:val="24"/>
                    </w:rPr>
                    <w:t>išnašų formuluotes.</w:t>
                  </w:r>
                </w:p>
                <w:p>
                  <w:pPr>
                    <w:ind w:firstLine="624"/>
                    <w:jc w:val="both"/>
                    <w:rPr>
                      <w:rFonts w:eastAsia="Calibri"/>
                      <w:szCs w:val="24"/>
                    </w:rPr>
                  </w:pPr>
                  <w:r>
                    <w:rPr>
                      <w:rFonts w:eastAsia="Calibri"/>
                      <w:szCs w:val="24"/>
                    </w:rPr>
                    <w:t xml:space="preserve">Siūloma koreguoti </w:t>
                  </w:r>
                  <w:r>
                    <w:rPr>
                      <w:rFonts w:eastAsia="HG Mincho Light J"/>
                      <w:color w:val="000000"/>
                      <w:szCs w:val="24"/>
                      <w:vertAlign w:val="superscript"/>
                      <w:lang w:eastAsia="lt-LT"/>
                    </w:rPr>
                    <w:t xml:space="preserve">4 </w:t>
                  </w:r>
                  <w:r>
                    <w:rPr>
                      <w:rFonts w:eastAsia="Calibri"/>
                      <w:szCs w:val="24"/>
                    </w:rPr>
                    <w:t>išnašos formuluotę iš „</w:t>
                  </w:r>
                  <w:r>
                    <w:rPr>
                      <w:rFonts w:eastAsia="HG Mincho Light J"/>
                      <w:color w:val="000000"/>
                      <w:szCs w:val="24"/>
                      <w:lang w:eastAsia="lt-LT"/>
                    </w:rPr>
                    <w:t xml:space="preserve">naudodamasis mobiliąja programėle „Šiauliai“, pateikia virtualiąją šiauliečio kortelę“ </w:t>
                  </w:r>
                  <w:r>
                    <w:rPr>
                      <w:rFonts w:eastAsia="Calibri"/>
                      <w:szCs w:val="24"/>
                    </w:rPr>
                    <w:t>į „pateikia fizinę plastikinę šiauliečio kortelę arba naudodamasis mobiliąja programėle „Šiauliai“ pateikia virtualiąją šiauliečio kortelę“. Įtraukus nuostatą apie fizinės plastikinės šiauliečio kortelės pateikimą, siekiama aiškiau apibrėžti nuolaidų taikymo tvarką ir užtikrinti, kad tiek fizinę, tiek virtualiąją kortelės formas naudojantys gyventojai galėtų pasinaudoti teikiamomis lengvatomis.</w:t>
                  </w:r>
                </w:p>
                <w:p>
                  <w:pPr>
                    <w:ind w:firstLine="686"/>
                    <w:jc w:val="both"/>
                    <w:rPr>
                      <w:rFonts w:eastAsia="Calibri"/>
                      <w:szCs w:val="24"/>
                    </w:rPr>
                  </w:pPr>
                </w:p>
                <w:p>
                  <w:pPr>
                    <w:ind w:firstLine="624"/>
                    <w:jc w:val="both"/>
                    <w:rPr>
                      <w:rFonts w:eastAsia="Calibri"/>
                      <w:szCs w:val="24"/>
                    </w:rPr>
                  </w:pPr>
                </w:p>
                <w:p>
                  <w:pPr>
                    <w:widowControl w:val="0"/>
                    <w:spacing w:line="100" w:lineRule="atLeast"/>
                    <w:ind w:firstLine="624"/>
                    <w:jc w:val="both"/>
                    <w:rPr>
                      <w:b/>
                      <w:szCs w:val="24"/>
                      <w:lang w:eastAsia="lt-LT"/>
                    </w:rPr>
                  </w:pPr>
                  <w:r>
                    <w:rPr>
                      <w:b/>
                      <w:szCs w:val="24"/>
                      <w:lang w:eastAsia="lt-LT"/>
                    </w:rPr>
                    <w:t xml:space="preserve">Priėmus sprendimą, galimos pasekmės. </w:t>
                  </w:r>
                  <w:r>
                    <w:rPr>
                      <w:szCs w:val="24"/>
                      <w:lang w:eastAsia="lt-LT"/>
                    </w:rPr>
                    <w:t>Priėmus sprendimą, neigiamų pasekmių nenumatoma. Teigiamos pasekmės – atnaujintas Šiaulių miesto koncertinės įstaigos teikiamų atlygintinų paslaugų sąrašas leis užsakovams lanksčiai rinktis siūlomas paslaugas, įskaitant trumpesnės trukmės menines programas, taip pat suteiks galimybę rinktis Šiaulių miesto simfoninio orkestro siūlomas menines programas. Šie pokyčiai prisidės prie platesnės paslaugų sklaidos ir jų prieinamumo didinimo. Be to, atnaujintas sąrašas tampa aiškesnis, suprantamesnis, todėl geriau atitiks vartotojų poreikius.</w:t>
                  </w:r>
                </w:p>
                <w:p>
                  <w:pPr>
                    <w:ind w:firstLine="624"/>
                    <w:jc w:val="both"/>
                    <w:rPr>
                      <w:b/>
                      <w:szCs w:val="24"/>
                    </w:rPr>
                  </w:pPr>
                  <w:r>
                    <w:rPr>
                      <w:b/>
                      <w:szCs w:val="24"/>
                    </w:rPr>
                    <w:t xml:space="preserve">Priėmus sprendimą, keičiami ar pripažįstami negaliojančiais teisės aktai. </w:t>
                  </w:r>
                  <w:r>
                    <w:rPr>
                      <w:bCs/>
                      <w:szCs w:val="24"/>
                    </w:rPr>
                    <w:t xml:space="preserve">Priėmus sprendimą, bus pripažintas netekusiu galios </w:t>
                  </w:r>
                  <w:r>
                    <w:rPr>
                      <w:szCs w:val="24"/>
                    </w:rPr>
                    <w:t>Šiaulių miesto savivaldybės tarybos 2024 m. birželio 6 d. sprendimas Nr. T-213 „Dėl Šiaulių miesto koncertinės įstaigos „Saulė“ teikiamų atlygintinų paslaugų sąrašo patvirtinimo“.</w:t>
                  </w:r>
                </w:p>
              </w:sdtContent>
            </w:sdt>
            <w:sdt>
              <w:sdtPr>
                <w:alias w:val="poskyris"/>
                <w:tag w:val="part_f2e37b7f80f6469ebf9affbea51380a1"/>
                <w:lock w:val="sdtLocked"/>
                <w:richText/>
              </w:sdtPr>
              <w:sdtContent>
                <w:p>
                  <w:pPr>
                    <w:ind w:firstLine="624"/>
                    <w:jc w:val="both"/>
                    <w:rPr>
                      <w:b/>
                      <w:bCs/>
                      <w:color w:val="000000"/>
                      <w:szCs w:val="24"/>
                    </w:rPr>
                  </w:pPr>
                  <w:sdt>
                    <w:sdtPr>
                      <w:alias w:val="Pavadinimas"/>
                      <w:tag w:val="title_f2e37b7f80f6469ebf9affbea51380a1"/>
                      <w:lock w:val="sdtLocked"/>
                      <w:richText/>
                    </w:sdtPr>
                    <w:sdtContent>
                      <w:r>
                        <w:rPr>
                          <w:b/>
                          <w:bCs/>
                          <w:color w:val="000000"/>
                          <w:szCs w:val="24"/>
                        </w:rPr>
                        <w:t xml:space="preserve">Sprendimui įgyvendinti reikalingi priimti papildomi teisės aktai. </w:t>
                      </w:r>
                    </w:sdtContent>
                  </w:sdt>
                </w:p>
                <w:p>
                  <w:pPr>
                    <w:ind w:firstLine="624"/>
                    <w:jc w:val="both"/>
                    <w:rPr>
                      <w:b/>
                      <w:bCs/>
                      <w:color w:val="000000"/>
                      <w:szCs w:val="24"/>
                    </w:rPr>
                  </w:pPr>
                  <w:r>
                    <w:rPr>
                      <w:color w:val="000000"/>
                      <w:szCs w:val="24"/>
                    </w:rPr>
                    <w:t>Priėmus sprendimą, keisti galiojančių teisės aktų nereikės.</w:t>
                  </w:r>
                </w:p>
              </w:sdtContent>
            </w:sdt>
            <w:sdt>
              <w:sdtPr>
                <w:alias w:val="poskyris"/>
                <w:tag w:val="part_8944d56755014178bff91f3f7061fc2b"/>
                <w:lock w:val="sdtLocked"/>
                <w:richText/>
              </w:sdtPr>
              <w:sdtContent>
                <w:p>
                  <w:pPr>
                    <w:ind w:firstLine="624"/>
                    <w:jc w:val="both"/>
                    <w:rPr>
                      <w:rFonts w:eastAsia="Calibri"/>
                      <w:b/>
                      <w:szCs w:val="24"/>
                    </w:rPr>
                  </w:pPr>
                  <w:sdt>
                    <w:sdtPr>
                      <w:alias w:val="Pavadinimas"/>
                      <w:tag w:val="title_8944d56755014178bff91f3f7061fc2b"/>
                      <w:lock w:val="sdtLocked"/>
                      <w:richText/>
                    </w:sdtPr>
                    <w:sdtContent>
                      <w:r>
                        <w:rPr>
                          <w:rFonts w:eastAsia="Calibri"/>
                          <w:b/>
                          <w:szCs w:val="24"/>
                        </w:rPr>
                        <w:t xml:space="preserve">Sprendimui įgyvendinti reikalingos lėšos. </w:t>
                      </w:r>
                    </w:sdtContent>
                  </w:sdt>
                </w:p>
                <w:p>
                  <w:pPr>
                    <w:ind w:firstLine="624"/>
                    <w:jc w:val="both"/>
                    <w:rPr>
                      <w:rFonts w:eastAsia="Calibri"/>
                      <w:b/>
                      <w:szCs w:val="24"/>
                    </w:rPr>
                  </w:pPr>
                  <w:r>
                    <w:rPr>
                      <w:rFonts w:eastAsia="Calibri"/>
                      <w:szCs w:val="24"/>
                    </w:rPr>
                    <w:t xml:space="preserve">Sprendimui įgyvendinti papildomų lėšų </w:t>
                  </w:r>
                  <w:r>
                    <w:rPr>
                      <w:color w:val="262626"/>
                      <w:szCs w:val="24"/>
                    </w:rPr>
                    <w:t>nereikės.</w:t>
                  </w:r>
                </w:p>
              </w:sdtContent>
            </w:sdt>
            <w:sdt>
              <w:sdtPr>
                <w:alias w:val="poskyris"/>
                <w:tag w:val="part_7cb4c3317f1648958675bee292402f42"/>
                <w:lock w:val="sdtLocked"/>
                <w:richText/>
              </w:sdtPr>
              <w:sdtContent>
                <w:p>
                  <w:pPr>
                    <w:shd w:val="clear" w:color="auto" w:fill="FFFFFF"/>
                    <w:ind w:firstLine="624"/>
                    <w:jc w:val="both"/>
                    <w:rPr>
                      <w:rFonts w:eastAsia="Calibri"/>
                      <w:b/>
                      <w:szCs w:val="24"/>
                    </w:rPr>
                  </w:pPr>
                  <w:sdt>
                    <w:sdtPr>
                      <w:alias w:val="Pavadinimas"/>
                      <w:tag w:val="title_7cb4c3317f1648958675bee292402f42"/>
                      <w:lock w:val="sdtLocked"/>
                      <w:richText/>
                    </w:sdtPr>
                    <w:sdtContent>
                      <w:r>
                        <w:rPr>
                          <w:rFonts w:eastAsia="Calibri"/>
                          <w:b/>
                          <w:szCs w:val="24"/>
                        </w:rPr>
                        <w:t>Sprendimo projekto antikorupcinis vertinimas.</w:t>
                      </w:r>
                    </w:sdtContent>
                  </w:sdt>
                </w:p>
                <w:p>
                  <w:pPr>
                    <w:shd w:val="clear" w:color="auto" w:fill="FFFFFF"/>
                    <w:ind w:firstLine="624"/>
                    <w:jc w:val="both"/>
                    <w:rPr>
                      <w:color w:val="262626"/>
                      <w:szCs w:val="24"/>
                      <w:shd w:val="clear" w:color="auto" w:fill="FFFFFF"/>
                    </w:rPr>
                  </w:pPr>
                  <w:r>
                    <w:rPr>
                      <w:color w:val="262626"/>
                      <w:szCs w:val="24"/>
                      <w:shd w:val="clear" w:color="auto" w:fill="FFFFFF"/>
                    </w:rPr>
                    <w:t>Antikorupcinio vertinimo pažyma pridedama</w:t>
                  </w:r>
                </w:p>
                <w:p>
                  <w:pPr>
                    <w:suppressAutoHyphens/>
                    <w:ind w:firstLine="624"/>
                    <w:jc w:val="both"/>
                    <w:rPr>
                      <w:b/>
                      <w:kern w:val="2"/>
                      <w:szCs w:val="24"/>
                      <w:shd w:val="clear" w:color="auto" w:fill="FFFFFF"/>
                      <w:lang w:eastAsia="zh-CN"/>
                    </w:rPr>
                  </w:pPr>
                  <w:r>
                    <w:rPr>
                      <w:b/>
                      <w:kern w:val="2"/>
                      <w:szCs w:val="24"/>
                      <w:shd w:val="clear" w:color="auto" w:fill="FFFFFF"/>
                      <w:lang w:eastAsia="zh-CN"/>
                    </w:rPr>
                    <w:t>N</w:t>
                  </w:r>
                  <w:r>
                    <w:rPr>
                      <w:rFonts w:eastAsia="Calibri"/>
                      <w:b/>
                      <w:kern w:val="2"/>
                      <w:szCs w:val="24"/>
                      <w:lang w:eastAsia="zh-CN"/>
                    </w:rPr>
                    <w:t xml:space="preserve">umatomo teisinio reguliavimo poveikio vertinimas. </w:t>
                  </w:r>
                  <w:r>
                    <w:rPr>
                      <w:rFonts w:eastAsia="Calibri"/>
                      <w:bCs/>
                      <w:kern w:val="2"/>
                      <w:szCs w:val="24"/>
                      <w:lang w:eastAsia="zh-CN"/>
                    </w:rPr>
                    <w:t>Neatliekamas.</w:t>
                  </w:r>
                </w:p>
                <w:p>
                  <w:pPr>
                    <w:suppressAutoHyphens/>
                    <w:ind w:firstLine="624"/>
                    <w:jc w:val="both"/>
                    <w:rPr>
                      <w:kern w:val="2"/>
                      <w:szCs w:val="24"/>
                      <w:shd w:val="clear" w:color="auto" w:fill="FFFFFF"/>
                      <w:lang w:eastAsia="zh-CN"/>
                    </w:rPr>
                  </w:pPr>
                  <w:r>
                    <w:rPr>
                      <w:b/>
                      <w:bCs/>
                      <w:color w:val="000000"/>
                      <w:kern w:val="2"/>
                      <w:szCs w:val="24"/>
                      <w:lang w:eastAsia="lt-LT"/>
                    </w:rPr>
                    <w:t>Sprendimo projektą parengė</w:t>
                  </w:r>
                  <w:r>
                    <w:rPr>
                      <w:color w:val="000000"/>
                      <w:kern w:val="2"/>
                      <w:szCs w:val="24"/>
                      <w:lang w:eastAsia="lt-LT"/>
                    </w:rPr>
                    <w:t xml:space="preserve"> Savivaldybės administracijos Kultūros skyrius. Tiesioginis rengėjas – Kultūros</w:t>
                  </w:r>
                  <w:r>
                    <w:rPr>
                      <w:kern w:val="2"/>
                      <w:szCs w:val="24"/>
                      <w:shd w:val="clear" w:color="auto" w:fill="FFFFFF"/>
                      <w:lang w:eastAsia="zh-CN"/>
                    </w:rPr>
                    <w:t xml:space="preserve"> skyriaus vyr. specialistė Edita Ramanauskienė</w:t>
                  </w:r>
                  <w:r>
                    <w:rPr>
                      <w:kern w:val="2"/>
                      <w:szCs w:val="24"/>
                      <w:lang w:eastAsia="zh-CN"/>
                    </w:rPr>
                    <w:t xml:space="preserve"> tel. (8 41) 500 532</w:t>
                  </w:r>
                  <w:r>
                    <w:rPr>
                      <w:kern w:val="2"/>
                      <w:szCs w:val="24"/>
                      <w:shd w:val="clear" w:color="auto" w:fill="FFFFFF"/>
                      <w:lang w:eastAsia="zh-CN"/>
                    </w:rPr>
                    <w:t>. Projekto iniciatoriai – Šiaulių miesto koncertinės įstaigos vadovas Vaidotas Katutis, tel. +370 656 17 671, Kultūros skyriaus vedėja Daina Kinčinaitienė, tel. +370 41 500 531.</w:t>
                  </w:r>
                </w:p>
                <w:p>
                  <w:pPr>
                    <w:suppressAutoHyphens/>
                    <w:jc w:val="both"/>
                    <w:rPr>
                      <w:kern w:val="2"/>
                      <w:szCs w:val="24"/>
                      <w:lang w:eastAsia="zh-CN"/>
                    </w:rPr>
                  </w:pPr>
                </w:p>
                <w:p>
                  <w:pPr>
                    <w:suppressAutoHyphens/>
                    <w:jc w:val="both"/>
                    <w:rPr>
                      <w:kern w:val="2"/>
                      <w:szCs w:val="24"/>
                      <w:lang w:eastAsia="zh-CN"/>
                    </w:rPr>
                  </w:pPr>
                </w:p>
                <w:p>
                  <w:pPr>
                    <w:suppressAutoHyphens/>
                    <w:jc w:val="both"/>
                    <w:rPr>
                      <w:kern w:val="2"/>
                      <w:szCs w:val="24"/>
                      <w:lang w:eastAsia="zh-CN"/>
                    </w:rPr>
                  </w:pPr>
                </w:p>
              </w:sdtContent>
            </w:sdt>
          </w:sdtContent>
        </w:sdt>
        <w:sdt>
          <w:sdtPr>
            <w:alias w:val="signatura"/>
            <w:tag w:val="part_aa0d4cfc87bd41ae9b512779c8a980d3"/>
            <w:lock w:val="sdtLocked"/>
            <w:richText/>
          </w:sdtPr>
          <w:sdtContent>
            <w:p>
              <w:pPr>
                <w:suppressAutoHyphens/>
                <w:jc w:val="both"/>
                <w:rPr>
                  <w:color w:val="000000"/>
                  <w:kern w:val="2"/>
                  <w:szCs w:val="24"/>
                  <w:lang w:eastAsia="lt-LT"/>
                </w:rPr>
              </w:pPr>
              <w:r>
                <w:rPr>
                  <w:kern w:val="2"/>
                  <w:szCs w:val="24"/>
                  <w:lang w:eastAsia="zh-CN"/>
                </w:rPr>
                <w:t xml:space="preserve">Skyriaus vedėja </w:t>
                <w:tab/>
                <w:tab/>
                <w:tab/>
                <w:tab/>
                <w:t xml:space="preserve">                                                        Daina Kinčinaitienė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lang w:val="en-US"/>
      </w:rPr>
      <mc:AlternateContent>
        <mc:Choice Requires="wps">
          <w:drawing>
            <wp:anchor distT="0" distB="0" distL="0" distR="0" simplePos="0" relativeHeight="2" behindDoc="1" locked="0" layoutInCell="1" allowOverlap="1" wp14:anchorId="3A7069D8" wp14:editId="3A7069D9">
              <wp:simplePos x="0" y="0"/>
              <wp:positionH relativeFrom="margin">
                <wp:align>center</wp:align>
              </wp:positionH>
              <wp:positionV relativeFrom="paragraph">
                <wp:posOffset>635</wp:posOffset>
              </wp:positionV>
              <wp:extent cx="76200" cy="170180"/>
              <wp:effectExtent l="0" t="0" r="0" b="0"/>
              <wp:wrapSquare wrapText="largest"/>
              <wp:docPr id="1" name="Frame1"/>
              <wp:cNvGraphicFramePr/>
              <a:graphic xmlns:a="http://schemas.openxmlformats.org/drawingml/2006/main">
                <a:graphicData uri="http://schemas.microsoft.com/office/word/2010/wordprocessingShape">
                  <wps:wsp>
                    <wps:cNvSpPr/>
                    <wps:spPr>
                      <a:xfrm>
                        <a:off x="0" y="0"/>
                        <a:ext cx="75600" cy="169560"/>
                      </a:xfrm>
                      <a:prstGeom prst="rect">
                        <a:avLst/>
                      </a:prstGeom>
                      <a:noFill/>
                      <a:ln>
                        <a:noFill/>
                      </a:ln>
                    </wps:spPr>
                    <wps:style>
                      <a:lnRef idx="0">
                        <a:scrgbClr r="0" g="0" b="0"/>
                      </a:lnRef>
                      <a:fillRef idx="0">
                        <a:scrgbClr r="0" g="0" b="0"/>
                      </a:fillRef>
                      <a:effectRef idx="0">
                        <a:scrgbClr r="0" g="0" b="0"/>
                      </a:effectRef>
                      <a:fontRef idx="minor"/>
                    </wps:style>
                    <wps:txbx>
                      <w:txbxContent>
                        <w:p>
                          <w:pPr>
                            <w:tabs>
                              <w:tab w:val="center" w:pos="4819"/>
                              <w:tab w:val="right" w:pos="9638"/>
                            </w:tabs>
                            <w:spacing w:after="200" w:line="276" w:lineRule="auto"/>
                            <w:rPr>
                              <w:rFonts w:ascii="Calibri" w:eastAsia="Calibri" w:hAnsi="Calibri"/>
                              <w:sz w:val="22"/>
                              <w:szCs w:val="22"/>
                            </w:rPr>
                          </w:pPr>
                          <w:r>
                            <w:rPr>
                              <w:rFonts w:ascii="Calibri" w:eastAsia="Calibri" w:hAnsi="Calibri"/>
                              <w:color w:val="000000"/>
                              <w:sz w:val="22"/>
                              <w:szCs w:val="22"/>
                            </w:rPr>
                            <w:fldChar w:fldCharType="begin"/>
                          </w:r>
                          <w:r>
                            <w:rPr>
                              <w:rFonts w:ascii="Calibri" w:eastAsia="Calibri" w:hAnsi="Calibri"/>
                              <w:sz w:val="22"/>
                              <w:szCs w:val="22"/>
                            </w:rPr>
                            <w:instrText>PAGE</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txbxContent>
                    </wps:txbx>
                    <wps:bodyPr lIns="0" tIns="0" rIns="0" bIns="0">
                      <a:spAutoFit/>
                    </wps:bodyPr>
                  </wps:wsp>
                </a:graphicData>
              </a:graphic>
            </wp:anchor>
          </w:drawing>
        </mc:Choice>
        <mc:Fallback>
          <w:pict>
            <v:rect w14:anchorId="3A7069D8" id="Frame1" o:spid="_x0000_s1026" style="position:absolute;margin-left:0;margin-top:.05pt;width:6pt;height:13.4pt;z-index:-503316478;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BhvTzgEAAAoEAAAOAAAAZHJzL2Uyb0RvYy54bWysU9tu2zAMfR/QfxD03sgpsGwz4hTFihQF hq1Ytw+QZSkWoBsoNXb+fpTsuO321KEvEkXxHJGH1PZ6tIYcJUTtXUPXq4oS6YTvtDs09Pev/eVn SmLiruPGO9nQk4z0enfxYTuEWl753ptOAkESF+shNLRPKdSMRdFLy+PKB+nwUnmwPOERDqwDPiC7 NeyqqjZs8NAF8ELGiN7b6ZLuCr9SUqQfSkWZiGko5pbKCmVt88p2W14fgIdeizkN/h9ZWK4dPrpQ 3fLEyRPof6isFuCjV2klvGVeKS1kqQGrWVd/VfPY8yBLLShODItM8f1oxffjAxDdYe8ocdxii/aA 2zorM4RYY8BjeID5FNHMZY4KbN6xADIWNU+LmnJMRKDz08dNhZILvFlvvuAhU7JnbICY7qS3JBsN BexVkZAfv8U0hZ5D8lPO77Ux6Oe1ca8cyJk9LKc7JVisdDJyiv4pFZZY8syOKODQfjVApjnAQcU0 z9NQyBCQAxU++EbsDMloWcbvjfgFVN73Li14q52HIuGL6rKZxnac29P67oTtNPcORySP+9mAs9HO RtEh3DwlVLWInZkm+KwkDlxp1/w58kS/PJeo5y+8+wMAAP//AwBQSwMEFAAGAAgAAAAhALP3z43Y AAAAAwEAAA8AAABkcnMvZG93bnJldi54bWxMj8FOwzAQRO9I/IO1SFwQdcihakM2FULqDQk1cIDb Nl7iQLyOYrcJfD3OCY6zs5p5U+5m16szj6HzgnC3ykCxNN500iK8vuxvN6BCJDHUe2GEbw6wqy4v SiqMn+TA5zq2KoVIKAjBxjgUWofGsqOw8gNL8j786CgmObbajDSlcNfrPMvW2lEnqcHSwI+Wm6/6 5BD2z28dy48+3Gw3k/9s8vfaPg2I11fzwz2oyHP8e4YFP6FDlZiO/iQmqB4hDYnLVS1entQRIV9v QVel/s9e/QIAAP//AwBQSwECLQAUAAYACAAAACEAtoM4kv4AAADhAQAAEwAAAAAAAAAAAAAAAAAA AAAAW0NvbnRlbnRfVHlwZXNdLnhtbFBLAQItABQABgAIAAAAIQA4/SH/1gAAAJQBAAALAAAAAAAA AAAAAAAAAC8BAABfcmVscy8ucmVsc1BLAQItABQABgAIAAAAIQC4BhvTzgEAAAoEAAAOAAAAAAAA AAAAAAAAAC4CAABkcnMvZTJvRG9jLnhtbFBLAQItABQABgAIAAAAIQCz98+N2AAAAAMBAAAPAAAA AAAAAAAAAAAAACgEAABkcnMvZG93bnJldi54bWxQSwUGAAAAAAQABADzAAAALQUAAAAA " filled="f" stroked="f">
              <v:textbox style="mso-fit-shape-to-text:t" inset="0,0,0,0">
                <w:txbxContent>
                  <w:p w14:paraId="3A7069DA" w14:textId="77777777">
                    <w:pPr>
                      <w:tabs>
                        <w:tab w:val="center" w:leader="none" w:pos="4819"/>
                        <w:tab w:val="right" w:leader="none" w:pos="9638"/>
                      </w:tabs>
                      <w:spacing w:after="200" w:line="276"/>
                      <w:rPr>
                        <w:rFonts w:ascii="Calibri" w:hAnsi="Calibri" w:eastAsia="Calibri" w:cs="Times New Roman"/>
                        <w:sz w:val="22"/>
                        <w:szCs w:val="22"/>
                      </w:rPr>
                    </w:pPr>
                    <w:r>
                      <w:rPr>
                        <w:rFonts w:ascii="Calibri" w:hAnsi="Calibri" w:eastAsia="Calibri" w:cs="Times New Roman"/>
                        <w:color w:val="000000"/>
                        <w:sz w:val="22"/>
                        <w:szCs w:val="22"/>
                      </w:rPr>
                      <w:fldChar w:fldCharType="begin"/>
                    </w:r>
                    <w:r>
                      <w:rPr>
                        <w:rFonts w:ascii="Calibri" w:hAnsi="Calibri" w:eastAsia="Calibri" w:cs="Times New Roman"/>
                        <w:sz w:val="22"/>
                        <w:szCs w:val="22"/>
                      </w:rPr>
                      <w:instrText>PAGE</w:instrText>
                    </w:r>
                    <w:r>
                      <w:rPr>
                        <w:rFonts w:ascii="Calibri" w:hAnsi="Calibri" w:eastAsia="Calibri" w:cs="Times New Roman"/>
                        <w:sz w:val="22"/>
                        <w:szCs w:val="22"/>
                      </w:rPr>
                      <w:fldChar w:fldCharType="separate"/>
                    </w:r>
                    <w:r>
                      <w:rPr>
                        <w:rFonts w:ascii="Calibri" w:hAnsi="Calibri" w:eastAsia="Calibri" w:cs="Times New Roman"/>
                        <w:sz w:val="22"/>
                        <w:szCs w:val="22"/>
                      </w:rPr>
                      <w:t>2</w:t>
                    </w:r>
                    <w:r>
                      <w:rPr>
                        <w:rFonts w:ascii="Calibri" w:hAnsi="Calibri" w:eastAsia="Calibri" w:cs="Times New Roman"/>
                        <w:sz w:val="22"/>
                        <w:szCs w:val="22"/>
                      </w:rPr>
                      <w:fldChar w:fldCharType="end"/>
                    </w:r>
                  </w:p>
                </w:txbxContent>
              </v:textbox>
              <w10:wrap type="square" side="largest" anchorx="margin"/>
            </v:rect>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F8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500DD1-0805-4617-AE53-35DDA3A2F3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9066906">
      <w:bodyDiv w:val="1"/>
      <w:marLeft w:val="0"/>
      <w:marRight w:val="0"/>
      <w:marTop w:val="0"/>
      <w:marBottom w:val="0"/>
      <w:divBdr>
        <w:top w:val="none" w:sz="0" w:space="0" w:color="auto"/>
        <w:left w:val="none" w:sz="0" w:space="0" w:color="auto"/>
        <w:bottom w:val="none" w:sz="0" w:space="0" w:color="auto"/>
        <w:right w:val="none" w:sz="0" w:space="0" w:color="auto"/>
      </w:divBdr>
    </w:div>
    <w:div w:id="17456429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6167cc2b4bc41f1bbeb8f17d3326713" PartId="46041460b9b242db93a18ad20c2bae56">
    <Part Type="skyrius" Nr="999" Title="SPRENDIMO “DĖL ŠIAULIŲ MIESTO KONCERTINĖS ĮSTAIGOS „SAULĖ“ TEIKIAMŲ ATLYGINTINŲ PASLAUGŲ SĄRAŠO PATVIRTINIMO“ PROJEKTO AIŠKINAMASIS RAŠTAS" DocPartId="180252c86d7e46c680f663bc341a7987" PartId="1fed5fec6eac49e5b5694aa76c308042">
      <Part Type="poskyris" Title="Parengto sprendimo projekto tikslai ir uždaviniai." DocPartId="f0f337013ef44bcaae7f71c8262cbd91" PartId="d263cdb94c42413e98da2d2c8c3c03bb"/>
      <Part Type="poskyris" Title="Dabartinis sprendimo projekte aptariamų klausimų reguliavimas." DocPartId="f62904d6a8d84e6cae0fd542600834a8" PartId="8b6033e472cb4bce92ace538ad171df9"/>
      <Part Type="poskyris" Title="Sprendimo projekte numatytos naujos teisinio reglamentavimo nuostatos." DocPartId="c71ee91e1c034cc6be90be210fb45a39" PartId="dbc7c1b9872d4c37b0d36acb0d8763d9"/>
      <Part Type="poskyris" Title="Sprendimui įgyvendinti reikalingi priimti papildomi teisės aktai." DocPartId="c695642e447242eb820e4416af3c954d" PartId="f2e37b7f80f6469ebf9affbea51380a1"/>
      <Part Type="poskyris" Title="Sprendimui įgyvendinti reikalingos lėšos." DocPartId="d8acb6fb6b004e7c8a0e86e4233879fe" PartId="8944d56755014178bff91f3f7061fc2b"/>
      <Part Type="poskyris" Title="Sprendimo projekto antikorupcinis vertinimas." DocPartId="114fe6d57d5c4efc83372db200aa7ca1" PartId="7cb4c3317f1648958675bee292402f42"/>
    </Part>
    <Part Type="signatura" DocPartId="1724a5dad4b446efb4bc89379bf96039" PartId="aa0d4cfc87bd41ae9b512779c8a980d3"/>
  </Part>
</Parts>
</file>

<file path=customXml/itemProps1.xml><?xml version="1.0" encoding="utf-8"?>
<ds:datastoreItem xmlns:ds="http://schemas.openxmlformats.org/officeDocument/2006/customXml" ds:itemID="{88537E6C-5486-400D-BAF0-68B01B3C32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622</Words>
  <Characters>4604</Characters>
  <Application>Microsoft Office Word</Application>
  <DocSecurity>4</DocSecurity>
  <Lines>80</Lines>
  <Paragraphs>35</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5191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2025-02-05T14:37:00Z</dcterms:created>
  <dc:creator>Arunas</dc:creator>
  <dc:language>lt-LT</dc:language>
  <lastModifiedBy>adlibuser</lastModifiedBy>
  <lastPrinted>2024-04-18T08:37:00Z</lastPrinted>
  <dcterms:modified xsi:type="dcterms:W3CDTF">2025-02-05T14:37:00Z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DocumentEncoding">
    <vt:lpwstr>utf-8</vt:lpwstr>
  </property>
  <property fmtid="{D5CDD505-2E9C-101B-9397-08002B2CF9AE}" pid="5" name="HTML">
    <vt:bool>true</vt:bool>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ies>
</file>