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b4dbad8b10043e0b37e5247ce4291c4"/>
        <w:lock w:val="sdtLocked"/>
        <w:richText/>
      </w:sdtPr>
      <w:sdtContent>
        <w:p w14:paraId="2463C950" w14:textId="77777777">
          <w:pPr>
            <w:tabs>
              <w:tab w:val="center" w:pos="4819"/>
              <w:tab w:val="right" w:pos="9638"/>
            </w:tabs>
          </w:pPr>
        </w:p>
        <w:p w14:paraId="1C8D6B8E" w14:textId="77777777">
          <w:pPr>
            <w:jc w:val="center"/>
            <w:rPr>
              <w:bCs/>
              <w:szCs w:val="24"/>
              <w:lang w:eastAsia="lt-LT"/>
            </w:rPr>
          </w:pPr>
        </w:p>
        <w:p w14:paraId="34A3BF8D" w14:textId="4934F6D2">
          <w:pPr>
            <w:ind w:left="7230"/>
            <w:rPr>
              <w:b/>
              <w:bCs/>
              <w:szCs w:val="24"/>
              <w:lang w:eastAsia="lt-LT"/>
            </w:rPr>
          </w:pPr>
          <w:r>
            <w:rPr>
              <w:b/>
              <w:bCs/>
              <w:szCs w:val="24"/>
              <w:lang w:eastAsia="lt-LT"/>
            </w:rPr>
            <w:t>Projekto</w:t>
          </w:r>
        </w:p>
        <w:p w14:paraId="58477A8A" w14:textId="6D48E854">
          <w:pPr>
            <w:ind w:left="7230"/>
            <w:rPr>
              <w:b/>
              <w:bCs/>
              <w:szCs w:val="24"/>
              <w:lang w:eastAsia="lt-LT"/>
            </w:rPr>
          </w:pPr>
          <w:r>
            <w:rPr>
              <w:b/>
              <w:bCs/>
              <w:szCs w:val="24"/>
              <w:lang w:eastAsia="lt-LT"/>
            </w:rPr>
            <w:t>lyginamasis variantas</w:t>
          </w:r>
        </w:p>
        <w:p w14:paraId="79A5A480" w14:textId="77777777">
          <w:pPr>
            <w:jc w:val="center"/>
            <w:rPr>
              <w:bCs/>
              <w:szCs w:val="24"/>
              <w:lang w:eastAsia="lt-LT"/>
            </w:rPr>
          </w:pPr>
        </w:p>
        <w:p w14:paraId="05E0430A" w14:textId="77777777">
          <w:pPr>
            <w:jc w:val="center"/>
            <w:rPr>
              <w:b/>
              <w:bCs/>
              <w:szCs w:val="24"/>
              <w:lang w:eastAsia="lt-LT"/>
            </w:rPr>
          </w:pPr>
          <w:r>
            <w:rPr>
              <w:b/>
              <w:bCs/>
              <w:szCs w:val="24"/>
              <w:lang w:eastAsia="lt-LT"/>
            </w:rPr>
            <w:t>LIETUVOS RESPUBLIKOS</w:t>
          </w:r>
        </w:p>
        <w:p w14:paraId="2DFED110" w14:textId="4B7F92D3">
          <w:pPr>
            <w:jc w:val="center"/>
            <w:rPr>
              <w:b/>
              <w:bCs/>
              <w:szCs w:val="24"/>
              <w:lang w:eastAsia="lt-LT"/>
            </w:rPr>
          </w:pPr>
          <w:r>
            <w:rPr>
              <w:b/>
              <w:bCs/>
              <w:szCs w:val="24"/>
              <w:lang w:eastAsia="lt-LT"/>
            </w:rPr>
            <w:t>BIUDŽETO SANDAROS ĮSTATYMO NR. I-430 4, 5, 6, 18, 19, 21, 26 IR 39 STRAIPSNIŲ PAKEITIMO IR 10</w:t>
          </w:r>
          <w:r>
            <w:rPr>
              <w:b/>
              <w:bCs/>
              <w:szCs w:val="24"/>
              <w:vertAlign w:val="superscript"/>
              <w:lang w:eastAsia="lt-LT"/>
            </w:rPr>
            <w:t>1</w:t>
          </w:r>
          <w:r>
            <w:rPr>
              <w:b/>
              <w:bCs/>
              <w:szCs w:val="24"/>
              <w:lang w:eastAsia="lt-LT"/>
            </w:rPr>
            <w:t> STRAIPSNIO PRIPAŽINIMO NETEKUSIU GALIOS</w:t>
          </w:r>
        </w:p>
        <w:p w14:paraId="50744325" w14:textId="23A716B4">
          <w:pPr>
            <w:jc w:val="center"/>
            <w:rPr>
              <w:b/>
              <w:bCs/>
              <w:szCs w:val="24"/>
              <w:lang w:eastAsia="lt-LT"/>
            </w:rPr>
          </w:pPr>
          <w:r>
            <w:rPr>
              <w:b/>
              <w:bCs/>
              <w:szCs w:val="24"/>
              <w:lang w:eastAsia="lt-LT"/>
            </w:rPr>
            <w:t>ĮSTATYMAS</w:t>
          </w:r>
        </w:p>
        <w:p w14:paraId="1740B71D" w14:textId="77777777">
          <w:pPr>
            <w:jc w:val="center"/>
            <w:rPr>
              <w:bCs/>
              <w:szCs w:val="24"/>
              <w:lang w:eastAsia="lt-LT"/>
            </w:rPr>
          </w:pPr>
        </w:p>
        <w:p w14:paraId="750D1F9B" w14:textId="117FDA83">
          <w:pPr>
            <w:jc w:val="center"/>
            <w:rPr>
              <w:bCs/>
              <w:szCs w:val="24"/>
              <w:lang w:eastAsia="lt-LT"/>
            </w:rPr>
          </w:pPr>
          <w:r>
            <w:rPr>
              <w:bCs/>
              <w:szCs w:val="24"/>
              <w:lang w:eastAsia="lt-LT"/>
            </w:rPr>
            <w:t xml:space="preserve">2023 m.                       d. Nr. </w:t>
          </w:r>
        </w:p>
        <w:p w14:paraId="138264A3" w14:textId="77777777">
          <w:pPr>
            <w:jc w:val="center"/>
            <w:rPr>
              <w:bCs/>
              <w:szCs w:val="24"/>
              <w:lang w:eastAsia="lt-LT"/>
            </w:rPr>
          </w:pPr>
          <w:r>
            <w:rPr>
              <w:bCs/>
              <w:szCs w:val="24"/>
              <w:lang w:eastAsia="lt-LT"/>
            </w:rPr>
            <w:t>Vilnius</w:t>
          </w:r>
        </w:p>
        <w:p w14:paraId="0C5B8747" w14:textId="77777777">
          <w:pPr>
            <w:jc w:val="center"/>
            <w:rPr>
              <w:bCs/>
              <w:szCs w:val="24"/>
              <w:lang w:eastAsia="lt-LT"/>
            </w:rPr>
          </w:pPr>
        </w:p>
        <w:sdt>
          <w:sdtPr>
            <w:alias w:val="1 str."/>
            <w:tag w:val="part_85245dc9869e4ed9af035ec2a67b5094"/>
            <w:lock w:val="sdtLocked"/>
            <w:richText/>
          </w:sdtPr>
          <w:sdtContent>
            <w:p w14:paraId="4FE30F15" w14:textId="52B61ECC">
              <w:pPr>
                <w:ind w:firstLine="720"/>
                <w:jc w:val="both"/>
                <w:rPr>
                  <w:b/>
                  <w:bCs/>
                  <w:color w:val="000000"/>
                  <w:szCs w:val="24"/>
                  <w:lang w:eastAsia="lt-LT"/>
                </w:rPr>
              </w:pPr>
              <w:sdt>
                <w:sdtPr>
                  <w:alias w:val="Numeris"/>
                  <w:tag w:val="nr_85245dc9869e4ed9af035ec2a67b5094"/>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85245dc9869e4ed9af035ec2a67b5094"/>
                  <w:lock w:val="sdtLocked"/>
                  <w:richText/>
                </w:sdtPr>
                <w:sdtContent>
                  <w:r>
                    <w:rPr>
                      <w:b/>
                      <w:bCs/>
                      <w:color w:val="000000"/>
                      <w:szCs w:val="24"/>
                      <w:lang w:eastAsia="lt-LT"/>
                    </w:rPr>
                    <w:t>4 straipsnio pakeitimas</w:t>
                  </w:r>
                </w:sdtContent>
              </w:sdt>
            </w:p>
            <w:sdt>
              <w:sdtPr>
                <w:alias w:val="1 str. 1 d."/>
                <w:tag w:val="part_1929be3b79cb43c6a6022c6f9fd534d4"/>
                <w:lock w:val="sdtLocked"/>
                <w:richText/>
              </w:sdtPr>
              <w:sdtContent>
                <w:p w14:paraId="5F44332F" w14:textId="6A2BFA2A">
                  <w:pPr>
                    <w:ind w:firstLine="720"/>
                    <w:jc w:val="both"/>
                    <w:rPr>
                      <w:bCs/>
                      <w:color w:val="000000"/>
                      <w:szCs w:val="24"/>
                      <w:lang w:eastAsia="lt-LT"/>
                    </w:rPr>
                  </w:pPr>
                  <w:r>
                    <w:rPr>
                      <w:bCs/>
                      <w:color w:val="000000"/>
                      <w:szCs w:val="24"/>
                      <w:lang w:eastAsia="lt-LT"/>
                    </w:rPr>
                    <w:t>Pakeisti 4 straipsnio 2 dalį ir ją išdėstyti taip:</w:t>
                  </w:r>
                </w:p>
                <w:sdt>
                  <w:sdtPr>
                    <w:alias w:val="citata"/>
                    <w:tag w:val="part_5c5037633d2d47a5ab0d01d9bffe3a69"/>
                    <w:lock w:val="sdtLocked"/>
                    <w:richText/>
                  </w:sdtPr>
                  <w:sdtContent>
                    <w:sdt>
                      <w:sdtPr>
                        <w:alias w:val="2 d."/>
                        <w:tag w:val="part_f958eb3406004f2fa3c27a3beb1f1837"/>
                        <w:lock w:val="sdtLocked"/>
                        <w:richText/>
                      </w:sdtPr>
                      <w:sdtContent>
                        <w:p w14:paraId="188EA085" w14:textId="2AA87BD7">
                          <w:pPr>
                            <w:ind w:firstLine="720"/>
                            <w:jc w:val="both"/>
                            <w:rPr>
                              <w:bCs/>
                              <w:color w:val="000000"/>
                              <w:szCs w:val="24"/>
                              <w:lang w:eastAsia="lt-LT"/>
                            </w:rPr>
                          </w:pPr>
                          <w:r>
                            <w:rPr>
                              <w:bCs/>
                              <w:color w:val="000000"/>
                              <w:szCs w:val="24"/>
                              <w:lang w:eastAsia="lt-LT"/>
                            </w:rPr>
                            <w:t>„</w:t>
                          </w:r>
                          <w:sdt>
                            <w:sdtPr>
                              <w:alias w:val="Numeris"/>
                              <w:tag w:val="nr_f958eb3406004f2fa3c27a3beb1f1837"/>
                              <w:lock w:val="sdtLocked"/>
                              <w:richText/>
                            </w:sdtPr>
                            <w:sdtContent>
                              <w:r>
                                <w:rPr>
                                  <w:bCs/>
                                  <w:color w:val="000000"/>
                                  <w:szCs w:val="24"/>
                                  <w:lang w:eastAsia="lt-LT"/>
                                </w:rPr>
                                <w:t>2</w:t>
                              </w:r>
                            </w:sdtContent>
                          </w:sdt>
                          <w:r>
                            <w:rPr>
                              <w:bCs/>
                              <w:color w:val="000000"/>
                              <w:szCs w:val="24"/>
                              <w:lang w:eastAsia="lt-LT"/>
                            </w:rPr>
                            <w:t xml:space="preserve">. Savivaldybių biudžetų asignavimų valdytojai yra savivaldybių biudžetinių įstaigų ar savivaldybės administracijos ir (ar) jos </w:t>
                          </w:r>
                          <w:r>
                            <w:rPr>
                              <w:b/>
                              <w:bCs/>
                              <w:color w:val="000000"/>
                              <w:szCs w:val="24"/>
                              <w:lang w:eastAsia="lt-LT"/>
                            </w:rPr>
                            <w:t xml:space="preserve">struktūrinių </w:t>
                          </w:r>
                          <w:r>
                            <w:rPr>
                              <w:bCs/>
                              <w:color w:val="000000"/>
                              <w:szCs w:val="24"/>
                              <w:lang w:eastAsia="lt-LT"/>
                            </w:rPr>
                            <w:t xml:space="preserve">padalinių, nurodytų savivaldybės tarybos patvirtintame savivaldybės biudžete, vadovai (savivaldybės administracijoje – </w:t>
                          </w:r>
                          <w:r>
                            <w:rPr>
                              <w:b/>
                              <w:bCs/>
                              <w:color w:val="000000"/>
                              <w:szCs w:val="24"/>
                              <w:lang w:eastAsia="lt-LT"/>
                            </w:rPr>
                            <w:t xml:space="preserve">savivaldybės </w:t>
                          </w:r>
                          <w:r>
                            <w:rPr>
                              <w:bCs/>
                              <w:color w:val="000000"/>
                              <w:szCs w:val="24"/>
                              <w:lang w:eastAsia="lt-LT"/>
                            </w:rPr>
                            <w:t xml:space="preserve">administracijos direktorius ar jo įgalioti asmenys, savivaldybės administracijos </w:t>
                          </w:r>
                          <w:r>
                            <w:rPr>
                              <w:b/>
                              <w:bCs/>
                              <w:color w:val="000000"/>
                              <w:szCs w:val="24"/>
                              <w:lang w:eastAsia="lt-LT"/>
                            </w:rPr>
                            <w:t>struktūriniuose</w:t>
                          </w:r>
                          <w:r>
                            <w:rPr>
                              <w:bCs/>
                              <w:color w:val="000000"/>
                              <w:szCs w:val="24"/>
                              <w:lang w:eastAsia="lt-LT"/>
                            </w:rPr>
                            <w:t xml:space="preserve"> padaliniuose – </w:t>
                          </w:r>
                          <w:r>
                            <w:rPr>
                              <w:b/>
                              <w:bCs/>
                              <w:color w:val="000000"/>
                              <w:szCs w:val="24"/>
                              <w:lang w:eastAsia="lt-LT"/>
                            </w:rPr>
                            <w:t>struktūrinių</w:t>
                          </w:r>
                          <w:r>
                            <w:rPr>
                              <w:bCs/>
                              <w:color w:val="000000"/>
                              <w:szCs w:val="24"/>
                              <w:lang w:eastAsia="lt-LT"/>
                            </w:rPr>
                            <w:t xml:space="preserve"> padalinių vadovai ar jų įgalioti asmenys).“</w:t>
                          </w:r>
                        </w:p>
                        <w:p w14:paraId="32B0C29E" w14:textId="77777777">
                          <w:pPr>
                            <w:ind w:firstLine="720"/>
                            <w:jc w:val="both"/>
                            <w:rPr>
                              <w:bCs/>
                              <w:color w:val="000000"/>
                              <w:szCs w:val="24"/>
                              <w:lang w:eastAsia="lt-LT"/>
                            </w:rPr>
                          </w:pPr>
                        </w:p>
                      </w:sdtContent>
                    </w:sdt>
                  </w:sdtContent>
                </w:sdt>
              </w:sdtContent>
            </w:sdt>
          </w:sdtContent>
        </w:sdt>
        <w:sdt>
          <w:sdtPr>
            <w:alias w:val="2 str."/>
            <w:tag w:val="part_ce980fcb81bb40ef90d88c006cda3b0d"/>
            <w:lock w:val="sdtLocked"/>
            <w:richText/>
          </w:sdtPr>
          <w:sdtContent>
            <w:p w14:paraId="28690891" w14:textId="14D3AD37">
              <w:pPr>
                <w:ind w:firstLine="720"/>
                <w:jc w:val="both"/>
                <w:rPr>
                  <w:b/>
                  <w:bCs/>
                  <w:color w:val="000000"/>
                  <w:szCs w:val="24"/>
                  <w:lang w:eastAsia="lt-LT"/>
                </w:rPr>
              </w:pPr>
              <w:sdt>
                <w:sdtPr>
                  <w:alias w:val="Numeris"/>
                  <w:tag w:val="nr_ce980fcb81bb40ef90d88c006cda3b0d"/>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ce980fcb81bb40ef90d88c006cda3b0d"/>
                  <w:lock w:val="sdtLocked"/>
                  <w:richText/>
                </w:sdtPr>
                <w:sdtContent>
                  <w:r>
                    <w:rPr>
                      <w:b/>
                      <w:bCs/>
                      <w:color w:val="000000"/>
                      <w:szCs w:val="24"/>
                      <w:lang w:eastAsia="lt-LT"/>
                    </w:rPr>
                    <w:t>5 straipsnio pakeitimas</w:t>
                  </w:r>
                </w:sdtContent>
              </w:sdt>
            </w:p>
            <w:sdt>
              <w:sdtPr>
                <w:alias w:val="2 str. 1 d."/>
                <w:tag w:val="part_d9a316670de24678b077367e6836b239"/>
                <w:lock w:val="sdtLocked"/>
                <w:richText/>
              </w:sdtPr>
              <w:sdtContent>
                <w:p w14:paraId="435DD88A" w14:textId="06103CBF">
                  <w:pPr>
                    <w:ind w:firstLine="720"/>
                    <w:jc w:val="both"/>
                    <w:rPr>
                      <w:bCs/>
                      <w:color w:val="000000"/>
                      <w:szCs w:val="24"/>
                      <w:lang w:eastAsia="lt-LT"/>
                    </w:rPr>
                  </w:pPr>
                  <w:sdt>
                    <w:sdtPr>
                      <w:alias w:val="Numeris"/>
                      <w:tag w:val="nr_d9a316670de24678b077367e6836b239"/>
                      <w:lock w:val="sdtLocked"/>
                      <w:richText/>
                    </w:sdtPr>
                    <w:sdtContent>
                      <w:r>
                        <w:rPr>
                          <w:bCs/>
                          <w:color w:val="000000"/>
                          <w:szCs w:val="24"/>
                          <w:lang w:eastAsia="lt-LT"/>
                        </w:rPr>
                        <w:t>1</w:t>
                      </w:r>
                    </w:sdtContent>
                  </w:sdt>
                  <w:r>
                    <w:rPr>
                      <w:bCs/>
                      <w:color w:val="000000"/>
                      <w:szCs w:val="24"/>
                      <w:lang w:eastAsia="lt-LT"/>
                    </w:rPr>
                    <w:t>. Pakeisti 5 straipsnio 1 dalies 1 punktą ir jį išdėstyti taip:</w:t>
                  </w:r>
                </w:p>
                <w:sdt>
                  <w:sdtPr>
                    <w:alias w:val="citata"/>
                    <w:tag w:val="part_89a92b4387444cc59ff0b2de9a2fd033"/>
                    <w:lock w:val="sdtLocked"/>
                    <w:richText/>
                  </w:sdtPr>
                  <w:sdtContent>
                    <w:sdt>
                      <w:sdtPr>
                        <w:alias w:val="1 p."/>
                        <w:tag w:val="part_c95efba1ea1c4cbfb17e6add84e9dde2"/>
                        <w:lock w:val="sdtLocked"/>
                        <w:richText/>
                      </w:sdtPr>
                      <w:sdtContent>
                        <w:p w14:paraId="1CC429BB" w14:textId="37C38864">
                          <w:pPr>
                            <w:ind w:firstLine="720"/>
                            <w:jc w:val="both"/>
                            <w:rPr>
                              <w:bCs/>
                              <w:color w:val="000000"/>
                              <w:szCs w:val="24"/>
                              <w:lang w:eastAsia="lt-LT"/>
                            </w:rPr>
                          </w:pPr>
                          <w:r>
                            <w:rPr>
                              <w:bCs/>
                              <w:color w:val="000000"/>
                              <w:szCs w:val="24"/>
                              <w:lang w:eastAsia="lt-LT"/>
                            </w:rPr>
                            <w:t>„</w:t>
                          </w:r>
                          <w:sdt>
                            <w:sdtPr>
                              <w:alias w:val="Numeris"/>
                              <w:tag w:val="nr_c95efba1ea1c4cbfb17e6add84e9dde2"/>
                              <w:lock w:val="sdtLocked"/>
                              <w:richText/>
                            </w:sdtPr>
                            <w:sdtContent>
                              <w:r>
                                <w:rPr>
                                  <w:bCs/>
                                  <w:color w:val="000000"/>
                                  <w:szCs w:val="24"/>
                                  <w:lang w:eastAsia="lt-LT"/>
                                </w:rPr>
                                <w:t>1</w:t>
                              </w:r>
                            </w:sdtContent>
                          </w:sdt>
                          <w:r>
                            <w:rPr>
                              <w:bCs/>
                              <w:color w:val="000000"/>
                              <w:szCs w:val="24"/>
                              <w:lang w:eastAsia="lt-LT"/>
                            </w:rPr>
                            <w:t xml:space="preserve">) naudoti skirtus asignavimus savo vadovaujamos įstaigos programoms vykdyti, paskirstyti juos pavaldžioms biudžetinėms įstaigoms ir kitiems subjektams, kuriems galimybė biudžeto lėšas gauti numatyta jų veiklos sritį reglamentuojančiuose įstatymuose, Vyriausybės nutarimuose, priimtuose vadovaujantis Strateginio valdymo įstatymu, </w:t>
                          </w:r>
                          <w:r>
                            <w:rPr>
                              <w:b/>
                              <w:bCs/>
                              <w:color w:val="000000"/>
                              <w:szCs w:val="24"/>
                              <w:lang w:eastAsia="lt-LT"/>
                            </w:rPr>
                            <w:t>Lietuvos Respublikos viešojo administravimo įstatymu</w:t>
                          </w:r>
                          <w:r>
                            <w:rPr>
                              <w:bCs/>
                              <w:color w:val="000000"/>
                              <w:szCs w:val="24"/>
                              <w:lang w:eastAsia="lt-LT"/>
                            </w:rPr>
                            <w:t xml:space="preserve"> arba </w:t>
                          </w:r>
                          <w:r>
                            <w:rPr>
                              <w:bCs/>
                              <w:strike/>
                              <w:color w:val="000000"/>
                              <w:szCs w:val="24"/>
                              <w:lang w:eastAsia="lt-LT"/>
                            </w:rPr>
                            <w:t>Vyriausybės nutarimuose, priimtuose vadovaujantis</w:t>
                          </w:r>
                          <w:r>
                            <w:rPr>
                              <w:bCs/>
                              <w:color w:val="000000"/>
                              <w:szCs w:val="24"/>
                              <w:lang w:eastAsia="lt-LT"/>
                            </w:rPr>
                            <w:t xml:space="preserve"> tiesiogiai taikomais Europos Sąjungos teisės aktais ir tarptautinėmis sutartimis, nustatančiais Europos Sąjungos ar atskirų valstybių finansinės paramos, teikiamos Lietuvai, administravimo tvarką (toliau – kiti subjektai), programoms vykdyti;“.</w:t>
                          </w:r>
                        </w:p>
                      </w:sdtContent>
                    </w:sdt>
                  </w:sdtContent>
                </w:sdt>
              </w:sdtContent>
            </w:sdt>
            <w:sdt>
              <w:sdtPr>
                <w:alias w:val="2 str. 2 d."/>
                <w:tag w:val="part_d8f1f7d8f16547c987e520058c6bd9f0"/>
                <w:lock w:val="sdtLocked"/>
                <w:richText/>
              </w:sdtPr>
              <w:sdtContent>
                <w:p w14:paraId="607A6B94" w14:textId="3AD1877C">
                  <w:pPr>
                    <w:ind w:firstLine="720"/>
                    <w:jc w:val="both"/>
                    <w:rPr>
                      <w:bCs/>
                      <w:color w:val="000000"/>
                      <w:szCs w:val="24"/>
                      <w:lang w:eastAsia="lt-LT"/>
                    </w:rPr>
                  </w:pPr>
                  <w:sdt>
                    <w:sdtPr>
                      <w:alias w:val="Numeris"/>
                      <w:tag w:val="nr_d8f1f7d8f16547c987e520058c6bd9f0"/>
                      <w:lock w:val="sdtLocked"/>
                      <w:richText/>
                    </w:sdtPr>
                    <w:sdtContent>
                      <w:r>
                        <w:rPr>
                          <w:bCs/>
                          <w:color w:val="000000"/>
                          <w:szCs w:val="24"/>
                          <w:lang w:eastAsia="lt-LT"/>
                        </w:rPr>
                        <w:t>2</w:t>
                      </w:r>
                    </w:sdtContent>
                  </w:sdt>
                  <w:r>
                    <w:rPr>
                      <w:bCs/>
                      <w:color w:val="000000"/>
                      <w:szCs w:val="24"/>
                      <w:lang w:eastAsia="lt-LT"/>
                    </w:rPr>
                    <w:t>. Pakeisti 5 straipsnio 1 dalies 3 punktą ir jį išdėstyti taip:</w:t>
                  </w:r>
                </w:p>
                <w:sdt>
                  <w:sdtPr>
                    <w:alias w:val="citata"/>
                    <w:tag w:val="part_8ba30508dac24e0d986116719af19c43"/>
                    <w:lock w:val="sdtLocked"/>
                    <w:richText/>
                  </w:sdtPr>
                  <w:sdtContent>
                    <w:sdt>
                      <w:sdtPr>
                        <w:alias w:val="3 p."/>
                        <w:tag w:val="part_b98495f3fa3b42a0b3076f68e8f0b14a"/>
                        <w:lock w:val="sdtLocked"/>
                        <w:richText/>
                      </w:sdtPr>
                      <w:sdtContent>
                        <w:p w14:paraId="2BEF1B1E" w14:textId="2523DB40">
                          <w:pPr>
                            <w:ind w:firstLine="720"/>
                            <w:jc w:val="both"/>
                            <w:rPr>
                              <w:szCs w:val="24"/>
                              <w:lang w:eastAsia="lt-LT"/>
                            </w:rPr>
                          </w:pPr>
                          <w:r>
                            <w:rPr>
                              <w:spacing w:val="-2"/>
                              <w:szCs w:val="24"/>
                              <w:lang w:eastAsia="lt-LT"/>
                            </w:rPr>
                            <w:t>„</w:t>
                          </w:r>
                          <w:sdt>
                            <w:sdtPr>
                              <w:alias w:val="Numeris"/>
                              <w:tag w:val="nr_b98495f3fa3b42a0b3076f68e8f0b14a"/>
                              <w:lock w:val="sdtLocked"/>
                              <w:richText/>
                            </w:sdtPr>
                            <w:sdtContent>
                              <w:r>
                                <w:rPr>
                                  <w:spacing w:val="-2"/>
                                  <w:szCs w:val="24"/>
                                  <w:lang w:eastAsia="lt-LT"/>
                                </w:rPr>
                                <w:t>3</w:t>
                              </w:r>
                            </w:sdtContent>
                          </w:sdt>
                          <w:r>
                            <w:rPr>
                              <w:spacing w:val="-2"/>
                              <w:szCs w:val="24"/>
                              <w:lang w:eastAsia="lt-LT"/>
                            </w:rPr>
                            <w:t>) </w:t>
                          </w:r>
                          <w:r>
                            <w:rPr>
                              <w:szCs w:val="24"/>
                              <w:lang w:eastAsia="lt-LT"/>
                            </w:rPr>
                            <w:t xml:space="preserve">nustatyti ir tvirtinti vadovaujamos biudžetinės įstaigos ir (ar) pavaldžių biudžetinių įstaigų bei kitų subjektų programų sąmatas pagal ekonominės klasifikacijos straipsnius, neviršydami šioms programoms patvirtintų </w:t>
                          </w:r>
                          <w:r>
                            <w:rPr>
                              <w:strike/>
                              <w:szCs w:val="24"/>
                              <w:lang w:eastAsia="lt-LT"/>
                            </w:rPr>
                            <w:t>bendrųjų</w:t>
                          </w:r>
                          <w:r>
                            <w:rPr>
                              <w:szCs w:val="24"/>
                              <w:lang w:eastAsia="lt-LT"/>
                            </w:rPr>
                            <w:t xml:space="preserve"> asignavimų</w:t>
                          </w:r>
                          <w:r>
                            <w:rPr>
                              <w:strike/>
                              <w:szCs w:val="24"/>
                              <w:lang w:eastAsia="lt-LT"/>
                            </w:rPr>
                            <w:t xml:space="preserve">, </w:t>
                          </w:r>
                          <w:r>
                            <w:rPr>
                              <w:strike/>
                              <w:spacing w:val="-2"/>
                              <w:szCs w:val="24"/>
                              <w:lang w:eastAsia="lt-LT"/>
                            </w:rPr>
                            <w:t>iš jų</w:t>
                          </w:r>
                          <w:r>
                            <w:rPr>
                              <w:strike/>
                              <w:szCs w:val="24"/>
                              <w:lang w:eastAsia="lt-LT"/>
                            </w:rPr>
                            <w:t xml:space="preserve"> darbo užmokesčiui,</w:t>
                          </w:r>
                          <w:r>
                            <w:rPr>
                              <w:szCs w:val="24"/>
                              <w:lang w:eastAsia="lt-LT"/>
                            </w:rPr>
                            <w:t xml:space="preserve"> sumų. Asignavimų valdytojai, kurių vadovaujamose biudžetinėse įstaigose yra kolegialus valdymo organas, programų sąmatas tvirtina gavę kolegialaus valdymo organo pritarimą;“.</w:t>
                          </w:r>
                        </w:p>
                      </w:sdtContent>
                    </w:sdt>
                  </w:sdtContent>
                </w:sdt>
              </w:sdtContent>
            </w:sdt>
            <w:sdt>
              <w:sdtPr>
                <w:alias w:val="2 str. 3 d."/>
                <w:tag w:val="part_034122a8d061402e92ff1a9d55324e37"/>
                <w:lock w:val="sdtLocked"/>
                <w:richText/>
              </w:sdtPr>
              <w:sdtContent>
                <w:p w14:paraId="7AFB92C1" w14:textId="0BC83861">
                  <w:pPr>
                    <w:ind w:firstLine="720"/>
                    <w:jc w:val="both"/>
                    <w:rPr>
                      <w:bCs/>
                      <w:szCs w:val="24"/>
                      <w:lang w:eastAsia="lt-LT"/>
                    </w:rPr>
                  </w:pPr>
                  <w:sdt>
                    <w:sdtPr>
                      <w:alias w:val="Numeris"/>
                      <w:tag w:val="nr_034122a8d061402e92ff1a9d55324e37"/>
                      <w:lock w:val="sdtLocked"/>
                      <w:richText/>
                    </w:sdtPr>
                    <w:sdtContent>
                      <w:r>
                        <w:rPr>
                          <w:bCs/>
                          <w:szCs w:val="24"/>
                          <w:lang w:eastAsia="lt-LT"/>
                        </w:rPr>
                        <w:t>3</w:t>
                      </w:r>
                    </w:sdtContent>
                  </w:sdt>
                  <w:r>
                    <w:rPr>
                      <w:bCs/>
                      <w:szCs w:val="24"/>
                      <w:lang w:eastAsia="lt-LT"/>
                    </w:rPr>
                    <w:t>. Pakeisti 5 straipsnio 2 dalies 3 punktą ir jį išdėstyti taip:</w:t>
                  </w:r>
                </w:p>
                <w:sdt>
                  <w:sdtPr>
                    <w:alias w:val="citata"/>
                    <w:tag w:val="part_17575bf74762433f8c3e5e5eb29f1cb3"/>
                    <w:lock w:val="sdtLocked"/>
                    <w:richText/>
                  </w:sdtPr>
                  <w:sdtContent>
                    <w:sdt>
                      <w:sdtPr>
                        <w:alias w:val="3 p."/>
                        <w:tag w:val="part_be9af07896d14133b25a735a55d83587"/>
                        <w:lock w:val="sdtLocked"/>
                        <w:richText/>
                      </w:sdtPr>
                      <w:sdtContent>
                        <w:p w14:paraId="3062B6DE" w14:textId="1BF4E364">
                          <w:pPr>
                            <w:ind w:firstLine="720"/>
                            <w:jc w:val="both"/>
                            <w:rPr>
                              <w:szCs w:val="24"/>
                              <w:lang w:eastAsia="lt-LT"/>
                            </w:rPr>
                          </w:pPr>
                          <w:r>
                            <w:rPr>
                              <w:spacing w:val="-2"/>
                              <w:szCs w:val="24"/>
                              <w:lang w:eastAsia="lt-LT"/>
                            </w:rPr>
                            <w:t>„</w:t>
                          </w:r>
                          <w:sdt>
                            <w:sdtPr>
                              <w:alias w:val="Numeris"/>
                              <w:tag w:val="nr_be9af07896d14133b25a735a55d83587"/>
                              <w:lock w:val="sdtLocked"/>
                              <w:richText/>
                            </w:sdtPr>
                            <w:sdtContent>
                              <w:r>
                                <w:rPr>
                                  <w:spacing w:val="-2"/>
                                  <w:szCs w:val="24"/>
                                  <w:lang w:eastAsia="lt-LT"/>
                                </w:rPr>
                                <w:t>3</w:t>
                              </w:r>
                            </w:sdtContent>
                          </w:sdt>
                          <w:r>
                            <w:rPr>
                              <w:spacing w:val="-2"/>
                              <w:szCs w:val="24"/>
                              <w:lang w:eastAsia="lt-LT"/>
                            </w:rPr>
                            <w:t>) </w:t>
                          </w:r>
                          <w:r>
                            <w:rPr>
                              <w:szCs w:val="24"/>
                              <w:lang w:eastAsia="lt-LT"/>
                            </w:rPr>
                            <w:t xml:space="preserve">nustatyti ir tvirtinti pavaldžių biudžetinių įstaigų programų sąmatas pagal ekonominės klasifikacijos straipsnius, neviršydami šioms programoms asignavimų valdytojo skirtų </w:t>
                          </w:r>
                          <w:r>
                            <w:rPr>
                              <w:strike/>
                              <w:szCs w:val="24"/>
                              <w:lang w:eastAsia="lt-LT"/>
                            </w:rPr>
                            <w:t>bendrųjų</w:t>
                          </w:r>
                          <w:r>
                            <w:rPr>
                              <w:szCs w:val="24"/>
                              <w:lang w:eastAsia="lt-LT"/>
                            </w:rPr>
                            <w:t xml:space="preserve"> asignavimų</w:t>
                          </w:r>
                          <w:r>
                            <w:rPr>
                              <w:strike/>
                              <w:szCs w:val="24"/>
                              <w:lang w:eastAsia="lt-LT"/>
                            </w:rPr>
                            <w:t>, iš jų darbo užmokesčiui,</w:t>
                          </w:r>
                          <w:r>
                            <w:rPr>
                              <w:szCs w:val="24"/>
                              <w:lang w:eastAsia="lt-LT"/>
                            </w:rPr>
                            <w:t xml:space="preserve"> sumų;“.</w:t>
                          </w:r>
                        </w:p>
                        <w:p w14:paraId="5A4812CC" w14:textId="13DBD0D3">
                          <w:pPr>
                            <w:ind w:firstLine="720"/>
                            <w:rPr>
                              <w:szCs w:val="24"/>
                              <w:lang w:eastAsia="lt-LT"/>
                            </w:rPr>
                          </w:pPr>
                        </w:p>
                      </w:sdtContent>
                    </w:sdt>
                  </w:sdtContent>
                </w:sdt>
              </w:sdtContent>
            </w:sdt>
          </w:sdtContent>
        </w:sdt>
        <w:sdt>
          <w:sdtPr>
            <w:alias w:val="3 str."/>
            <w:tag w:val="part_819e309464a344efa84ecf59f7a4f5f9"/>
            <w:lock w:val="sdtLocked"/>
            <w:richText/>
          </w:sdtPr>
          <w:sdtContent>
            <w:p w14:paraId="70736FA8" w14:textId="4320A885">
              <w:pPr>
                <w:ind w:firstLine="720"/>
                <w:jc w:val="both"/>
                <w:rPr>
                  <w:b/>
                  <w:bCs/>
                  <w:color w:val="000000"/>
                  <w:szCs w:val="24"/>
                  <w:lang w:eastAsia="lt-LT"/>
                </w:rPr>
              </w:pPr>
              <w:sdt>
                <w:sdtPr>
                  <w:alias w:val="Numeris"/>
                  <w:tag w:val="nr_819e309464a344efa84ecf59f7a4f5f9"/>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819e309464a344efa84ecf59f7a4f5f9"/>
                  <w:lock w:val="sdtLocked"/>
                  <w:richText/>
                </w:sdtPr>
                <w:sdtContent>
                  <w:r>
                    <w:rPr>
                      <w:b/>
                      <w:bCs/>
                      <w:color w:val="000000"/>
                      <w:szCs w:val="24"/>
                      <w:lang w:eastAsia="lt-LT"/>
                    </w:rPr>
                    <w:t>6 straipsnio pakeitimas</w:t>
                  </w:r>
                </w:sdtContent>
              </w:sdt>
            </w:p>
            <w:sdt>
              <w:sdtPr>
                <w:alias w:val="3 str. 1 d."/>
                <w:tag w:val="part_3dead230b45b45809101adde63f06a4f"/>
                <w:lock w:val="sdtLocked"/>
                <w:richText/>
              </w:sdtPr>
              <w:sdtContent>
                <w:p w14:paraId="178F8388" w14:textId="7743D2F4">
                  <w:pPr>
                    <w:ind w:firstLine="720"/>
                    <w:jc w:val="both"/>
                    <w:rPr>
                      <w:bCs/>
                      <w:color w:val="000000"/>
                      <w:szCs w:val="24"/>
                      <w:lang w:eastAsia="lt-LT"/>
                    </w:rPr>
                  </w:pPr>
                  <w:r>
                    <w:rPr>
                      <w:bCs/>
                      <w:color w:val="000000"/>
                      <w:szCs w:val="24"/>
                      <w:lang w:eastAsia="lt-LT"/>
                    </w:rPr>
                    <w:t>Pakeisti 6 straipsnio 1 punktą ir jį išdėstyti taip:</w:t>
                  </w:r>
                </w:p>
                <w:sdt>
                  <w:sdtPr>
                    <w:alias w:val="citata"/>
                    <w:tag w:val="part_7e18e1fa612144769db4b75bf5a69812"/>
                    <w:lock w:val="sdtLocked"/>
                    <w:richText/>
                  </w:sdtPr>
                  <w:sdtContent>
                    <w:sdt>
                      <w:sdtPr>
                        <w:alias w:val="1 p."/>
                        <w:tag w:val="part_286cda9d0c43413399f1c47ea73cb4b6"/>
                        <w:lock w:val="sdtLocked"/>
                        <w:richText/>
                      </w:sdtPr>
                      <w:sdtContent>
                        <w:p w14:paraId="276A9C77" w14:textId="063B6EAA">
                          <w:pPr>
                            <w:ind w:firstLine="720"/>
                            <w:jc w:val="both"/>
                            <w:rPr>
                              <w:szCs w:val="24"/>
                              <w:lang w:eastAsia="lt-LT"/>
                            </w:rPr>
                          </w:pPr>
                          <w:r>
                            <w:rPr>
                              <w:szCs w:val="24"/>
                              <w:lang w:eastAsia="lt-LT"/>
                            </w:rPr>
                            <w:t>„</w:t>
                          </w:r>
                          <w:sdt>
                            <w:sdtPr>
                              <w:alias w:val="Numeris"/>
                              <w:tag w:val="nr_286cda9d0c43413399f1c47ea73cb4b6"/>
                              <w:lock w:val="sdtLocked"/>
                              <w:richText/>
                            </w:sdtPr>
                            <w:sdtContent>
                              <w:r>
                                <w:rPr>
                                  <w:szCs w:val="24"/>
                                  <w:lang w:eastAsia="lt-LT"/>
                                </w:rPr>
                                <w:t>1</w:t>
                              </w:r>
                            </w:sdtContent>
                          </w:sdt>
                          <w:r>
                            <w:rPr>
                              <w:szCs w:val="24"/>
                              <w:lang w:eastAsia="lt-LT"/>
                            </w:rPr>
                            <w:t xml:space="preserve">) biudžetiniais metais keisti patvirtintų jo vadovaujamos įstaigos, jam pavaldžių biudžetinių įstaigų ir kitų subjektų vykdomoms programoms patvirtintų biudžetų lėšų pagal ekonominę klasifikaciją paskirtį (valstybės biudžeto asignavimų valdytojas Vyriausybės nustatyta tvarka praneša apie tai Finansų ministerijai, o savivaldybės biudžeto asignavimų valdytojas – savivaldybės administracijai jos nustatyta tvarka), neviršydamas patvirtintų tam tikrai programai </w:t>
                          </w:r>
                          <w:r>
                            <w:rPr>
                              <w:strike/>
                              <w:szCs w:val="24"/>
                              <w:lang w:eastAsia="lt-LT"/>
                            </w:rPr>
                            <w:t>bendrųjų</w:t>
                          </w:r>
                          <w:r>
                            <w:rPr>
                              <w:szCs w:val="24"/>
                              <w:lang w:eastAsia="lt-LT"/>
                            </w:rPr>
                            <w:t xml:space="preserve"> asignavimų</w:t>
                          </w:r>
                          <w:r>
                            <w:rPr>
                              <w:strike/>
                              <w:szCs w:val="24"/>
                              <w:lang w:eastAsia="lt-LT"/>
                            </w:rPr>
                            <w:t>, iš jų darbo užmokesčiui,</w:t>
                          </w:r>
                          <w:r>
                            <w:rPr>
                              <w:szCs w:val="24"/>
                              <w:lang w:eastAsia="lt-LT"/>
                            </w:rPr>
                            <w:t xml:space="preserve"> sumų. </w:t>
                          </w:r>
                          <w:r>
                            <w:rPr>
                              <w:strike/>
                              <w:szCs w:val="24"/>
                              <w:lang w:eastAsia="lt-LT"/>
                            </w:rPr>
                            <w:t>Asignavimai darbo užmokesčiui yra maksimalūs ir gali būti naudojami tik su darbo užmokesčiu susijusioms išlaidoms ir darbdavių išmokoms, kurios pervedamos ne per socialinio draudimo sistemą, finansuoti.</w:t>
                          </w:r>
                          <w:r>
                            <w:rPr>
                              <w:szCs w:val="24"/>
                              <w:lang w:eastAsia="lt-LT"/>
                            </w:rPr>
                            <w:t xml:space="preserve"> </w:t>
                          </w:r>
                          <w:r>
                            <w:rPr>
                              <w:b/>
                              <w:bCs/>
                              <w:szCs w:val="24"/>
                              <w:lang w:eastAsia="lt-LT"/>
                            </w:rPr>
                            <w:t>Asignavimus darbo užmokesčiui asignavimų valdytojas gali</w:t>
                          </w:r>
                          <w:r>
                            <w:rPr>
                              <w:szCs w:val="24"/>
                              <w:lang w:eastAsia="lt-LT"/>
                            </w:rPr>
                            <w:t xml:space="preserve"> </w:t>
                          </w:r>
                          <w:r>
                            <w:rPr>
                              <w:b/>
                              <w:bCs/>
                              <w:szCs w:val="24"/>
                              <w:lang w:eastAsia="lt-LT"/>
                            </w:rPr>
                            <w:t>didinti tik iš sutaupytų asignavimų ir tik tais atvejais, jei toks padidinimas nelemia papildomo asignavimų poreikio kitais biudžetiniais metais.</w:t>
                          </w:r>
                          <w:r>
                            <w:rPr>
                              <w:szCs w:val="24"/>
                              <w:lang w:eastAsia="lt-LT"/>
                            </w:rPr>
                            <w:t xml:space="preserve"> Nepanaudota asignavimų tęstinei veiklai</w:t>
                          </w:r>
                          <w:r>
                            <w:rPr>
                              <w:strike/>
                              <w:szCs w:val="24"/>
                              <w:lang w:eastAsia="lt-LT"/>
                            </w:rPr>
                            <w:t>, išskyrus asignavimus darbo užmokesčiui,</w:t>
                          </w:r>
                          <w:r>
                            <w:rPr>
                              <w:szCs w:val="24"/>
                              <w:lang w:eastAsia="lt-LT"/>
                            </w:rPr>
                            <w:t xml:space="preserve"> suma, jeigu nėra įsiskolinimų, gali būti naudojama</w:t>
                          </w:r>
                          <w:r>
                            <w:rPr>
                              <w:bCs/>
                              <w:szCs w:val="24"/>
                              <w:lang w:eastAsia="lt-LT"/>
                            </w:rPr>
                            <w:t xml:space="preserve"> </w:t>
                          </w:r>
                          <w:r>
                            <w:rPr>
                              <w:szCs w:val="24"/>
                              <w:lang w:eastAsia="lt-LT"/>
                            </w:rPr>
                            <w:t xml:space="preserve">investicijų projektams, kurie finansuojami iš tęstinės veiklos lėšų, </w:t>
                          </w:r>
                          <w:r>
                            <w:rPr>
                              <w:strike/>
                              <w:szCs w:val="24"/>
                              <w:lang w:eastAsia="lt-LT"/>
                            </w:rPr>
                            <w:t>o kai investicijų projektų nėra, –</w:t>
                          </w:r>
                          <w:r>
                            <w:rPr>
                              <w:szCs w:val="24"/>
                              <w:lang w:eastAsia="lt-LT"/>
                            </w:rPr>
                            <w:t xml:space="preserve"> </w:t>
                          </w:r>
                          <w:r>
                            <w:rPr>
                              <w:b/>
                              <w:bCs/>
                              <w:szCs w:val="24"/>
                              <w:lang w:eastAsia="lt-LT"/>
                            </w:rPr>
                            <w:t xml:space="preserve">arba </w:t>
                          </w:r>
                          <w:r>
                            <w:rPr>
                              <w:szCs w:val="24"/>
                              <w:lang w:eastAsia="lt-LT"/>
                            </w:rPr>
                            <w:t xml:space="preserve">pažangos priemonėms, jeigu </w:t>
                          </w:r>
                          <w:r>
                            <w:rPr>
                              <w:strike/>
                              <w:szCs w:val="24"/>
                              <w:lang w:eastAsia="lt-LT"/>
                            </w:rPr>
                            <w:t>investicijų projektams ar</w:t>
                          </w:r>
                          <w:r>
                            <w:rPr>
                              <w:szCs w:val="24"/>
                              <w:lang w:eastAsia="lt-LT"/>
                            </w:rPr>
                            <w:t xml:space="preserve"> pažangos priemonėms numatyta skirti lėšų atitinkamų metų valstybės arba savivaldybių biudžetuose, papildomai finansuoti, išskyrus kituose įstatymuose, reglamentuojančiuose savivaldybių biudžetų lėšų naudojimą, nustatytus atvejus;“.</w:t>
                          </w:r>
                        </w:p>
                        <w:p w14:paraId="05E04638" w14:textId="77777777">
                          <w:pPr>
                            <w:ind w:firstLine="720"/>
                            <w:jc w:val="both"/>
                            <w:rPr>
                              <w:rFonts w:eastAsia="Calibri"/>
                              <w:szCs w:val="24"/>
                            </w:rPr>
                          </w:pPr>
                        </w:p>
                      </w:sdtContent>
                    </w:sdt>
                  </w:sdtContent>
                </w:sdt>
              </w:sdtContent>
            </w:sdt>
          </w:sdtContent>
        </w:sdt>
        <w:sdt>
          <w:sdtPr>
            <w:alias w:val="4 str."/>
            <w:tag w:val="part_f64524e3a3294c3fb01d4296c8f29ec8"/>
            <w:lock w:val="sdtLocked"/>
            <w:richText/>
          </w:sdtPr>
          <w:sdtContent>
            <w:p w14:paraId="1E9DEEFE" w14:textId="7A6336B4">
              <w:pPr>
                <w:ind w:firstLine="720"/>
                <w:jc w:val="both"/>
                <w:rPr>
                  <w:rFonts w:eastAsia="Calibri"/>
                  <w:b/>
                  <w:bCs/>
                  <w:szCs w:val="24"/>
                </w:rPr>
              </w:pPr>
              <w:sdt>
                <w:sdtPr>
                  <w:alias w:val="Numeris"/>
                  <w:tag w:val="nr_f64524e3a3294c3fb01d4296c8f29ec8"/>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f64524e3a3294c3fb01d4296c8f29ec8"/>
                  <w:lock w:val="sdtLocked"/>
                  <w:richText/>
                </w:sdtPr>
                <w:sdtContent>
                  <w:r>
                    <w:rPr>
                      <w:rFonts w:eastAsia="Calibri"/>
                      <w:b/>
                      <w:bCs/>
                      <w:szCs w:val="24"/>
                    </w:rPr>
                    <w:t>10</w:t>
                  </w:r>
                  <w:r>
                    <w:rPr>
                      <w:rFonts w:eastAsia="Calibri"/>
                      <w:b/>
                      <w:bCs/>
                      <w:szCs w:val="24"/>
                      <w:vertAlign w:val="superscript"/>
                    </w:rPr>
                    <w:t>1</w:t>
                  </w:r>
                  <w:r>
                    <w:rPr>
                      <w:rFonts w:eastAsia="Calibri"/>
                      <w:b/>
                      <w:bCs/>
                      <w:szCs w:val="24"/>
                    </w:rPr>
                    <w:t> straipsnio pripažinimas netekusiu galios</w:t>
                  </w:r>
                </w:sdtContent>
              </w:sdt>
            </w:p>
            <w:sdt>
              <w:sdtPr>
                <w:alias w:val="4 str. 1 d."/>
                <w:tag w:val="part_c13557ed30b04aab8e8f76a4db8a2f64"/>
                <w:lock w:val="sdtLocked"/>
                <w:richText/>
              </w:sdtPr>
              <w:sdtContent>
                <w:p w14:paraId="3C5054C1" w14:textId="76CBE00A">
                  <w:pPr>
                    <w:ind w:firstLine="720"/>
                    <w:jc w:val="both"/>
                    <w:rPr>
                      <w:rFonts w:eastAsia="Calibri"/>
                      <w:bCs/>
                      <w:szCs w:val="24"/>
                    </w:rPr>
                  </w:pPr>
                  <w:r>
                    <w:rPr>
                      <w:rFonts w:eastAsia="Calibri"/>
                      <w:bCs/>
                      <w:szCs w:val="24"/>
                    </w:rPr>
                    <w:t>Pripažinti netekusiu galios 10</w:t>
                  </w:r>
                  <w:r>
                    <w:rPr>
                      <w:rFonts w:eastAsia="Calibri"/>
                      <w:bCs/>
                      <w:szCs w:val="24"/>
                      <w:vertAlign w:val="superscript"/>
                    </w:rPr>
                    <w:t>1</w:t>
                  </w:r>
                  <w:r>
                    <w:rPr>
                      <w:rFonts w:eastAsia="Calibri"/>
                      <w:bCs/>
                      <w:szCs w:val="24"/>
                    </w:rPr>
                    <w:t> straipsnį.</w:t>
                  </w:r>
                </w:p>
              </w:sdtContent>
            </w:sdt>
          </w:sdtContent>
        </w:sdt>
        <w:sdt>
          <w:sdtPr>
            <w:alias w:val="10-1 str."/>
            <w:tag w:val="part_2016073c02df48e694cb1eba3b93a938"/>
            <w:lock w:val="sdtLocked"/>
            <w:richText/>
          </w:sdtPr>
          <w:sdtContent>
            <w:p w14:paraId="3FD96D22" w14:textId="6363E24F">
              <w:pPr>
                <w:ind w:firstLine="720"/>
                <w:jc w:val="both"/>
                <w:rPr>
                  <w:rFonts w:eastAsia="Calibri"/>
                  <w:bCs/>
                  <w:strike/>
                  <w:szCs w:val="24"/>
                </w:rPr>
              </w:pPr>
              <w:sdt>
                <w:sdtPr>
                  <w:alias w:val="Numeris"/>
                  <w:tag w:val="nr_2016073c02df48e694cb1eba3b93a938"/>
                  <w:lock w:val="sdtLocked"/>
                  <w:richText/>
                </w:sdtPr>
                <w:sdtContent>
                  <w:r>
                    <w:rPr>
                      <w:rFonts w:eastAsia="Calibri"/>
                      <w:bCs/>
                      <w:strike/>
                      <w:szCs w:val="24"/>
                    </w:rPr>
                    <w:t>10</w:t>
                  </w:r>
                  <w:r>
                    <w:rPr>
                      <w:rFonts w:eastAsia="Calibri"/>
                      <w:bCs/>
                      <w:strike/>
                      <w:szCs w:val="24"/>
                      <w:vertAlign w:val="superscript"/>
                    </w:rPr>
                    <w:t>1</w:t>
                  </w:r>
                </w:sdtContent>
              </w:sdt>
              <w:r>
                <w:rPr>
                  <w:rFonts w:eastAsia="Calibri"/>
                  <w:bCs/>
                  <w:strike/>
                  <w:szCs w:val="24"/>
                </w:rPr>
                <w:t> straipsnis. Biudžetinių įstaigų skolinimasis</w:t>
              </w:r>
            </w:p>
            <w:sdt>
              <w:sdtPr>
                <w:alias w:val="10-1 str. 1 d."/>
                <w:tag w:val="part_e6f4ba9a83824108a7b99977a15ff1d9"/>
                <w:lock w:val="sdtLocked"/>
                <w:richText/>
              </w:sdtPr>
              <w:sdtContent>
                <w:p w14:paraId="70D0569D" w14:textId="0288816C">
                  <w:pPr>
                    <w:ind w:firstLine="720"/>
                    <w:jc w:val="both"/>
                    <w:rPr>
                      <w:rFonts w:eastAsia="Calibri"/>
                      <w:bCs/>
                      <w:szCs w:val="24"/>
                    </w:rPr>
                  </w:pPr>
                  <w:r>
                    <w:rPr>
                      <w:rFonts w:eastAsia="Calibri"/>
                      <w:bCs/>
                      <w:strike/>
                      <w:szCs w:val="24"/>
                    </w:rPr>
                    <w:t>Biudžetinės įstaigos savo vardu negali prisiimti jokių skolinių įsipareigojimų pagal įsipareigojamuosius skolos dokumentus, įskaitant paskolos, finansinės nuomos (lizingo) sutartis, bet jomis neapsiribojant.</w:t>
                  </w:r>
                </w:p>
                <w:p w14:paraId="065EE695" w14:textId="77777777">
                  <w:pPr>
                    <w:ind w:firstLine="720"/>
                    <w:jc w:val="both"/>
                    <w:rPr>
                      <w:rFonts w:eastAsia="Calibri"/>
                      <w:bCs/>
                      <w:szCs w:val="24"/>
                    </w:rPr>
                  </w:pPr>
                </w:p>
              </w:sdtContent>
            </w:sdt>
          </w:sdtContent>
        </w:sdt>
        <w:sdt>
          <w:sdtPr>
            <w:alias w:val="5 str."/>
            <w:tag w:val="part_a2dfd34496b74e299c40738e1372b0cc"/>
            <w:lock w:val="sdtLocked"/>
            <w:richText/>
          </w:sdtPr>
          <w:sdtContent>
            <w:p w14:paraId="5824E056" w14:textId="068B092E">
              <w:pPr>
                <w:ind w:firstLine="720"/>
                <w:jc w:val="both"/>
                <w:rPr>
                  <w:rFonts w:eastAsia="Calibri"/>
                  <w:szCs w:val="24"/>
                </w:rPr>
              </w:pPr>
              <w:sdt>
                <w:sdtPr>
                  <w:alias w:val="Numeris"/>
                  <w:tag w:val="nr_a2dfd34496b74e299c40738e1372b0cc"/>
                  <w:lock w:val="sdtLocked"/>
                  <w:richText/>
                </w:sdtPr>
                <w:sdtContent>
                  <w:r>
                    <w:rPr>
                      <w:rFonts w:eastAsia="Calibri"/>
                      <w:b/>
                      <w:bCs/>
                      <w:szCs w:val="24"/>
                    </w:rPr>
                    <w:t>5</w:t>
                  </w:r>
                </w:sdtContent>
              </w:sdt>
              <w:r>
                <w:rPr>
                  <w:rFonts w:eastAsia="Calibri"/>
                  <w:b/>
                  <w:bCs/>
                  <w:szCs w:val="24"/>
                </w:rPr>
                <w:t xml:space="preserve"> straipsnis. </w:t>
              </w:r>
              <w:sdt>
                <w:sdtPr>
                  <w:alias w:val="Pavadinimas"/>
                  <w:tag w:val="title_a2dfd34496b74e299c40738e1372b0cc"/>
                  <w:lock w:val="sdtLocked"/>
                  <w:richText/>
                </w:sdtPr>
                <w:sdtContent>
                  <w:r>
                    <w:rPr>
                      <w:rFonts w:eastAsia="Calibri"/>
                      <w:b/>
                      <w:bCs/>
                      <w:szCs w:val="24"/>
                    </w:rPr>
                    <w:t>18 straipsnio pakeitimas</w:t>
                  </w:r>
                </w:sdtContent>
              </w:sdt>
            </w:p>
            <w:sdt>
              <w:sdtPr>
                <w:alias w:val="5 str. 1 d."/>
                <w:tag w:val="part_d4d7c05795aa4bc48795873c0f13ee8f"/>
                <w:lock w:val="sdtLocked"/>
                <w:richText/>
              </w:sdtPr>
              <w:sdtContent>
                <w:p w14:paraId="647245B7" w14:textId="4A492DB8">
                  <w:pPr>
                    <w:ind w:firstLine="720"/>
                    <w:jc w:val="both"/>
                    <w:rPr>
                      <w:rFonts w:eastAsia="Calibri"/>
                      <w:bCs/>
                      <w:szCs w:val="24"/>
                    </w:rPr>
                  </w:pPr>
                  <w:r>
                    <w:rPr>
                      <w:rFonts w:eastAsia="Calibri"/>
                      <w:bCs/>
                      <w:szCs w:val="24"/>
                    </w:rPr>
                    <w:t>Pakeisti 18 straipsnio 2 dalies 3 punktą ir jį išdėstyti taip:</w:t>
                  </w:r>
                </w:p>
                <w:sdt>
                  <w:sdtPr>
                    <w:alias w:val="citata"/>
                    <w:tag w:val="part_0646a651c08343a0b3808a59e8265dd8"/>
                    <w:lock w:val="sdtLocked"/>
                    <w:richText/>
                  </w:sdtPr>
                  <w:sdtContent>
                    <w:sdt>
                      <w:sdtPr>
                        <w:alias w:val="3 p."/>
                        <w:tag w:val="part_d5d82dcff7e747d4a7185c92e0d84ed2"/>
                        <w:lock w:val="sdtLocked"/>
                        <w:richText/>
                      </w:sdtPr>
                      <w:sdtContent>
                        <w:p w14:paraId="31987E4F" w14:textId="7D79A5CF">
                          <w:pPr>
                            <w:ind w:firstLine="720"/>
                            <w:jc w:val="both"/>
                            <w:rPr>
                              <w:rFonts w:eastAsia="Calibri"/>
                              <w:szCs w:val="24"/>
                            </w:rPr>
                          </w:pPr>
                          <w:r>
                            <w:rPr>
                              <w:rFonts w:eastAsia="Calibri"/>
                              <w:szCs w:val="24"/>
                            </w:rPr>
                            <w:t>„</w:t>
                          </w:r>
                          <w:sdt>
                            <w:sdtPr>
                              <w:alias w:val="Numeris"/>
                              <w:tag w:val="nr_d5d82dcff7e747d4a7185c92e0d84ed2"/>
                              <w:lock w:val="sdtLocked"/>
                              <w:richText/>
                            </w:sdtPr>
                            <w:sdtContent>
                              <w:r>
                                <w:rPr>
                                  <w:rFonts w:eastAsia="Calibri"/>
                                  <w:szCs w:val="24"/>
                                </w:rPr>
                                <w:t>3</w:t>
                              </w:r>
                            </w:sdtContent>
                          </w:sdt>
                          <w:r>
                            <w:rPr>
                              <w:rFonts w:eastAsia="Calibri"/>
                              <w:szCs w:val="24"/>
                            </w:rPr>
                            <w:t>) bendra valstybės biudžeto asignavimų</w:t>
                          </w:r>
                          <w:r>
                            <w:rPr>
                              <w:rFonts w:eastAsia="Calibri"/>
                              <w:strike/>
                              <w:szCs w:val="24"/>
                            </w:rPr>
                            <w:t>, iš jų darbo užmokesčiui,</w:t>
                          </w:r>
                          <w:r>
                            <w:rPr>
                              <w:rFonts w:eastAsia="Calibri"/>
                              <w:szCs w:val="24"/>
                            </w:rPr>
                            <w:t xml:space="preserve"> suma, jų paskirstymas pagal valstybės veiklos sritis ir asignavimų valdytojus programoms įgyvendinti. </w:t>
                          </w:r>
                          <w:r>
                            <w:rPr>
                              <w:rFonts w:eastAsia="Calibri"/>
                              <w:strike/>
                              <w:szCs w:val="24"/>
                            </w:rPr>
                            <w:t>Žvalgybos institucijoms ir valstybinėms aukštosioms mokykloms asignavimai tvirtinami neišskiriant iš jų darbo užmokesčio;</w:t>
                          </w:r>
                          <w:r>
                            <w:rPr>
                              <w:rFonts w:eastAsia="Calibri"/>
                              <w:szCs w:val="24"/>
                            </w:rPr>
                            <w:t>“.</w:t>
                          </w:r>
                        </w:p>
                        <w:p w14:paraId="0482D49A" w14:textId="655D9E50">
                          <w:pPr>
                            <w:ind w:firstLine="720"/>
                            <w:jc w:val="both"/>
                            <w:rPr>
                              <w:rFonts w:eastAsia="Calibri"/>
                              <w:szCs w:val="24"/>
                            </w:rPr>
                          </w:pPr>
                        </w:p>
                      </w:sdtContent>
                    </w:sdt>
                  </w:sdtContent>
                </w:sdt>
              </w:sdtContent>
            </w:sdt>
          </w:sdtContent>
        </w:sdt>
        <w:sdt>
          <w:sdtPr>
            <w:alias w:val="6 str."/>
            <w:tag w:val="part_f3cf0407365e430ca9d2ed5440d5f6c3"/>
            <w:lock w:val="sdtLocked"/>
            <w:richText/>
          </w:sdtPr>
          <w:sdtContent>
            <w:p w14:paraId="7CBD5BA4" w14:textId="5857FA34">
              <w:pPr>
                <w:ind w:firstLine="720"/>
                <w:jc w:val="both"/>
                <w:rPr>
                  <w:rFonts w:eastAsia="Calibri"/>
                  <w:b/>
                  <w:bCs/>
                  <w:szCs w:val="24"/>
                </w:rPr>
              </w:pPr>
              <w:sdt>
                <w:sdtPr>
                  <w:alias w:val="Numeris"/>
                  <w:tag w:val="nr_f3cf0407365e430ca9d2ed5440d5f6c3"/>
                  <w:lock w:val="sdtLocked"/>
                  <w:richText/>
                </w:sdtPr>
                <w:sdtContent>
                  <w:r>
                    <w:rPr>
                      <w:rFonts w:eastAsia="Calibri"/>
                      <w:b/>
                      <w:bCs/>
                      <w:szCs w:val="24"/>
                    </w:rPr>
                    <w:t>6</w:t>
                  </w:r>
                </w:sdtContent>
              </w:sdt>
              <w:r>
                <w:rPr>
                  <w:rFonts w:eastAsia="Calibri"/>
                  <w:b/>
                  <w:bCs/>
                  <w:szCs w:val="24"/>
                </w:rPr>
                <w:t xml:space="preserve"> straipsnis. </w:t>
              </w:r>
              <w:sdt>
                <w:sdtPr>
                  <w:alias w:val="Pavadinimas"/>
                  <w:tag w:val="title_f3cf0407365e430ca9d2ed5440d5f6c3"/>
                  <w:lock w:val="sdtLocked"/>
                  <w:richText/>
                </w:sdtPr>
                <w:sdtContent>
                  <w:r>
                    <w:rPr>
                      <w:rFonts w:eastAsia="Calibri"/>
                      <w:b/>
                      <w:bCs/>
                      <w:szCs w:val="24"/>
                    </w:rPr>
                    <w:t>19 straipsnio pakeitimas</w:t>
                  </w:r>
                </w:sdtContent>
              </w:sdt>
            </w:p>
            <w:sdt>
              <w:sdtPr>
                <w:alias w:val="6 str. 1 d."/>
                <w:tag w:val="part_75433e2e140b4f4981635d5074d228cb"/>
                <w:lock w:val="sdtLocked"/>
                <w:richText/>
              </w:sdtPr>
              <w:sdtContent>
                <w:p w14:paraId="2F19B1FC" w14:textId="7C1920C5">
                  <w:pPr>
                    <w:ind w:firstLine="720"/>
                    <w:jc w:val="both"/>
                    <w:rPr>
                      <w:rFonts w:eastAsia="Calibri"/>
                      <w:bCs/>
                      <w:szCs w:val="24"/>
                    </w:rPr>
                  </w:pPr>
                  <w:r>
                    <w:rPr>
                      <w:rFonts w:eastAsia="Calibri"/>
                      <w:bCs/>
                      <w:szCs w:val="24"/>
                    </w:rPr>
                    <w:t>Papildyti 19 straipsnio 1 dalies 1 punktą k papunkčiu:</w:t>
                  </w:r>
                </w:p>
                <w:sdt>
                  <w:sdtPr>
                    <w:alias w:val="citata"/>
                    <w:tag w:val="part_8b10e0fc98fa4401a757c3a62828405c"/>
                    <w:lock w:val="sdtLocked"/>
                    <w:richText/>
                  </w:sdtPr>
                  <w:sdtContent>
                    <w:sdt>
                      <w:sdtPr>
                        <w:alias w:val="k pp."/>
                        <w:tag w:val="part_65b383750b3f4c6ebea537ea6c44107d"/>
                        <w:lock w:val="sdtLocked"/>
                        <w:richText/>
                      </w:sdtPr>
                      <w:sdtContent>
                        <w:p w14:paraId="1F6B9686" w14:textId="1B6CE9F9">
                          <w:pPr>
                            <w:ind w:firstLine="720"/>
                            <w:jc w:val="both"/>
                            <w:rPr>
                              <w:rFonts w:eastAsia="Calibri"/>
                              <w:b/>
                              <w:bCs/>
                              <w:szCs w:val="24"/>
                            </w:rPr>
                          </w:pPr>
                          <w:r>
                            <w:rPr>
                              <w:rFonts w:eastAsia="Calibri"/>
                              <w:bCs/>
                              <w:szCs w:val="24"/>
                            </w:rPr>
                            <w:t>„</w:t>
                          </w:r>
                          <w:sdt>
                            <w:sdtPr>
                              <w:alias w:val="Numeris"/>
                              <w:tag w:val="nr_65b383750b3f4c6ebea537ea6c44107d"/>
                              <w:lock w:val="sdtLocked"/>
                              <w:richText/>
                            </w:sdtPr>
                            <w:sdtContent>
                              <w:r>
                                <w:rPr>
                                  <w:rFonts w:eastAsia="Calibri"/>
                                  <w:b/>
                                  <w:bCs/>
                                  <w:szCs w:val="24"/>
                                </w:rPr>
                                <w:t>k</w:t>
                              </w:r>
                            </w:sdtContent>
                          </w:sdt>
                          <w:r>
                            <w:rPr>
                              <w:rFonts w:eastAsia="Calibri"/>
                              <w:b/>
                              <w:bCs/>
                              <w:szCs w:val="24"/>
                            </w:rPr>
                            <w:t>) asignavimų valdytojų planuojamos darbo užmokesčio sumos.</w:t>
                          </w:r>
                          <w:r>
                            <w:rPr>
                              <w:rFonts w:eastAsia="Calibri"/>
                              <w:bCs/>
                              <w:szCs w:val="24"/>
                            </w:rPr>
                            <w:t>“</w:t>
                          </w:r>
                        </w:p>
                        <w:p w14:paraId="2D1F99C5" w14:textId="77777777">
                          <w:pPr>
                            <w:ind w:firstLine="720"/>
                            <w:jc w:val="both"/>
                            <w:rPr>
                              <w:rFonts w:eastAsia="Calibri"/>
                              <w:bCs/>
                              <w:szCs w:val="24"/>
                            </w:rPr>
                          </w:pPr>
                        </w:p>
                      </w:sdtContent>
                    </w:sdt>
                  </w:sdtContent>
                </w:sdt>
              </w:sdtContent>
            </w:sdt>
          </w:sdtContent>
        </w:sdt>
        <w:sdt>
          <w:sdtPr>
            <w:alias w:val="7 str."/>
            <w:tag w:val="part_ff919bc2d6da4b5d801d0e3fd300e42b"/>
            <w:lock w:val="sdtLocked"/>
            <w:richText/>
          </w:sdtPr>
          <w:sdtContent>
            <w:p w14:paraId="11B5213D" w14:textId="00CF2BCC">
              <w:pPr>
                <w:ind w:firstLine="720"/>
                <w:jc w:val="both"/>
                <w:rPr>
                  <w:rFonts w:eastAsia="Calibri"/>
                  <w:b/>
                  <w:bCs/>
                  <w:szCs w:val="24"/>
                </w:rPr>
              </w:pPr>
              <w:sdt>
                <w:sdtPr>
                  <w:alias w:val="Numeris"/>
                  <w:tag w:val="nr_ff919bc2d6da4b5d801d0e3fd300e42b"/>
                  <w:lock w:val="sdtLocked"/>
                  <w:richText/>
                </w:sdtPr>
                <w:sdtContent>
                  <w:r>
                    <w:rPr>
                      <w:rFonts w:eastAsia="Calibri"/>
                      <w:b/>
                      <w:bCs/>
                      <w:szCs w:val="24"/>
                    </w:rPr>
                    <w:t>7</w:t>
                  </w:r>
                </w:sdtContent>
              </w:sdt>
              <w:r>
                <w:rPr>
                  <w:rFonts w:eastAsia="Calibri"/>
                  <w:b/>
                  <w:bCs/>
                  <w:szCs w:val="24"/>
                </w:rPr>
                <w:t xml:space="preserve"> straipsnis. </w:t>
              </w:r>
              <w:sdt>
                <w:sdtPr>
                  <w:alias w:val="Pavadinimas"/>
                  <w:tag w:val="title_ff919bc2d6da4b5d801d0e3fd300e42b"/>
                  <w:lock w:val="sdtLocked"/>
                  <w:richText/>
                </w:sdtPr>
                <w:sdtContent>
                  <w:r>
                    <w:rPr>
                      <w:rFonts w:eastAsia="Calibri"/>
                      <w:b/>
                      <w:bCs/>
                      <w:szCs w:val="24"/>
                    </w:rPr>
                    <w:t>21 straipsnio pakeitimas</w:t>
                  </w:r>
                </w:sdtContent>
              </w:sdt>
            </w:p>
            <w:sdt>
              <w:sdtPr>
                <w:alias w:val="7 str. 1 d."/>
                <w:tag w:val="part_5605db8a76b048cabef2bc8ec42acc13"/>
                <w:lock w:val="sdtLocked"/>
                <w:richText/>
              </w:sdtPr>
              <w:sdtContent>
                <w:p w14:paraId="4511A296" w14:textId="326D6D88">
                  <w:pPr>
                    <w:ind w:firstLine="720"/>
                    <w:jc w:val="both"/>
                    <w:rPr>
                      <w:rFonts w:eastAsia="Calibri"/>
                      <w:bCs/>
                      <w:szCs w:val="24"/>
                    </w:rPr>
                  </w:pPr>
                  <w:r>
                    <w:rPr>
                      <w:rFonts w:eastAsia="Calibri"/>
                      <w:bCs/>
                      <w:szCs w:val="24"/>
                    </w:rPr>
                    <w:t>Pakeisti 21 straipsnio 1 dalį ir ją išdėstyti taip:</w:t>
                  </w:r>
                </w:p>
                <w:sdt>
                  <w:sdtPr>
                    <w:alias w:val="citata"/>
                    <w:tag w:val="part_304076053da24dbda71c5367ee5e0790"/>
                    <w:lock w:val="sdtLocked"/>
                    <w:richText/>
                  </w:sdtPr>
                  <w:sdtContent>
                    <w:sdt>
                      <w:sdtPr>
                        <w:alias w:val="1 d."/>
                        <w:tag w:val="part_80aea4d7af5d4399be7fb2054fad4b24"/>
                        <w:lock w:val="sdtLocked"/>
                        <w:richText/>
                      </w:sdtPr>
                      <w:sdtContent>
                        <w:p w14:paraId="509740D6" w14:textId="08323EA1">
                          <w:pPr>
                            <w:ind w:firstLine="720"/>
                            <w:jc w:val="both"/>
                            <w:rPr>
                              <w:rFonts w:eastAsia="Calibri"/>
                              <w:bCs/>
                              <w:szCs w:val="24"/>
                            </w:rPr>
                          </w:pPr>
                          <w:r>
                            <w:rPr>
                              <w:rFonts w:eastAsia="Calibri"/>
                              <w:bCs/>
                              <w:szCs w:val="24"/>
                            </w:rPr>
                            <w:t>„</w:t>
                          </w:r>
                          <w:sdt>
                            <w:sdtPr>
                              <w:alias w:val="Numeris"/>
                              <w:tag w:val="nr_80aea4d7af5d4399be7fb2054fad4b24"/>
                              <w:lock w:val="sdtLocked"/>
                              <w:richText/>
                            </w:sdtPr>
                            <w:sdtContent>
                              <w:r>
                                <w:rPr>
                                  <w:rFonts w:eastAsia="Calibri"/>
                                  <w:bCs/>
                                  <w:szCs w:val="24"/>
                                </w:rPr>
                                <w:t>1</w:t>
                              </w:r>
                            </w:sdtContent>
                          </w:sdt>
                          <w:r>
                            <w:rPr>
                              <w:rFonts w:eastAsia="Calibri"/>
                              <w:bCs/>
                              <w:szCs w:val="24"/>
                            </w:rPr>
                            <w:t xml:space="preserve">. Savivaldybių biudžetuose sukaupiamos lėšos, reikalingos įstatymų priskirtoms funkcijoms ir </w:t>
                          </w:r>
                          <w:r>
                            <w:rPr>
                              <w:rFonts w:eastAsia="Calibri"/>
                              <w:bCs/>
                              <w:strike/>
                              <w:szCs w:val="24"/>
                            </w:rPr>
                            <w:t>savivaldybėms įstatymų perduotoms valstybės</w:t>
                          </w:r>
                          <w:r>
                            <w:rPr>
                              <w:rFonts w:eastAsia="Calibri"/>
                              <w:bCs/>
                              <w:szCs w:val="24"/>
                            </w:rPr>
                            <w:t xml:space="preserve"> </w:t>
                          </w:r>
                          <w:r>
                            <w:rPr>
                              <w:rFonts w:eastAsia="Calibri"/>
                              <w:b/>
                              <w:bCs/>
                              <w:szCs w:val="24"/>
                            </w:rPr>
                            <w:t>savivaldybių valstybinėms</w:t>
                          </w:r>
                          <w:r>
                            <w:rPr>
                              <w:rFonts w:eastAsia="Calibri"/>
                              <w:bCs/>
                              <w:szCs w:val="24"/>
                            </w:rPr>
                            <w:t xml:space="preserve"> </w:t>
                          </w:r>
                          <w:r>
                            <w:rPr>
                              <w:rFonts w:eastAsia="Calibri"/>
                              <w:b/>
                              <w:bCs/>
                              <w:szCs w:val="24"/>
                            </w:rPr>
                            <w:t>(valstybės perduotoms savivaldybėms)</w:t>
                          </w:r>
                          <w:r>
                            <w:rPr>
                              <w:rFonts w:eastAsia="Calibri"/>
                              <w:bCs/>
                              <w:szCs w:val="24"/>
                            </w:rPr>
                            <w:t xml:space="preserve"> funkcijoms atlikti.“</w:t>
                          </w:r>
                        </w:p>
                        <w:p w14:paraId="55FB3B96" w14:textId="77777777">
                          <w:pPr>
                            <w:ind w:firstLine="720"/>
                            <w:jc w:val="both"/>
                            <w:rPr>
                              <w:rFonts w:eastAsia="Calibri"/>
                              <w:bCs/>
                              <w:szCs w:val="24"/>
                            </w:rPr>
                          </w:pPr>
                        </w:p>
                      </w:sdtContent>
                    </w:sdt>
                  </w:sdtContent>
                </w:sdt>
              </w:sdtContent>
            </w:sdt>
          </w:sdtContent>
        </w:sdt>
        <w:sdt>
          <w:sdtPr>
            <w:alias w:val="8 str."/>
            <w:tag w:val="part_34be19c8e3cd46aa808246dce364cd0b"/>
            <w:lock w:val="sdtLocked"/>
            <w:richText/>
          </w:sdtPr>
          <w:sdtContent>
            <w:p w14:paraId="5A9B2FF4" w14:textId="3BCBE847">
              <w:pPr>
                <w:ind w:firstLine="720"/>
                <w:jc w:val="both"/>
                <w:rPr>
                  <w:rFonts w:eastAsia="Calibri"/>
                  <w:szCs w:val="24"/>
                </w:rPr>
              </w:pPr>
              <w:sdt>
                <w:sdtPr>
                  <w:alias w:val="Numeris"/>
                  <w:tag w:val="nr_34be19c8e3cd46aa808246dce364cd0b"/>
                  <w:lock w:val="sdtLocked"/>
                  <w:richText/>
                </w:sdtPr>
                <w:sdtContent>
                  <w:r>
                    <w:rPr>
                      <w:rFonts w:eastAsia="Calibri"/>
                      <w:b/>
                      <w:bCs/>
                      <w:szCs w:val="24"/>
                    </w:rPr>
                    <w:t>8</w:t>
                  </w:r>
                </w:sdtContent>
              </w:sdt>
              <w:r>
                <w:rPr>
                  <w:rFonts w:eastAsia="Calibri"/>
                  <w:b/>
                  <w:bCs/>
                  <w:szCs w:val="24"/>
                </w:rPr>
                <w:t xml:space="preserve"> straipsnis. </w:t>
              </w:r>
              <w:sdt>
                <w:sdtPr>
                  <w:alias w:val="Pavadinimas"/>
                  <w:tag w:val="title_34be19c8e3cd46aa808246dce364cd0b"/>
                  <w:lock w:val="sdtLocked"/>
                  <w:richText/>
                </w:sdtPr>
                <w:sdtContent>
                  <w:r>
                    <w:rPr>
                      <w:rFonts w:eastAsia="Calibri"/>
                      <w:b/>
                      <w:bCs/>
                      <w:szCs w:val="24"/>
                    </w:rPr>
                    <w:t>26 straipsnio pakeitimas</w:t>
                  </w:r>
                </w:sdtContent>
              </w:sdt>
            </w:p>
            <w:sdt>
              <w:sdtPr>
                <w:alias w:val="8 str. 1 d."/>
                <w:tag w:val="part_970f1d8e89b346558e1295bdfd9537ce"/>
                <w:lock w:val="sdtLocked"/>
                <w:richText/>
              </w:sdtPr>
              <w:sdtContent>
                <w:p w14:paraId="4CFD59A3" w14:textId="582DE78D">
                  <w:pPr>
                    <w:ind w:firstLine="720"/>
                    <w:jc w:val="both"/>
                    <w:rPr>
                      <w:rFonts w:eastAsia="Calibri"/>
                      <w:bCs/>
                      <w:szCs w:val="24"/>
                    </w:rPr>
                  </w:pPr>
                  <w:sdt>
                    <w:sdtPr>
                      <w:alias w:val="Numeris"/>
                      <w:tag w:val="nr_970f1d8e89b346558e1295bdfd9537ce"/>
                      <w:lock w:val="sdtLocked"/>
                      <w:richText/>
                    </w:sdtPr>
                    <w:sdtContent>
                      <w:r>
                        <w:rPr>
                          <w:rFonts w:eastAsia="Calibri"/>
                          <w:bCs/>
                          <w:szCs w:val="24"/>
                        </w:rPr>
                        <w:t>1</w:t>
                      </w:r>
                    </w:sdtContent>
                  </w:sdt>
                  <w:r>
                    <w:rPr>
                      <w:rFonts w:eastAsia="Calibri"/>
                      <w:bCs/>
                      <w:szCs w:val="24"/>
                    </w:rPr>
                    <w:t>. Pakeisti 26 straipsnio 4 dalies 2 punktą ir jį išdėstyti taip:</w:t>
                  </w:r>
                </w:p>
                <w:sdt>
                  <w:sdtPr>
                    <w:alias w:val="citata"/>
                    <w:tag w:val="part_4e68cae180774b5cad5956ae770aa702"/>
                    <w:lock w:val="sdtLocked"/>
                    <w:richText/>
                  </w:sdtPr>
                  <w:sdtContent>
                    <w:sdt>
                      <w:sdtPr>
                        <w:alias w:val="2 p."/>
                        <w:tag w:val="part_a14f2fa9d170494b9fa304b0c8e10e1e"/>
                        <w:lock w:val="sdtLocked"/>
                        <w:richText/>
                      </w:sdtPr>
                      <w:sdtContent>
                        <w:p w14:paraId="55C29936" w14:textId="0B432B21">
                          <w:pPr>
                            <w:ind w:firstLine="720"/>
                            <w:jc w:val="both"/>
                            <w:rPr>
                              <w:rFonts w:eastAsia="Calibri"/>
                              <w:bCs/>
                              <w:szCs w:val="24"/>
                            </w:rPr>
                          </w:pPr>
                          <w:r>
                            <w:rPr>
                              <w:rFonts w:eastAsia="Calibri"/>
                              <w:bCs/>
                              <w:szCs w:val="24"/>
                            </w:rPr>
                            <w:t>„</w:t>
                          </w:r>
                          <w:sdt>
                            <w:sdtPr>
                              <w:alias w:val="Numeris"/>
                              <w:tag w:val="nr_a14f2fa9d170494b9fa304b0c8e10e1e"/>
                              <w:lock w:val="sdtLocked"/>
                              <w:richText/>
                            </w:sdtPr>
                            <w:sdtContent>
                              <w:r>
                                <w:rPr>
                                  <w:rFonts w:eastAsia="Calibri"/>
                                  <w:bCs/>
                                  <w:szCs w:val="24"/>
                                </w:rPr>
                                <w:t>2</w:t>
                              </w:r>
                            </w:sdtContent>
                          </w:sdt>
                          <w:r>
                            <w:rPr>
                              <w:rFonts w:eastAsia="Calibri"/>
                              <w:bCs/>
                              <w:szCs w:val="24"/>
                            </w:rPr>
                            <w:t xml:space="preserve">) bendra asignavimų, iš jų darbo užmokesčiui, suma ir jų paskirstymas biudžetinėms įstaigoms ar savivaldybių administracijos </w:t>
                          </w:r>
                          <w:r>
                            <w:rPr>
                              <w:rFonts w:eastAsia="Calibri"/>
                              <w:b/>
                              <w:bCs/>
                              <w:szCs w:val="24"/>
                            </w:rPr>
                            <w:t>struktūriniams</w:t>
                          </w:r>
                          <w:r>
                            <w:rPr>
                              <w:rFonts w:eastAsia="Calibri"/>
                              <w:bCs/>
                              <w:szCs w:val="24"/>
                            </w:rPr>
                            <w:t xml:space="preserve"> padaliniams programoms vykdyti.“</w:t>
                          </w:r>
                        </w:p>
                      </w:sdtContent>
                    </w:sdt>
                  </w:sdtContent>
                </w:sdt>
              </w:sdtContent>
            </w:sdt>
            <w:sdt>
              <w:sdtPr>
                <w:alias w:val="8 str. 2 d."/>
                <w:tag w:val="part_871a0ebc14a748e2a2b17fd2e6f26931"/>
                <w:lock w:val="sdtLocked"/>
                <w:richText/>
              </w:sdtPr>
              <w:sdtContent>
                <w:p w14:paraId="0E8B8A5F" w14:textId="151C2202">
                  <w:pPr>
                    <w:ind w:firstLine="720"/>
                    <w:jc w:val="both"/>
                    <w:rPr>
                      <w:rFonts w:eastAsia="Calibri"/>
                      <w:bCs/>
                      <w:szCs w:val="24"/>
                    </w:rPr>
                  </w:pPr>
                  <w:sdt>
                    <w:sdtPr>
                      <w:alias w:val="Numeris"/>
                      <w:tag w:val="nr_871a0ebc14a748e2a2b17fd2e6f26931"/>
                      <w:lock w:val="sdtLocked"/>
                      <w:richText/>
                    </w:sdtPr>
                    <w:sdtContent>
                      <w:r>
                        <w:rPr>
                          <w:rFonts w:eastAsia="Calibri"/>
                          <w:bCs/>
                          <w:szCs w:val="24"/>
                        </w:rPr>
                        <w:t>2</w:t>
                      </w:r>
                    </w:sdtContent>
                  </w:sdt>
                  <w:r>
                    <w:rPr>
                      <w:rFonts w:eastAsia="Calibri"/>
                      <w:bCs/>
                      <w:szCs w:val="24"/>
                    </w:rPr>
                    <w:t xml:space="preserve">. Pakeisti </w:t>
                  </w:r>
                  <w:r>
                    <w:rPr>
                      <w:bCs/>
                      <w:szCs w:val="24"/>
                    </w:rPr>
                    <w:t>26 straipsnio 4 dalies 2 punktą</w:t>
                  </w:r>
                  <w:r>
                    <w:rPr>
                      <w:rFonts w:eastAsia="Calibri"/>
                      <w:bCs/>
                      <w:szCs w:val="24"/>
                    </w:rPr>
                    <w:t xml:space="preserve"> ir jį išdėstyti taip:</w:t>
                  </w:r>
                </w:p>
                <w:sdt>
                  <w:sdtPr>
                    <w:alias w:val="citata"/>
                    <w:tag w:val="part_39d45de512ee4c2ea45b2469a18d4664"/>
                    <w:lock w:val="sdtLocked"/>
                    <w:richText/>
                  </w:sdtPr>
                  <w:sdtContent>
                    <w:sdt>
                      <w:sdtPr>
                        <w:alias w:val="2 p."/>
                        <w:tag w:val="part_490e79444f474a788d83d07e78fbb3b2"/>
                        <w:lock w:val="sdtLocked"/>
                        <w:richText/>
                      </w:sdtPr>
                      <w:sdtContent>
                        <w:p w14:paraId="2A22BE50" w14:textId="7B46052C">
                          <w:pPr>
                            <w:ind w:firstLine="720"/>
                            <w:jc w:val="both"/>
                            <w:rPr>
                              <w:rFonts w:eastAsia="Calibri"/>
                              <w:szCs w:val="24"/>
                            </w:rPr>
                          </w:pPr>
                          <w:r>
                            <w:rPr>
                              <w:rFonts w:eastAsia="Calibri"/>
                              <w:szCs w:val="24"/>
                            </w:rPr>
                            <w:t>„</w:t>
                          </w:r>
                          <w:sdt>
                            <w:sdtPr>
                              <w:alias w:val="Numeris"/>
                              <w:tag w:val="nr_490e79444f474a788d83d07e78fbb3b2"/>
                              <w:lock w:val="sdtLocked"/>
                              <w:richText/>
                            </w:sdtPr>
                            <w:sdtContent>
                              <w:r>
                                <w:rPr>
                                  <w:rFonts w:eastAsia="Calibri"/>
                                  <w:szCs w:val="24"/>
                                </w:rPr>
                                <w:t>2</w:t>
                              </w:r>
                            </w:sdtContent>
                          </w:sdt>
                          <w:r>
                            <w:rPr>
                              <w:rFonts w:eastAsia="Calibri"/>
                              <w:szCs w:val="24"/>
                            </w:rPr>
                            <w:t>) bendra asignavimų</w:t>
                          </w:r>
                          <w:r>
                            <w:rPr>
                              <w:rFonts w:eastAsia="Calibri"/>
                              <w:strike/>
                              <w:szCs w:val="24"/>
                            </w:rPr>
                            <w:t>, iš jų darbo užmokesčiui,</w:t>
                          </w:r>
                          <w:r>
                            <w:rPr>
                              <w:rFonts w:eastAsia="Calibri"/>
                              <w:szCs w:val="24"/>
                            </w:rPr>
                            <w:t xml:space="preserve"> suma ir jų paskirstymas biudžetinėms įstaigoms ar savivaldybių administracijos struktūriniams padaliniams programoms vykdyti.“</w:t>
                          </w:r>
                        </w:p>
                        <w:p w14:paraId="6EE3F64D" w14:textId="77777777">
                          <w:pPr>
                            <w:ind w:firstLine="720"/>
                            <w:jc w:val="both"/>
                            <w:rPr>
                              <w:rFonts w:eastAsia="Calibri"/>
                              <w:szCs w:val="24"/>
                            </w:rPr>
                          </w:pPr>
                        </w:p>
                      </w:sdtContent>
                    </w:sdt>
                  </w:sdtContent>
                </w:sdt>
              </w:sdtContent>
            </w:sdt>
          </w:sdtContent>
        </w:sdt>
        <w:sdt>
          <w:sdtPr>
            <w:alias w:val="9 str."/>
            <w:tag w:val="part_8747ce3e968440acaa5bddca53671c7e"/>
            <w:lock w:val="sdtLocked"/>
            <w:richText/>
          </w:sdtPr>
          <w:sdtContent>
            <w:p w14:paraId="3A6CDB83" w14:textId="76A9C163">
              <w:pPr>
                <w:ind w:firstLine="720"/>
                <w:jc w:val="both"/>
                <w:rPr>
                  <w:rFonts w:eastAsia="Calibri"/>
                  <w:b/>
                  <w:szCs w:val="24"/>
                </w:rPr>
              </w:pPr>
              <w:sdt>
                <w:sdtPr>
                  <w:alias w:val="Numeris"/>
                  <w:tag w:val="nr_8747ce3e968440acaa5bddca53671c7e"/>
                  <w:lock w:val="sdtLocked"/>
                  <w:richText/>
                </w:sdtPr>
                <w:sdtContent>
                  <w:r>
                    <w:rPr>
                      <w:rFonts w:eastAsia="Calibri"/>
                      <w:b/>
                      <w:szCs w:val="24"/>
                    </w:rPr>
                    <w:t>9</w:t>
                  </w:r>
                </w:sdtContent>
              </w:sdt>
              <w:r>
                <w:rPr>
                  <w:rFonts w:eastAsia="Calibri"/>
                  <w:b/>
                  <w:szCs w:val="24"/>
                </w:rPr>
                <w:t xml:space="preserve"> straipsnis. </w:t>
              </w:r>
              <w:sdt>
                <w:sdtPr>
                  <w:alias w:val="Pavadinimas"/>
                  <w:tag w:val="title_8747ce3e968440acaa5bddca53671c7e"/>
                  <w:lock w:val="sdtLocked"/>
                  <w:richText/>
                </w:sdtPr>
                <w:sdtContent>
                  <w:r>
                    <w:rPr>
                      <w:rFonts w:eastAsia="Calibri"/>
                      <w:b/>
                      <w:bCs/>
                      <w:szCs w:val="24"/>
                    </w:rPr>
                    <w:t>39 straipsnio pakeitimas</w:t>
                  </w:r>
                </w:sdtContent>
              </w:sdt>
            </w:p>
            <w:sdt>
              <w:sdtPr>
                <w:alias w:val="9 str. 1 d."/>
                <w:tag w:val="part_3a8e1e37bf27490686d5e8ae831d7a37"/>
                <w:lock w:val="sdtLocked"/>
                <w:richText/>
              </w:sdtPr>
              <w:sdtContent>
                <w:p w14:paraId="2AB91A75" w14:textId="16354F38">
                  <w:pPr>
                    <w:ind w:firstLine="720"/>
                    <w:jc w:val="both"/>
                    <w:rPr>
                      <w:rFonts w:eastAsia="Calibri"/>
                      <w:bCs/>
                      <w:szCs w:val="24"/>
                    </w:rPr>
                  </w:pPr>
                  <w:r>
                    <w:rPr>
                      <w:rFonts w:eastAsia="Calibri"/>
                      <w:bCs/>
                      <w:szCs w:val="24"/>
                    </w:rPr>
                    <w:t>Pakeisti 39 straipsnio 1 punktą ir jį išdėstyti taip:</w:t>
                  </w:r>
                </w:p>
                <w:sdt>
                  <w:sdtPr>
                    <w:alias w:val="citata"/>
                    <w:tag w:val="part_e76184c869e74da0bb93faf57452cbc0"/>
                    <w:lock w:val="sdtLocked"/>
                    <w:richText/>
                  </w:sdtPr>
                  <w:sdtContent>
                    <w:sdt>
                      <w:sdtPr>
                        <w:alias w:val="1 p."/>
                        <w:tag w:val="part_e813e1ca686d4199b385fb258a2286c9"/>
                        <w:lock w:val="sdtLocked"/>
                        <w:richText/>
                      </w:sdtPr>
                      <w:sdtContent>
                        <w:p w14:paraId="3552CC1B" w14:textId="6099599C">
                          <w:pPr>
                            <w:ind w:firstLine="720"/>
                            <w:jc w:val="both"/>
                            <w:rPr>
                              <w:rFonts w:eastAsia="Calibri"/>
                              <w:bCs/>
                              <w:szCs w:val="24"/>
                            </w:rPr>
                          </w:pPr>
                          <w:r>
                            <w:rPr>
                              <w:rFonts w:eastAsia="Calibri"/>
                              <w:bCs/>
                              <w:szCs w:val="24"/>
                            </w:rPr>
                            <w:t>„</w:t>
                          </w:r>
                          <w:sdt>
                            <w:sdtPr>
                              <w:alias w:val="Numeris"/>
                              <w:tag w:val="nr_e813e1ca686d4199b385fb258a2286c9"/>
                              <w:lock w:val="sdtLocked"/>
                              <w:richText/>
                            </w:sdtPr>
                            <w:sdtContent>
                              <w:r>
                                <w:rPr>
                                  <w:rFonts w:eastAsia="Calibri"/>
                                  <w:bCs/>
                                  <w:szCs w:val="24"/>
                                </w:rPr>
                                <w:t>1</w:t>
                              </w:r>
                            </w:sdtContent>
                          </w:sdt>
                          <w:r>
                            <w:rPr>
                              <w:rFonts w:eastAsia="Calibri"/>
                              <w:bCs/>
                              <w:szCs w:val="24"/>
                            </w:rPr>
                            <w:t xml:space="preserve">) rengiant Lietuvos Respublikos tam tikrų metų valstybės biudžeto ir savivaldybių biudžetų finansinių rodiklių patvirtinimo įstatymo projektą naudoti </w:t>
                          </w:r>
                          <w:r>
                            <w:rPr>
                              <w:rFonts w:eastAsia="Calibri"/>
                              <w:bCs/>
                              <w:strike/>
                              <w:szCs w:val="24"/>
                            </w:rPr>
                            <w:t>Lietuvos statistikos departamento</w:t>
                          </w:r>
                          <w:r>
                            <w:rPr>
                              <w:rFonts w:eastAsia="Calibri"/>
                              <w:bCs/>
                              <w:szCs w:val="24"/>
                            </w:rPr>
                            <w:t xml:space="preserve"> </w:t>
                          </w:r>
                          <w:r>
                            <w:rPr>
                              <w:rFonts w:eastAsia="Calibri"/>
                              <w:b/>
                              <w:bCs/>
                              <w:szCs w:val="24"/>
                            </w:rPr>
                            <w:t>Valstybės duomenų agentūros</w:t>
                          </w:r>
                          <w:r>
                            <w:rPr>
                              <w:rFonts w:eastAsia="Calibri"/>
                              <w:bCs/>
                              <w:szCs w:val="24"/>
                            </w:rPr>
                            <w:t xml:space="preserve"> arba Europos Komisijos prognozuoti duomenys, kurie vėliau buvo pakeisti;“.</w:t>
                          </w:r>
                        </w:p>
                        <w:p w14:paraId="696CE647" w14:textId="77777777">
                          <w:pPr>
                            <w:ind w:firstLine="720"/>
                            <w:jc w:val="both"/>
                            <w:rPr>
                              <w:rFonts w:eastAsia="Calibri"/>
                              <w:bCs/>
                              <w:szCs w:val="24"/>
                            </w:rPr>
                          </w:pPr>
                        </w:p>
                      </w:sdtContent>
                    </w:sdt>
                  </w:sdtContent>
                </w:sdt>
              </w:sdtContent>
            </w:sdt>
          </w:sdtContent>
        </w:sdt>
        <w:sdt>
          <w:sdtPr>
            <w:alias w:val="10 str."/>
            <w:tag w:val="part_f30f7acd2a3144c29d7d55921060b657"/>
            <w:lock w:val="sdtLocked"/>
            <w:richText/>
          </w:sdtPr>
          <w:sdtContent>
            <w:p w14:paraId="7B44ACD4" w14:textId="7F5D5D39">
              <w:pPr>
                <w:ind w:firstLine="720"/>
                <w:jc w:val="both"/>
                <w:rPr>
                  <w:rFonts w:eastAsia="Calibri"/>
                  <w:szCs w:val="24"/>
                </w:rPr>
              </w:pPr>
              <w:sdt>
                <w:sdtPr>
                  <w:alias w:val="Numeris"/>
                  <w:tag w:val="nr_f30f7acd2a3144c29d7d55921060b657"/>
                  <w:lock w:val="sdtLocked"/>
                  <w:richText/>
                </w:sdtPr>
                <w:sdtContent>
                  <w:r>
                    <w:rPr>
                      <w:rFonts w:eastAsia="Calibri"/>
                      <w:b/>
                      <w:bCs/>
                      <w:szCs w:val="24"/>
                    </w:rPr>
                    <w:t>10</w:t>
                  </w:r>
                </w:sdtContent>
              </w:sdt>
              <w:r>
                <w:rPr>
                  <w:rFonts w:eastAsia="Calibri"/>
                  <w:b/>
                  <w:bCs/>
                  <w:szCs w:val="24"/>
                </w:rPr>
                <w:t> straipsnis. </w:t>
              </w:r>
              <w:sdt>
                <w:sdtPr>
                  <w:alias w:val="Pavadinimas"/>
                  <w:tag w:val="title_f30f7acd2a3144c29d7d55921060b657"/>
                  <w:lock w:val="sdtLocked"/>
                  <w:richText/>
                </w:sdtPr>
                <w:sdtContent>
                  <w:r>
                    <w:rPr>
                      <w:rFonts w:eastAsia="Calibri"/>
                      <w:b/>
                      <w:bCs/>
                      <w:szCs w:val="24"/>
                    </w:rPr>
                    <w:t>Įstatymo įsigaliojimas ir taikymas</w:t>
                  </w:r>
                </w:sdtContent>
              </w:sdt>
            </w:p>
            <w:sdt>
              <w:sdtPr>
                <w:alias w:val="10 str. 1 d."/>
                <w:tag w:val="part_34bdc0e4bcce4f628856f6d1999e0d4d"/>
                <w:lock w:val="sdtLocked"/>
                <w:richText/>
              </w:sdtPr>
              <w:sdtContent>
                <w:p w14:paraId="1CB47704" w14:textId="3F139B44">
                  <w:pPr>
                    <w:ind w:firstLine="720"/>
                    <w:jc w:val="both"/>
                    <w:rPr>
                      <w:rFonts w:eastAsia="Calibri"/>
                      <w:szCs w:val="24"/>
                    </w:rPr>
                  </w:pPr>
                  <w:sdt>
                    <w:sdtPr>
                      <w:alias w:val="Numeris"/>
                      <w:tag w:val="nr_34bdc0e4bcce4f628856f6d1999e0d4d"/>
                      <w:lock w:val="sdtLocked"/>
                      <w:richText/>
                    </w:sdtPr>
                    <w:sdtContent>
                      <w:r>
                        <w:rPr>
                          <w:rFonts w:eastAsia="Calibri"/>
                          <w:szCs w:val="24"/>
                        </w:rPr>
                        <w:t>1</w:t>
                      </w:r>
                    </w:sdtContent>
                  </w:sdt>
                  <w:r>
                    <w:rPr>
                      <w:rFonts w:eastAsia="Calibri"/>
                      <w:szCs w:val="24"/>
                    </w:rPr>
                    <w:t>. Šio Įstatymo 1 straipsnis, 2 straipsnio 1 dalis, 7 straipsnis ir 8 straipsnio 1 dalis įsigalioja 2023 m. spalio 1 d.</w:t>
                  </w:r>
                </w:p>
              </w:sdtContent>
            </w:sdt>
            <w:sdt>
              <w:sdtPr>
                <w:alias w:val="10 str. 2 d."/>
                <w:tag w:val="part_70677560b97441358b3c597046653aaa"/>
                <w:lock w:val="sdtLocked"/>
                <w:richText/>
              </w:sdtPr>
              <w:sdtContent>
                <w:p w14:paraId="6F1D9F22" w14:textId="02D05F54">
                  <w:pPr>
                    <w:ind w:firstLine="720"/>
                    <w:jc w:val="both"/>
                    <w:rPr>
                      <w:rFonts w:eastAsia="Calibri"/>
                      <w:szCs w:val="24"/>
                    </w:rPr>
                  </w:pPr>
                  <w:sdt>
                    <w:sdtPr>
                      <w:alias w:val="Numeris"/>
                      <w:tag w:val="nr_70677560b97441358b3c597046653aaa"/>
                      <w:lock w:val="sdtLocked"/>
                      <w:richText/>
                    </w:sdtPr>
                    <w:sdtContent>
                      <w:r>
                        <w:rPr>
                          <w:rFonts w:eastAsia="Calibri"/>
                          <w:szCs w:val="24"/>
                        </w:rPr>
                        <w:t>2</w:t>
                      </w:r>
                    </w:sdtContent>
                  </w:sdt>
                  <w:r>
                    <w:rPr>
                      <w:rFonts w:eastAsia="Calibri"/>
                      <w:szCs w:val="24"/>
                    </w:rPr>
                    <w:t>. Šio įstatymo 2 straipsnio 2 ir 3 dalys, 3–6 straipsniai ir 8 straipsnio 2 dalis įsigalioja 2024 m. sausio 1 d.</w:t>
                  </w:r>
                </w:p>
              </w:sdtContent>
            </w:sdt>
            <w:sdt>
              <w:sdtPr>
                <w:alias w:val="10 str. 3 d."/>
                <w:tag w:val="part_3f71f3e0b10a4575bebd5e582ac72732"/>
                <w:lock w:val="sdtLocked"/>
                <w:richText/>
              </w:sdtPr>
              <w:sdtContent>
                <w:p w14:paraId="11EBC20A" w14:textId="291C3B7D">
                  <w:pPr>
                    <w:ind w:firstLine="720"/>
                    <w:jc w:val="both"/>
                    <w:rPr>
                      <w:rFonts w:eastAsia="Calibri"/>
                      <w:szCs w:val="24"/>
                    </w:rPr>
                  </w:pPr>
                  <w:sdt>
                    <w:sdtPr>
                      <w:alias w:val="Numeris"/>
                      <w:tag w:val="nr_3f71f3e0b10a4575bebd5e582ac72732"/>
                      <w:lock w:val="sdtLocked"/>
                      <w:richText/>
                    </w:sdtPr>
                    <w:sdtContent>
                      <w:r>
                        <w:rPr>
                          <w:rFonts w:eastAsia="Calibri"/>
                          <w:szCs w:val="24"/>
                        </w:rPr>
                        <w:t>3</w:t>
                      </w:r>
                    </w:sdtContent>
                  </w:sdt>
                  <w:r>
                    <w:rPr>
                      <w:rFonts w:eastAsia="Calibri"/>
                      <w:szCs w:val="24"/>
                    </w:rPr>
                    <w:t>. Šio įstatymo 2 straipsnio 2 ir 3 dalių, 3–6 straipsnių ir 8 straipsnio 2 dalies nuostatos taikomos rengiant 2024 metų ir vėlesnių metų valstybės biudžeto ir savivaldybių biudžetų finansinių rodiklių patvirtinimo įstatymų projektus.</w:t>
                  </w:r>
                </w:p>
                <w:p w14:paraId="7AFC6F3A" w14:textId="77777777">
                  <w:pPr>
                    <w:ind w:firstLine="709"/>
                    <w:rPr>
                      <w:rFonts w:eastAsia="Calibri"/>
                      <w:szCs w:val="24"/>
                    </w:rPr>
                  </w:pPr>
                </w:p>
              </w:sdtContent>
            </w:sdt>
          </w:sdtContent>
        </w:sdt>
        <w:sdt>
          <w:sdtPr>
            <w:alias w:val="signatura"/>
            <w:tag w:val="part_56e6babdfd844d3a856bbe9a7dc5f588"/>
            <w:lock w:val="sdtLocked"/>
            <w:richText/>
          </w:sdtPr>
          <w:sdtContent>
            <w:p w14:paraId="4143EC85" w14:textId="77777777">
              <w:pPr>
                <w:spacing w:line="259" w:lineRule="auto"/>
                <w:ind w:firstLine="720"/>
                <w:jc w:val="both"/>
                <w:rPr>
                  <w:rFonts w:eastAsia="Calibri"/>
                  <w:i/>
                  <w:szCs w:val="24"/>
                </w:rPr>
              </w:pPr>
              <w:r>
                <w:rPr>
                  <w:rFonts w:eastAsia="Calibri"/>
                  <w:i/>
                  <w:szCs w:val="24"/>
                </w:rPr>
                <w:t>Skelbiu šį Lietuvos Respublikos Seimo priimtą įstatymą.</w:t>
              </w:r>
            </w:p>
            <w:p w14:paraId="4C72363C" w14:textId="77777777">
              <w:pPr>
                <w:ind w:firstLine="709"/>
                <w:rPr>
                  <w:szCs w:val="24"/>
                </w:rPr>
              </w:pPr>
            </w:p>
            <w:p w14:paraId="0235D513" w14:textId="50AC2734">
              <w:pPr>
                <w:spacing w:line="259" w:lineRule="auto"/>
                <w:rPr>
                  <w:rFonts w:eastAsia="Calibri"/>
                  <w:szCs w:val="24"/>
                </w:rPr>
              </w:pPr>
              <w:r>
                <w:rPr>
                  <w:rFonts w:eastAsia="Calibri"/>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C22794" w14:textId="77777777">
      <w:r>
        <w:separator/>
      </w:r>
    </w:p>
  </w:endnote>
  <w:endnote w:type="continuationSeparator" w:id="0">
    <w:p w14:paraId="5E73045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6196A"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E3F88"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03ECC2"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E7E07A" w14:textId="77777777">
      <w:r>
        <w:separator/>
      </w:r>
    </w:p>
  </w:footnote>
  <w:footnote w:type="continuationSeparator" w:id="0">
    <w:p w14:paraId="4807CC19"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3067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E833E7" w14:textId="5AFF08D3">
    <w:pPr>
      <w:tabs>
        <w:tab w:val="center" w:pos="4819"/>
        <w:tab w:val="right" w:pos="9638"/>
      </w:tab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82DC13"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8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48B3027E"/>
  <w15:docId w15:val="{28C6CEB1-C36A-4A9F-BD9C-A411C50A31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9868223">
      <w:bodyDiv w:val="1"/>
      <w:marLeft w:val="0"/>
      <w:marRight w:val="0"/>
      <w:marTop w:val="0"/>
      <w:marBottom w:val="0"/>
      <w:divBdr>
        <w:top w:val="none" w:sz="0" w:space="0" w:color="auto"/>
        <w:left w:val="none" w:sz="0" w:space="0" w:color="auto"/>
        <w:bottom w:val="none" w:sz="0" w:space="0" w:color="auto"/>
        <w:right w:val="none" w:sz="0" w:space="0" w:color="auto"/>
      </w:divBdr>
      <w:divsChild>
        <w:div w:id="1302416711">
          <w:marLeft w:val="0"/>
          <w:marRight w:val="0"/>
          <w:marTop w:val="0"/>
          <w:marBottom w:val="0"/>
          <w:divBdr>
            <w:top w:val="none" w:sz="0" w:space="0" w:color="auto"/>
            <w:left w:val="none" w:sz="0" w:space="0" w:color="auto"/>
            <w:bottom w:val="none" w:sz="0" w:space="0" w:color="auto"/>
            <w:right w:val="none" w:sz="0" w:space="0" w:color="auto"/>
          </w:divBdr>
        </w:div>
      </w:divsChild>
    </w:div>
    <w:div w:id="1496796932">
      <w:bodyDiv w:val="1"/>
      <w:marLeft w:val="0"/>
      <w:marRight w:val="0"/>
      <w:marTop w:val="0"/>
      <w:marBottom w:val="0"/>
      <w:divBdr>
        <w:top w:val="none" w:sz="0" w:space="0" w:color="auto"/>
        <w:left w:val="none" w:sz="0" w:space="0" w:color="auto"/>
        <w:bottom w:val="none" w:sz="0" w:space="0" w:color="auto"/>
        <w:right w:val="none" w:sz="0" w:space="0" w:color="auto"/>
      </w:divBdr>
      <w:divsChild>
        <w:div w:id="1661927430">
          <w:marLeft w:val="0"/>
          <w:marRight w:val="0"/>
          <w:marTop w:val="0"/>
          <w:marBottom w:val="0"/>
          <w:divBdr>
            <w:top w:val="none" w:sz="0" w:space="0" w:color="auto"/>
            <w:left w:val="none" w:sz="0" w:space="0" w:color="auto"/>
            <w:bottom w:val="none" w:sz="0" w:space="0" w:color="auto"/>
            <w:right w:val="none" w:sz="0" w:space="0" w:color="auto"/>
          </w:divBdr>
          <w:divsChild>
            <w:div w:id="1261639840">
              <w:marLeft w:val="0"/>
              <w:marRight w:val="0"/>
              <w:marTop w:val="0"/>
              <w:marBottom w:val="0"/>
              <w:divBdr>
                <w:top w:val="none" w:sz="0" w:space="0" w:color="auto"/>
                <w:left w:val="none" w:sz="0" w:space="0" w:color="auto"/>
                <w:bottom w:val="none" w:sz="0" w:space="0" w:color="auto"/>
                <w:right w:val="none" w:sz="0" w:space="0" w:color="auto"/>
              </w:divBdr>
              <w:divsChild>
                <w:div w:id="756093775">
                  <w:marLeft w:val="0"/>
                  <w:marRight w:val="0"/>
                  <w:marTop w:val="0"/>
                  <w:marBottom w:val="0"/>
                  <w:divBdr>
                    <w:top w:val="none" w:sz="0" w:space="0" w:color="auto"/>
                    <w:left w:val="none" w:sz="0" w:space="0" w:color="auto"/>
                    <w:bottom w:val="none" w:sz="0" w:space="0" w:color="auto"/>
                    <w:right w:val="none" w:sz="0" w:space="0" w:color="auto"/>
                  </w:divBdr>
                </w:div>
                <w:div w:id="1428843083">
                  <w:marLeft w:val="0"/>
                  <w:marRight w:val="0"/>
                  <w:marTop w:val="0"/>
                  <w:marBottom w:val="0"/>
                  <w:divBdr>
                    <w:top w:val="none" w:sz="0" w:space="0" w:color="auto"/>
                    <w:left w:val="none" w:sz="0" w:space="0" w:color="auto"/>
                    <w:bottom w:val="none" w:sz="0" w:space="0" w:color="auto"/>
                    <w:right w:val="none" w:sz="0" w:space="0" w:color="auto"/>
                  </w:divBdr>
                </w:div>
                <w:div w:id="1677421115">
                  <w:marLeft w:val="0"/>
                  <w:marRight w:val="0"/>
                  <w:marTop w:val="0"/>
                  <w:marBottom w:val="0"/>
                  <w:divBdr>
                    <w:top w:val="none" w:sz="0" w:space="0" w:color="auto"/>
                    <w:left w:val="none" w:sz="0" w:space="0" w:color="auto"/>
                    <w:bottom w:val="none" w:sz="0" w:space="0" w:color="auto"/>
                    <w:right w:val="none" w:sz="0" w:space="0" w:color="auto"/>
                  </w:divBdr>
                </w:div>
                <w:div w:id="267664685">
                  <w:marLeft w:val="0"/>
                  <w:marRight w:val="0"/>
                  <w:marTop w:val="0"/>
                  <w:marBottom w:val="0"/>
                  <w:divBdr>
                    <w:top w:val="none" w:sz="0" w:space="0" w:color="auto"/>
                    <w:left w:val="none" w:sz="0" w:space="0" w:color="auto"/>
                    <w:bottom w:val="none" w:sz="0" w:space="0" w:color="auto"/>
                    <w:right w:val="none" w:sz="0" w:space="0" w:color="auto"/>
                  </w:divBdr>
                </w:div>
                <w:div w:id="228344024">
                  <w:marLeft w:val="0"/>
                  <w:marRight w:val="0"/>
                  <w:marTop w:val="0"/>
                  <w:marBottom w:val="0"/>
                  <w:divBdr>
                    <w:top w:val="none" w:sz="0" w:space="0" w:color="auto"/>
                    <w:left w:val="none" w:sz="0" w:space="0" w:color="auto"/>
                    <w:bottom w:val="none" w:sz="0" w:space="0" w:color="auto"/>
                    <w:right w:val="none" w:sz="0" w:space="0" w:color="auto"/>
                  </w:divBdr>
                </w:div>
              </w:divsChild>
            </w:div>
            <w:div w:id="1320887427">
              <w:marLeft w:val="0"/>
              <w:marRight w:val="0"/>
              <w:marTop w:val="0"/>
              <w:marBottom w:val="0"/>
              <w:divBdr>
                <w:top w:val="none" w:sz="0" w:space="0" w:color="auto"/>
                <w:left w:val="none" w:sz="0" w:space="0" w:color="auto"/>
                <w:bottom w:val="none" w:sz="0" w:space="0" w:color="auto"/>
                <w:right w:val="none" w:sz="0" w:space="0" w:color="auto"/>
              </w:divBdr>
              <w:divsChild>
                <w:div w:id="867571219">
                  <w:marLeft w:val="0"/>
                  <w:marRight w:val="0"/>
                  <w:marTop w:val="0"/>
                  <w:marBottom w:val="0"/>
                  <w:divBdr>
                    <w:top w:val="none" w:sz="0" w:space="0" w:color="auto"/>
                    <w:left w:val="none" w:sz="0" w:space="0" w:color="auto"/>
                    <w:bottom w:val="none" w:sz="0" w:space="0" w:color="auto"/>
                    <w:right w:val="none" w:sz="0" w:space="0" w:color="auto"/>
                  </w:divBdr>
                </w:div>
                <w:div w:id="1790123226">
                  <w:marLeft w:val="0"/>
                  <w:marRight w:val="0"/>
                  <w:marTop w:val="0"/>
                  <w:marBottom w:val="0"/>
                  <w:divBdr>
                    <w:top w:val="none" w:sz="0" w:space="0" w:color="auto"/>
                    <w:left w:val="none" w:sz="0" w:space="0" w:color="auto"/>
                    <w:bottom w:val="none" w:sz="0" w:space="0" w:color="auto"/>
                    <w:right w:val="none" w:sz="0" w:space="0" w:color="auto"/>
                  </w:divBdr>
                </w:div>
                <w:div w:id="1930693430">
                  <w:marLeft w:val="0"/>
                  <w:marRight w:val="0"/>
                  <w:marTop w:val="0"/>
                  <w:marBottom w:val="0"/>
                  <w:divBdr>
                    <w:top w:val="none" w:sz="0" w:space="0" w:color="auto"/>
                    <w:left w:val="none" w:sz="0" w:space="0" w:color="auto"/>
                    <w:bottom w:val="none" w:sz="0" w:space="0" w:color="auto"/>
                    <w:right w:val="none" w:sz="0" w:space="0" w:color="auto"/>
                  </w:divBdr>
                </w:div>
                <w:div w:id="248347900">
                  <w:marLeft w:val="0"/>
                  <w:marRight w:val="0"/>
                  <w:marTop w:val="0"/>
                  <w:marBottom w:val="0"/>
                  <w:divBdr>
                    <w:top w:val="none" w:sz="0" w:space="0" w:color="auto"/>
                    <w:left w:val="none" w:sz="0" w:space="0" w:color="auto"/>
                    <w:bottom w:val="none" w:sz="0" w:space="0" w:color="auto"/>
                    <w:right w:val="none" w:sz="0" w:space="0" w:color="auto"/>
                  </w:divBdr>
                </w:div>
                <w:div w:id="2091802936">
                  <w:marLeft w:val="0"/>
                  <w:marRight w:val="0"/>
                  <w:marTop w:val="0"/>
                  <w:marBottom w:val="0"/>
                  <w:divBdr>
                    <w:top w:val="none" w:sz="0" w:space="0" w:color="auto"/>
                    <w:left w:val="none" w:sz="0" w:space="0" w:color="auto"/>
                    <w:bottom w:val="none" w:sz="0" w:space="0" w:color="auto"/>
                    <w:right w:val="none" w:sz="0" w:space="0" w:color="auto"/>
                  </w:divBdr>
                </w:div>
              </w:divsChild>
            </w:div>
            <w:div w:id="1348095764">
              <w:marLeft w:val="0"/>
              <w:marRight w:val="0"/>
              <w:marTop w:val="0"/>
              <w:marBottom w:val="0"/>
              <w:divBdr>
                <w:top w:val="none" w:sz="0" w:space="0" w:color="auto"/>
                <w:left w:val="none" w:sz="0" w:space="0" w:color="auto"/>
                <w:bottom w:val="none" w:sz="0" w:space="0" w:color="auto"/>
                <w:right w:val="none" w:sz="0" w:space="0" w:color="auto"/>
              </w:divBdr>
            </w:div>
          </w:divsChild>
        </w:div>
        <w:div w:id="826168622">
          <w:marLeft w:val="0"/>
          <w:marRight w:val="0"/>
          <w:marTop w:val="0"/>
          <w:marBottom w:val="0"/>
          <w:divBdr>
            <w:top w:val="none" w:sz="0" w:space="0" w:color="auto"/>
            <w:left w:val="none" w:sz="0" w:space="0" w:color="auto"/>
            <w:bottom w:val="none" w:sz="0" w:space="0" w:color="auto"/>
            <w:right w:val="none" w:sz="0" w:space="0" w:color="auto"/>
          </w:divBdr>
          <w:divsChild>
            <w:div w:id="1204097076">
              <w:marLeft w:val="0"/>
              <w:marRight w:val="0"/>
              <w:marTop w:val="0"/>
              <w:marBottom w:val="0"/>
              <w:divBdr>
                <w:top w:val="none" w:sz="0" w:space="0" w:color="auto"/>
                <w:left w:val="none" w:sz="0" w:space="0" w:color="auto"/>
                <w:bottom w:val="none" w:sz="0" w:space="0" w:color="auto"/>
                <w:right w:val="none" w:sz="0" w:space="0" w:color="auto"/>
              </w:divBdr>
              <w:divsChild>
                <w:div w:id="1768964228">
                  <w:marLeft w:val="0"/>
                  <w:marRight w:val="0"/>
                  <w:marTop w:val="0"/>
                  <w:marBottom w:val="0"/>
                  <w:divBdr>
                    <w:top w:val="none" w:sz="0" w:space="0" w:color="auto"/>
                    <w:left w:val="none" w:sz="0" w:space="0" w:color="auto"/>
                    <w:bottom w:val="none" w:sz="0" w:space="0" w:color="auto"/>
                    <w:right w:val="none" w:sz="0" w:space="0" w:color="auto"/>
                  </w:divBdr>
                </w:div>
                <w:div w:id="356126872">
                  <w:marLeft w:val="0"/>
                  <w:marRight w:val="0"/>
                  <w:marTop w:val="0"/>
                  <w:marBottom w:val="0"/>
                  <w:divBdr>
                    <w:top w:val="none" w:sz="0" w:space="0" w:color="auto"/>
                    <w:left w:val="none" w:sz="0" w:space="0" w:color="auto"/>
                    <w:bottom w:val="none" w:sz="0" w:space="0" w:color="auto"/>
                    <w:right w:val="none" w:sz="0" w:space="0" w:color="auto"/>
                  </w:divBdr>
                </w:div>
                <w:div w:id="66794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724940">
      <w:bodyDiv w:val="1"/>
      <w:marLeft w:val="0"/>
      <w:marRight w:val="0"/>
      <w:marTop w:val="0"/>
      <w:marBottom w:val="0"/>
      <w:divBdr>
        <w:top w:val="none" w:sz="0" w:space="0" w:color="auto"/>
        <w:left w:val="none" w:sz="0" w:space="0" w:color="auto"/>
        <w:bottom w:val="none" w:sz="0" w:space="0" w:color="auto"/>
        <w:right w:val="none" w:sz="0" w:space="0" w:color="auto"/>
      </w:divBdr>
      <w:divsChild>
        <w:div w:id="367294529">
          <w:marLeft w:val="0"/>
          <w:marRight w:val="0"/>
          <w:marTop w:val="0"/>
          <w:marBottom w:val="0"/>
          <w:divBdr>
            <w:top w:val="none" w:sz="0" w:space="0" w:color="auto"/>
            <w:left w:val="none" w:sz="0" w:space="0" w:color="auto"/>
            <w:bottom w:val="none" w:sz="0" w:space="0" w:color="auto"/>
            <w:right w:val="none" w:sz="0" w:space="0" w:color="auto"/>
          </w:divBdr>
        </w:div>
        <w:div w:id="1222715167">
          <w:marLeft w:val="0"/>
          <w:marRight w:val="0"/>
          <w:marTop w:val="0"/>
          <w:marBottom w:val="0"/>
          <w:divBdr>
            <w:top w:val="none" w:sz="0" w:space="0" w:color="auto"/>
            <w:left w:val="none" w:sz="0" w:space="0" w:color="auto"/>
            <w:bottom w:val="none" w:sz="0" w:space="0" w:color="auto"/>
            <w:right w:val="none" w:sz="0" w:space="0" w:color="auto"/>
          </w:divBdr>
          <w:divsChild>
            <w:div w:id="106701360">
              <w:marLeft w:val="0"/>
              <w:marRight w:val="0"/>
              <w:marTop w:val="0"/>
              <w:marBottom w:val="0"/>
              <w:divBdr>
                <w:top w:val="none" w:sz="0" w:space="0" w:color="auto"/>
                <w:left w:val="none" w:sz="0" w:space="0" w:color="auto"/>
                <w:bottom w:val="none" w:sz="0" w:space="0" w:color="auto"/>
                <w:right w:val="none" w:sz="0" w:space="0" w:color="auto"/>
              </w:divBdr>
            </w:div>
            <w:div w:id="229656849">
              <w:marLeft w:val="0"/>
              <w:marRight w:val="0"/>
              <w:marTop w:val="0"/>
              <w:marBottom w:val="0"/>
              <w:divBdr>
                <w:top w:val="none" w:sz="0" w:space="0" w:color="auto"/>
                <w:left w:val="none" w:sz="0" w:space="0" w:color="auto"/>
                <w:bottom w:val="none" w:sz="0" w:space="0" w:color="auto"/>
                <w:right w:val="none" w:sz="0" w:space="0" w:color="auto"/>
              </w:divBdr>
            </w:div>
            <w:div w:id="828061608">
              <w:marLeft w:val="0"/>
              <w:marRight w:val="0"/>
              <w:marTop w:val="0"/>
              <w:marBottom w:val="0"/>
              <w:divBdr>
                <w:top w:val="none" w:sz="0" w:space="0" w:color="auto"/>
                <w:left w:val="none" w:sz="0" w:space="0" w:color="auto"/>
                <w:bottom w:val="none" w:sz="0" w:space="0" w:color="auto"/>
                <w:right w:val="none" w:sz="0" w:space="0" w:color="auto"/>
              </w:divBdr>
            </w:div>
            <w:div w:id="1287466317">
              <w:marLeft w:val="0"/>
              <w:marRight w:val="0"/>
              <w:marTop w:val="0"/>
              <w:marBottom w:val="0"/>
              <w:divBdr>
                <w:top w:val="none" w:sz="0" w:space="0" w:color="auto"/>
                <w:left w:val="none" w:sz="0" w:space="0" w:color="auto"/>
                <w:bottom w:val="none" w:sz="0" w:space="0" w:color="auto"/>
                <w:right w:val="none" w:sz="0" w:space="0" w:color="auto"/>
              </w:divBdr>
            </w:div>
            <w:div w:id="2098943804">
              <w:marLeft w:val="0"/>
              <w:marRight w:val="0"/>
              <w:marTop w:val="0"/>
              <w:marBottom w:val="0"/>
              <w:divBdr>
                <w:top w:val="none" w:sz="0" w:space="0" w:color="auto"/>
                <w:left w:val="none" w:sz="0" w:space="0" w:color="auto"/>
                <w:bottom w:val="none" w:sz="0" w:space="0" w:color="auto"/>
                <w:right w:val="none" w:sz="0" w:space="0" w:color="auto"/>
              </w:divBdr>
            </w:div>
            <w:div w:id="1117914271">
              <w:marLeft w:val="0"/>
              <w:marRight w:val="0"/>
              <w:marTop w:val="0"/>
              <w:marBottom w:val="0"/>
              <w:divBdr>
                <w:top w:val="none" w:sz="0" w:space="0" w:color="auto"/>
                <w:left w:val="none" w:sz="0" w:space="0" w:color="auto"/>
                <w:bottom w:val="none" w:sz="0" w:space="0" w:color="auto"/>
                <w:right w:val="none" w:sz="0" w:space="0" w:color="auto"/>
              </w:divBdr>
            </w:div>
            <w:div w:id="1586038863">
              <w:marLeft w:val="0"/>
              <w:marRight w:val="0"/>
              <w:marTop w:val="0"/>
              <w:marBottom w:val="0"/>
              <w:divBdr>
                <w:top w:val="none" w:sz="0" w:space="0" w:color="auto"/>
                <w:left w:val="none" w:sz="0" w:space="0" w:color="auto"/>
                <w:bottom w:val="none" w:sz="0" w:space="0" w:color="auto"/>
                <w:right w:val="none" w:sz="0" w:space="0" w:color="auto"/>
              </w:divBdr>
            </w:div>
            <w:div w:id="1165515123">
              <w:marLeft w:val="0"/>
              <w:marRight w:val="0"/>
              <w:marTop w:val="0"/>
              <w:marBottom w:val="0"/>
              <w:divBdr>
                <w:top w:val="none" w:sz="0" w:space="0" w:color="auto"/>
                <w:left w:val="none" w:sz="0" w:space="0" w:color="auto"/>
                <w:bottom w:val="none" w:sz="0" w:space="0" w:color="auto"/>
                <w:right w:val="none" w:sz="0" w:space="0" w:color="auto"/>
              </w:divBdr>
            </w:div>
            <w:div w:id="889611298">
              <w:marLeft w:val="0"/>
              <w:marRight w:val="0"/>
              <w:marTop w:val="0"/>
              <w:marBottom w:val="0"/>
              <w:divBdr>
                <w:top w:val="none" w:sz="0" w:space="0" w:color="auto"/>
                <w:left w:val="none" w:sz="0" w:space="0" w:color="auto"/>
                <w:bottom w:val="none" w:sz="0" w:space="0" w:color="auto"/>
                <w:right w:val="none" w:sz="0" w:space="0" w:color="auto"/>
              </w:divBdr>
            </w:div>
            <w:div w:id="345911818">
              <w:marLeft w:val="0"/>
              <w:marRight w:val="0"/>
              <w:marTop w:val="0"/>
              <w:marBottom w:val="0"/>
              <w:divBdr>
                <w:top w:val="none" w:sz="0" w:space="0" w:color="auto"/>
                <w:left w:val="none" w:sz="0" w:space="0" w:color="auto"/>
                <w:bottom w:val="none" w:sz="0" w:space="0" w:color="auto"/>
                <w:right w:val="none" w:sz="0" w:space="0" w:color="auto"/>
              </w:divBdr>
            </w:div>
            <w:div w:id="1074743363">
              <w:marLeft w:val="0"/>
              <w:marRight w:val="0"/>
              <w:marTop w:val="0"/>
              <w:marBottom w:val="0"/>
              <w:divBdr>
                <w:top w:val="none" w:sz="0" w:space="0" w:color="auto"/>
                <w:left w:val="none" w:sz="0" w:space="0" w:color="auto"/>
                <w:bottom w:val="none" w:sz="0" w:space="0" w:color="auto"/>
                <w:right w:val="none" w:sz="0" w:space="0" w:color="auto"/>
              </w:divBdr>
            </w:div>
          </w:divsChild>
        </w:div>
        <w:div w:id="1570575033">
          <w:marLeft w:val="0"/>
          <w:marRight w:val="0"/>
          <w:marTop w:val="0"/>
          <w:marBottom w:val="0"/>
          <w:divBdr>
            <w:top w:val="none" w:sz="0" w:space="0" w:color="auto"/>
            <w:left w:val="none" w:sz="0" w:space="0" w:color="auto"/>
            <w:bottom w:val="none" w:sz="0" w:space="0" w:color="auto"/>
            <w:right w:val="none" w:sz="0" w:space="0" w:color="auto"/>
          </w:divBdr>
        </w:div>
      </w:divsChild>
    </w:div>
    <w:div w:id="1732926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42ffa3ca5da479f8ce9a1de2a94e7d8" PartId="bb4dbad8b10043e0b37e5247ce4291c4">
    <Part Type="straipsnis" Nr="1" Abbr="1 str." Title="4 straipsnio pakeitimas" DocPartId="3587b3bb18b741c187327e43b2571c35" PartId="85245dc9869e4ed9af035ec2a67b5094">
      <Part Type="strDalis" Nr="1" Abbr="1 str. 1 d." DocPartId="a7e831f0839041b9a66298d795903721" PartId="1929be3b79cb43c6a6022c6f9fd534d4">
        <Part Type="citata" DocPartId="a20d5308ba6a476abd92126af4a8367a" PartId="5c5037633d2d47a5ab0d01d9bffe3a69">
          <Part Type="strDalis" Nr="2" Abbr="2 d." DocPartId="72d74cb0d17b4760b52e179c6cc1a63b" PartId="f958eb3406004f2fa3c27a3beb1f1837"/>
        </Part>
      </Part>
    </Part>
    <Part Type="straipsnis" Nr="2" Abbr="2 str." Title="5 straipsnio pakeitimas" DocPartId="3de0a629938a45048dabcb39827a8884" PartId="ce980fcb81bb40ef90d88c006cda3b0d">
      <Part Type="strDalis" Nr="1" Abbr="2 str. 1 d." DocPartId="735d2863d4e44e9f83fbb73523acea0c" PartId="d9a316670de24678b077367e6836b239">
        <Part Type="citata" DocPartId="e6fce524f2db42859c5dc7cf1506e960" PartId="89a92b4387444cc59ff0b2de9a2fd033">
          <Part Type="strPunktas" Nr="1" Abbr="1 p." DocPartId="d9097064a7e94633813b8d275bbc0981" PartId="c95efba1ea1c4cbfb17e6add84e9dde2"/>
        </Part>
      </Part>
      <Part Type="strDalis" Nr="2" Abbr="2 str. 2 d." DocPartId="a89cb8646e7d43bb8594c3687327f75f" PartId="d8f1f7d8f16547c987e520058c6bd9f0">
        <Part Type="citata" DocPartId="00d9e5dbeb7f421092c245b18c6a164e" PartId="8ba30508dac24e0d986116719af19c43">
          <Part Type="strPunktas" Nr="3" Abbr="3 p." DocPartId="6d403a22b1a8415eb14694b1bd88a64d" PartId="b98495f3fa3b42a0b3076f68e8f0b14a"/>
        </Part>
      </Part>
      <Part Type="strDalis" Nr="3" Abbr="2 str. 3 d." DocPartId="559db31feae04a118f6a52ee0d5e1e7c" PartId="034122a8d061402e92ff1a9d55324e37">
        <Part Type="citata" DocPartId="36156c6f40744c7d98681a523f3862fe" PartId="17575bf74762433f8c3e5e5eb29f1cb3">
          <Part Type="strPunktas" Nr="3" Abbr="3 p." DocPartId="1a0ce47788504f788b470816687946b8" PartId="be9af07896d14133b25a735a55d83587"/>
        </Part>
      </Part>
    </Part>
    <Part Type="straipsnis" Nr="3" Abbr="3 str." Title="6 straipsnio pakeitimas" DocPartId="9f8d8da71f394dfbab29e0a2487faa0a" PartId="819e309464a344efa84ecf59f7a4f5f9">
      <Part Type="strDalis" Nr="1" Abbr="3 str. 1 d." DocPartId="1d61688497d1441b89a1c6d985d47020" PartId="3dead230b45b45809101adde63f06a4f">
        <Part Type="citata" DocPartId="5955287fd2254aff827529aa9172933c" PartId="7e18e1fa612144769db4b75bf5a69812">
          <Part Type="strPunktas" Nr="1" Abbr="1 p." DocPartId="3de956b47b0a43ca8bbf6cb12cc04038" PartId="286cda9d0c43413399f1c47ea73cb4b6"/>
        </Part>
      </Part>
    </Part>
    <Part Type="straipsnis" Nr="4" Abbr="4 str." Title="10¹ straipsnio pripažinimas netekusiu galios" DocPartId="39656fc3da2648a79af4b5e65fa54cb5" PartId="f64524e3a3294c3fb01d4296c8f29ec8">
      <Part Type="strDalis" Nr="1" Abbr="4 str. 1 d." DocPartId="df85fa8d602c4e969ceb73d21a78be53" PartId="c13557ed30b04aab8e8f76a4db8a2f64"/>
    </Part>
    <Part Type="straipsnis" Nr="10-1" Abbr="10-1 str." Notes="Numeris ne iš eilės. Trūksta dalių? [DocDalys]" DocPartId="c7a5e8ddd534438d8542169d23d164a0" PartId="2016073c02df48e694cb1eba3b93a938">
      <Part Type="strDalis" Nr="1" Abbr="10-1 str. 1 d." DocPartId="03fc9f5957dd41b3958422483c7f9397" PartId="e6f4ba9a83824108a7b99977a15ff1d9"/>
    </Part>
    <Part Type="straipsnis" Nr="5" Abbr="5 str." Title="18 straipsnio pakeitimas" Notes="Numeris ne iš eilės. Trūksta dalių? [DocDalys]" DocPartId="9ad704c2e02845039ac5fa7219b4ef01" PartId="a2dfd34496b74e299c40738e1372b0cc">
      <Part Type="strDalis" Nr="1" Abbr="5 str. 1 d." DocPartId="b659ad2400654a68b37bc77107d93ab6" PartId="d4d7c05795aa4bc48795873c0f13ee8f">
        <Part Type="citata" DocPartId="7ce6d5c1acdb440891319cad0622c246" PartId="0646a651c08343a0b3808a59e8265dd8">
          <Part Type="strPunktas" Nr="3" Abbr="3 p." DocPartId="7ccc002d840f49889ae1636c28bf52ac" PartId="d5d82dcff7e747d4a7185c92e0d84ed2"/>
        </Part>
      </Part>
    </Part>
    <Part Type="straipsnis" Nr="6" Abbr="6 str." Title="19 straipsnio pakeitimas" DocPartId="e11dc7d74bd34b37a8caea69bfac1905" PartId="f3cf0407365e430ca9d2ed5440d5f6c3">
      <Part Type="strDalis" Nr="1" Abbr="6 str. 1 d." DocPartId="6ce47f44d1714df78faef20387c42d36" PartId="75433e2e140b4f4981635d5074d228cb">
        <Part Type="citata" DocPartId="91c5304b7266448799fa2ad9f8707dc3" PartId="8b10e0fc98fa4401a757c3a62828405c">
          <Part Type="strPapunktis" Nr="k" Abbr="k pp." DocPartId="ca443fe15920412ca1028636d8b16b8c" PartId="65b383750b3f4c6ebea537ea6c44107d"/>
        </Part>
      </Part>
    </Part>
    <Part Type="straipsnis" Nr="7" Abbr="7 str." Title="21 straipsnio pakeitimas" DocPartId="e54ad9775bc84d029ed1077c0964a30a" PartId="ff919bc2d6da4b5d801d0e3fd300e42b">
      <Part Type="strDalis" Nr="1" Abbr="7 str. 1 d." DocPartId="94d0ec9b60474727a88d53c152ee61b9" PartId="5605db8a76b048cabef2bc8ec42acc13">
        <Part Type="citata" DocPartId="1024e7be71bf41698f882c27650c4b60" PartId="304076053da24dbda71c5367ee5e0790">
          <Part Type="strDalis" Nr="1" Abbr="1 d." DocPartId="55f9a94160fa44a3ae870358a6499161" PartId="80aea4d7af5d4399be7fb2054fad4b24"/>
        </Part>
      </Part>
    </Part>
    <Part Type="straipsnis" Nr="8" Abbr="8 str." Title="26 straipsnio pakeitimas" DocPartId="b3b2829a0fc247478ad9cfa582809538" PartId="34be19c8e3cd46aa808246dce364cd0b">
      <Part Type="strDalis" Nr="1" Abbr="8 str. 1 d." DocPartId="406e2b582a7946f58769788b44eb6607" PartId="970f1d8e89b346558e1295bdfd9537ce">
        <Part Type="citata" DocPartId="9c1db83a287b4829870f9ea4dcec5c69" PartId="4e68cae180774b5cad5956ae770aa702">
          <Part Type="strPunktas" Nr="2" Abbr="2 p." DocPartId="91031c69bd3c439895fda1ca66428675" PartId="a14f2fa9d170494b9fa304b0c8e10e1e"/>
        </Part>
      </Part>
      <Part Type="strDalis" Nr="2" Abbr="8 str. 2 d." DocPartId="507fac342aee4c2195f3f6494eeaed35" PartId="871a0ebc14a748e2a2b17fd2e6f26931">
        <Part Type="citata" DocPartId="117a8f5e5add4528ad652d29128b1a9b" PartId="39d45de512ee4c2ea45b2469a18d4664">
          <Part Type="strPunktas" Nr="2" Abbr="2 p." DocPartId="d0e13f0309264bc4989694d8d0906a0f" PartId="490e79444f474a788d83d07e78fbb3b2"/>
        </Part>
      </Part>
    </Part>
    <Part Type="straipsnis" Nr="9" Abbr="9 str." Title="39 straipsnio pakeitimas" DocPartId="5e8ff70fec71422db5e691bb819c1f79" PartId="8747ce3e968440acaa5bddca53671c7e">
      <Part Type="strDalis" Nr="1" Abbr="9 str. 1 d." DocPartId="bc2cdfa812534d23ab37acc0c213726f" PartId="3a8e1e37bf27490686d5e8ae831d7a37">
        <Part Type="citata" DocPartId="d41cd5b4d52747e89b6d893d2d5984b8" PartId="e76184c869e74da0bb93faf57452cbc0">
          <Part Type="strPunktas" Nr="1" Abbr="1 p." DocPartId="8a5908dabcc3406bbf4038192271a7e6" PartId="e813e1ca686d4199b385fb258a2286c9"/>
        </Part>
      </Part>
    </Part>
    <Part Type="straipsnis" Nr="10" Abbr="10 str." Title="Įstatymo įsigaliojimas ir taikymas" DocPartId="bf76678114444f9e90c28fa12dac51c1" PartId="f30f7acd2a3144c29d7d55921060b657">
      <Part Type="strDalis" Nr="1" Abbr="10 str. 1 d." DocPartId="716228d5d3b94e129b418f17c261fc6a" PartId="34bdc0e4bcce4f628856f6d1999e0d4d"/>
      <Part Type="strDalis" Nr="2" Abbr="10 str. 2 d." DocPartId="a2f8ef3b889e478895d66ee788767257" PartId="70677560b97441358b3c597046653aaa"/>
      <Part Type="strDalis" Nr="3" Abbr="10 str. 3 d." DocPartId="954b8bddcfdf4eebac7a1b5596a2be83" PartId="3f71f3e0b10a4575bebd5e582ac72732"/>
    </Part>
    <Part Type="signatura" DocPartId="9975da0fb30f436aaf4f9bd00810bee1" PartId="56e6babdfd844d3a856bbe9a7dc5f588"/>
  </Part>
</Parts>
</file>

<file path=customXml/itemProps1.xml><?xml version="1.0" encoding="utf-8"?>
<ds:datastoreItem xmlns:ds="http://schemas.openxmlformats.org/officeDocument/2006/customXml" ds:itemID="{222A4F89-035E-4FDE-A050-BE7B5CA52B5B}">
  <ds:schemaRefs>
    <ds:schemaRef ds:uri="http://schemas.openxmlformats.org/officeDocument/2006/bibliography"/>
  </ds:schemaRefs>
</ds:datastoreItem>
</file>

<file path=customXml/itemProps2.xml><?xml version="1.0" encoding="utf-8"?>
<ds:datastoreItem xmlns:ds="http://schemas.openxmlformats.org/officeDocument/2006/customXml" ds:itemID="{86833143-DD87-4A6A-9ABD-CD874576B1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821</Words>
  <Characters>5823</Characters>
  <Application>Microsoft Office Word</Application>
  <DocSecurity>4</DocSecurity>
  <Lines>111</Lines>
  <Paragraphs>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2023-05-31T07:53:00Z</dcterms:created>
  <dc:creator>Daiva Žibutienė</dc:creator>
  <lastModifiedBy>adlibuser</lastModifiedBy>
  <dcterms:modified xsi:type="dcterms:W3CDTF">2023-05-31T07:53:00Z</dcterms:modified>
  <revision>2</revision>
</coreProperties>
</file>