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641af56d0214744a2cc7d45c222c8cd"/>
        <w:lock w:val="sdtLocked"/>
        <w:richText/>
      </w:sdtPr>
      <w:sdtContent>
        <w:p>
          <w:pPr>
            <w:spacing w:line="278" w:lineRule="auto"/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Lyginamasis variantas</w:t>
          </w:r>
        </w:p>
        <w:p>
          <w:pPr>
            <w:spacing w:line="278" w:lineRule="auto"/>
            <w:jc w:val="center"/>
            <w:rPr>
              <w:b/>
              <w:bCs/>
              <w:kern w:val="2"/>
              <w:szCs w:val="24"/>
            </w:rPr>
          </w:pPr>
        </w:p>
        <w:sdt>
          <w:sdtPr>
            <w:alias w:val="preambule"/>
            <w:tag w:val="part_eaf4be5a287a4581a86f453c4ddcbbc1"/>
            <w:lock w:val="sdtLocked"/>
            <w:richText/>
          </w:sdtPr>
          <w:sdtContent>
            <w:p>
              <w:pPr>
                <w:spacing w:line="278" w:lineRule="auto"/>
                <w:ind w:firstLine="720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Pateikiami Šeduvos kultūros ir amatų centro, jo struktūrinių teritorinių padalinių teikiamų mokamų paslaugų sąrašo pakeitimai.</w:t>
              </w:r>
            </w:p>
          </w:sdtContent>
        </w:sdt>
        <w:sdt>
          <w:sdtPr>
            <w:alias w:val="pastraipa"/>
            <w:tag w:val="part_1b127b525d104b9cb3a200b4890c6687"/>
            <w:lock w:val="sdtLocked"/>
            <w:richText/>
          </w:sdtPr>
          <w:sdtContent>
            <w:p>
              <w:pPr>
                <w:spacing w:line="278" w:lineRule="auto"/>
                <w:ind w:left="720"/>
                <w:rPr>
                  <w:kern w:val="2"/>
                  <w:szCs w:val="24"/>
                </w:rPr>
              </w:pPr>
              <w:r>
                <w:rPr>
                  <w:b/>
                  <w:bCs/>
                  <w:kern w:val="2"/>
                  <w:szCs w:val="24"/>
                </w:rPr>
                <w:t>Papildyti ir patikslinti punktai:</w:t>
              </w:r>
              <w:r>
                <w:rPr>
                  <w:kern w:val="2"/>
                  <w:szCs w:val="24"/>
                </w:rPr>
                <w:br/>
                <w:t>• patikslintas 1.1 punktas – papildytos bilietų kainos į renginius, kuriuose dalyvauja ŠKAC kolektyvai, numatant nemokamą lankymą vaikams iki 7 metų;</w:t>
                <w:br/>
                <w:t>• patikslintas 1.2 punktas – papildytos bilietų kainos į renginius, kuriuose dalyvauja samdomi atlikėjai ar kolektyvai, numatant nemokamą lankymą vaikams iki 7 metų.</w:t>
              </w:r>
            </w:p>
            <w:p>
              <w:pPr>
                <w:spacing w:line="278" w:lineRule="auto"/>
                <w:ind w:left="720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• patikslintas 3.6 punktas – pakeičiant kultūros centro mėgėjų meno kolektyvų pasirodymų, koncertų ir spektaklių įkainius pagal meninio lygio kategorijas.</w:t>
              </w:r>
            </w:p>
            <w:p>
              <w:pPr>
                <w:spacing w:line="278" w:lineRule="auto"/>
                <w:ind w:left="720"/>
                <w:rPr>
                  <w:kern w:val="2"/>
                  <w:szCs w:val="24"/>
                </w:rPr>
              </w:pPr>
              <w:r>
                <w:rPr>
                  <w:b/>
                  <w:bCs/>
                  <w:kern w:val="2"/>
                  <w:szCs w:val="24"/>
                </w:rPr>
                <w:t>Naujai įtraukti punktai:</w:t>
              </w:r>
              <w:r>
                <w:rPr>
                  <w:kern w:val="2"/>
                  <w:szCs w:val="24"/>
                </w:rPr>
                <w:br/>
                <w:t>• naujas 3.8 punktas – pakylos suteikimo paslauga;</w:t>
                <w:br/>
                <w:t>• naujas 3.9 punktas – keramikos degimo krosnyje paslauga;</w:t>
                <w:br/>
                <w:t>• nauji 3.10–3.11 punktai – renginių įgarsinimo ne ŠKAC patalpose paslaugos pagal naudojamos garso aparatūros komplektaciją;</w:t>
                <w:br/>
                <w:t>• naujas 3.12 punktas – renginių apšvietimo ne ŠKAC patalpose paslauga;</w:t>
                <w:br/>
                <w:t>• naujas 5.3 punktas – ekskursijos po Šeduvą paslauga bei lengvatinių kainų taikymas, numatant nemokamą lankymą vaikams iki 7 metų;.</w:t>
              </w:r>
            </w:p>
            <w:p>
              <w:pPr>
                <w:spacing w:line="278" w:lineRule="auto"/>
                <w:rPr>
                  <w:kern w:val="2"/>
                  <w:szCs w:val="24"/>
                </w:rPr>
              </w:pPr>
            </w:p>
          </w:sdtContent>
        </w:sdt>
        <w:sdt>
          <w:sdtPr>
            <w:alias w:val="lentele"/>
            <w:tag w:val="part_d7160f38d19943d49f883aa5610cf8a8"/>
            <w:lock w:val="sdtLocked"/>
            <w:richText/>
          </w:sdtPr>
          <w:sdtContent>
            <w:tbl>
              <w:tblPr>
                <w:tblW w:w="952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852"/>
                <w:gridCol w:w="2072"/>
                <w:gridCol w:w="9"/>
                <w:gridCol w:w="1307"/>
                <w:gridCol w:w="8"/>
                <w:gridCol w:w="6"/>
                <w:gridCol w:w="1329"/>
                <w:gridCol w:w="44"/>
                <w:gridCol w:w="3900"/>
              </w:tblGrid>
              <w:tr>
                <w:tc>
                  <w:tcPr>
                    <w:tcW w:w="852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kern w:val="2"/>
                        <w:sz w:val="20"/>
                      </w:rPr>
                    </w:pPr>
                    <w:r>
                      <w:rPr>
                        <w:b/>
                        <w:kern w:val="2"/>
                        <w:sz w:val="20"/>
                      </w:rPr>
                      <w:t>Eil.</w:t>
                    </w:r>
                  </w:p>
                  <w:p>
                    <w:pPr>
                      <w:spacing w:line="278" w:lineRule="auto"/>
                      <w:jc w:val="center"/>
                      <w:rPr>
                        <w:b/>
                        <w:kern w:val="2"/>
                        <w:sz w:val="20"/>
                      </w:rPr>
                    </w:pPr>
                    <w:r>
                      <w:rPr>
                        <w:b/>
                        <w:kern w:val="2"/>
                        <w:sz w:val="20"/>
                      </w:rPr>
                      <w:t>Nr.</w:t>
                    </w:r>
                  </w:p>
                </w:tc>
                <w:tc>
                  <w:tcPr>
                    <w:tcW w:w="2072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kern w:val="2"/>
                        <w:sz w:val="20"/>
                      </w:rPr>
                    </w:pPr>
                    <w:r>
                      <w:rPr>
                        <w:b/>
                        <w:kern w:val="2"/>
                        <w:sz w:val="20"/>
                      </w:rPr>
                      <w:t>Paslaugos pavadinimas</w:t>
                    </w:r>
                  </w:p>
                </w:tc>
                <w:tc>
                  <w:tcPr>
                    <w:tcW w:w="1330" w:type="dxa"/>
                    <w:gridSpan w:val="4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kern w:val="2"/>
                        <w:sz w:val="20"/>
                      </w:rPr>
                    </w:pPr>
                    <w:r>
                      <w:rPr>
                        <w:b/>
                        <w:kern w:val="2"/>
                        <w:sz w:val="20"/>
                      </w:rPr>
                      <w:t>Matavimo vienetas</w:t>
                    </w:r>
                  </w:p>
                </w:tc>
                <w:tc>
                  <w:tcPr>
                    <w:tcW w:w="1373" w:type="dxa"/>
                    <w:gridSpan w:val="2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kern w:val="2"/>
                        <w:sz w:val="20"/>
                      </w:rPr>
                    </w:pPr>
                    <w:r>
                      <w:rPr>
                        <w:b/>
                        <w:kern w:val="2"/>
                        <w:sz w:val="20"/>
                      </w:rPr>
                      <w:t xml:space="preserve">Siūloma </w:t>
                    </w:r>
                  </w:p>
                  <w:p>
                    <w:pPr>
                      <w:spacing w:line="278" w:lineRule="auto"/>
                      <w:jc w:val="center"/>
                      <w:rPr>
                        <w:b/>
                        <w:kern w:val="2"/>
                        <w:sz w:val="20"/>
                      </w:rPr>
                    </w:pPr>
                    <w:r>
                      <w:rPr>
                        <w:b/>
                        <w:kern w:val="2"/>
                        <w:sz w:val="20"/>
                      </w:rPr>
                      <w:t>Patvirtinti įkainius</w:t>
                    </w:r>
                  </w:p>
                </w:tc>
                <w:tc>
                  <w:tcPr>
                    <w:tcW w:w="3900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kern w:val="2"/>
                        <w:sz w:val="20"/>
                      </w:rPr>
                    </w:pPr>
                    <w:r>
                      <w:rPr>
                        <w:b/>
                        <w:kern w:val="2"/>
                        <w:sz w:val="20"/>
                      </w:rPr>
                      <w:t>Pastabos</w:t>
                    </w:r>
                  </w:p>
                </w:tc>
              </w:tr>
              <w:tr>
                <w:tc>
                  <w:tcPr>
                    <w:tcW w:w="852" w:type="dxa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kern w:val="2"/>
                        <w:szCs w:val="24"/>
                      </w:rPr>
                    </w:pPr>
                    <w:r>
                      <w:rPr>
                        <w:b/>
                        <w:kern w:val="2"/>
                        <w:szCs w:val="24"/>
                      </w:rPr>
                      <w:t>1.</w:t>
                    </w:r>
                  </w:p>
                </w:tc>
                <w:tc>
                  <w:tcPr>
                    <w:tcW w:w="8675" w:type="dxa"/>
                    <w:gridSpan w:val="8"/>
                  </w:tcPr>
                  <w:p>
                    <w:pPr>
                      <w:spacing w:line="278" w:lineRule="auto"/>
                      <w:rPr>
                        <w:b/>
                        <w:kern w:val="2"/>
                        <w:szCs w:val="24"/>
                      </w:rPr>
                    </w:pPr>
                    <w:r>
                      <w:rPr>
                        <w:b/>
                        <w:kern w:val="2"/>
                        <w:szCs w:val="24"/>
                      </w:rPr>
                      <w:t>Bilietų kaina į renginius, kai juos organizuoja ŠKAC centras</w:t>
                    </w:r>
                  </w:p>
                </w:tc>
              </w:tr>
              <w:tr>
                <w:trPr>
                  <w:trHeight w:val="538"/>
                </w:trPr>
                <w:tc>
                  <w:tcPr>
                    <w:tcW w:w="852" w:type="dxa"/>
                    <w:vMerge w:val="restart"/>
                  </w:tcPr>
                  <w:p>
                    <w:pPr>
                      <w:spacing w:line="278" w:lineRule="auto"/>
                      <w:jc w:val="center"/>
                      <w:rPr>
                        <w:strike/>
                        <w:kern w:val="2"/>
                        <w:sz w:val="20"/>
                      </w:rPr>
                    </w:pPr>
                    <w:r>
                      <w:rPr>
                        <w:bCs/>
                        <w:kern w:val="2"/>
                        <w:sz w:val="20"/>
                      </w:rPr>
                      <w:t>1.1.</w:t>
                    </w:r>
                  </w:p>
                </w:tc>
                <w:tc>
                  <w:tcPr>
                    <w:tcW w:w="2072" w:type="dxa"/>
                    <w:vMerge w:val="restart"/>
                  </w:tcPr>
                  <w:p>
                    <w:pPr>
                      <w:spacing w:line="278" w:lineRule="auto"/>
                      <w:jc w:val="both"/>
                      <w:rPr>
                        <w:strike/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Bilieto pardavimas</w:t>
                    </w:r>
                  </w:p>
                </w:tc>
                <w:tc>
                  <w:tcPr>
                    <w:tcW w:w="1330" w:type="dxa"/>
                    <w:gridSpan w:val="4"/>
                    <w:vMerge w:val="restart"/>
                  </w:tcPr>
                  <w:p>
                    <w:pPr>
                      <w:spacing w:line="278" w:lineRule="auto"/>
                      <w:jc w:val="center"/>
                      <w:rPr>
                        <w:strike/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1 asmeniui</w:t>
                    </w:r>
                  </w:p>
                </w:tc>
                <w:tc>
                  <w:tcPr>
                    <w:tcW w:w="1373" w:type="dxa"/>
                    <w:gridSpan w:val="2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strike/>
                        <w:kern w:val="2"/>
                        <w:sz w:val="20"/>
                      </w:rPr>
                    </w:pPr>
                    <w:r>
                      <w:rPr>
                        <w:bCs/>
                        <w:kern w:val="2"/>
                        <w:sz w:val="20"/>
                      </w:rPr>
                      <w:t>3,00</w:t>
                    </w:r>
                  </w:p>
                </w:tc>
                <w:tc>
                  <w:tcPr>
                    <w:tcW w:w="3900" w:type="dxa"/>
                  </w:tcPr>
                  <w:p>
                    <w:pPr>
                      <w:spacing w:line="278" w:lineRule="auto"/>
                      <w:jc w:val="both"/>
                      <w:rPr>
                        <w:strike/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  <w:shd w:val="clear" w:color="auto" w:fill="FFFFFF"/>
                      </w:rPr>
                      <w:t>Neįgaliesiems, senjorams, mokiniams (nuo 7 metų).</w:t>
                    </w:r>
                  </w:p>
                </w:tc>
              </w:tr>
              <w:tr>
                <w:tc>
                  <w:tcPr>
                    <w:tcW w:w="852" w:type="dxa"/>
                    <w:vMerge/>
                  </w:tcPr>
                  <w:p>
                    <w:pPr>
                      <w:spacing w:line="278" w:lineRule="auto"/>
                      <w:jc w:val="center"/>
                      <w:rPr>
                        <w:strike/>
                        <w:kern w:val="2"/>
                        <w:sz w:val="20"/>
                      </w:rPr>
                    </w:pPr>
                  </w:p>
                </w:tc>
                <w:tc>
                  <w:tcPr>
                    <w:tcW w:w="2072" w:type="dxa"/>
                    <w:vMerge/>
                  </w:tcPr>
                  <w:p>
                    <w:pPr>
                      <w:spacing w:line="278" w:lineRule="auto"/>
                      <w:jc w:val="both"/>
                      <w:rPr>
                        <w:strike/>
                        <w:kern w:val="2"/>
                        <w:sz w:val="20"/>
                      </w:rPr>
                    </w:pPr>
                  </w:p>
                </w:tc>
                <w:tc>
                  <w:tcPr>
                    <w:tcW w:w="1330" w:type="dxa"/>
                    <w:gridSpan w:val="4"/>
                    <w:vMerge/>
                  </w:tcPr>
                  <w:p>
                    <w:pPr>
                      <w:spacing w:line="278" w:lineRule="auto"/>
                      <w:jc w:val="center"/>
                      <w:rPr>
                        <w:strike/>
                        <w:kern w:val="2"/>
                        <w:sz w:val="20"/>
                      </w:rPr>
                    </w:pPr>
                  </w:p>
                </w:tc>
                <w:tc>
                  <w:tcPr>
                    <w:tcW w:w="1373" w:type="dxa"/>
                    <w:gridSpan w:val="2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strike/>
                        <w:kern w:val="2"/>
                        <w:sz w:val="20"/>
                      </w:rPr>
                    </w:pPr>
                    <w:r>
                      <w:rPr>
                        <w:bCs/>
                        <w:kern w:val="2"/>
                        <w:sz w:val="20"/>
                      </w:rPr>
                      <w:t>0,00</w:t>
                    </w:r>
                  </w:p>
                </w:tc>
                <w:tc>
                  <w:tcPr>
                    <w:tcW w:w="3900" w:type="dxa"/>
                  </w:tcPr>
                  <w:p>
                    <w:pPr>
                      <w:spacing w:line="278" w:lineRule="auto"/>
                      <w:jc w:val="both"/>
                      <w:rPr>
                        <w:strike/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  <w:shd w:val="clear" w:color="auto" w:fill="FFFFFF"/>
                      </w:rPr>
                      <w:t>Vaikams iki 7 metų</w:t>
                    </w:r>
                  </w:p>
                </w:tc>
              </w:tr>
              <w:tr>
                <w:tc>
                  <w:tcPr>
                    <w:tcW w:w="9527" w:type="dxa"/>
                    <w:gridSpan w:val="9"/>
                    <w:vAlign w:val="center"/>
                  </w:tcPr>
                  <w:p>
                    <w:pPr>
                      <w:spacing w:line="278" w:lineRule="auto"/>
                      <w:rPr>
                        <w:b/>
                        <w:kern w:val="2"/>
                        <w:szCs w:val="24"/>
                      </w:rPr>
                    </w:pPr>
                    <w:r>
                      <w:rPr>
                        <w:b/>
                        <w:kern w:val="2"/>
                        <w:szCs w:val="24"/>
                      </w:rPr>
                      <w:t>Bilietų kaina į renginius, kai renginyje dalyvauja samdomi atlikėjai ar kolektyvai</w:t>
                    </w:r>
                  </w:p>
                </w:tc>
              </w:tr>
              <w:tr>
                <w:trPr>
                  <w:trHeight w:val="512"/>
                </w:trPr>
                <w:tc>
                  <w:tcPr>
                    <w:tcW w:w="852" w:type="dxa"/>
                    <w:vMerge w:val="restart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kern w:val="2"/>
                        <w:sz w:val="20"/>
                      </w:rPr>
                    </w:pPr>
                    <w:r>
                      <w:rPr>
                        <w:bCs/>
                        <w:kern w:val="2"/>
                        <w:sz w:val="20"/>
                      </w:rPr>
                      <w:t>1.2.</w:t>
                    </w:r>
                  </w:p>
                </w:tc>
                <w:tc>
                  <w:tcPr>
                    <w:tcW w:w="2081" w:type="dxa"/>
                    <w:gridSpan w:val="2"/>
                    <w:vMerge w:val="restart"/>
                  </w:tcPr>
                  <w:p>
                    <w:pPr>
                      <w:spacing w:line="278" w:lineRule="auto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Bilieto pardavimas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spacing w:line="278" w:lineRule="auto"/>
                      <w:rPr>
                        <w:b/>
                        <w:kern w:val="2"/>
                        <w:sz w:val="20"/>
                      </w:rPr>
                    </w:pPr>
                  </w:p>
                </w:tc>
                <w:tc>
                  <w:tcPr>
                    <w:tcW w:w="1307" w:type="dxa"/>
                    <w:vMerge w:val="restart"/>
                  </w:tcPr>
                  <w:p>
                    <w:pPr>
                      <w:spacing w:line="278" w:lineRule="auto"/>
                      <w:rPr>
                        <w:b/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1 asmeniui</w:t>
                    </w:r>
                  </w:p>
                </w:tc>
                <w:tc>
                  <w:tcPr>
                    <w:tcW w:w="1343" w:type="dxa"/>
                    <w:gridSpan w:val="3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kern w:val="2"/>
                        <w:sz w:val="20"/>
                      </w:rPr>
                    </w:pPr>
                    <w:r>
                      <w:rPr>
                        <w:bCs/>
                        <w:kern w:val="2"/>
                        <w:sz w:val="20"/>
                      </w:rPr>
                      <w:t>5,00</w:t>
                    </w:r>
                  </w:p>
                </w:tc>
                <w:tc>
                  <w:tcPr>
                    <w:tcW w:w="3944" w:type="dxa"/>
                    <w:gridSpan w:val="2"/>
                  </w:tcPr>
                  <w:p>
                    <w:pPr>
                      <w:spacing w:line="278" w:lineRule="auto"/>
                      <w:rPr>
                        <w:b/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  <w:shd w:val="clear" w:color="auto" w:fill="FFFFFF"/>
                      </w:rPr>
                      <w:t>Neįgaliesiems, senjorams, mokiniams (nuo 7 metų).</w:t>
                    </w:r>
                  </w:p>
                </w:tc>
              </w:tr>
              <w:tr>
                <w:tc>
                  <w:tcPr>
                    <w:tcW w:w="852" w:type="dxa"/>
                    <w:vMerge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kern w:val="2"/>
                        <w:sz w:val="20"/>
                      </w:rPr>
                    </w:pPr>
                  </w:p>
                </w:tc>
                <w:tc>
                  <w:tcPr>
                    <w:tcW w:w="2081" w:type="dxa"/>
                    <w:gridSpan w:val="2"/>
                    <w:vMerge/>
                  </w:tcPr>
                  <w:p>
                    <w:pPr>
                      <w:spacing w:line="278" w:lineRule="auto"/>
                      <w:rPr>
                        <w:b/>
                        <w:kern w:val="2"/>
                        <w:sz w:val="20"/>
                      </w:rPr>
                    </w:pPr>
                  </w:p>
                </w:tc>
                <w:tc>
                  <w:tcPr>
                    <w:tcW w:w="1307" w:type="dxa"/>
                    <w:vMerge/>
                  </w:tcPr>
                  <w:p>
                    <w:pPr>
                      <w:spacing w:line="278" w:lineRule="auto"/>
                      <w:rPr>
                        <w:b/>
                        <w:kern w:val="2"/>
                        <w:sz w:val="20"/>
                      </w:rPr>
                    </w:pPr>
                  </w:p>
                </w:tc>
                <w:tc>
                  <w:tcPr>
                    <w:tcW w:w="1343" w:type="dxa"/>
                    <w:gridSpan w:val="3"/>
                    <w:vAlign w:val="bottom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kern w:val="2"/>
                        <w:sz w:val="20"/>
                      </w:rPr>
                    </w:pPr>
                    <w:r>
                      <w:rPr>
                        <w:bCs/>
                        <w:kern w:val="2"/>
                        <w:sz w:val="20"/>
                      </w:rPr>
                      <w:t>0,00</w:t>
                    </w:r>
                  </w:p>
                </w:tc>
                <w:tc>
                  <w:tcPr>
                    <w:tcW w:w="3944" w:type="dxa"/>
                    <w:gridSpan w:val="2"/>
                  </w:tcPr>
                  <w:p>
                    <w:pPr>
                      <w:spacing w:line="278" w:lineRule="auto"/>
                      <w:rPr>
                        <w:b/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  <w:shd w:val="clear" w:color="auto" w:fill="FFFFFF"/>
                      </w:rPr>
                      <w:t>Vaikams iki 7 metų</w:t>
                    </w:r>
                  </w:p>
                </w:tc>
              </w:tr>
              <w:tr>
                <w:tc>
                  <w:tcPr>
                    <w:tcW w:w="852" w:type="dxa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kern w:val="2"/>
                        <w:szCs w:val="24"/>
                      </w:rPr>
                    </w:pPr>
                    <w:r>
                      <w:rPr>
                        <w:b/>
                        <w:kern w:val="2"/>
                        <w:szCs w:val="24"/>
                      </w:rPr>
                      <w:t>3.</w:t>
                    </w:r>
                  </w:p>
                </w:tc>
                <w:tc>
                  <w:tcPr>
                    <w:tcW w:w="8675" w:type="dxa"/>
                    <w:gridSpan w:val="8"/>
                  </w:tcPr>
                  <w:p>
                    <w:pPr>
                      <w:spacing w:line="278" w:lineRule="auto"/>
                      <w:rPr>
                        <w:b/>
                        <w:kern w:val="2"/>
                        <w:szCs w:val="24"/>
                      </w:rPr>
                    </w:pPr>
                    <w:r>
                      <w:rPr>
                        <w:b/>
                        <w:kern w:val="2"/>
                        <w:szCs w:val="24"/>
                      </w:rPr>
                      <w:t>Kitos paslaugos</w:t>
                    </w:r>
                  </w:p>
                </w:tc>
              </w:tr>
              <w:tr>
                <w:tc>
                  <w:tcPr>
                    <w:tcW w:w="852" w:type="dxa"/>
                    <w:vMerge w:val="restart"/>
                  </w:tcPr>
                  <w:p>
                    <w:pPr>
                      <w:spacing w:line="278" w:lineRule="auto"/>
                      <w:jc w:val="center"/>
                      <w:rPr>
                        <w:strike/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3.6.</w:t>
                    </w:r>
                  </w:p>
                </w:tc>
                <w:tc>
                  <w:tcPr>
                    <w:tcW w:w="2072" w:type="dxa"/>
                    <w:vMerge w:val="restart"/>
                  </w:tcPr>
                  <w:p>
                    <w:pPr>
                      <w:spacing w:line="278" w:lineRule="auto"/>
                      <w:rPr>
                        <w:strike/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  <w:shd w:val="clear" w:color="auto" w:fill="FFFFFF"/>
                      </w:rPr>
                      <w:t>Kultūros centro mėgėjų meno kolektyvų pasirodymai, koncertai, spektakliai (be transporto išlaidų)</w:t>
                    </w:r>
                  </w:p>
                </w:tc>
                <w:tc>
                  <w:tcPr>
                    <w:tcW w:w="1324" w:type="dxa"/>
                    <w:gridSpan w:val="3"/>
                  </w:tcPr>
                  <w:p>
                    <w:pPr>
                      <w:spacing w:line="278" w:lineRule="auto"/>
                      <w:jc w:val="center"/>
                      <w:rPr>
                        <w:strike/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1 val.</w:t>
                    </w:r>
                  </w:p>
                </w:tc>
                <w:tc>
                  <w:tcPr>
                    <w:tcW w:w="1379" w:type="dxa"/>
                    <w:gridSpan w:val="3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strike/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150,00</w:t>
                    </w:r>
                  </w:p>
                </w:tc>
                <w:tc>
                  <w:tcPr>
                    <w:tcW w:w="3900" w:type="dxa"/>
                  </w:tcPr>
                  <w:p>
                    <w:pPr>
                      <w:jc w:val="both"/>
                      <w:rPr>
                        <w:strike/>
                        <w:spacing w:val="-2"/>
                        <w:sz w:val="20"/>
                      </w:rPr>
                    </w:pPr>
                    <w:r>
                      <w:rPr>
                        <w:sz w:val="20"/>
                      </w:rPr>
                      <w:t>I–II meninio lygio kategorijos.</w:t>
                    </w:r>
                  </w:p>
                </w:tc>
              </w:tr>
              <w:tr>
                <w:tc>
                  <w:tcPr>
                    <w:tcW w:w="852" w:type="dxa"/>
                    <w:vMerge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 w:val="20"/>
                      </w:rPr>
                    </w:pPr>
                  </w:p>
                </w:tc>
                <w:tc>
                  <w:tcPr>
                    <w:tcW w:w="2072" w:type="dxa"/>
                    <w:vMerge/>
                  </w:tcPr>
                  <w:p>
                    <w:pPr>
                      <w:spacing w:line="278" w:lineRule="auto"/>
                      <w:rPr>
                        <w:kern w:val="2"/>
                        <w:sz w:val="20"/>
                      </w:rPr>
                    </w:pPr>
                  </w:p>
                </w:tc>
                <w:tc>
                  <w:tcPr>
                    <w:tcW w:w="1324" w:type="dxa"/>
                    <w:gridSpan w:val="3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1 val.</w:t>
                    </w:r>
                  </w:p>
                </w:tc>
                <w:tc>
                  <w:tcPr>
                    <w:tcW w:w="1379" w:type="dxa"/>
                    <w:gridSpan w:val="3"/>
                  </w:tcPr>
                  <w:p>
                    <w:pPr>
                      <w:spacing w:line="278" w:lineRule="auto"/>
                      <w:jc w:val="center"/>
                      <w:rPr>
                        <w:bCs/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100,00</w:t>
                    </w:r>
                  </w:p>
                </w:tc>
                <w:tc>
                  <w:tcPr>
                    <w:tcW w:w="3900" w:type="dxa"/>
                  </w:tcPr>
                  <w:p>
                    <w:pPr>
                      <w:spacing w:line="278" w:lineRule="auto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III–IV meninio lygio kategorijos.</w:t>
                    </w:r>
                  </w:p>
                </w:tc>
              </w:tr>
              <w:tr>
                <w:tc>
                  <w:tcPr>
                    <w:tcW w:w="852" w:type="dxa"/>
                    <w:vMerge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 w:val="20"/>
                      </w:rPr>
                    </w:pPr>
                  </w:p>
                </w:tc>
                <w:tc>
                  <w:tcPr>
                    <w:tcW w:w="2072" w:type="dxa"/>
                    <w:vMerge/>
                  </w:tcPr>
                  <w:p>
                    <w:pPr>
                      <w:spacing w:line="278" w:lineRule="auto"/>
                      <w:rPr>
                        <w:kern w:val="2"/>
                        <w:sz w:val="20"/>
                      </w:rPr>
                    </w:pPr>
                  </w:p>
                </w:tc>
                <w:tc>
                  <w:tcPr>
                    <w:tcW w:w="1324" w:type="dxa"/>
                    <w:gridSpan w:val="3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1 val.</w:t>
                    </w:r>
                  </w:p>
                </w:tc>
                <w:tc>
                  <w:tcPr>
                    <w:tcW w:w="1379" w:type="dxa"/>
                    <w:gridSpan w:val="3"/>
                  </w:tcPr>
                  <w:p>
                    <w:pPr>
                      <w:spacing w:line="278" w:lineRule="auto"/>
                      <w:jc w:val="center"/>
                      <w:rPr>
                        <w:bCs/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80,00</w:t>
                    </w:r>
                  </w:p>
                </w:tc>
                <w:tc>
                  <w:tcPr>
                    <w:tcW w:w="3900" w:type="dxa"/>
                  </w:tcPr>
                  <w:p>
                    <w:pPr>
                      <w:spacing w:line="278" w:lineRule="auto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Be kategorijos</w:t>
                    </w:r>
                  </w:p>
                </w:tc>
              </w:tr>
              <w:tr>
                <w:tc>
                  <w:tcPr>
                    <w:tcW w:w="852" w:type="dxa"/>
                    <w:vMerge w:val="restart"/>
                  </w:tcPr>
                  <w:p>
                    <w:pPr>
                      <w:spacing w:line="278" w:lineRule="auto"/>
                      <w:jc w:val="center"/>
                      <w:rPr>
                        <w:strike/>
                        <w:kern w:val="2"/>
                        <w:sz w:val="20"/>
                      </w:rPr>
                    </w:pPr>
                    <w:r>
                      <w:rPr>
                        <w:strike/>
                        <w:kern w:val="2"/>
                        <w:sz w:val="20"/>
                      </w:rPr>
                      <w:t>3.6.</w:t>
                    </w:r>
                  </w:p>
                </w:tc>
                <w:tc>
                  <w:tcPr>
                    <w:tcW w:w="2072" w:type="dxa"/>
                    <w:vMerge w:val="restart"/>
                  </w:tcPr>
                  <w:p>
                    <w:pPr>
                      <w:spacing w:line="278" w:lineRule="auto"/>
                      <w:rPr>
                        <w:strike/>
                        <w:kern w:val="2"/>
                        <w:sz w:val="20"/>
                      </w:rPr>
                    </w:pPr>
                    <w:r>
                      <w:rPr>
                        <w:strike/>
                        <w:kern w:val="2"/>
                        <w:sz w:val="20"/>
                        <w:shd w:val="clear" w:color="auto" w:fill="FFFFFF"/>
                      </w:rPr>
                      <w:t>Kultūros centro mėgėjų meno kolektyvų pasirodymai, koncertai, spektakliai (be transporto išlaidų)</w:t>
                    </w:r>
                  </w:p>
                </w:tc>
                <w:tc>
                  <w:tcPr>
                    <w:tcW w:w="1324" w:type="dxa"/>
                    <w:gridSpan w:val="3"/>
                  </w:tcPr>
                  <w:p>
                    <w:pPr>
                      <w:spacing w:line="278" w:lineRule="auto"/>
                      <w:jc w:val="center"/>
                      <w:rPr>
                        <w:strike/>
                        <w:kern w:val="2"/>
                        <w:sz w:val="20"/>
                      </w:rPr>
                    </w:pPr>
                    <w:r>
                      <w:rPr>
                        <w:strike/>
                        <w:kern w:val="2"/>
                        <w:sz w:val="20"/>
                      </w:rPr>
                      <w:t>1 val.</w:t>
                    </w:r>
                  </w:p>
                </w:tc>
                <w:tc>
                  <w:tcPr>
                    <w:tcW w:w="1379" w:type="dxa"/>
                    <w:gridSpan w:val="3"/>
                  </w:tcPr>
                  <w:p>
                    <w:pPr>
                      <w:spacing w:line="278" w:lineRule="auto"/>
                      <w:jc w:val="center"/>
                      <w:rPr>
                        <w:strike/>
                        <w:kern w:val="2"/>
                        <w:sz w:val="20"/>
                      </w:rPr>
                    </w:pPr>
                    <w:r>
                      <w:rPr>
                        <w:strike/>
                        <w:kern w:val="2"/>
                        <w:sz w:val="20"/>
                      </w:rPr>
                      <w:t>120,00</w:t>
                    </w:r>
                  </w:p>
                </w:tc>
                <w:tc>
                  <w:tcPr>
                    <w:tcW w:w="3900" w:type="dxa"/>
                  </w:tcPr>
                  <w:p>
                    <w:pPr>
                      <w:spacing w:line="278" w:lineRule="auto"/>
                      <w:rPr>
                        <w:strike/>
                        <w:kern w:val="2"/>
                        <w:sz w:val="20"/>
                      </w:rPr>
                    </w:pPr>
                    <w:r>
                      <w:rPr>
                        <w:strike/>
                        <w:kern w:val="2"/>
                        <w:sz w:val="20"/>
                      </w:rPr>
                      <w:t>I–II meninio lygio kategorijos.</w:t>
                    </w:r>
                  </w:p>
                </w:tc>
              </w:tr>
              <w:tr>
                <w:tc>
                  <w:tcPr>
                    <w:tcW w:w="852" w:type="dxa"/>
                    <w:vMerge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 w:val="20"/>
                      </w:rPr>
                    </w:pPr>
                  </w:p>
                </w:tc>
                <w:tc>
                  <w:tcPr>
                    <w:tcW w:w="2072" w:type="dxa"/>
                    <w:vMerge/>
                  </w:tcPr>
                  <w:p>
                    <w:pPr>
                      <w:spacing w:line="278" w:lineRule="auto"/>
                      <w:rPr>
                        <w:strike/>
                        <w:kern w:val="2"/>
                        <w:sz w:val="20"/>
                      </w:rPr>
                    </w:pPr>
                  </w:p>
                </w:tc>
                <w:tc>
                  <w:tcPr>
                    <w:tcW w:w="1324" w:type="dxa"/>
                    <w:gridSpan w:val="3"/>
                  </w:tcPr>
                  <w:p>
                    <w:pPr>
                      <w:spacing w:line="278" w:lineRule="auto"/>
                      <w:jc w:val="center"/>
                      <w:rPr>
                        <w:strike/>
                        <w:kern w:val="2"/>
                        <w:sz w:val="20"/>
                      </w:rPr>
                    </w:pPr>
                    <w:r>
                      <w:rPr>
                        <w:strike/>
                        <w:kern w:val="2"/>
                        <w:sz w:val="20"/>
                      </w:rPr>
                      <w:t>1 val.</w:t>
                    </w:r>
                  </w:p>
                </w:tc>
                <w:tc>
                  <w:tcPr>
                    <w:tcW w:w="1379" w:type="dxa"/>
                    <w:gridSpan w:val="3"/>
                  </w:tcPr>
                  <w:p>
                    <w:pPr>
                      <w:spacing w:line="278" w:lineRule="auto"/>
                      <w:jc w:val="center"/>
                      <w:rPr>
                        <w:strike/>
                        <w:kern w:val="2"/>
                        <w:sz w:val="20"/>
                      </w:rPr>
                    </w:pPr>
                    <w:r>
                      <w:rPr>
                        <w:strike/>
                        <w:kern w:val="2"/>
                        <w:sz w:val="20"/>
                      </w:rPr>
                      <w:t>90,00</w:t>
                    </w:r>
                  </w:p>
                </w:tc>
                <w:tc>
                  <w:tcPr>
                    <w:tcW w:w="3900" w:type="dxa"/>
                  </w:tcPr>
                  <w:p>
                    <w:pPr>
                      <w:spacing w:line="278" w:lineRule="auto"/>
                      <w:rPr>
                        <w:strike/>
                        <w:kern w:val="2"/>
                        <w:sz w:val="20"/>
                      </w:rPr>
                    </w:pPr>
                    <w:r>
                      <w:rPr>
                        <w:strike/>
                        <w:kern w:val="2"/>
                        <w:sz w:val="20"/>
                      </w:rPr>
                      <w:t>III–IV meninio lygio kategorijos.</w:t>
                    </w:r>
                  </w:p>
                </w:tc>
              </w:tr>
              <w:tr>
                <w:tc>
                  <w:tcPr>
                    <w:tcW w:w="852" w:type="dxa"/>
                    <w:vMerge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 w:val="20"/>
                      </w:rPr>
                    </w:pPr>
                  </w:p>
                </w:tc>
                <w:tc>
                  <w:tcPr>
                    <w:tcW w:w="2072" w:type="dxa"/>
                    <w:vMerge/>
                  </w:tcPr>
                  <w:p>
                    <w:pPr>
                      <w:spacing w:line="278" w:lineRule="auto"/>
                      <w:rPr>
                        <w:strike/>
                        <w:kern w:val="2"/>
                        <w:sz w:val="20"/>
                      </w:rPr>
                    </w:pPr>
                  </w:p>
                </w:tc>
                <w:tc>
                  <w:tcPr>
                    <w:tcW w:w="1324" w:type="dxa"/>
                    <w:gridSpan w:val="3"/>
                  </w:tcPr>
                  <w:p>
                    <w:pPr>
                      <w:spacing w:line="278" w:lineRule="auto"/>
                      <w:jc w:val="center"/>
                      <w:rPr>
                        <w:strike/>
                        <w:kern w:val="2"/>
                        <w:sz w:val="20"/>
                      </w:rPr>
                    </w:pPr>
                    <w:r>
                      <w:rPr>
                        <w:strike/>
                        <w:kern w:val="2"/>
                        <w:sz w:val="20"/>
                      </w:rPr>
                      <w:t>1 val.</w:t>
                    </w:r>
                  </w:p>
                </w:tc>
                <w:tc>
                  <w:tcPr>
                    <w:tcW w:w="1379" w:type="dxa"/>
                    <w:gridSpan w:val="3"/>
                  </w:tcPr>
                  <w:p>
                    <w:pPr>
                      <w:spacing w:line="278" w:lineRule="auto"/>
                      <w:jc w:val="center"/>
                      <w:rPr>
                        <w:strike/>
                        <w:kern w:val="2"/>
                        <w:sz w:val="20"/>
                      </w:rPr>
                    </w:pPr>
                    <w:r>
                      <w:rPr>
                        <w:strike/>
                        <w:kern w:val="2"/>
                        <w:sz w:val="20"/>
                      </w:rPr>
                      <w:t>60,00</w:t>
                    </w:r>
                  </w:p>
                </w:tc>
                <w:tc>
                  <w:tcPr>
                    <w:tcW w:w="3900" w:type="dxa"/>
                  </w:tcPr>
                  <w:p>
                    <w:pPr>
                      <w:spacing w:line="278" w:lineRule="auto"/>
                      <w:rPr>
                        <w:strike/>
                        <w:kern w:val="2"/>
                        <w:sz w:val="20"/>
                      </w:rPr>
                    </w:pPr>
                    <w:r>
                      <w:rPr>
                        <w:strike/>
                        <w:kern w:val="2"/>
                        <w:sz w:val="20"/>
                      </w:rPr>
                      <w:t>Be kategorijos</w:t>
                    </w:r>
                  </w:p>
                </w:tc>
              </w:tr>
              <w:tr>
                <w:tc>
                  <w:tcPr>
                    <w:tcW w:w="852" w:type="dxa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3.8.</w:t>
                    </w:r>
                  </w:p>
                </w:tc>
                <w:tc>
                  <w:tcPr>
                    <w:tcW w:w="2072" w:type="dxa"/>
                  </w:tcPr>
                  <w:p>
                    <w:pPr>
                      <w:spacing w:line="278" w:lineRule="auto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Pakylos suteikimo paslauga</w:t>
                    </w:r>
                  </w:p>
                </w:tc>
                <w:tc>
                  <w:tcPr>
                    <w:tcW w:w="1324" w:type="dxa"/>
                    <w:gridSpan w:val="3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1 pakyla</w:t>
                    </w:r>
                  </w:p>
                </w:tc>
                <w:tc>
                  <w:tcPr>
                    <w:tcW w:w="1379" w:type="dxa"/>
                    <w:gridSpan w:val="3"/>
                  </w:tcPr>
                  <w:p>
                    <w:pPr>
                      <w:spacing w:line="278" w:lineRule="auto"/>
                      <w:jc w:val="center"/>
                      <w:rPr>
                        <w:bCs/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5 Eur</w:t>
                    </w:r>
                  </w:p>
                </w:tc>
                <w:tc>
                  <w:tcPr>
                    <w:tcW w:w="3900" w:type="dxa"/>
                  </w:tcPr>
                  <w:p>
                    <w:pPr>
                      <w:spacing w:line="278" w:lineRule="auto"/>
                      <w:rPr>
                        <w:kern w:val="2"/>
                        <w:sz w:val="20"/>
                      </w:rPr>
                    </w:pPr>
                  </w:p>
                </w:tc>
              </w:tr>
              <w:tr>
                <w:tc>
                  <w:tcPr>
                    <w:tcW w:w="852" w:type="dxa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3.9.</w:t>
                    </w:r>
                  </w:p>
                </w:tc>
                <w:tc>
                  <w:tcPr>
                    <w:tcW w:w="2072" w:type="dxa"/>
                  </w:tcPr>
                  <w:p>
                    <w:pPr>
                      <w:spacing w:line="278" w:lineRule="auto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Keramikos degimas krosnyje</w:t>
                    </w:r>
                  </w:p>
                </w:tc>
                <w:tc>
                  <w:tcPr>
                    <w:tcW w:w="1324" w:type="dxa"/>
                    <w:gridSpan w:val="3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 xml:space="preserve">24 val. </w:t>
                    </w:r>
                  </w:p>
                </w:tc>
                <w:tc>
                  <w:tcPr>
                    <w:tcW w:w="1379" w:type="dxa"/>
                    <w:gridSpan w:val="3"/>
                  </w:tcPr>
                  <w:p>
                    <w:pPr>
                      <w:spacing w:line="278" w:lineRule="auto"/>
                      <w:jc w:val="center"/>
                      <w:rPr>
                        <w:bCs/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30 Eur</w:t>
                    </w:r>
                  </w:p>
                </w:tc>
                <w:tc>
                  <w:tcPr>
                    <w:tcW w:w="3900" w:type="dxa"/>
                  </w:tcPr>
                  <w:p>
                    <w:pPr>
                      <w:spacing w:line="278" w:lineRule="auto"/>
                      <w:rPr>
                        <w:kern w:val="2"/>
                        <w:sz w:val="20"/>
                      </w:rPr>
                    </w:pPr>
                  </w:p>
                </w:tc>
              </w:tr>
              <w:tr>
                <w:tc>
                  <w:tcPr>
                    <w:tcW w:w="852" w:type="dxa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3.10.</w:t>
                    </w:r>
                  </w:p>
                </w:tc>
                <w:tc>
                  <w:tcPr>
                    <w:tcW w:w="2072" w:type="dxa"/>
                  </w:tcPr>
                  <w:p>
                    <w:pPr>
                      <w:spacing w:line="278" w:lineRule="auto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Renginio įgarsinimas ne ŠKAC patalpose</w:t>
                    </w:r>
                  </w:p>
                </w:tc>
                <w:tc>
                  <w:tcPr>
                    <w:tcW w:w="1324" w:type="dxa"/>
                    <w:gridSpan w:val="3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1 val.</w:t>
                    </w:r>
                  </w:p>
                </w:tc>
                <w:tc>
                  <w:tcPr>
                    <w:tcW w:w="1379" w:type="dxa"/>
                    <w:gridSpan w:val="3"/>
                  </w:tcPr>
                  <w:p>
                    <w:pPr>
                      <w:spacing w:line="278" w:lineRule="auto"/>
                      <w:jc w:val="center"/>
                      <w:rPr>
                        <w:bCs/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100 Eur</w:t>
                    </w:r>
                  </w:p>
                </w:tc>
                <w:tc>
                  <w:tcPr>
                    <w:tcW w:w="3900" w:type="dxa"/>
                  </w:tcPr>
                  <w:p>
                    <w:pPr>
                      <w:spacing w:line="278" w:lineRule="auto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4 garso kolonėlės iki 7 kW, 5 mikrofonai, garso pultas, monitoriai;</w:t>
                    </w:r>
                  </w:p>
                </w:tc>
              </w:tr>
              <w:tr>
                <w:tc>
                  <w:tcPr>
                    <w:tcW w:w="852" w:type="dxa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3.11.</w:t>
                    </w:r>
                  </w:p>
                </w:tc>
                <w:tc>
                  <w:tcPr>
                    <w:tcW w:w="2072" w:type="dxa"/>
                  </w:tcPr>
                  <w:p>
                    <w:pPr>
                      <w:spacing w:line="278" w:lineRule="auto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Renginio įgarsinimas ne ŠKAC patalpose</w:t>
                    </w:r>
                  </w:p>
                </w:tc>
                <w:tc>
                  <w:tcPr>
                    <w:tcW w:w="1324" w:type="dxa"/>
                    <w:gridSpan w:val="3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1 val.</w:t>
                    </w:r>
                  </w:p>
                </w:tc>
                <w:tc>
                  <w:tcPr>
                    <w:tcW w:w="1379" w:type="dxa"/>
                    <w:gridSpan w:val="3"/>
                  </w:tcPr>
                  <w:p>
                    <w:pPr>
                      <w:spacing w:line="278" w:lineRule="auto"/>
                      <w:jc w:val="center"/>
                      <w:rPr>
                        <w:bCs/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200 Eur</w:t>
                    </w:r>
                  </w:p>
                </w:tc>
                <w:tc>
                  <w:tcPr>
                    <w:tcW w:w="3900" w:type="dxa"/>
                  </w:tcPr>
                  <w:p>
                    <w:pPr>
                      <w:spacing w:line="278" w:lineRule="auto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8 garso kolonėlės iki 14 kW, iki 10 mikrofonų, garso pultas, monitoriai;</w:t>
                    </w:r>
                  </w:p>
                </w:tc>
              </w:tr>
              <w:tr>
                <w:tc>
                  <w:tcPr>
                    <w:tcW w:w="852" w:type="dxa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3.12.</w:t>
                    </w:r>
                  </w:p>
                </w:tc>
                <w:tc>
                  <w:tcPr>
                    <w:tcW w:w="2072" w:type="dxa"/>
                  </w:tcPr>
                  <w:p>
                    <w:pPr>
                      <w:spacing w:line="278" w:lineRule="auto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Renginio apšvietimo paslauga ne ŠKAC patalpose</w:t>
                    </w:r>
                  </w:p>
                </w:tc>
                <w:tc>
                  <w:tcPr>
                    <w:tcW w:w="1324" w:type="dxa"/>
                    <w:gridSpan w:val="3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1 val.</w:t>
                    </w:r>
                  </w:p>
                </w:tc>
                <w:tc>
                  <w:tcPr>
                    <w:tcW w:w="1379" w:type="dxa"/>
                    <w:gridSpan w:val="3"/>
                  </w:tcPr>
                  <w:p>
                    <w:pPr>
                      <w:spacing w:line="278" w:lineRule="auto"/>
                      <w:jc w:val="center"/>
                      <w:rPr>
                        <w:bCs/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100 Eur</w:t>
                    </w:r>
                  </w:p>
                </w:tc>
                <w:tc>
                  <w:tcPr>
                    <w:tcW w:w="3900" w:type="dxa"/>
                  </w:tcPr>
                  <w:p>
                    <w:pPr>
                      <w:spacing w:line="278" w:lineRule="auto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16 prožektorių, pultas, dūmų mašina.</w:t>
                    </w:r>
                  </w:p>
                </w:tc>
              </w:tr>
              <w:tr>
                <w:trPr>
                  <w:trHeight w:val="290"/>
                </w:trPr>
                <w:tc>
                  <w:tcPr>
                    <w:tcW w:w="852" w:type="dxa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 w:val="20"/>
                      </w:rPr>
                    </w:pPr>
                    <w:r>
                      <w:rPr>
                        <w:b/>
                        <w:bCs/>
                        <w:kern w:val="2"/>
                        <w:sz w:val="20"/>
                      </w:rPr>
                      <w:t>5.</w:t>
                    </w:r>
                  </w:p>
                </w:tc>
                <w:tc>
                  <w:tcPr>
                    <w:tcW w:w="8675" w:type="dxa"/>
                    <w:gridSpan w:val="8"/>
                  </w:tcPr>
                  <w:p>
                    <w:pPr>
                      <w:spacing w:line="278" w:lineRule="auto"/>
                      <w:rPr>
                        <w:kern w:val="2"/>
                        <w:sz w:val="20"/>
                      </w:rPr>
                    </w:pPr>
                    <w:r>
                      <w:rPr>
                        <w:b/>
                        <w:bCs/>
                        <w:kern w:val="2"/>
                        <w:sz w:val="20"/>
                      </w:rPr>
                      <w:t>Edukaciniai užsiėmimai</w:t>
                    </w:r>
                  </w:p>
                </w:tc>
              </w:tr>
              <w:tr>
                <w:tc>
                  <w:tcPr>
                    <w:tcW w:w="852" w:type="dxa"/>
                    <w:vMerge w:val="restart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5.3.</w:t>
                    </w:r>
                  </w:p>
                </w:tc>
                <w:tc>
                  <w:tcPr>
                    <w:tcW w:w="2072" w:type="dxa"/>
                    <w:vMerge w:val="restart"/>
                  </w:tcPr>
                  <w:p>
                    <w:pPr>
                      <w:spacing w:line="278" w:lineRule="auto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Ekskursija po Šeduvą</w:t>
                    </w:r>
                  </w:p>
                </w:tc>
                <w:tc>
                  <w:tcPr>
                    <w:tcW w:w="1324" w:type="dxa"/>
                    <w:gridSpan w:val="3"/>
                    <w:vMerge w:val="restart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1 asmeniui</w:t>
                    </w:r>
                  </w:p>
                </w:tc>
                <w:tc>
                  <w:tcPr>
                    <w:tcW w:w="1379" w:type="dxa"/>
                    <w:gridSpan w:val="3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3,00</w:t>
                    </w:r>
                  </w:p>
                </w:tc>
                <w:tc>
                  <w:tcPr>
                    <w:tcW w:w="3900" w:type="dxa"/>
                  </w:tcPr>
                  <w:p>
                    <w:pPr>
                      <w:spacing w:line="278" w:lineRule="auto"/>
                      <w:rPr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Suaugusiems</w:t>
                    </w:r>
                  </w:p>
                </w:tc>
              </w:tr>
              <w:tr>
                <w:trPr>
                  <w:trHeight w:val="558"/>
                </w:trPr>
                <w:tc>
                  <w:tcPr>
                    <w:tcW w:w="852" w:type="dxa"/>
                    <w:vMerge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 w:val="20"/>
                      </w:rPr>
                    </w:pPr>
                  </w:p>
                </w:tc>
                <w:tc>
                  <w:tcPr>
                    <w:tcW w:w="2072" w:type="dxa"/>
                    <w:vMerge/>
                  </w:tcPr>
                  <w:p>
                    <w:pPr>
                      <w:spacing w:line="278" w:lineRule="auto"/>
                      <w:rPr>
                        <w:kern w:val="2"/>
                        <w:sz w:val="20"/>
                      </w:rPr>
                    </w:pPr>
                  </w:p>
                </w:tc>
                <w:tc>
                  <w:tcPr>
                    <w:tcW w:w="1324" w:type="dxa"/>
                    <w:gridSpan w:val="3"/>
                    <w:vMerge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 w:val="20"/>
                      </w:rPr>
                    </w:pPr>
                  </w:p>
                </w:tc>
                <w:tc>
                  <w:tcPr>
                    <w:tcW w:w="1379" w:type="dxa"/>
                    <w:gridSpan w:val="3"/>
                  </w:tcPr>
                  <w:p>
                    <w:pPr>
                      <w:spacing w:line="278" w:lineRule="auto"/>
                      <w:jc w:val="center"/>
                      <w:rPr>
                        <w:strike/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2,00</w:t>
                    </w:r>
                  </w:p>
                </w:tc>
                <w:tc>
                  <w:tcPr>
                    <w:tcW w:w="3900" w:type="dxa"/>
                  </w:tcPr>
                  <w:p>
                    <w:pPr>
                      <w:spacing w:line="278" w:lineRule="auto"/>
                      <w:rPr>
                        <w:strike/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Neįgaliesiems, senjorams, mokiniams (nuo 7 metų).</w:t>
                    </w:r>
                  </w:p>
                </w:tc>
              </w:tr>
              <w:tr>
                <w:trPr>
                  <w:trHeight w:val="432"/>
                </w:trPr>
                <w:tc>
                  <w:tcPr>
                    <w:tcW w:w="852" w:type="dxa"/>
                    <w:vMerge/>
                  </w:tcPr>
                  <w:p>
                    <w:pPr>
                      <w:spacing w:line="278" w:lineRule="auto"/>
                      <w:jc w:val="center"/>
                      <w:rPr>
                        <w:strike/>
                        <w:kern w:val="2"/>
                        <w:sz w:val="20"/>
                      </w:rPr>
                    </w:pPr>
                  </w:p>
                </w:tc>
                <w:tc>
                  <w:tcPr>
                    <w:tcW w:w="2072" w:type="dxa"/>
                    <w:vMerge/>
                  </w:tcPr>
                  <w:p>
                    <w:pPr>
                      <w:spacing w:line="278" w:lineRule="auto"/>
                      <w:rPr>
                        <w:strike/>
                        <w:kern w:val="2"/>
                        <w:sz w:val="20"/>
                      </w:rPr>
                    </w:pPr>
                  </w:p>
                </w:tc>
                <w:tc>
                  <w:tcPr>
                    <w:tcW w:w="1324" w:type="dxa"/>
                    <w:gridSpan w:val="3"/>
                    <w:vMerge/>
                  </w:tcPr>
                  <w:p>
                    <w:pPr>
                      <w:spacing w:line="278" w:lineRule="auto"/>
                      <w:jc w:val="center"/>
                      <w:rPr>
                        <w:strike/>
                        <w:kern w:val="2"/>
                        <w:sz w:val="20"/>
                      </w:rPr>
                    </w:pPr>
                  </w:p>
                </w:tc>
                <w:tc>
                  <w:tcPr>
                    <w:tcW w:w="1379" w:type="dxa"/>
                    <w:gridSpan w:val="3"/>
                  </w:tcPr>
                  <w:p>
                    <w:pPr>
                      <w:spacing w:line="278" w:lineRule="auto"/>
                      <w:jc w:val="center"/>
                      <w:rPr>
                        <w:strike/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</w:rPr>
                      <w:t>0,00</w:t>
                    </w:r>
                  </w:p>
                </w:tc>
                <w:tc>
                  <w:tcPr>
                    <w:tcW w:w="3900" w:type="dxa"/>
                  </w:tcPr>
                  <w:p>
                    <w:pPr>
                      <w:spacing w:line="278" w:lineRule="auto"/>
                      <w:rPr>
                        <w:strike/>
                        <w:kern w:val="2"/>
                        <w:sz w:val="20"/>
                      </w:rPr>
                    </w:pPr>
                    <w:r>
                      <w:rPr>
                        <w:kern w:val="2"/>
                        <w:sz w:val="20"/>
                        <w:shd w:val="clear" w:color="auto" w:fill="FFFFFF"/>
                      </w:rPr>
                      <w:t>Vaikams iki 7 metų.</w:t>
                    </w:r>
                  </w:p>
                </w:tc>
              </w:tr>
            </w:tbl>
            <w:p>
              <w:pPr>
                <w:spacing w:line="278" w:lineRule="auto"/>
                <w:rPr>
                  <w:kern w:val="2"/>
                  <w:szCs w:val="24"/>
                </w:rPr>
              </w:pPr>
            </w:p>
            <w:p>
              <w:pPr>
                <w:spacing w:line="278" w:lineRule="auto"/>
                <w:rPr>
                  <w:kern w:val="2"/>
                  <w:szCs w:val="24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5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6800401-C20B-4BCC-B3D9-0FE3B4A2AC2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50a41dd68340467f947a1c06533aeb15" PartId="a641af56d0214744a2cc7d45c222c8cd">
    <Part Type="preambule" DocPartId="37bf2a5c8dc649da8459cfc67b35e457" PartId="eaf4be5a287a4581a86f453c4ddcbbc1"/>
    <Part Type="pastraipa" DocPartId="8adc2b247dcf4e8c9414e64f9a625b5e" PartId="1b127b525d104b9cb3a200b4890c6687"/>
    <Part Type="lentele" DocPartId="e7712c2fbfbd42b8ab72c14d705ba83a" PartId="d7160f38d19943d49f883aa5610cf8a8"/>
  </Part>
</Parts>
</file>

<file path=customXml/itemProps1.xml><?xml version="1.0" encoding="utf-8"?>
<ds:datastoreItem xmlns:ds="http://schemas.openxmlformats.org/officeDocument/2006/customXml" ds:itemID="{D6AD2802-0944-4821-AD28-81CF509BAF1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0369738-D4D2-4773-A4C4-12525F57C93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378</Words>
  <Characters>2344</Characters>
  <Application>Microsoft Office Word</Application>
  <DocSecurity>4</DocSecurity>
  <Lines>156</Lines>
  <Paragraphs>100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2026-05-18T05:46:00Z</dcterms:created>
  <dc:creator>Milda Mineikytė-Juknė</dc:creator>
  <lastModifiedBy>adlibuser</lastModifiedBy>
  <lastPrinted>2026-05-12T06:33:00Z</lastPrinted>
  <dcterms:modified xsi:type="dcterms:W3CDTF">2026-05-18T05:46:00Z</dcterms:modified>
  <revision>2</revision>
</coreProperties>
</file>