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bf67546a8b41460da66716bdb603afaf"/>
        <w:lock w:val="sdtLocked"/>
        <w:richText/>
      </w:sdtPr>
      <w:sdtContent>
        <w:tbl>
          <w:tblPr>
            <w:tblW w:w="9638" w:type="dxa"/>
            <w:tblInd w:w="55" w:type="dxa"/>
            <w:tblLayout w:type="fixed"/>
            <w:tblCellMar>
              <w:top w:w="55" w:type="dxa"/>
              <w:left w:w="55" w:type="dxa"/>
              <w:bottom w:w="55" w:type="dxa"/>
              <w:right w:w="55" w:type="dxa"/>
            </w:tblCellMar>
            <w:tblLook w:val="0000" w:firstRow="0" w:lastRow="0" w:firstColumn="0" w:lastColumn="0" w:noHBand="0" w:noVBand="0"/>
          </w:tblPr>
          <w:tblGrid>
            <w:gridCol w:w="4817"/>
            <w:gridCol w:w="282"/>
            <w:gridCol w:w="1841"/>
            <w:gridCol w:w="565"/>
            <w:gridCol w:w="2133"/>
          </w:tblGrid>
          <w:tr>
            <w:tc>
              <w:tcPr>
                <w:tcW w:w="9638" w:type="dxa"/>
                <w:gridSpan w:val="5"/>
                <w:tcBorders>
                  <w:bottom w:val="single" w:sz="4" w:space="0" w:color="000000"/>
                </w:tcBorders>
              </w:tcPr>
              <w:p>
                <w:pPr>
                  <w:suppressLineNumbers/>
                  <w:tabs>
                    <w:tab w:val="center" w:pos="4800"/>
                    <w:tab w:val="right" w:pos="9601"/>
                  </w:tabs>
                  <w:jc w:val="both"/>
                  <w:rPr>
                    <w:rFonts w:eastAsia="Andale Sans UI" w:cs="Tahoma"/>
                    <w:szCs w:val="24"/>
                    <w:lang w:bidi="en-US"/>
                  </w:rPr>
                </w:pPr>
              </w:p>
              <w:p>
                <w:pPr>
                  <w:suppressLineNumbers/>
                  <w:tabs>
                    <w:tab w:val="center" w:pos="4800"/>
                    <w:tab w:val="right" w:pos="9601"/>
                  </w:tabs>
                  <w:jc w:val="both"/>
                  <w:rPr>
                    <w:rFonts w:eastAsia="Andale Sans UI" w:cs="Tahoma"/>
                    <w:szCs w:val="24"/>
                    <w:lang w:bidi="en-US"/>
                  </w:rPr>
                </w:pPr>
              </w:p>
              <w:p>
                <w:pPr>
                  <w:suppressLineNumbers/>
                  <w:jc w:val="center"/>
                  <w:rPr>
                    <w:rFonts w:eastAsia="Andale Sans UI" w:cs="Tahoma"/>
                    <w:b/>
                    <w:bCs/>
                    <w:spacing w:val="20"/>
                    <w:sz w:val="28"/>
                    <w:szCs w:val="28"/>
                    <w:lang w:bidi="en-US"/>
                  </w:rPr>
                </w:pPr>
                <w:r>
                  <w:rPr>
                    <w:rFonts w:eastAsia="Andale Sans UI" w:cs="Tahoma"/>
                    <w:b/>
                    <w:spacing w:val="20"/>
                    <w:sz w:val="26"/>
                    <w:szCs w:val="26"/>
                    <w:lang w:val="en-US"/>
                  </w:rPr>
                  <w:drawing>
                    <wp:inline distT="0" distB="0" distL="0" distR="0" wp14:anchorId="3F9289FD" wp14:editId="73C4873F">
                      <wp:extent cx="523875" cy="619125"/>
                      <wp:effectExtent l="0" t="0" r="0" b="0"/>
                      <wp:docPr id="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23875" cy="619125"/>
                              </a:xfrm>
                              <a:prstGeom prst="rect">
                                <a:avLst/>
                              </a:prstGeom>
                              <a:solidFill>
                                <a:srgbClr val="FFFFFF">
                                  <a:alpha val="0"/>
                                </a:srgbClr>
                              </a:solidFill>
                              <a:ln>
                                <a:noFill/>
                              </a:ln>
                            </pic:spPr>
                          </pic:pic>
                        </a:graphicData>
                      </a:graphic>
                    </wp:inline>
                  </w:drawing>
                </w:r>
              </w:p>
              <w:p>
                <w:pPr>
                  <w:rPr>
                    <w:sz w:val="10"/>
                    <w:szCs w:val="10"/>
                  </w:rPr>
                </w:pPr>
              </w:p>
              <w:p>
                <w:pPr>
                  <w:suppressLineNumbers/>
                  <w:jc w:val="center"/>
                  <w:rPr>
                    <w:rFonts w:eastAsia="Andale Sans UI" w:cs="Tahoma"/>
                    <w:b/>
                    <w:bCs/>
                    <w:spacing w:val="20"/>
                    <w:szCs w:val="24"/>
                    <w:lang w:bidi="en-US"/>
                  </w:rPr>
                </w:pPr>
                <w:r>
                  <w:rPr>
                    <w:rFonts w:eastAsia="Andale Sans UI" w:cs="Tahoma"/>
                    <w:b/>
                    <w:bCs/>
                    <w:spacing w:val="20"/>
                    <w:szCs w:val="24"/>
                    <w:lang w:bidi="en-US"/>
                  </w:rPr>
                  <w:t>LIETUVOS RESPUBLIKOS APLINKOS MINISTERIJA</w:t>
                </w:r>
              </w:p>
              <w:p>
                <w:pPr>
                  <w:rPr>
                    <w:sz w:val="10"/>
                    <w:szCs w:val="10"/>
                  </w:rPr>
                </w:pPr>
              </w:p>
              <w:p>
                <w:pPr>
                  <w:suppressLineNumbers/>
                  <w:jc w:val="center"/>
                  <w:rPr>
                    <w:rFonts w:eastAsia="Andale Sans UI"/>
                    <w:spacing w:val="12"/>
                    <w:sz w:val="16"/>
                    <w:szCs w:val="16"/>
                    <w:lang w:bidi="en-US"/>
                  </w:rPr>
                </w:pPr>
                <w:r>
                  <w:rPr>
                    <w:rFonts w:eastAsia="Andale Sans UI"/>
                    <w:spacing w:val="12"/>
                    <w:sz w:val="16"/>
                    <w:szCs w:val="16"/>
                    <w:lang w:bidi="en-US"/>
                  </w:rPr>
                  <w:t>Biudžetinė įstaiga, A. Jakšto g. 4, LT-01105 Vilnius,</w:t>
                </w:r>
              </w:p>
              <w:p>
                <w:pPr>
                  <w:suppressLineNumbers/>
                  <w:jc w:val="center"/>
                  <w:rPr>
                    <w:rFonts w:eastAsia="Andale Sans UI"/>
                    <w:spacing w:val="12"/>
                    <w:sz w:val="16"/>
                    <w:szCs w:val="16"/>
                    <w:lang w:bidi="en-US"/>
                  </w:rPr>
                </w:pPr>
                <w:r>
                  <w:rPr>
                    <w:rFonts w:eastAsia="Andale Sans UI"/>
                    <w:spacing w:val="12"/>
                    <w:sz w:val="16"/>
                    <w:szCs w:val="16"/>
                    <w:lang w:bidi="en-US"/>
                  </w:rPr>
                  <w:t>tel. +370 626 22 252, el. p. info@am.lt, https://am.lrv.lt.</w:t>
                </w:r>
              </w:p>
              <w:p>
                <w:pPr>
                  <w:suppressLineNumbers/>
                  <w:jc w:val="center"/>
                  <w:rPr>
                    <w:rFonts w:ascii="Arial" w:eastAsia="Andale Sans UI" w:hAnsi="Arial" w:cs="Tahoma"/>
                    <w:b/>
                    <w:bCs/>
                    <w:spacing w:val="12"/>
                    <w:sz w:val="14"/>
                    <w:szCs w:val="14"/>
                    <w:lang w:bidi="en-US"/>
                  </w:rPr>
                </w:pPr>
                <w:r>
                  <w:rPr>
                    <w:rFonts w:eastAsia="Andale Sans UI"/>
                    <w:spacing w:val="12"/>
                    <w:sz w:val="16"/>
                    <w:szCs w:val="16"/>
                    <w:lang w:bidi="en-US"/>
                  </w:rPr>
                  <w:t>Duomenys kaupiami ir saugomi Juridinių asmenų registre, kodas 188602370</w:t>
                </w:r>
              </w:p>
            </w:tc>
          </w:tr>
          <w:tr>
            <w:tc>
              <w:tcPr>
                <w:tcW w:w="9638" w:type="dxa"/>
                <w:gridSpan w:val="5"/>
                <w:tcMar>
                  <w:top w:w="0" w:type="dxa"/>
                  <w:left w:w="0" w:type="dxa"/>
                  <w:bottom w:w="0" w:type="dxa"/>
                  <w:right w:w="0" w:type="dxa"/>
                </w:tcMar>
              </w:tcPr>
              <w:p>
                <w:pPr>
                  <w:suppressLineNumbers/>
                  <w:jc w:val="both"/>
                  <w:rPr>
                    <w:rFonts w:eastAsia="Andale Sans UI" w:cs="Tahoma"/>
                    <w:szCs w:val="24"/>
                    <w:lang w:bidi="en-US"/>
                  </w:rPr>
                </w:pPr>
              </w:p>
            </w:tc>
          </w:tr>
          <w:tr>
            <w:trPr>
              <w:cantSplit/>
              <w:trHeight w:val="340"/>
            </w:trPr>
            <w:tc>
              <w:tcPr>
                <w:tcW w:w="4817" w:type="dxa"/>
                <w:vMerge w:val="restart"/>
                <w:tcMar>
                  <w:top w:w="0" w:type="dxa"/>
                  <w:left w:w="0" w:type="dxa"/>
                  <w:bottom w:w="0" w:type="dxa"/>
                  <w:right w:w="0" w:type="dxa"/>
                </w:tcMar>
              </w:tcPr>
              <w:p>
                <w:pPr>
                  <w:widowControl w:val="0"/>
                  <w:suppressLineNumbers/>
                  <w:suppressAutoHyphens/>
                  <w:jc w:val="both"/>
                  <w:rPr>
                    <w:rFonts w:eastAsia="Andale Sans UI"/>
                    <w:szCs w:val="24"/>
                  </w:rPr>
                </w:pPr>
                <w:r>
                  <w:rPr>
                    <w:rFonts w:eastAsia="Andale Sans UI" w:cs="Tahoma"/>
                    <w:szCs w:val="24"/>
                    <w:lang w:bidi="en-US"/>
                  </w:rPr>
                  <w:t>Lietuvos Respublikos Vyriausybei</w:t>
                </w:r>
              </w:p>
              <w:p>
                <w:pPr>
                  <w:suppressLineNumbers/>
                  <w:jc w:val="both"/>
                  <w:rPr>
                    <w:rFonts w:eastAsia="Andale Sans UI" w:cs="Tahoma"/>
                    <w:spacing w:val="10"/>
                    <w:szCs w:val="24"/>
                    <w:lang w:bidi="en-US"/>
                  </w:rPr>
                </w:pPr>
              </w:p>
              <w:p>
                <w:pPr>
                  <w:suppressLineNumbers/>
                  <w:jc w:val="both"/>
                  <w:rPr>
                    <w:rFonts w:eastAsia="Andale Sans UI" w:cs="Tahoma"/>
                    <w:spacing w:val="10"/>
                    <w:szCs w:val="24"/>
                    <w:lang w:bidi="en-US"/>
                  </w:rPr>
                </w:pPr>
              </w:p>
            </w:tc>
            <w:tc>
              <w:tcPr>
                <w:tcW w:w="282" w:type="dxa"/>
                <w:tcMar>
                  <w:top w:w="0" w:type="dxa"/>
                  <w:left w:w="0" w:type="dxa"/>
                  <w:bottom w:w="0" w:type="dxa"/>
                  <w:right w:w="0" w:type="dxa"/>
                </w:tcMar>
              </w:tcPr>
              <w:p>
                <w:pPr>
                  <w:ind w:right="67"/>
                  <w:jc w:val="right"/>
                  <w:rPr>
                    <w:rFonts w:eastAsia="Andale Sans UI" w:cs="Tahoma"/>
                    <w:spacing w:val="10"/>
                    <w:szCs w:val="24"/>
                    <w:lang w:bidi="en-US"/>
                  </w:rPr>
                </w:pPr>
              </w:p>
            </w:tc>
            <w:tc>
              <w:tcPr>
                <w:tcW w:w="1841" w:type="dxa"/>
                <w:tcMar>
                  <w:top w:w="0" w:type="dxa"/>
                  <w:left w:w="0" w:type="dxa"/>
                  <w:bottom w:w="0" w:type="dxa"/>
                  <w:right w:w="0" w:type="dxa"/>
                </w:tcMar>
              </w:tcPr>
              <w:p>
                <w:pPr>
                  <w:suppressLineNumbers/>
                  <w:ind w:right="67"/>
                  <w:jc w:val="both"/>
                  <w:rPr>
                    <w:rFonts w:eastAsia="Andale Sans UI" w:cs="Tahoma"/>
                    <w:szCs w:val="24"/>
                    <w:lang w:val="en-US" w:bidi="en-US"/>
                  </w:rPr>
                </w:pPr>
                <w:r>
                  <w:rPr>
                    <w:rFonts w:eastAsia="Andale Sans UI" w:cs="Tahoma"/>
                    <w:szCs w:val="24"/>
                    <w:lang w:val="en-US" w:bidi="en-US"/>
                  </w:rPr>
                  <w:t>2024-05-</w:t>
                </w:r>
              </w:p>
            </w:tc>
            <w:tc>
              <w:tcPr>
                <w:tcW w:w="565" w:type="dxa"/>
              </w:tcPr>
              <w:p>
                <w:pPr>
                  <w:ind w:right="67"/>
                  <w:jc w:val="right"/>
                  <w:rPr>
                    <w:rFonts w:eastAsia="Andale Sans UI" w:cs="Tahoma"/>
                    <w:spacing w:val="10"/>
                    <w:szCs w:val="24"/>
                    <w:lang w:bidi="en-US"/>
                  </w:rPr>
                </w:pPr>
                <w:r>
                  <w:rPr>
                    <w:rFonts w:eastAsia="Andale Sans UI" w:cs="Tahoma"/>
                    <w:spacing w:val="10"/>
                    <w:szCs w:val="24"/>
                    <w:lang w:bidi="en-US"/>
                  </w:rPr>
                  <w:t>Nr.</w:t>
                </w:r>
              </w:p>
            </w:tc>
            <w:tc>
              <w:tcPr>
                <w:tcW w:w="2133" w:type="dxa"/>
              </w:tcPr>
              <w:p>
                <w:pPr>
                  <w:suppressLineNumbers/>
                  <w:ind w:right="67"/>
                  <w:jc w:val="both"/>
                  <w:rPr>
                    <w:rFonts w:eastAsia="Andale Sans UI" w:cs="Tahoma"/>
                    <w:szCs w:val="24"/>
                    <w:lang w:bidi="en-US"/>
                  </w:rPr>
                </w:pPr>
              </w:p>
            </w:tc>
          </w:tr>
          <w:tr>
            <w:trPr>
              <w:cantSplit/>
              <w:trHeight w:val="340"/>
            </w:trPr>
            <w:tc>
              <w:tcPr>
                <w:tcW w:w="4817" w:type="dxa"/>
                <w:vMerge/>
                <w:tcMar>
                  <w:top w:w="0" w:type="dxa"/>
                  <w:left w:w="0" w:type="dxa"/>
                  <w:bottom w:w="0" w:type="dxa"/>
                  <w:right w:w="0" w:type="dxa"/>
                </w:tcMar>
              </w:tcPr>
              <w:p/>
            </w:tc>
            <w:tc>
              <w:tcPr>
                <w:tcW w:w="282" w:type="dxa"/>
                <w:tcMar>
                  <w:top w:w="0" w:type="dxa"/>
                  <w:left w:w="0" w:type="dxa"/>
                  <w:bottom w:w="0" w:type="dxa"/>
                  <w:right w:w="0" w:type="dxa"/>
                </w:tcMar>
              </w:tcPr>
              <w:p>
                <w:pPr>
                  <w:tabs>
                    <w:tab w:val="left" w:pos="2869"/>
                  </w:tabs>
                  <w:ind w:right="67"/>
                  <w:jc w:val="right"/>
                  <w:rPr>
                    <w:rFonts w:eastAsia="Andale Sans UI" w:cs="Tahoma"/>
                    <w:spacing w:val="10"/>
                    <w:szCs w:val="24"/>
                    <w:lang w:bidi="en-US"/>
                  </w:rPr>
                </w:pPr>
                <w:r>
                  <w:rPr>
                    <w:rFonts w:eastAsia="Andale Sans UI" w:cs="Tahoma"/>
                    <w:spacing w:val="10"/>
                    <w:szCs w:val="24"/>
                    <w:lang w:bidi="en-US"/>
                  </w:rPr>
                  <w:t>Į</w:t>
                </w:r>
              </w:p>
            </w:tc>
            <w:tc>
              <w:tcPr>
                <w:tcW w:w="1841" w:type="dxa"/>
                <w:tcMar>
                  <w:top w:w="0" w:type="dxa"/>
                  <w:left w:w="0" w:type="dxa"/>
                  <w:bottom w:w="0" w:type="dxa"/>
                  <w:right w:w="0" w:type="dxa"/>
                </w:tcMar>
              </w:tcPr>
              <w:p>
                <w:pPr>
                  <w:suppressLineNumbers/>
                  <w:ind w:right="67"/>
                  <w:jc w:val="both"/>
                  <w:rPr>
                    <w:rFonts w:eastAsia="Andale Sans UI" w:cs="Tahoma"/>
                    <w:szCs w:val="24"/>
                    <w:lang w:bidi="en-US"/>
                  </w:rPr>
                </w:pPr>
              </w:p>
            </w:tc>
            <w:tc>
              <w:tcPr>
                <w:tcW w:w="565" w:type="dxa"/>
              </w:tcPr>
              <w:p>
                <w:pPr>
                  <w:tabs>
                    <w:tab w:val="left" w:pos="2869"/>
                  </w:tabs>
                  <w:ind w:right="67"/>
                  <w:jc w:val="right"/>
                  <w:rPr>
                    <w:rFonts w:eastAsia="Andale Sans UI" w:cs="Tahoma"/>
                    <w:spacing w:val="10"/>
                    <w:szCs w:val="24"/>
                    <w:lang w:bidi="en-US"/>
                  </w:rPr>
                </w:pPr>
                <w:r>
                  <w:rPr>
                    <w:rFonts w:eastAsia="Andale Sans UI" w:cs="Tahoma"/>
                    <w:spacing w:val="10"/>
                    <w:szCs w:val="24"/>
                    <w:lang w:bidi="en-US"/>
                  </w:rPr>
                  <w:t>Nr.</w:t>
                </w:r>
              </w:p>
            </w:tc>
            <w:tc>
              <w:tcPr>
                <w:tcW w:w="2133" w:type="dxa"/>
              </w:tcPr>
              <w:p>
                <w:pPr>
                  <w:suppressLineNumbers/>
                  <w:ind w:right="67"/>
                  <w:jc w:val="both"/>
                  <w:rPr>
                    <w:rFonts w:eastAsia="Andale Sans UI" w:cs="Tahoma"/>
                    <w:szCs w:val="24"/>
                    <w:lang w:bidi="en-US"/>
                  </w:rPr>
                </w:pPr>
              </w:p>
            </w:tc>
          </w:tr>
          <w:tr>
            <w:trPr>
              <w:cantSplit/>
            </w:trPr>
            <w:tc>
              <w:tcPr>
                <w:tcW w:w="4817" w:type="dxa"/>
                <w:vMerge/>
                <w:tcMar>
                  <w:top w:w="0" w:type="dxa"/>
                  <w:left w:w="0" w:type="dxa"/>
                  <w:bottom w:w="0" w:type="dxa"/>
                  <w:right w:w="0" w:type="dxa"/>
                </w:tcMar>
              </w:tcPr>
              <w:p/>
            </w:tc>
            <w:tc>
              <w:tcPr>
                <w:tcW w:w="4821" w:type="dxa"/>
                <w:gridSpan w:val="4"/>
                <w:tcMar>
                  <w:top w:w="0" w:type="dxa"/>
                  <w:left w:w="0" w:type="dxa"/>
                  <w:bottom w:w="0" w:type="dxa"/>
                  <w:right w:w="0" w:type="dxa"/>
                </w:tcMar>
              </w:tcPr>
              <w:p>
                <w:pPr>
                  <w:tabs>
                    <w:tab w:val="left" w:pos="2869"/>
                  </w:tabs>
                  <w:ind w:right="67"/>
                  <w:jc w:val="both"/>
                  <w:rPr>
                    <w:rFonts w:eastAsia="Andale Sans UI" w:cs="Tahoma"/>
                    <w:spacing w:val="10"/>
                    <w:szCs w:val="24"/>
                    <w:lang w:bidi="en-US"/>
                  </w:rPr>
                </w:pPr>
              </w:p>
            </w:tc>
          </w:tr>
          <w:tr>
            <w:trPr>
              <w:trHeight w:val="340"/>
            </w:trPr>
            <w:tc>
              <w:tcPr>
                <w:tcW w:w="9638" w:type="dxa"/>
                <w:gridSpan w:val="5"/>
                <w:tcMar>
                  <w:top w:w="0" w:type="dxa"/>
                  <w:left w:w="0" w:type="dxa"/>
                  <w:bottom w:w="0" w:type="dxa"/>
                  <w:right w:w="0" w:type="dxa"/>
                </w:tcMar>
              </w:tcPr>
              <w:p>
                <w:pPr>
                  <w:suppressLineNumbers/>
                  <w:spacing w:line="276" w:lineRule="auto"/>
                  <w:jc w:val="both"/>
                  <w:rPr>
                    <w:rFonts w:eastAsia="Andale Sans UI" w:cs="Tahoma"/>
                    <w:b/>
                    <w:bCs/>
                    <w:szCs w:val="24"/>
                    <w:lang w:bidi="en-US"/>
                  </w:rPr>
                </w:pPr>
                <w:r>
                  <w:rPr>
                    <w:rFonts w:eastAsia="Andale Sans UI" w:cs="Tahoma"/>
                    <w:b/>
                    <w:bCs/>
                    <w:caps/>
                    <w:szCs w:val="24"/>
                    <w:lang w:bidi="en-US"/>
                  </w:rPr>
                  <w:t xml:space="preserve">DĖL </w:t>
                </w:r>
                <w:r>
                  <w:rPr>
                    <w:rFonts w:eastAsia="Andale Sans UI" w:cs="Tahoma"/>
                    <w:b/>
                    <w:szCs w:val="24"/>
                    <w:lang w:eastAsia="lt-LT" w:bidi="en-US"/>
                  </w:rPr>
                  <w:t xml:space="preserve">LIETUVOS RESPUBLIKOS VYRIAUSYBĖS NUTARIMO PROJEKTO </w:t>
                </w:r>
              </w:p>
            </w:tc>
          </w:tr>
        </w:tbl>
        <w:p>
          <w:pPr>
            <w:spacing w:line="276" w:lineRule="auto"/>
            <w:jc w:val="both"/>
            <w:rPr>
              <w:rFonts w:eastAsia="Andale Sans UI" w:cs="Tahoma"/>
              <w:szCs w:val="24"/>
              <w:lang w:bidi="en-US"/>
            </w:rPr>
          </w:pPr>
        </w:p>
      </w:sdtContent>
    </w:sdt>
    <w:sdt>
      <w:sdtPr>
        <w:alias w:val="pastraipa"/>
        <w:tag w:val="part_ffd8aa537ef140a1ac49e2758e299708"/>
        <w:lock w:val="sdtLocked"/>
        <w:richText/>
      </w:sdtPr>
      <w:sdtContent>
        <w:p>
          <w:pPr>
            <w:widowControl w:val="0"/>
            <w:suppressAutoHyphens/>
            <w:spacing w:line="276" w:lineRule="auto"/>
            <w:ind w:firstLine="567"/>
            <w:jc w:val="both"/>
            <w:rPr>
              <w:rFonts w:eastAsia="Andale Sans UI" w:cs="Tahoma"/>
              <w:szCs w:val="24"/>
              <w:lang w:bidi="en-US"/>
            </w:rPr>
          </w:pPr>
          <w:r>
            <w:rPr>
              <w:rFonts w:eastAsia="Andale Sans UI" w:cs="Tahoma"/>
              <w:szCs w:val="24"/>
              <w:lang w:bidi="en-US"/>
            </w:rPr>
            <w:t>Aplinkos ministerija pakartotinai teikia Lietuvos Respublikos Vyriausybei Lietuvos Respublikos Vyriausybės 1996 m. rugsėjo 18 d. nutarimo Nr. 1079 „Dėl Visuomenės informavimo, konsultavimo ir dalyvavimo priimant sprendimus dėl teritorijų planavimo nuostatų patvirtinimo“ (toliau – Nutarimas) pakeitimo projektą (toliau – Nutarimo projektas).</w:t>
          </w:r>
        </w:p>
      </w:sdtContent>
    </w:sdt>
    <w:sdt>
      <w:sdtPr>
        <w:alias w:val="pastraipa"/>
        <w:tag w:val="part_894fbe19ce204bb6ae31807e2c4326c5"/>
        <w:lock w:val="sdtLocked"/>
        <w:richText/>
      </w:sdtPr>
      <w:sdtContent>
        <w:p>
          <w:pPr>
            <w:widowControl w:val="0"/>
            <w:suppressAutoHyphens/>
            <w:spacing w:line="276" w:lineRule="auto"/>
            <w:ind w:firstLine="567"/>
            <w:jc w:val="both"/>
            <w:rPr>
              <w:rFonts w:eastAsia="Andale Sans UI" w:cs="Tahoma"/>
              <w:szCs w:val="24"/>
              <w:lang w:bidi="en-US"/>
            </w:rPr>
          </w:pPr>
          <w:r>
            <w:rPr>
              <w:rFonts w:eastAsia="Andale Sans UI" w:cs="Tahoma"/>
              <w:szCs w:val="24"/>
              <w:lang w:bidi="en-US"/>
            </w:rPr>
            <w:t>Nutarimo projektą rengti paskatinusios priežastys: 2023 m. birželio 29 d. priimtas Lietuvos Respublikos teritorijų planavimo įstatymo Nr. I-1120 9, 20, 23, 25, 26, 30, 34, 37, 45 ir 47 straipsnių pakeitimo įstatymas Nr. XIV-2122 (toliau – TPĮ pakeitimo įstatymas Nr. 1); 2023 m. gruodžio 14 d. priimtas Lietuvos Respublikos teritorijų planavimo įstatymo Nr. I-1120 18, 20, 24 ir 27 straipsnių pakeitimo įstatymas Nr. XIV-2334 (toliau – TPĮ pakeitimo įstatymas Nr. 2); 2023 m. gruodžio 19 d. priimtas Lietuvos Respublikos teritorijų planavimo įstatymo Nr. I-1120 7, 18, 20, 29, 31, 33, 34 ir 35 straipsnių pakeitimo įstatymas Nr. XIV-2420 (toliau – TPĮ pakeitimo įstatymas Nr. 3), Birštono savivaldybės Architektūros ir kraštotvarkos skyriaus vedėjo pasiūlymas (toliau – suinteresuoto asmens pasiūlymas): rengiant teritorijų planavimo dokumento koregavimą pagal Teritorijų planavimo įstatymo (toliau – TPĮ) 28 straipsnio 9 dalį nenumatyti papildomo planuojamos teritorijos ir kaimyninių žemės sklypų valdytojų ar naudotojų informavimo Lietuvos Respublikos viešojo administravimo įstatymo 9 straipsnio 1 dalyje nurodytu būdu arba registruotu laišku deklaruotos gyvenamosios vietos adresu ar Juridinių asmenų registre nurodytos juridinio asmens buveinės adresu; TPĮ 28 straipsnio 9 dalyje nuo 2021 m. liepos 1 d. nustatyti ne tik detaliųjų planų, bet ir vietovės lygmens bendrųjų planų, kuriuose nustatomas detaliųjų planų teritorijos naudojimo reglamentas, koregavimo atvejai, kai taikoma Vyriausybės nustatyta supaprastinta teritorijų planavimo dokumentų viešinimo procedūrų tvarka</w:t>
          </w:r>
          <w:r>
            <w:rPr>
              <w:rFonts w:eastAsia="Andale Sans UI" w:cs="Tahoma"/>
              <w:sz w:val="22"/>
              <w:szCs w:val="22"/>
              <w:lang w:bidi="en-US"/>
            </w:rPr>
            <w:t>.</w:t>
          </w:r>
        </w:p>
      </w:sdtContent>
    </w:sdt>
    <w:sdt>
      <w:sdtPr>
        <w:alias w:val="pastraipa"/>
        <w:tag w:val="part_bd5f59b9e4f84727a8d1e87b588a8028"/>
        <w:lock w:val="sdtLocked"/>
        <w:richText/>
      </w:sdtPr>
      <w:sdtContent>
        <w:p>
          <w:pPr>
            <w:widowControl w:val="0"/>
            <w:suppressAutoHyphens/>
            <w:spacing w:line="276" w:lineRule="auto"/>
            <w:ind w:firstLine="567"/>
            <w:jc w:val="both"/>
            <w:rPr>
              <w:rFonts w:eastAsia="Andale Sans UI" w:cs="Tahoma"/>
              <w:szCs w:val="24"/>
              <w:lang w:bidi="en-US"/>
            </w:rPr>
          </w:pPr>
          <w:r>
            <w:rPr>
              <w:rFonts w:eastAsia="Andale Sans UI" w:cs="Tahoma"/>
              <w:i/>
              <w:szCs w:val="24"/>
              <w:lang w:bidi="en-US"/>
            </w:rPr>
            <w:t>Nutarimo projekto tikslai</w:t>
          </w:r>
          <w:r>
            <w:rPr>
              <w:rFonts w:eastAsia="Andale Sans UI" w:cs="Tahoma"/>
              <w:szCs w:val="24"/>
              <w:lang w:bidi="en-US"/>
            </w:rPr>
            <w:t xml:space="preserve"> </w:t>
          </w:r>
        </w:p>
      </w:sdtContent>
    </w:sdt>
    <w:sdt>
      <w:sdtPr>
        <w:alias w:val="pastraipa"/>
        <w:tag w:val="part_24a93aa90caf45408715e169788727f5"/>
        <w:lock w:val="sdtLocked"/>
        <w:richText/>
      </w:sdtPr>
      <w:sdtContent>
        <w:p>
          <w:pPr>
            <w:widowControl w:val="0"/>
            <w:suppressAutoHyphens/>
            <w:spacing w:line="276" w:lineRule="auto"/>
            <w:ind w:firstLine="567"/>
            <w:jc w:val="both"/>
            <w:rPr>
              <w:rFonts w:eastAsia="Andale Sans UI" w:cs="Tahoma"/>
              <w:szCs w:val="24"/>
              <w:lang w:bidi="en-US"/>
            </w:rPr>
          </w:pPr>
          <w:r>
            <w:rPr>
              <w:rFonts w:eastAsia="Andale Sans UI" w:cs="Tahoma"/>
              <w:szCs w:val="24"/>
              <w:lang w:bidi="en-US"/>
            </w:rPr>
            <w:t>Vadovaujantis sistemiškumo principu, siekiant teisės aktų suderinamumo, teisinio reguliavimo aiškumo ir apibrėžtumo, žemesnės galios teisės akto, t. y. Nutarimo nuostatas pakeisti ir papildyti, kad jos atitiktų aktualios redakcijos TPĮ nuostatas.</w:t>
          </w:r>
        </w:p>
      </w:sdtContent>
    </w:sdt>
    <w:sdt>
      <w:sdtPr>
        <w:alias w:val="pastraipa"/>
        <w:tag w:val="part_189a36d12746486383868fcdaaef3881"/>
        <w:lock w:val="sdtLocked"/>
        <w:richText/>
      </w:sdtPr>
      <w:sdtContent>
        <w:p>
          <w:pPr>
            <w:widowControl w:val="0"/>
            <w:suppressAutoHyphens/>
            <w:spacing w:line="276" w:lineRule="auto"/>
            <w:ind w:firstLine="567"/>
            <w:jc w:val="both"/>
            <w:rPr>
              <w:rFonts w:eastAsia="Andale Sans UI" w:cs="Tahoma"/>
              <w:i/>
              <w:color w:val="000000"/>
              <w:szCs w:val="24"/>
              <w:lang w:bidi="en-US"/>
            </w:rPr>
          </w:pPr>
          <w:r>
            <w:rPr>
              <w:rFonts w:eastAsia="Andale Sans UI" w:cs="Tahoma"/>
              <w:i/>
              <w:color w:val="000000"/>
              <w:szCs w:val="24"/>
              <w:lang w:bidi="en-US"/>
            </w:rPr>
            <w:t>Sprendžiamos problemos</w:t>
          </w:r>
        </w:p>
      </w:sdtContent>
    </w:sdt>
    <w:sdt>
      <w:sdtPr>
        <w:alias w:val="pastraipa"/>
        <w:tag w:val="part_637bb6b354f54931884a983f98b6b654"/>
        <w:lock w:val="sdtLocked"/>
        <w:richText/>
      </w:sdtPr>
      <w:sdtContent>
        <w:p>
          <w:pPr>
            <w:widowControl w:val="0"/>
            <w:suppressAutoHyphens/>
            <w:spacing w:line="276" w:lineRule="auto"/>
            <w:ind w:firstLine="567"/>
            <w:jc w:val="both"/>
            <w:rPr>
              <w:rFonts w:eastAsia="Andale Sans UI" w:cs="Tahoma"/>
              <w:szCs w:val="24"/>
              <w:lang w:eastAsia="lt-LT" w:bidi="en-US"/>
            </w:rPr>
          </w:pPr>
          <w:r>
            <w:rPr>
              <w:rFonts w:eastAsia="Andale Sans UI" w:cs="Tahoma"/>
              <w:szCs w:val="24"/>
              <w:lang w:eastAsia="lt-LT" w:bidi="en-US"/>
            </w:rPr>
            <w:t xml:space="preserve">Vadovaujantis TPĮ pakeitimo įstatymu Nr. 1, nuo 2024 m. sausio 1 d. </w:t>
          </w:r>
          <w:r>
            <w:rPr>
              <w:rFonts w:eastAsia="Andale Sans UI" w:cs="Tahoma"/>
              <w:color w:val="000000"/>
              <w:szCs w:val="24"/>
              <w:lang w:bidi="en-US"/>
            </w:rPr>
            <w:t>teritorijų planavimo procedūras planavimo organizatoriai, teritorijų planavimo dokumentų rengėjai, viešojo administravimo subjektai ir kiti teritorijų planavimo proceso dalyviai atlieka per Lietuvos Respublikos teritorijų planavimo dokumentų rengimo ir teritorijų planavimo proceso valstybinės priežiūros informacinę sistemą šios sistemos nuostatuose nustatyta tvarka, išskyrus atvejus, kai teritorijų planavimo dokumentai pradėti rengti iki šios sistemos sukūrimo. Teritorijų planavimo procedūros nebeatliekamos per Žemėtvarkos planavimo dokumentų rengimo informacinę sistemą.</w:t>
          </w:r>
        </w:p>
      </w:sdtContent>
    </w:sdt>
    <w:sdt>
      <w:sdtPr>
        <w:alias w:val="pastraipa"/>
        <w:tag w:val="part_d699f2abc19243ebb08a9a8beb9889cd"/>
        <w:lock w:val="sdtLocked"/>
        <w:richText/>
      </w:sdtPr>
      <w:sdtContent>
        <w:p>
          <w:pPr>
            <w:widowControl w:val="0"/>
            <w:suppressAutoHyphens/>
            <w:spacing w:line="276" w:lineRule="auto"/>
            <w:ind w:firstLine="629"/>
            <w:jc w:val="both"/>
            <w:rPr>
              <w:rFonts w:eastAsia="Andale Sans UI" w:cs="Tahoma"/>
              <w:szCs w:val="24"/>
              <w:lang w:eastAsia="lt-LT" w:bidi="en-US"/>
            </w:rPr>
          </w:pPr>
          <w:r>
            <w:rPr>
              <w:rFonts w:eastAsia="Andale Sans UI" w:cs="Tahoma"/>
              <w:szCs w:val="24"/>
              <w:lang w:eastAsia="lt-LT" w:bidi="en-US"/>
            </w:rPr>
            <w:t>TPĮ pakeitimo įstatyme Nr. 2 numatyta, kad nuo 2024 m. sausio 2 d. savivaldybės meras kai kurias funkcijas (suteiktus įgaliojimus) gali pavesti jas atlikti administracijos direktoriui.</w:t>
          </w:r>
        </w:p>
      </w:sdtContent>
    </w:sdt>
    <w:sdt>
      <w:sdtPr>
        <w:alias w:val="pastraipa"/>
        <w:tag w:val="part_d2d68174069c4bbeb3d69d995f20e072"/>
        <w:lock w:val="sdtLocked"/>
        <w:richText/>
      </w:sdtPr>
      <w:sdtContent>
        <w:p>
          <w:pPr>
            <w:widowControl w:val="0"/>
            <w:suppressAutoHyphens/>
            <w:spacing w:line="276" w:lineRule="auto"/>
            <w:ind w:firstLine="629"/>
            <w:jc w:val="both"/>
            <w:rPr>
              <w:rFonts w:eastAsia="Andale Sans UI" w:cs="Tahoma"/>
              <w:color w:val="000000"/>
              <w:szCs w:val="24"/>
              <w:lang w:bidi="en-US"/>
            </w:rPr>
          </w:pPr>
          <w:r>
            <w:rPr>
              <w:rFonts w:eastAsia="Andale Sans UI" w:cs="Tahoma"/>
              <w:szCs w:val="24"/>
              <w:lang w:eastAsia="lt-LT" w:bidi="en-US"/>
            </w:rPr>
            <w:t xml:space="preserve">Pagal TPĮ pakeitimo įstatymą Nr. 3 nuo 2024 m. gegužės 1 d. </w:t>
          </w:r>
          <w:r>
            <w:rPr>
              <w:rFonts w:eastAsia="Andale Sans UI" w:cs="Tahoma"/>
              <w:color w:val="000000"/>
              <w:szCs w:val="24"/>
              <w:lang w:bidi="en-US"/>
            </w:rPr>
            <w:t xml:space="preserve">apie teritorijų planavimo dokumentų rengimo pradžią ir planavimo tikslus, pasiūlymų teikimo tvarką ir parengtų teritorijų planavimo dokumentų viešo svarstymo vietą ir laiką </w:t>
          </w:r>
          <w:r>
            <w:rPr>
              <w:rFonts w:eastAsia="Andale Sans UI" w:cs="Tahoma"/>
              <w:szCs w:val="24"/>
              <w:lang w:eastAsia="lt-LT" w:bidi="en-US"/>
            </w:rPr>
            <w:t xml:space="preserve">numatyta </w:t>
          </w:r>
          <w:r>
            <w:rPr>
              <w:rFonts w:eastAsia="Andale Sans UI" w:cs="Tahoma"/>
              <w:color w:val="000000"/>
              <w:szCs w:val="24"/>
              <w:lang w:bidi="en-US"/>
            </w:rPr>
            <w:t>pranešimais (siunčiamais elektroniniu paštu) informuoti planuojamoje teritorijoje esančių seniūnijų seniūnus ir seniūnaičius; numatyta, kad kai rengiami detalieji planai (ar vietovės lygmens bendrieji planai, kuriuose nustatomas detaliųjų planų teritorijos naudojimo reglamentas), prie planuojamos teritorijos ribų planavimo organizatoriaus nurodytoje vietoje (vietose) įrengtame informaciniame stende (stenduose) būtų informuojama apie teritorijų planavimo dokumentų rengimo pradžią ir planavimo tikslus, pasiūlymų teikimo tvarką ir parengtų teritorijų planavimo dokumentų viešo svarstymo vietą ir laiką.</w:t>
          </w:r>
        </w:p>
      </w:sdtContent>
    </w:sdt>
    <w:sdt>
      <w:sdtPr>
        <w:alias w:val="pastraipa"/>
        <w:tag w:val="part_600f12ef540646d198f562f88355492e"/>
        <w:lock w:val="sdtLocked"/>
        <w:richText/>
      </w:sdtPr>
      <w:sdtContent>
        <w:p>
          <w:pPr>
            <w:widowControl w:val="0"/>
            <w:suppressAutoHyphens/>
            <w:spacing w:line="276" w:lineRule="auto"/>
            <w:ind w:firstLine="629"/>
            <w:jc w:val="both"/>
            <w:rPr>
              <w:rFonts w:eastAsia="Andale Sans UI" w:cs="Tahoma"/>
              <w:color w:val="000000"/>
              <w:szCs w:val="24"/>
              <w:lang w:bidi="en-US"/>
            </w:rPr>
          </w:pPr>
          <w:r>
            <w:rPr>
              <w:rFonts w:eastAsia="Andale Sans UI" w:cs="Tahoma"/>
              <w:color w:val="000000"/>
              <w:szCs w:val="24"/>
              <w:lang w:bidi="en-US"/>
            </w:rPr>
            <w:t>TPĮ 28 straipsnio 9 dalyje numatyta, kad supaprastinta teritorijų planavimo dokumentų viešinimo procedūrų tvarka taikytina ir kai vietovės lygmens bendrieji planai, kuriuose nustatomas</w:t>
          </w:r>
          <w:r>
            <w:rPr>
              <w:rFonts w:eastAsia="Andale Sans UI" w:cs="Tahoma"/>
              <w:szCs w:val="24"/>
              <w:lang w:bidi="en-US"/>
            </w:rPr>
            <w:t xml:space="preserve"> detaliųjų planų teritorijos naudojimo reglamentas, koreguojami </w:t>
          </w:r>
          <w:r>
            <w:rPr>
              <w:rFonts w:eastAsia="Andale Sans UI" w:cs="Tahoma"/>
              <w:color w:val="000000"/>
              <w:szCs w:val="24"/>
              <w:lang w:bidi="en-US"/>
            </w:rPr>
            <w:t>TPĮ 28 straipsnio 9 dalyje nustatyta tvarka.</w:t>
          </w:r>
        </w:p>
      </w:sdtContent>
    </w:sdt>
    <w:sdt>
      <w:sdtPr>
        <w:alias w:val="pastraipa"/>
        <w:tag w:val="part_f6a1150b3c78492298845c390eec7f73"/>
        <w:lock w:val="sdtLocked"/>
        <w:richText/>
      </w:sdtPr>
      <w:sdtContent>
        <w:p>
          <w:pPr>
            <w:widowControl w:val="0"/>
            <w:suppressAutoHyphens/>
            <w:spacing w:line="276" w:lineRule="auto"/>
            <w:ind w:firstLine="629"/>
            <w:jc w:val="both"/>
            <w:rPr>
              <w:rFonts w:eastAsia="Andale Sans UI" w:cs="Tahoma"/>
              <w:szCs w:val="24"/>
              <w:lang w:eastAsia="lt-LT" w:bidi="en-US"/>
            </w:rPr>
          </w:pPr>
          <w:r>
            <w:rPr>
              <w:rFonts w:eastAsia="Andale Sans UI" w:cs="Tahoma"/>
              <w:szCs w:val="24"/>
              <w:lang w:eastAsia="lt-LT" w:bidi="en-US"/>
            </w:rPr>
            <w:t>Nutarimas turi būti pakeistas atsižvelgiant į įsigaliojusį ar įsigaliojantį teisinį reguliavimą.</w:t>
          </w:r>
        </w:p>
      </w:sdtContent>
    </w:sdt>
    <w:sdt>
      <w:sdtPr>
        <w:alias w:val="pastraipa"/>
        <w:tag w:val="part_4de5ece614974170bc5663d1b984ecc8"/>
        <w:lock w:val="sdtLocked"/>
        <w:richText/>
      </w:sdtPr>
      <w:sdtContent>
        <w:p>
          <w:pPr>
            <w:widowControl w:val="0"/>
            <w:suppressAutoHyphens/>
            <w:spacing w:line="276" w:lineRule="auto"/>
            <w:ind w:firstLine="629"/>
            <w:jc w:val="both"/>
            <w:rPr>
              <w:rFonts w:eastAsia="Andale Sans UI" w:cs="Tahoma"/>
              <w:color w:val="000000"/>
              <w:szCs w:val="24"/>
              <w:lang w:bidi="en-US"/>
            </w:rPr>
          </w:pPr>
          <w:r>
            <w:rPr>
              <w:rFonts w:eastAsia="Andale Sans UI" w:cs="Tahoma"/>
              <w:color w:val="000000"/>
              <w:szCs w:val="24"/>
              <w:lang w:bidi="en-US"/>
            </w:rPr>
            <w:t>Pagal suinteresuoto asmens pasiūlymą siūloma sumažinti privalomai siunčiamų registruotų laiškų skaičių, kai rengiamas teritorijų planavimo dokumento koregavimas TPĮ 28 straipsnio 9 dalyje nustatyta tvarka, t. y. kadangi TPĮ 28 straipsnio 9 dalyje teritorijų planavimo dokumento koregavimui numatytas privalomas planuojamoje teritorijoje esančių žemės sklypų valdytojų ar naudotojų pritarimas raštu, o informacija visuomenei apie šioje dalyje nurodytą kompleksinio teritorijų planavimo dokumento koregavimą skelbiama Vyriausybės nustatyta supaprastinta teritorijų planavimo dokumentų viešinimo procedūrų tvarka planavimo organizatoriaus interneto svetainėje ir Lietuvos Respublikos teritorijų planavimo dokumentų rengimo ir teritorijų planavimo proceso valstybinės priežiūros informacinėje sistemoje. Atsisakoma papildomo planuojamos teritorijos ir kaimyninių žemės sklypų valdytojų ar naudotojų informavimo laiškais apie koreguojamą detalųjį planą vadovaujantis keičiamų nuostatų 4 punktu. Ši priemonė pakeičiama informacinių stendu (stendais), kaip tai numatyta TPĮ 33 straipsnio 1 dalies 6 punkte.</w:t>
          </w:r>
        </w:p>
      </w:sdtContent>
    </w:sdt>
    <w:sdt>
      <w:sdtPr>
        <w:alias w:val="pastraipa"/>
        <w:tag w:val="part_ab0ddffacf164de0bffd77a1904873ad"/>
        <w:lock w:val="sdtLocked"/>
        <w:richText/>
      </w:sdtPr>
      <w:sdtContent>
        <w:p>
          <w:pPr>
            <w:widowControl w:val="0"/>
            <w:suppressAutoHyphens/>
            <w:spacing w:line="276" w:lineRule="auto"/>
            <w:ind w:firstLine="629"/>
            <w:jc w:val="both"/>
            <w:rPr>
              <w:rFonts w:eastAsia="Andale Sans UI" w:cs="Tahoma"/>
              <w:color w:val="000000"/>
              <w:szCs w:val="24"/>
              <w:lang w:bidi="en-US"/>
            </w:rPr>
          </w:pPr>
          <w:r>
            <w:rPr>
              <w:rFonts w:eastAsia="Andale Sans UI" w:cs="Tahoma"/>
              <w:color w:val="000000"/>
              <w:szCs w:val="24"/>
              <w:lang w:bidi="en-US"/>
            </w:rPr>
            <w:t>Nutarimo projekte, atsižvelgus į Lietuvos savivaldybių asociacijos pasiūlymą, papildytas keičiamų nuostatų 11.4 papunktis, numatant, kad p</w:t>
          </w:r>
          <w:r>
            <w:rPr>
              <w:szCs w:val="24"/>
            </w:rPr>
            <w:t>lanavimo organizatorius privalo pateikti nuasmenintus duomenis TPDRIS, popierinius dokumentus privalo saugoti 5 metus nuo teritorijų planavimo dokumento įsigaliojimo (</w:t>
          </w:r>
          <w:r>
            <w:rPr>
              <w:szCs w:val="24"/>
              <w:shd w:val="clear" w:color="auto" w:fill="FFFFFF"/>
            </w:rPr>
            <w:t xml:space="preserve">valstybei svarbių projektų teritorijų planavimo dokumentų – 2 metus nuo teritorijų planavimo dokumento įsigaliojimo) ir, tik pasibaigus šiam terminui, </w:t>
          </w:r>
          <w:r>
            <w:rPr>
              <w:szCs w:val="24"/>
            </w:rPr>
            <w:t>popierinius dokumentus sunaikinti. Šie terminai nustatyti vadovaujantis TPĮ 49 straipsnio 6 dalimi, kurioje įtvirtinta, kad visuomenės (viešąjį) interesą ginantiems subjektams naikinamasis terminas pareikšti reikalavimus dėl patvirtintų teritorijų planavimo dokumentų, išskyrus valstybei svarbių projektų teritorijų planavimo dokumentus, jų sprendinių ar juos patvirtinančių administracinių aktų ginčijimo yra 5 metai nuo patvirtinto teritorijų planavimo dokumento įsigaliojimo. Visuomenės (viešąjį) interesą ginantiems subjektams naikinamasis terminas pareikšti reikalavimus dėl patvirtintų valstybei svarbių projektų teritorijų planavimo dokumentų, jų sprendinių ar juos patvirtinančių administracinių aktų ginčijimo yra 2 metai nuo patvirtinto teritorijų planavimo dokumento įsigaliojimo.</w:t>
          </w:r>
        </w:p>
      </w:sdtContent>
    </w:sdt>
    <w:sdt>
      <w:sdtPr>
        <w:alias w:val="pastraipa"/>
        <w:tag w:val="part_de3f8c01fe174dd3bcae31e1120ac649"/>
        <w:lock w:val="sdtLocked"/>
        <w:richText/>
      </w:sdtPr>
      <w:sdtContent>
        <w:p>
          <w:pPr>
            <w:spacing w:line="276" w:lineRule="auto"/>
            <w:ind w:firstLine="567"/>
            <w:jc w:val="both"/>
            <w:rPr>
              <w:rFonts w:eastAsia="Andale Sans UI" w:cs="Tahoma"/>
              <w:i/>
              <w:color w:val="000000"/>
              <w:szCs w:val="24"/>
              <w:lang w:eastAsia="lt-LT" w:bidi="en-US"/>
            </w:rPr>
          </w:pPr>
          <w:r>
            <w:rPr>
              <w:rFonts w:eastAsia="Andale Sans UI" w:cs="Tahoma"/>
              <w:i/>
              <w:color w:val="000000"/>
              <w:szCs w:val="24"/>
              <w:lang w:eastAsia="lt-LT" w:bidi="en-US"/>
            </w:rPr>
            <w:t>Priemonių sąnaudos</w:t>
          </w:r>
        </w:p>
      </w:sdtContent>
    </w:sdt>
    <w:sdt>
      <w:sdtPr>
        <w:alias w:val="pastraipa"/>
        <w:tag w:val="part_7702f70d90ae4661bca525a78c34d524"/>
        <w:lock w:val="sdtLocked"/>
        <w:richText/>
      </w:sdtPr>
      <w:sdtContent>
        <w:p>
          <w:pPr>
            <w:widowControl w:val="0"/>
            <w:suppressAutoHyphens/>
            <w:spacing w:line="276" w:lineRule="auto"/>
            <w:ind w:firstLine="567"/>
            <w:jc w:val="both"/>
            <w:rPr>
              <w:rFonts w:eastAsia="Andale Sans UI" w:cs="Tahoma"/>
              <w:i/>
              <w:color w:val="000000"/>
              <w:szCs w:val="24"/>
              <w:lang w:bidi="en-US"/>
            </w:rPr>
          </w:pPr>
          <w:r>
            <w:rPr>
              <w:rFonts w:eastAsia="Andale Sans UI" w:cs="Tahoma"/>
              <w:szCs w:val="24"/>
              <w:lang w:bidi="en-US"/>
            </w:rPr>
            <w:t>Nutarimo projekto nuostatoms įgyvendinti papildomų valstybės biudžeto lėšų nereikės.</w:t>
          </w:r>
        </w:p>
      </w:sdtContent>
    </w:sdt>
    <w:sdt>
      <w:sdtPr>
        <w:alias w:val="pastraipa"/>
        <w:tag w:val="part_a36080d76c3b4cf4a63d45da575a319b"/>
        <w:lock w:val="sdtLocked"/>
        <w:richText/>
      </w:sdtPr>
      <w:sdtContent>
        <w:p>
          <w:pPr>
            <w:widowControl w:val="0"/>
            <w:suppressAutoHyphens/>
            <w:spacing w:line="276" w:lineRule="auto"/>
            <w:ind w:firstLine="567"/>
            <w:jc w:val="both"/>
            <w:rPr>
              <w:rFonts w:eastAsia="Andale Sans UI" w:cs="Tahoma"/>
              <w:i/>
              <w:color w:val="000000"/>
              <w:szCs w:val="24"/>
              <w:lang w:bidi="en-US"/>
            </w:rPr>
          </w:pPr>
          <w:r>
            <w:rPr>
              <w:rFonts w:eastAsia="Andale Sans UI" w:cs="Tahoma"/>
              <w:i/>
              <w:color w:val="000000"/>
              <w:szCs w:val="24"/>
              <w:lang w:bidi="en-US"/>
            </w:rPr>
            <w:t>Nauda visuomenei</w:t>
          </w:r>
        </w:p>
      </w:sdtContent>
    </w:sdt>
    <w:sdt>
      <w:sdtPr>
        <w:alias w:val="pastraipa"/>
        <w:tag w:val="part_854e26d90ace4545a63b3c8e0f4a57b1"/>
        <w:lock w:val="sdtLocked"/>
        <w:richText/>
      </w:sdtPr>
      <w:sdtContent>
        <w:p>
          <w:pPr>
            <w:widowControl w:val="0"/>
            <w:suppressAutoHyphens/>
            <w:spacing w:line="276" w:lineRule="auto"/>
            <w:ind w:firstLine="567"/>
            <w:jc w:val="both"/>
            <w:rPr>
              <w:rFonts w:eastAsia="Andale Sans UI" w:cs="Tahoma"/>
              <w:szCs w:val="24"/>
              <w:lang w:bidi="en-US"/>
            </w:rPr>
          </w:pPr>
          <w:r>
            <w:rPr>
              <w:rFonts w:eastAsia="Andale Sans UI" w:cs="Tahoma"/>
              <w:szCs w:val="24"/>
              <w:lang w:bidi="en-US"/>
            </w:rPr>
            <w:t xml:space="preserve">Įgyvendinus Nutarimo projektą, jis atitiks </w:t>
          </w:r>
          <w:r>
            <w:rPr>
              <w:rFonts w:eastAsia="Andale Sans UI" w:cs="Tahoma"/>
              <w:szCs w:val="24"/>
              <w:lang w:eastAsia="lt-LT" w:bidi="en-US"/>
            </w:rPr>
            <w:t>TPĮ pakeitimo įstatymą Nr. 1, TPĮ pakeitimo įstatymą Nr. 2, TPĮ pakeitimo įstatymą Nr. 3, TPĮ 28 straipsnio 9 dalį.</w:t>
          </w:r>
        </w:p>
      </w:sdtContent>
    </w:sdt>
    <w:sdt>
      <w:sdtPr>
        <w:alias w:val="pastraipa"/>
        <w:tag w:val="part_dd661f480d454324a35122a00ca2b671"/>
        <w:lock w:val="sdtLocked"/>
        <w:richText/>
      </w:sdtPr>
      <w:sdtContent>
        <w:p>
          <w:pPr>
            <w:widowControl w:val="0"/>
            <w:suppressAutoHyphens/>
            <w:spacing w:line="276" w:lineRule="auto"/>
            <w:ind w:firstLine="567"/>
            <w:jc w:val="both"/>
            <w:rPr>
              <w:rFonts w:eastAsia="Andale Sans UI" w:cs="Tahoma"/>
              <w:szCs w:val="24"/>
              <w:lang w:bidi="en-US"/>
            </w:rPr>
          </w:pPr>
          <w:r>
            <w:rPr>
              <w:rFonts w:eastAsia="Andale Sans UI" w:cs="Tahoma"/>
              <w:szCs w:val="24"/>
              <w:lang w:bidi="en-US"/>
            </w:rPr>
            <w:t>Nutarimo projektas neprieštarauja Lietuvos Respublikos Vyriausybės programai, Europos Sąjungos teisės reikalavimams, neperkelia ir neįgyvendina Europos Sąjungos teisės aktų, nenotifikuotinas Europos Komisijai.</w:t>
          </w:r>
        </w:p>
      </w:sdtContent>
    </w:sdt>
    <w:sdt>
      <w:sdtPr>
        <w:alias w:val="pastraipa"/>
        <w:tag w:val="part_b1baa6645ee240f987d6807157fedca0"/>
        <w:lock w:val="sdtLocked"/>
        <w:richText/>
      </w:sdtPr>
      <w:sdtContent>
        <w:p>
          <w:pPr>
            <w:widowControl w:val="0"/>
            <w:suppressAutoHyphens/>
            <w:spacing w:line="276" w:lineRule="auto"/>
            <w:ind w:firstLine="567"/>
            <w:jc w:val="both"/>
            <w:rPr>
              <w:rFonts w:eastAsia="Andale Sans UI" w:cs="Tahoma"/>
              <w:szCs w:val="24"/>
              <w:lang w:bidi="en-US"/>
            </w:rPr>
          </w:pPr>
          <w:r>
            <w:rPr>
              <w:rFonts w:eastAsia="Andale Sans UI" w:cs="Tahoma"/>
              <w:szCs w:val="24"/>
              <w:lang w:bidi="en-US"/>
            </w:rPr>
            <w:t>Neigiamų pasekmių priėmus Nutarimo projektą nenumatoma, keisti kitų teisės aktų nereikės.</w:t>
          </w:r>
        </w:p>
      </w:sdtContent>
    </w:sdt>
    <w:sdt>
      <w:sdtPr>
        <w:alias w:val="pastraipa"/>
        <w:tag w:val="part_1177248e872d4c80bd7b3a243f112bdb"/>
        <w:lock w:val="sdtLocked"/>
        <w:richText/>
      </w:sdtPr>
      <w:sdtContent>
        <w:p>
          <w:pPr>
            <w:widowControl w:val="0"/>
            <w:suppressAutoHyphens/>
            <w:spacing w:line="276" w:lineRule="auto"/>
            <w:ind w:firstLine="567"/>
            <w:jc w:val="both"/>
            <w:rPr>
              <w:rFonts w:eastAsia="Andale Sans UI" w:cs="Tahoma"/>
              <w:szCs w:val="24"/>
              <w:lang w:bidi="en-US"/>
            </w:rPr>
          </w:pPr>
          <w:r>
            <w:rPr>
              <w:rFonts w:eastAsia="Andale Sans UI" w:cs="Tahoma"/>
              <w:szCs w:val="24"/>
              <w:lang w:bidi="en-US"/>
            </w:rPr>
            <w:t xml:space="preserve">Nutarimo projektas parengtas laikantis Lietuvos Respublikos valstybinės kalbos įstatymo, Lietuvos Respublikos teisėkūros pagrindų įstatymo reikalavimų ir atitinka bendrinės lietuvių kalbos normas. </w:t>
          </w:r>
        </w:p>
      </w:sdtContent>
    </w:sdt>
    <w:sdt>
      <w:sdtPr>
        <w:alias w:val="pastraipa"/>
        <w:tag w:val="part_e932891323124a00b5321bbfda5d3a0b"/>
        <w:lock w:val="sdtLocked"/>
        <w:richText/>
      </w:sdtPr>
      <w:sdtContent>
        <w:p>
          <w:pPr>
            <w:widowControl w:val="0"/>
            <w:suppressAutoHyphens/>
            <w:spacing w:line="276" w:lineRule="auto"/>
            <w:ind w:firstLine="567"/>
            <w:jc w:val="both"/>
            <w:rPr>
              <w:rFonts w:eastAsia="Andale Sans UI" w:cs="Tahoma"/>
              <w:szCs w:val="24"/>
              <w:lang w:bidi="en-US"/>
            </w:rPr>
          </w:pPr>
          <w:r>
            <w:rPr>
              <w:rFonts w:ascii="Times" w:eastAsia="Andale Sans UI" w:hAnsi="Times" w:cs="Times"/>
              <w:szCs w:val="24"/>
              <w:shd w:val="clear" w:color="auto" w:fill="FFFFFF"/>
              <w:lang w:bidi="en-US"/>
            </w:rPr>
            <w:t xml:space="preserve">Nutarimo projekte nėra naujų sąvokų, vertintinų Lietuvos Respublikos terminų banko įstatymo </w:t>
          </w:r>
          <w:r>
            <w:rPr>
              <w:rFonts w:eastAsia="Andale Sans UI" w:cs="Tahoma"/>
              <w:szCs w:val="24"/>
              <w:shd w:val="clear" w:color="auto" w:fill="FFFFFF"/>
              <w:lang w:bidi="en-US"/>
            </w:rPr>
            <w:t>ir jo įgyvendinamųjų teisės aktų nustatyta tvarka</w:t>
          </w:r>
          <w:r>
            <w:rPr>
              <w:rFonts w:ascii="Times" w:eastAsia="Andale Sans UI" w:hAnsi="Times" w:cs="Times"/>
              <w:szCs w:val="24"/>
              <w:shd w:val="clear" w:color="auto" w:fill="FFFFFF"/>
              <w:lang w:bidi="en-US"/>
            </w:rPr>
            <w:t>. </w:t>
          </w:r>
        </w:p>
      </w:sdtContent>
    </w:sdt>
    <w:sdt>
      <w:sdtPr>
        <w:alias w:val="pastraipa"/>
        <w:tag w:val="part_e8226799d3c34c2b85de33d345dac82b"/>
        <w:lock w:val="sdtLocked"/>
        <w:richText/>
      </w:sdtPr>
      <w:sdtContent>
        <w:p>
          <w:pPr>
            <w:widowControl w:val="0"/>
            <w:suppressAutoHyphens/>
            <w:spacing w:line="276" w:lineRule="auto"/>
            <w:ind w:firstLine="567"/>
            <w:jc w:val="both"/>
            <w:rPr>
              <w:rFonts w:eastAsia="Andale Sans UI" w:cs="Tahoma"/>
              <w:szCs w:val="24"/>
              <w:lang w:bidi="en-US"/>
            </w:rPr>
          </w:pPr>
          <w:r>
            <w:rPr>
              <w:rFonts w:ascii="Times" w:eastAsia="Andale Sans UI" w:hAnsi="Times" w:cs="Tahoma"/>
              <w:szCs w:val="24"/>
              <w:lang w:bidi="en-US"/>
            </w:rPr>
            <w:t xml:space="preserve">Vadovaujantis Numatomo teisinio reguliavimo poveikio vertinimo metodikos, patvirtintos Lietuvos Respublikos Vyriausybės 2003 m. vasario 26 d. nutarimu Nr. 276 „Dėl Numatomo teisinio reguliavimo poveikio vertinimo metodikos patvirtinimo“, 4 punktu, </w:t>
          </w:r>
          <w:r>
            <w:rPr>
              <w:rFonts w:eastAsia="Andale Sans UI" w:cs="Tahoma"/>
              <w:szCs w:val="24"/>
              <w:lang w:bidi="en-US"/>
            </w:rPr>
            <w:t xml:space="preserve">Nutarimo projekto numatomo teisinio reguliavimo poveikio vertinimas neatliekamas. </w:t>
          </w:r>
        </w:p>
      </w:sdtContent>
    </w:sdt>
    <w:sdt>
      <w:sdtPr>
        <w:alias w:val="pastraipa"/>
        <w:tag w:val="part_7f2298e976fe4c64b2d32d12aaf7e51d"/>
        <w:lock w:val="sdtLocked"/>
        <w:richText/>
      </w:sdtPr>
      <w:sdtContent>
        <w:p>
          <w:pPr>
            <w:widowControl w:val="0"/>
            <w:suppressAutoHyphens/>
            <w:spacing w:line="276" w:lineRule="auto"/>
            <w:ind w:firstLine="567"/>
            <w:jc w:val="both"/>
            <w:rPr>
              <w:rFonts w:eastAsia="Andale Sans UI" w:cs="Tahoma"/>
              <w:szCs w:val="24"/>
              <w:shd w:val="clear" w:color="auto" w:fill="FFFFFF"/>
              <w:lang w:bidi="en-US"/>
            </w:rPr>
          </w:pPr>
          <w:r>
            <w:rPr>
              <w:rFonts w:eastAsia="Andale Sans UI" w:cs="Tahoma"/>
              <w:szCs w:val="24"/>
              <w:shd w:val="clear" w:color="auto" w:fill="FFFFFF"/>
              <w:lang w:bidi="en-US"/>
            </w:rPr>
            <w:t>Nutarimo projektas ūkio subjektams papildomos finansinės naštos nesukels.</w:t>
          </w:r>
        </w:p>
      </w:sdtContent>
    </w:sdt>
    <w:sdt>
      <w:sdtPr>
        <w:alias w:val="pastraipa"/>
        <w:tag w:val="part_08be077cfc0f46b5a35c3e8d98f8d05d"/>
        <w:lock w:val="sdtLocked"/>
        <w:richText/>
      </w:sdtPr>
      <w:sdtContent>
        <w:p>
          <w:pPr>
            <w:widowControl w:val="0"/>
            <w:suppressLineNumbers/>
            <w:suppressAutoHyphens/>
            <w:spacing w:line="276" w:lineRule="auto"/>
            <w:ind w:firstLine="567"/>
            <w:jc w:val="both"/>
            <w:rPr>
              <w:rFonts w:eastAsia="Andale Sans UI" w:cs="Tahoma"/>
              <w:szCs w:val="24"/>
              <w:lang w:bidi="en-US"/>
            </w:rPr>
          </w:pPr>
          <w:r>
            <w:rPr>
              <w:rFonts w:eastAsia="Andale Sans UI" w:cs="Tahoma"/>
              <w:szCs w:val="24"/>
              <w:lang w:bidi="en-US"/>
            </w:rPr>
            <w:t xml:space="preserve">Nutarimo projektas neturi įtakos korupcijai. </w:t>
          </w:r>
        </w:p>
      </w:sdtContent>
    </w:sdt>
    <w:sdt>
      <w:sdtPr>
        <w:alias w:val="pastraipa"/>
        <w:tag w:val="part_8da9a59d41d549ab804a57dad9bfb4b0"/>
        <w:lock w:val="sdtLocked"/>
        <w:richText/>
      </w:sdtPr>
      <w:sdtContent>
        <w:p>
          <w:pPr>
            <w:widowControl w:val="0"/>
            <w:suppressLineNumbers/>
            <w:suppressAutoHyphens/>
            <w:spacing w:line="276" w:lineRule="auto"/>
            <w:ind w:firstLine="720"/>
            <w:jc w:val="both"/>
            <w:rPr>
              <w:rFonts w:eastAsia="Andale Sans UI" w:cs="Tahoma"/>
              <w:szCs w:val="24"/>
              <w:lang w:bidi="en-US"/>
            </w:rPr>
          </w:pPr>
          <w:r>
            <w:rPr>
              <w:rFonts w:eastAsia="Andale Sans UI" w:cs="Tahoma"/>
              <w:szCs w:val="24"/>
              <w:lang w:bidi="en-US"/>
            </w:rPr>
            <w:t>Nutarimo projektas paskelbtas ir pateiktas derinti Teisės aktų informacinėje sistemoje (TAIS Nr. 24-1874) Lietuvos Respublikos vidaus reikalų ministerijai, Lietuvos Respublikos teisingumo ministerijai, Lietuvos savivaldybių asociacijai, Lietuvos architektų rūmams, Lietuvos projektavimo įmonių asociacijai, Valstybinei teritorijų planavimo ir statybos inspekcijai prie Aplinkos ministerijos. Į gautas pastabas iš Teisingumo ministerijos, Lietuvos architektų rūmų atsižvelgta. Į daugumą Lietuvos savivaldybių asociacijos pastabų atsižvelgta, kitos suderintos darbo tvarka. Į Vidaus reikalų ministerijos pastabą neatsižvelgta, motyvai pateikti Nutarimo projekto derinimo pažymoje (pridedama). Lietuvos projektavimo įmonių asociacija ir Valstybinė teritorijų planavimo ir statybos inspekcija prie Aplinkos ministerijos pastabų nepateikė.</w:t>
          </w:r>
        </w:p>
      </w:sdtContent>
    </w:sdt>
    <w:sdt>
      <w:sdtPr>
        <w:alias w:val="pastraipa"/>
        <w:tag w:val="part_78a14a123ca84be6a941eaf822806ff6"/>
        <w:lock w:val="sdtLocked"/>
        <w:richText/>
      </w:sdtPr>
      <w:sdtContent>
        <w:p>
          <w:pPr>
            <w:widowControl w:val="0"/>
            <w:suppressAutoHyphens/>
            <w:spacing w:line="276" w:lineRule="auto"/>
            <w:ind w:firstLine="567"/>
            <w:jc w:val="both"/>
            <w:rPr>
              <w:rFonts w:eastAsia="Andale Sans UI" w:cs="Tahoma"/>
              <w:szCs w:val="24"/>
              <w:lang w:bidi="en-US"/>
            </w:rPr>
          </w:pPr>
          <w:r>
            <w:rPr>
              <w:rFonts w:eastAsia="Andale Sans UI" w:cs="Tahoma"/>
              <w:szCs w:val="24"/>
              <w:lang w:bidi="en-US"/>
            </w:rPr>
            <w:t>Nutarimo projektą parengė Aplinkos ministerijos Žemės ir teritorijų planavimo politikos grupės vadovo pareigas laikinai einanti Algė Staniūnaitė-Tonkich (tel. +370 695 17731, el. p. alge.staniunaite-tonkich@am.lt) ir patarėja Aistė Vidžienė (tel. +370 695 71392, el. p. aiste.vidziene@am.lt).</w:t>
          </w:r>
        </w:p>
      </w:sdtContent>
    </w:sdt>
    <w:sdt>
      <w:sdtPr>
        <w:alias w:val="pastraipa"/>
        <w:tag w:val="part_e42e985b917a4565b5b091f00da2c158"/>
        <w:lock w:val="sdtLocked"/>
        <w:richText/>
      </w:sdtPr>
      <w:sdtContent>
        <w:p>
          <w:pPr>
            <w:widowControl w:val="0"/>
            <w:suppressAutoHyphens/>
            <w:spacing w:line="276" w:lineRule="auto"/>
            <w:ind w:firstLine="567"/>
            <w:jc w:val="both"/>
            <w:rPr>
              <w:rFonts w:eastAsia="Andale Sans UI" w:cs="Tahoma"/>
              <w:szCs w:val="24"/>
              <w:lang w:bidi="en-US"/>
            </w:rPr>
          </w:pPr>
          <w:r>
            <w:rPr>
              <w:rFonts w:eastAsia="Andale Sans UI" w:cs="Tahoma"/>
              <w:szCs w:val="24"/>
              <w:lang w:bidi="en-US"/>
            </w:rPr>
            <w:t>PRIDEDAMA:</w:t>
          </w:r>
        </w:p>
        <w:sdt>
          <w:sdtPr>
            <w:alias w:val="1 p."/>
            <w:tag w:val="part_401a29d0357343cf931d314d37030a1c"/>
            <w:lock w:val="sdtLocked"/>
            <w:richText/>
          </w:sdtPr>
          <w:sdtContent>
            <w:p>
              <w:pPr>
                <w:widowControl w:val="0"/>
                <w:suppressAutoHyphens/>
                <w:spacing w:line="276" w:lineRule="auto"/>
                <w:ind w:firstLine="567"/>
                <w:jc w:val="both"/>
                <w:rPr>
                  <w:rFonts w:eastAsia="Andale Sans UI" w:cs="Tahoma"/>
                  <w:color w:val="000000"/>
                  <w:szCs w:val="24"/>
                  <w:bdr w:val="none" w:sz="0" w:space="0" w:color="auto" w:frame="1"/>
                  <w:lang w:bidi="en-US"/>
                </w:rPr>
              </w:pPr>
              <w:sdt>
                <w:sdtPr>
                  <w:alias w:val="Numeris"/>
                  <w:tag w:val="nr_401a29d0357343cf931d314d37030a1c"/>
                  <w:lock w:val="sdtLocked"/>
                  <w:richText/>
                </w:sdtPr>
                <w:sdtContent>
                  <w:r>
                    <w:rPr>
                      <w:rFonts w:eastAsia="Andale Sans UI" w:cs="Tahoma"/>
                      <w:szCs w:val="24"/>
                      <w:lang w:bidi="en-US"/>
                    </w:rPr>
                    <w:t>1</w:t>
                  </w:r>
                </w:sdtContent>
              </w:sdt>
              <w:r>
                <w:rPr>
                  <w:rFonts w:eastAsia="Andale Sans UI" w:cs="Tahoma"/>
                  <w:szCs w:val="24"/>
                  <w:lang w:bidi="en-US"/>
                </w:rPr>
                <w:t>. Nutarimo projektas</w:t>
              </w:r>
              <w:r>
                <w:rPr>
                  <w:rFonts w:eastAsia="Andale Sans UI" w:cs="Tahoma"/>
                  <w:color w:val="000000"/>
                  <w:szCs w:val="24"/>
                  <w:bdr w:val="none" w:sz="0" w:space="0" w:color="auto" w:frame="1"/>
                  <w:lang w:bidi="en-US"/>
                </w:rPr>
                <w:t xml:space="preserve">, 1 lapas. </w:t>
              </w:r>
            </w:p>
          </w:sdtContent>
        </w:sdt>
        <w:sdt>
          <w:sdtPr>
            <w:alias w:val="2 p."/>
            <w:tag w:val="part_63e3ee5eb94a4697aabec8934b080f6e"/>
            <w:lock w:val="sdtLocked"/>
            <w:richText/>
          </w:sdtPr>
          <w:sdtContent>
            <w:p>
              <w:pPr>
                <w:widowControl w:val="0"/>
                <w:suppressAutoHyphens/>
                <w:spacing w:line="276" w:lineRule="auto"/>
                <w:ind w:firstLine="567"/>
                <w:jc w:val="both"/>
                <w:rPr>
                  <w:rFonts w:eastAsia="Calibri" w:cs="Tahoma"/>
                  <w:szCs w:val="24"/>
                  <w:lang w:bidi="en-US"/>
                </w:rPr>
              </w:pPr>
              <w:sdt>
                <w:sdtPr>
                  <w:alias w:val="Numeris"/>
                  <w:tag w:val="nr_63e3ee5eb94a4697aabec8934b080f6e"/>
                  <w:lock w:val="sdtLocked"/>
                  <w:richText/>
                </w:sdtPr>
                <w:sdtContent>
                  <w:r>
                    <w:rPr>
                      <w:rFonts w:eastAsia="Andale Sans UI" w:cs="Tahoma"/>
                      <w:color w:val="000000"/>
                      <w:szCs w:val="24"/>
                      <w:bdr w:val="none" w:sz="0" w:space="0" w:color="auto" w:frame="1"/>
                      <w:lang w:bidi="en-US"/>
                    </w:rPr>
                    <w:t>2</w:t>
                  </w:r>
                </w:sdtContent>
              </w:sdt>
              <w:r>
                <w:rPr>
                  <w:rFonts w:eastAsia="Andale Sans UI" w:cs="Tahoma"/>
                  <w:color w:val="000000"/>
                  <w:szCs w:val="24"/>
                  <w:bdr w:val="none" w:sz="0" w:space="0" w:color="auto" w:frame="1"/>
                  <w:lang w:bidi="en-US"/>
                </w:rPr>
                <w:t>.</w:t>
              </w:r>
              <w:r>
                <w:rPr>
                  <w:rFonts w:eastAsia="Calibri" w:cs="Tahoma"/>
                  <w:szCs w:val="24"/>
                  <w:lang w:bidi="en-US"/>
                </w:rPr>
                <w:t xml:space="preserve"> Nutarimo projekto lyginamasis variantas, 1 lapas.</w:t>
              </w:r>
            </w:p>
          </w:sdtContent>
        </w:sdt>
        <w:sdt>
          <w:sdtPr>
            <w:alias w:val="3 p."/>
            <w:tag w:val="part_4cd7471d131445c4b279c9faba2647f2"/>
            <w:lock w:val="sdtLocked"/>
            <w:richText/>
          </w:sdtPr>
          <w:sdtContent>
            <w:p>
              <w:pPr>
                <w:widowControl w:val="0"/>
                <w:suppressAutoHyphens/>
                <w:spacing w:line="276" w:lineRule="auto"/>
                <w:ind w:firstLine="567"/>
                <w:jc w:val="both"/>
                <w:rPr>
                  <w:rFonts w:eastAsia="Calibri"/>
                  <w:color w:val="000000"/>
                  <w:szCs w:val="24"/>
                  <w:lang w:bidi="en-US"/>
                </w:rPr>
              </w:pPr>
              <w:sdt>
                <w:sdtPr>
                  <w:alias w:val="Numeris"/>
                  <w:tag w:val="nr_4cd7471d131445c4b279c9faba2647f2"/>
                  <w:lock w:val="sdtLocked"/>
                  <w:richText/>
                </w:sdtPr>
                <w:sdtContent>
                  <w:r>
                    <w:rPr>
                      <w:rFonts w:eastAsia="Calibri" w:cs="Tahoma"/>
                      <w:color w:val="000000"/>
                      <w:szCs w:val="24"/>
                      <w:lang w:bidi="en-US"/>
                    </w:rPr>
                    <w:t>3</w:t>
                  </w:r>
                </w:sdtContent>
              </w:sdt>
              <w:r>
                <w:rPr>
                  <w:rFonts w:eastAsia="Calibri" w:cs="Tahoma"/>
                  <w:color w:val="000000"/>
                  <w:szCs w:val="24"/>
                  <w:lang w:bidi="en-US"/>
                </w:rPr>
                <w:t>. Antikorupcinio vertinimo pažyma, 4 lapai.</w:t>
              </w:r>
            </w:p>
          </w:sdtContent>
        </w:sdt>
        <w:sdt>
          <w:sdtPr>
            <w:alias w:val="4 p."/>
            <w:tag w:val="part_7c66f9fcc08a4dbda204bd0617b77c7f"/>
            <w:lock w:val="sdtLocked"/>
            <w:richText/>
          </w:sdtPr>
          <w:sdtContent>
            <w:p>
              <w:pPr>
                <w:widowControl w:val="0"/>
                <w:suppressAutoHyphens/>
                <w:spacing w:line="276" w:lineRule="auto"/>
                <w:ind w:firstLine="567"/>
                <w:jc w:val="both"/>
                <w:rPr>
                  <w:rFonts w:eastAsia="Calibri" w:cs="Tahoma"/>
                  <w:szCs w:val="24"/>
                  <w:lang w:bidi="en-US"/>
                </w:rPr>
              </w:pPr>
              <w:sdt>
                <w:sdtPr>
                  <w:alias w:val="Numeris"/>
                  <w:tag w:val="nr_7c66f9fcc08a4dbda204bd0617b77c7f"/>
                  <w:lock w:val="sdtLocked"/>
                  <w:richText/>
                </w:sdtPr>
                <w:sdtContent>
                  <w:r>
                    <w:rPr>
                      <w:rFonts w:eastAsia="Calibri" w:cs="Tahoma"/>
                      <w:szCs w:val="24"/>
                      <w:lang w:bidi="en-US"/>
                    </w:rPr>
                    <w:t>4</w:t>
                  </w:r>
                </w:sdtContent>
              </w:sdt>
              <w:r>
                <w:rPr>
                  <w:rFonts w:eastAsia="Calibri" w:cs="Tahoma"/>
                  <w:szCs w:val="24"/>
                  <w:lang w:bidi="en-US"/>
                </w:rPr>
                <w:t xml:space="preserve">. </w:t>
              </w:r>
              <w:r>
                <w:rPr>
                  <w:rFonts w:eastAsia="Andale Sans UI" w:cs="Tahoma"/>
                  <w:szCs w:val="24"/>
                  <w:lang w:bidi="en-US"/>
                </w:rPr>
                <w:t>Nutarimo projekto derinimo pažyma, 2 lapai.</w:t>
              </w:r>
            </w:p>
            <w:p>
              <w:pPr>
                <w:suppressLineNumbers/>
                <w:spacing w:line="276" w:lineRule="auto"/>
                <w:ind w:firstLine="567"/>
                <w:jc w:val="both"/>
                <w:rPr>
                  <w:rFonts w:eastAsia="Andale Sans UI" w:cs="Tahoma"/>
                  <w:bCs/>
                  <w:szCs w:val="24"/>
                  <w:lang w:bidi="en-US"/>
                </w:rPr>
              </w:pPr>
            </w:p>
            <w:p>
              <w:pPr>
                <w:suppressLineNumbers/>
                <w:spacing w:line="276" w:lineRule="auto"/>
                <w:ind w:firstLine="567"/>
                <w:jc w:val="both"/>
                <w:rPr>
                  <w:rFonts w:eastAsia="Andale Sans UI" w:cs="Tahoma"/>
                  <w:bCs/>
                  <w:szCs w:val="24"/>
                  <w:lang w:bidi="en-US"/>
                </w:rPr>
              </w:pPr>
            </w:p>
            <w:tbl>
              <w:tblPr>
                <w:tblW w:w="9643" w:type="dxa"/>
                <w:tblInd w:w="8" w:type="dxa"/>
                <w:tblLayout w:type="fixed"/>
                <w:tblCellMar>
                  <w:left w:w="0" w:type="dxa"/>
                  <w:right w:w="0" w:type="dxa"/>
                </w:tblCellMar>
                <w:tblLook w:val="0000" w:firstRow="0" w:lastRow="0" w:firstColumn="0" w:lastColumn="0" w:noHBand="0" w:noVBand="0"/>
              </w:tblPr>
              <w:tblGrid>
                <w:gridCol w:w="4817"/>
                <w:gridCol w:w="4826"/>
              </w:tblGrid>
              <w:tr>
                <w:trPr>
                  <w:trHeight w:val="340"/>
                </w:trPr>
                <w:tc>
                  <w:tcPr>
                    <w:tcW w:w="4817" w:type="dxa"/>
                    <w:vAlign w:val="bottom"/>
                  </w:tcPr>
                  <w:p>
                    <w:pPr>
                      <w:suppressLineNumbers/>
                      <w:spacing w:line="276" w:lineRule="auto"/>
                      <w:jc w:val="both"/>
                      <w:rPr>
                        <w:rFonts w:eastAsia="Andale Sans UI" w:cs="Tahoma"/>
                        <w:szCs w:val="24"/>
                        <w:lang w:bidi="en-US"/>
                      </w:rPr>
                    </w:pPr>
                    <w:r>
                      <w:rPr>
                        <w:rFonts w:eastAsia="Andale Sans UI" w:cs="Tahoma"/>
                        <w:szCs w:val="24"/>
                        <w:lang w:bidi="en-US"/>
                      </w:rPr>
                      <w:t>Aplinkos ministras</w:t>
                    </w:r>
                  </w:p>
                </w:tc>
                <w:tc>
                  <w:tcPr>
                    <w:tcW w:w="4826" w:type="dxa"/>
                    <w:vAlign w:val="bottom"/>
                  </w:tcPr>
                  <w:p>
                    <w:pPr>
                      <w:spacing w:line="276" w:lineRule="auto"/>
                      <w:ind w:right="34"/>
                      <w:jc w:val="right"/>
                      <w:rPr>
                        <w:rFonts w:eastAsia="Andale Sans UI" w:cs="Tahoma"/>
                        <w:szCs w:val="24"/>
                        <w:lang w:bidi="en-US"/>
                      </w:rPr>
                    </w:pPr>
                    <w:r>
                      <w:rPr>
                        <w:rFonts w:eastAsia="Andale Sans UI" w:cs="Tahoma"/>
                        <w:szCs w:val="24"/>
                        <w:lang w:bidi="en-US"/>
                      </w:rPr>
                      <w:t>Simonas Gentvilas</w:t>
                    </w:r>
                  </w:p>
                </w:tc>
              </w:tr>
            </w:tbl>
            <w:p>
              <w:pPr>
                <w:spacing w:line="276" w:lineRule="auto"/>
                <w:jc w:val="both"/>
                <w:rPr>
                  <w:rFonts w:eastAsia="Andale Sans UI" w:cs="Tahoma"/>
                  <w:szCs w:val="24"/>
                  <w:lang w:bidi="en-US"/>
                </w:rPr>
              </w:pPr>
            </w:p>
            <w:p>
              <w:pPr>
                <w:spacing w:line="276" w:lineRule="auto"/>
                <w:ind w:firstLine="567"/>
                <w:jc w:val="both"/>
                <w:rPr>
                  <w:rFonts w:eastAsia="Andale Sans UI" w:cs="Tahoma"/>
                  <w:szCs w:val="24"/>
                  <w:lang w:bidi="en-US"/>
                </w:rPr>
              </w:pPr>
            </w:p>
            <w:p>
              <w:pPr>
                <w:spacing w:line="276" w:lineRule="auto"/>
                <w:ind w:firstLine="567"/>
                <w:jc w:val="both"/>
                <w:rPr>
                  <w:rFonts w:eastAsia="Andale Sans UI" w:cs="Tahoma"/>
                  <w:szCs w:val="24"/>
                  <w:lang w:bidi="en-US"/>
                </w:rPr>
              </w:pPr>
            </w:p>
            <w:tbl>
              <w:tblPr>
                <w:tblW w:w="9643" w:type="dxa"/>
                <w:tblInd w:w="8" w:type="dxa"/>
                <w:tblLayout w:type="fixed"/>
                <w:tblCellMar>
                  <w:left w:w="0" w:type="dxa"/>
                  <w:right w:w="0" w:type="dxa"/>
                </w:tblCellMar>
                <w:tblLook w:val="0000" w:firstRow="0" w:lastRow="0" w:firstColumn="0" w:lastColumn="0" w:noHBand="0" w:noVBand="0"/>
              </w:tblPr>
              <w:tblGrid>
                <w:gridCol w:w="9643"/>
              </w:tblGrid>
              <w:tr>
                <w:trPr>
                  <w:cantSplit/>
                  <w:trHeight w:val="340"/>
                </w:trPr>
                <w:tc>
                  <w:tcPr>
                    <w:tcW w:w="9643" w:type="dxa"/>
                  </w:tcPr>
                  <w:p>
                    <w:pPr>
                      <w:suppressLineNumbers/>
                      <w:spacing w:line="276" w:lineRule="auto"/>
                      <w:jc w:val="both"/>
                      <w:rPr>
                        <w:rFonts w:eastAsia="Andale Sans UI" w:cs="Tahoma"/>
                        <w:sz w:val="18"/>
                        <w:szCs w:val="18"/>
                        <w:lang w:bidi="en-US"/>
                      </w:rPr>
                    </w:pPr>
                    <w:r>
                      <w:rPr>
                        <w:rFonts w:eastAsia="Andale Sans UI" w:cs="Tahoma"/>
                        <w:szCs w:val="24"/>
                        <w:lang w:bidi="en-US"/>
                      </w:rPr>
                      <w:t>Aistė Vidžienė, mob. +370 695 71392, el. p. aiste.vidziene@am.lt</w:t>
                    </w:r>
                  </w:p>
                  <w:p>
                    <w:pPr>
                      <w:keepLines/>
                      <w:suppressLineNumbers/>
                      <w:spacing w:line="276" w:lineRule="auto"/>
                      <w:jc w:val="both"/>
                      <w:rPr>
                        <w:rFonts w:eastAsia="Andale Sans UI" w:cs="Tahoma"/>
                        <w:sz w:val="18"/>
                        <w:szCs w:val="18"/>
                        <w:lang w:bidi="en-US"/>
                      </w:rPr>
                    </w:pPr>
                  </w:p>
                </w:tc>
              </w:tr>
            </w:tbl>
            <w:p>
              <w:pPr>
                <w:spacing w:line="276" w:lineRule="auto"/>
                <w:ind w:firstLine="567"/>
                <w:jc w:val="both"/>
                <w:rPr>
                  <w:rFonts w:eastAsia="Andale Sans UI" w:cs="Tahoma"/>
                  <w:szCs w:val="24"/>
                  <w:lang w:bidi="en-US"/>
                </w:rPr>
              </w:pPr>
            </w:p>
          </w:sdtContent>
        </w:sdt>
      </w:sdtContent>
    </w:sdt>
    <w:sectPr>
      <w:headerReference w:type="even" r:id="rId11"/>
      <w:headerReference w:type="default" r:id="rId12"/>
      <w:footerReference w:type="even" r:id="rId13"/>
      <w:footerReference w:type="default" r:id="rId14"/>
      <w:headerReference w:type="first" r:id="rId15"/>
      <w:footerReference w:type="first" r:id="rId16"/>
      <w:footnotePr>
        <w:pos w:val="beneathText"/>
        <w:numRestart w:val="eachPage"/>
      </w:footnotePr>
      <w:endnotePr>
        <w:numFmt w:val="decimal"/>
      </w:endnotePr>
      <w:pgSz w:w="11905" w:h="16837"/>
      <w:pgMar w:top="1134" w:right="567" w:bottom="1134" w:left="1701" w:header="567" w:footer="232" w:gutter="0"/>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jc w:val="both"/>
        <w:rPr>
          <w:rFonts w:eastAsia="Andale Sans UI" w:cs="Tahoma"/>
          <w:szCs w:val="24"/>
          <w:lang w:bidi="en-US"/>
        </w:rPr>
      </w:pPr>
      <w:r>
        <w:rPr>
          <w:rFonts w:eastAsia="Andale Sans UI" w:cs="Tahoma"/>
          <w:szCs w:val="24"/>
          <w:lang w:bidi="en-US"/>
        </w:rPr>
        <w:separator/>
      </w:r>
    </w:p>
  </w:endnote>
  <w:endnote w:type="continuationSeparator" w:id="0">
    <w:p>
      <w:pPr>
        <w:jc w:val="both"/>
        <w:rPr>
          <w:rFonts w:eastAsia="Andale Sans UI" w:cs="Tahoma"/>
          <w:szCs w:val="24"/>
          <w:lang w:bidi="en-US"/>
        </w:rPr>
      </w:pPr>
      <w:r>
        <w:rPr>
          <w:rFonts w:eastAsia="Andale Sans UI" w:cs="Tahoma"/>
          <w:szCs w:val="24"/>
          <w:lang w:bidi="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
    <w:altName w:val="Times New Roman"/>
    <w:charset w:val="BA"/>
    <w:family w:val="swiss"/>
    <w:pitch w:val="variable"/>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Times">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both"/>
      <w:rPr>
        <w:rFonts w:eastAsia="Andale Sans UI" w:cs="Tahoma"/>
        <w:szCs w:val="24"/>
        <w:lang w:bidi="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right"/>
      <w:rPr>
        <w:rFonts w:ascii="Arial" w:eastAsia="Andale Sans UI" w:hAnsi="Arial" w:cs="Tahoma"/>
        <w:sz w:val="10"/>
        <w:szCs w:val="24"/>
        <w:lang w:val="en-US" w:bidi="en-US"/>
      </w:rPr>
    </w:pPr>
  </w:p>
  <w:p>
    <w:pPr>
      <w:suppressLineNumbers/>
      <w:tabs>
        <w:tab w:val="center" w:pos="4800"/>
        <w:tab w:val="right" w:pos="9601"/>
      </w:tabs>
      <w:jc w:val="right"/>
      <w:rPr>
        <w:rFonts w:ascii="Arial" w:eastAsia="Andale Sans UI" w:hAnsi="Arial" w:cs="Tahoma"/>
        <w:sz w:val="10"/>
        <w:szCs w:val="24"/>
        <w:lang w:val="en-US" w:bidi="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right"/>
      <w:rPr>
        <w:rFonts w:eastAsia="Andale Sans UI" w:cs="Tahoma"/>
        <w:szCs w:val="24"/>
        <w:lang w:bidi="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jc w:val="both"/>
        <w:rPr>
          <w:rFonts w:eastAsia="Andale Sans UI" w:cs="Tahoma"/>
          <w:szCs w:val="24"/>
          <w:lang w:bidi="en-US"/>
        </w:rPr>
      </w:pPr>
      <w:r>
        <w:rPr>
          <w:rFonts w:eastAsia="Andale Sans UI" w:cs="Tahoma"/>
          <w:szCs w:val="24"/>
          <w:lang w:bidi="en-US"/>
        </w:rPr>
        <w:separator/>
      </w:r>
    </w:p>
  </w:footnote>
  <w:footnote w:type="continuationSeparator" w:id="0">
    <w:p>
      <w:pPr>
        <w:jc w:val="both"/>
        <w:rPr>
          <w:rFonts w:eastAsia="Andale Sans UI" w:cs="Tahoma"/>
          <w:szCs w:val="24"/>
          <w:lang w:bidi="en-US"/>
        </w:rPr>
      </w:pPr>
      <w:r>
        <w:rPr>
          <w:rFonts w:eastAsia="Andale Sans UI" w:cs="Tahoma"/>
          <w:szCs w:val="24"/>
          <w:lang w:bidi="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suppressLineNumbers/>
      <w:tabs>
        <w:tab w:val="center" w:pos="4800"/>
        <w:tab w:val="right" w:pos="9601"/>
      </w:tabs>
      <w:jc w:val="both"/>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end"/>
    </w:r>
  </w:p>
  <w:p>
    <w:pPr>
      <w:suppressLineNumbers/>
      <w:tabs>
        <w:tab w:val="center" w:pos="4800"/>
        <w:tab w:val="right" w:pos="9601"/>
      </w:tabs>
      <w:jc w:val="both"/>
      <w:rPr>
        <w:rFonts w:eastAsia="Andale Sans UI" w:cs="Tahoma"/>
        <w:szCs w:val="24"/>
        <w:lang w:bidi="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suppressLineNumbers/>
      <w:tabs>
        <w:tab w:val="center" w:pos="4800"/>
        <w:tab w:val="right" w:pos="9601"/>
      </w:tabs>
      <w:jc w:val="both"/>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separate"/>
    </w:r>
    <w:r>
      <w:rPr>
        <w:rFonts w:eastAsia="Andale Sans UI" w:cs="Tahoma"/>
        <w:szCs w:val="24"/>
        <w:lang w:bidi="en-US"/>
      </w:rPr>
      <w:t>2</w:t>
    </w:r>
    <w:r>
      <w:rPr>
        <w:rFonts w:eastAsia="Andale Sans UI" w:cs="Tahoma"/>
        <w:szCs w:val="24"/>
        <w:lang w:bidi="en-US"/>
      </w:rPr>
      <w:fldChar w:fldCharType="end"/>
    </w:r>
  </w:p>
  <w:p>
    <w:pPr>
      <w:suppressLineNumbers/>
      <w:tabs>
        <w:tab w:val="center" w:pos="4800"/>
        <w:tab w:val="right" w:pos="9601"/>
      </w:tabs>
      <w:jc w:val="both"/>
      <w:rPr>
        <w:rFonts w:eastAsia="Andale Sans UI" w:cs="Tahoma"/>
        <w:szCs w:val="24"/>
        <w:lang w:bidi="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rFonts w:eastAsia="Andale Sans UI"/>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567"/>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2050"/>
  </w:hdrShapeDefaults>
  <w:footnotePr>
    <w:pos w:val="beneathText"/>
    <w:numRestart w:val="eachPage"/>
    <w:footnote w:id="-1"/>
    <w:footnote w:id="0"/>
  </w:footnotePr>
  <w:endnotePr>
    <w:numFmt w:val="decimal"/>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2DC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901479647">
      <w:bodyDiv w:val="1"/>
      <w:marLeft w:val="0"/>
      <w:marRight w:val="0"/>
      <w:marTop w:val="0"/>
      <w:marBottom w:val="0"/>
      <w:divBdr>
        <w:top w:val="none" w:sz="0" w:space="0" w:color="auto"/>
        <w:left w:val="none" w:sz="0" w:space="0" w:color="auto"/>
        <w:bottom w:val="none" w:sz="0" w:space="0" w:color="auto"/>
        <w:right w:val="none" w:sz="0" w:space="0" w:color="auto"/>
      </w:divBdr>
    </w:div>
    <w:div w:id="1147474440">
      <w:bodyDiv w:val="1"/>
      <w:marLeft w:val="0"/>
      <w:marRight w:val="0"/>
      <w:marTop w:val="0"/>
      <w:marBottom w:val="0"/>
      <w:divBdr>
        <w:top w:val="none" w:sz="0" w:space="0" w:color="auto"/>
        <w:left w:val="none" w:sz="0" w:space="0" w:color="auto"/>
        <w:bottom w:val="none" w:sz="0" w:space="0" w:color="auto"/>
        <w:right w:val="none" w:sz="0" w:space="0" w:color="auto"/>
      </w:divBdr>
    </w:div>
    <w:div w:id="1260867198">
      <w:bodyDiv w:val="1"/>
      <w:marLeft w:val="0"/>
      <w:marRight w:val="0"/>
      <w:marTop w:val="0"/>
      <w:marBottom w:val="0"/>
      <w:divBdr>
        <w:top w:val="none" w:sz="0" w:space="0" w:color="auto"/>
        <w:left w:val="none" w:sz="0" w:space="0" w:color="auto"/>
        <w:bottom w:val="none" w:sz="0" w:space="0" w:color="auto"/>
        <w:right w:val="none" w:sz="0" w:space="0" w:color="auto"/>
      </w:divBdr>
    </w:div>
    <w:div w:id="17200066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image" Target="media/image1.png"/>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AA351E0ECF89C14A900DE8C04996CFDF" ma:contentTypeVersion="18" ma:contentTypeDescription="Kurkite naują dokumentą." ma:contentTypeScope="" ma:versionID="9306d290c411991db32d953c98b5d3c7">
  <xsd:schema xmlns:xsd="http://www.w3.org/2001/XMLSchema" xmlns:xs="http://www.w3.org/2001/XMLSchema" xmlns:p="http://schemas.microsoft.com/office/2006/metadata/properties" xmlns:ns1="http://schemas.microsoft.com/sharepoint/v3" xmlns:ns2="f5aad5d0-9c26-490e-8743-a6c7ceabd501" xmlns:ns3="19cf09c5-daa1-4028-a0ff-74a0be4ec5cc" targetNamespace="http://schemas.microsoft.com/office/2006/metadata/properties" ma:root="true" ma:fieldsID="f963a8c788760942623c62ae19e238af"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Vertinimas (0–5)" ma:decimals="2" ma:description="Visų pateiktų vertinimų vidutinė reikšmė" ma:internalName="AverageRating" ma:readOnly="true">
      <xsd:simpleType>
        <xsd:restriction base="dms:Number"/>
      </xsd:simpleType>
    </xsd:element>
    <xsd:element name="RatingCount" ma:index="17" nillable="true" ma:displayName="Vertinimų skaičius" ma:decimals="0" ma:description="Pateiktų vertinimų skaičius" ma:internalName="RatingCount" ma:readOnly="true">
      <xsd:simpleType>
        <xsd:restriction base="dms:Number"/>
      </xsd:simpleType>
    </xsd:element>
    <xsd:element name="RatedBy" ma:index="18" nillable="true" ma:displayName="Vertintojas" ma:description="Vartotojai įvertino elementą."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Vartotojų vertinimai" ma:description="Elemento vartotojų vertinimai" ma:hidden="true" ma:internalName="Ratings">
      <xsd:simpleType>
        <xsd:restriction base="dms:Note"/>
      </xsd:simpleType>
    </xsd:element>
    <xsd:element name="LikesCount" ma:index="20" nillable="true" ma:displayName="Skaičius, kiek kartų vartotojai pažymėjo, kad jiems patiko elementas" ma:internalName="LikesCount">
      <xsd:simpleType>
        <xsd:restriction base="dms:Unknown"/>
      </xsd:simpleType>
    </xsd:element>
    <xsd:element name="LikedBy" ma:index="21" nillable="true" ma:displayName="Patiko"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haredWithUsers xmlns="19cf09c5-daa1-4028-a0ff-74a0be4ec5cc">
      <UserInfo>
        <DisplayName>Gražina Rapkauskienė</DisplayName>
        <AccountId>89</AccountId>
        <AccountType/>
      </UserInfo>
    </SharedWithUsers>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lentele" DocPartId="01f3a87a63cd48c1bc4835072a0de335" PartId="bf67546a8b41460da66716bdb603afaf"/>
  <Part Type="pastraipa" DocPartId="d68beb2357f14466874e113da5014618" PartId="ffd8aa537ef140a1ac49e2758e299708"/>
  <Part Type="pastraipa" DocPartId="2a623b1dcb2d401f87c5b204d63e0716" PartId="894fbe19ce204bb6ae31807e2c4326c5"/>
  <Part Type="pastraipa" DocPartId="fdb4fb22fec341e6a049fe5087ab91bb" PartId="bd5f59b9e4f84727a8d1e87b588a8028"/>
  <Part Type="pastraipa" DocPartId="43fa200cd3ff457f9e464e7e16977600" PartId="24a93aa90caf45408715e169788727f5"/>
  <Part Type="pastraipa" DocPartId="8d0402060bfa4befbd600aee4bd8fd4e" PartId="189a36d12746486383868fcdaaef3881"/>
  <Part Type="pastraipa" DocPartId="013c283167ce4d50912ce378cb2676ee" PartId="637bb6b354f54931884a983f98b6b654"/>
  <Part Type="pastraipa" DocPartId="554f9422911846c8a1ee2fbfc6aac9b6" PartId="d699f2abc19243ebb08a9a8beb9889cd"/>
  <Part Type="pastraipa" DocPartId="f2518c00c3354f28b02128b015e7a28a" PartId="d2d68174069c4bbeb3d69d995f20e072"/>
  <Part Type="pastraipa" DocPartId="94e8dccaf63a454682834ed9130c46a7" PartId="600f12ef540646d198f562f88355492e"/>
  <Part Type="pastraipa" DocPartId="10954fb704c64374b3b1653587bb80d6" PartId="f6a1150b3c78492298845c390eec7f73"/>
  <Part Type="pastraipa" DocPartId="45ddbf8940054352a124c6b2884bbc58" PartId="4de5ece614974170bc5663d1b984ecc8"/>
  <Part Type="pastraipa" DocPartId="a2d18029dde746d599d00d2d8ec86f7a" PartId="ab0ddffacf164de0bffd77a1904873ad"/>
  <Part Type="pastraipa" DocPartId="9f6acad3ff1f4b3c966cd5b1bf10191a" PartId="de3f8c01fe174dd3bcae31e1120ac649"/>
  <Part Type="pastraipa" DocPartId="c6f0ca824e5a4f5685e9e2af5a1aa911" PartId="7702f70d90ae4661bca525a78c34d524"/>
  <Part Type="pastraipa" DocPartId="534f004047cd47e0962db2ebc462fbbc" PartId="a36080d76c3b4cf4a63d45da575a319b"/>
  <Part Type="pastraipa" DocPartId="da537c7e22d84c66a3cb1c650f9525be" PartId="854e26d90ace4545a63b3c8e0f4a57b1"/>
  <Part Type="pastraipa" DocPartId="b5ffa5618053495882503c1f90e862e1" PartId="dd661f480d454324a35122a00ca2b671"/>
  <Part Type="pastraipa" DocPartId="24dd9ab8cbeb48d8959692893f2617e5" PartId="b1baa6645ee240f987d6807157fedca0"/>
  <Part Type="pastraipa" DocPartId="b21c88bd33c44fe39a5e34dace0f2ee0" PartId="1177248e872d4c80bd7b3a243f112bdb"/>
  <Part Type="pastraipa" DocPartId="a283b59bcc714b978d392266e2d1a4e2" PartId="e932891323124a00b5321bbfda5d3a0b"/>
  <Part Type="pastraipa" DocPartId="682d40dc8b434280a7ca9b3e083c8160" PartId="e8226799d3c34c2b85de33d345dac82b"/>
  <Part Type="pastraipa" DocPartId="90482852ccd640d8bdb4e3993d6e2385" PartId="7f2298e976fe4c64b2d32d12aaf7e51d"/>
  <Part Type="pastraipa" DocPartId="9082708cadfa40e690a7d8a18b4e601a" PartId="08be077cfc0f46b5a35c3e8d98f8d05d"/>
  <Part Type="pastraipa" DocPartId="c658218d20374b1c8b389e6cf5f1f4b5" PartId="8da9a59d41d549ab804a57dad9bfb4b0"/>
  <Part Type="pastraipa" DocPartId="db1fc3469904481fb291b10d4db70a1b" PartId="78a14a123ca84be6a941eaf822806ff6"/>
  <Part Type="pastraipa" DocPartId="cb2a25ca474b49728a29ad54d47c1bf6" PartId="e42e985b917a4565b5b091f00da2c158">
    <Part Type="punktas" Nr="1" Abbr="1 p." DocPartId="1b899941b0d04bc9abb4a51b5aad90b8" PartId="401a29d0357343cf931d314d37030a1c"/>
    <Part Type="punktas" Nr="2" Abbr="2 p." DocPartId="c1d7db822fcc40a1adceacf420a21d04" PartId="63e3ee5eb94a4697aabec8934b080f6e"/>
    <Part Type="punktas" Nr="3" Abbr="3 p." DocPartId="9ce7439996f448d19501cbefe301c79d" PartId="4cd7471d131445c4b279c9faba2647f2"/>
    <Part Type="punktas" Nr="4" Abbr="4 p." DocPartId="6672ce3f75da41f386abf430c36d8f79" PartId="7c66f9fcc08a4dbda204bd0617b77c7f"/>
  </Part>
</Parts>
</file>

<file path=customXml/itemProps1.xml><?xml version="1.0" encoding="utf-8"?>
<ds:datastoreItem xmlns:ds="http://schemas.openxmlformats.org/officeDocument/2006/customXml" ds:itemID="{D7645686-D847-40F8-A8D6-9CF80CDBD49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66CC651-46B9-4D86-A661-D2C361907B6D}">
  <ds:schemaRefs>
    <ds:schemaRef ds:uri="http://schemas.microsoft.com/sharepoint/v3"/>
    <ds:schemaRef ds:uri="19cf09c5-daa1-4028-a0ff-74a0be4ec5cc"/>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f5aad5d0-9c26-490e-8743-a6c7ceabd501"/>
    <ds:schemaRef ds:uri="http://www.w3.org/XML/1998/namespace"/>
    <ds:schemaRef ds:uri="http://purl.org/dc/dcmitype/"/>
  </ds:schemaRefs>
</ds:datastoreItem>
</file>

<file path=customXml/itemProps3.xml><?xml version="1.0" encoding="utf-8"?>
<ds:datastoreItem xmlns:ds="http://schemas.openxmlformats.org/officeDocument/2006/customXml" ds:itemID="{E35EB61B-BD39-4177-8CFB-B6C4C4D5B4CB}">
  <ds:schemaRefs>
    <ds:schemaRef ds:uri="http://schemas.microsoft.com/sharepoint/v3/contenttype/forms"/>
  </ds:schemaRefs>
</ds:datastoreItem>
</file>

<file path=customXml/itemProps4.xml><?xml version="1.0" encoding="utf-8"?>
<ds:datastoreItem xmlns:ds="http://schemas.openxmlformats.org/officeDocument/2006/customXml" ds:itemID="{BF7AA0C8-890C-4AB6-BFB9-995823E06A88}">
  <ds:schemaRefs>
    <ds:schemaRef ds:uri="http://schemas.openxmlformats.org/officeDocument/2006/bibliography"/>
  </ds:schemaRefs>
</ds:datastoreItem>
</file>

<file path=customXml/itemProps5.xml><?xml version="1.0" encoding="utf-8"?>
<ds:datastoreItem xmlns:ds="http://schemas.openxmlformats.org/officeDocument/2006/customXml" ds:itemID="{970BD55E-D46B-4EA9-B5B4-68EE6B19A3E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1170</Words>
  <Characters>8628</Characters>
  <Application>Microsoft Office Word</Application>
  <DocSecurity>4</DocSecurity>
  <Lines>148</Lines>
  <Paragraphs>48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9750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2024-05-14T05:11:00Z</dcterms:created>
  <dcterms:modified xsi:type="dcterms:W3CDTF">2024-05-14T05:11:00Z</dcterms:modified>
  <revision>1</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y fmtid="{D5CDD505-2E9C-101B-9397-08002B2CF9AE}" pid="3" name="MediaServiceImageTags">
    <vt:lpwstr/>
  </property>
</Properties>
</file>