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89735f8ed46489f9c9be89643a0600a"/>
        <w:lock w:val="sdtLocked"/>
        <w:richText/>
      </w:sdtPr>
      <w:sdtContent>
        <w:p w14:paraId="329C7727" w14:textId="77777777">
          <w:pPr>
            <w:tabs>
              <w:tab w:val="center" w:pos="4986"/>
              <w:tab w:val="right" w:pos="9972"/>
            </w:tabs>
          </w:pPr>
        </w:p>
        <w:p w14:paraId="2A0368DD" w14:textId="77777777">
          <w:pPr>
            <w:tabs>
              <w:tab w:val="center" w:pos="4986"/>
              <w:tab w:val="right" w:pos="9972"/>
            </w:tabs>
          </w:pPr>
        </w:p>
        <w:p w14:paraId="77A419B0" w14:textId="77777777">
          <w:pPr>
            <w:tabs>
              <w:tab w:val="center" w:pos="4153"/>
              <w:tab w:val="right" w:pos="9100"/>
            </w:tabs>
            <w:suppressAutoHyphens/>
            <w:rPr>
              <w:rFonts w:ascii="Tahoma" w:hAnsi="Tahoma"/>
              <w:spacing w:val="10"/>
              <w:sz w:val="20"/>
              <w:lang w:eastAsia="lt-LT"/>
            </w:rPr>
          </w:pPr>
        </w:p>
        <w:p w14:paraId="143C83EF" w14:textId="77777777">
          <w:pPr>
            <w:tabs>
              <w:tab w:val="center" w:pos="4153"/>
              <w:tab w:val="right" w:pos="9100"/>
            </w:tabs>
            <w:suppressAutoHyphens/>
            <w:ind w:left="5954" w:firstLine="992"/>
            <w:rPr>
              <w:b/>
              <w:spacing w:val="10"/>
              <w:szCs w:val="24"/>
              <w:lang w:eastAsia="lt-LT"/>
            </w:rPr>
          </w:pPr>
          <w:r>
            <w:rPr>
              <w:b/>
              <w:spacing w:val="10"/>
              <w:szCs w:val="24"/>
              <w:lang w:eastAsia="lt-LT"/>
            </w:rPr>
            <w:t>Projekto</w:t>
          </w:r>
        </w:p>
        <w:p w14:paraId="709E2A5C" w14:textId="77777777">
          <w:pPr>
            <w:tabs>
              <w:tab w:val="center" w:pos="4153"/>
              <w:tab w:val="right" w:pos="9100"/>
            </w:tabs>
            <w:suppressAutoHyphens/>
            <w:ind w:left="5954" w:firstLine="992"/>
            <w:rPr>
              <w:b/>
              <w:spacing w:val="10"/>
              <w:szCs w:val="24"/>
              <w:lang w:eastAsia="lt-LT"/>
            </w:rPr>
          </w:pPr>
          <w:r>
            <w:rPr>
              <w:b/>
              <w:spacing w:val="10"/>
              <w:szCs w:val="24"/>
              <w:lang w:eastAsia="lt-LT"/>
            </w:rPr>
            <w:t>lyginamasis variantas</w:t>
          </w:r>
        </w:p>
        <w:p w14:paraId="7ECBF0A6" w14:textId="77777777">
          <w:pPr>
            <w:tabs>
              <w:tab w:val="center" w:pos="4153"/>
              <w:tab w:val="right" w:pos="9100"/>
            </w:tabs>
            <w:suppressAutoHyphens/>
            <w:jc w:val="center"/>
            <w:rPr>
              <w:b/>
              <w:spacing w:val="10"/>
              <w:szCs w:val="24"/>
              <w:lang w:eastAsia="lt-LT"/>
            </w:rPr>
          </w:pPr>
        </w:p>
        <w:p w14:paraId="70DBF96D" w14:textId="77777777">
          <w:pPr>
            <w:rPr>
              <w:sz w:val="10"/>
              <w:szCs w:val="10"/>
            </w:rPr>
          </w:pPr>
        </w:p>
        <w:p w14:paraId="41FCC4CE" w14:textId="77777777">
          <w:pPr>
            <w:suppressAutoHyphens/>
            <w:jc w:val="center"/>
            <w:rPr>
              <w:b/>
              <w:bCs/>
              <w:lang w:eastAsia="lt-LT"/>
            </w:rPr>
          </w:pPr>
          <w:r>
            <w:rPr>
              <w:b/>
              <w:bCs/>
              <w:lang w:eastAsia="lt-LT"/>
            </w:rPr>
            <w:t>LIETUVOS RESPUBLIKOS VYRIAUSYBĖ</w:t>
          </w:r>
        </w:p>
        <w:p w14:paraId="1916F691" w14:textId="77777777">
          <w:pPr>
            <w:rPr>
              <w:sz w:val="10"/>
              <w:szCs w:val="10"/>
            </w:rPr>
          </w:pPr>
        </w:p>
        <w:p w14:paraId="20FDE973" w14:textId="77777777">
          <w:pPr>
            <w:suppressAutoHyphens/>
            <w:jc w:val="center"/>
            <w:rPr>
              <w:b/>
              <w:bCs/>
              <w:lang w:eastAsia="lt-LT"/>
            </w:rPr>
          </w:pPr>
        </w:p>
        <w:p w14:paraId="47F1B346" w14:textId="77777777">
          <w:pPr>
            <w:rPr>
              <w:sz w:val="6"/>
              <w:szCs w:val="6"/>
            </w:rPr>
          </w:pPr>
        </w:p>
        <w:p w14:paraId="1E775DBF" w14:textId="77777777">
          <w:pPr>
            <w:suppressAutoHyphens/>
            <w:jc w:val="center"/>
            <w:rPr>
              <w:b/>
              <w:bCs/>
              <w:lang w:eastAsia="lt-LT"/>
            </w:rPr>
          </w:pPr>
          <w:r>
            <w:rPr>
              <w:b/>
              <w:bCs/>
              <w:lang w:eastAsia="lt-LT"/>
            </w:rPr>
            <w:t>NUTARIMAS</w:t>
          </w:r>
        </w:p>
        <w:p w14:paraId="0CB49CD2" w14:textId="77777777">
          <w:pPr>
            <w:suppressAutoHyphens/>
            <w:jc w:val="center"/>
            <w:rPr>
              <w:b/>
              <w:bCs/>
              <w:color w:val="000000"/>
              <w:lang w:eastAsia="lt-LT"/>
            </w:rPr>
          </w:pPr>
          <w:r>
            <w:rPr>
              <w:b/>
              <w:bCs/>
              <w:color w:val="000000"/>
              <w:lang w:eastAsia="lt-LT"/>
            </w:rPr>
            <w:t>DĖL LIETUVOS RESPUBLIKOS VYRIAUSYBĖS 1996 M. RUGSĖJO 18 D. NUTARIMO NR. 1079 „DĖL VISUOMENĖS INFORMAVIMO, KONSULTAVIMO IR DALYVAVIMO PRIIMANT SPRENDIMUS DĖL TERITORIJŲ PLANAVIMO NUOSTATŲ PATVIRTINIMO“ PAKEITIMO</w:t>
          </w:r>
        </w:p>
        <w:p w14:paraId="07F0C988" w14:textId="77777777">
          <w:pPr>
            <w:suppressAutoHyphens/>
            <w:jc w:val="center"/>
            <w:rPr>
              <w:b/>
              <w:bCs/>
              <w:color w:val="000000"/>
              <w:lang w:eastAsia="lt-LT"/>
            </w:rPr>
          </w:pPr>
        </w:p>
        <w:p w14:paraId="3B702473" w14:textId="260BE474">
          <w:pPr>
            <w:suppressAutoHyphens/>
            <w:jc w:val="center"/>
            <w:rPr>
              <w:lang w:eastAsia="lt-LT"/>
            </w:rPr>
          </w:pPr>
          <w:r>
            <w:rPr>
              <w:lang w:eastAsia="lt-LT"/>
            </w:rPr>
            <w:t>2024 m.       d. Nr.      </w:t>
          </w:r>
        </w:p>
        <w:p w14:paraId="5833128A" w14:textId="77777777">
          <w:pPr>
            <w:suppressAutoHyphens/>
            <w:jc w:val="center"/>
            <w:rPr>
              <w:lang w:eastAsia="lt-LT"/>
            </w:rPr>
          </w:pPr>
          <w:r>
            <w:rPr>
              <w:lang w:eastAsia="lt-LT"/>
            </w:rPr>
            <w:t>Vilnius</w:t>
            <w:br/>
          </w:r>
        </w:p>
        <w:p w14:paraId="3A5B0BE7" w14:textId="77777777">
          <w:pPr>
            <w:suppressAutoHyphens/>
            <w:jc w:val="center"/>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5" w:right="709" w:bottom="1032" w:left="1701" w:header="1140" w:footer="919" w:gutter="0"/>
              <w:cols w:space="1296"/>
              <w:titlePg/>
              <w:docGrid w:linePitch="360"/>
            </w:sectPr>
          </w:pPr>
        </w:p>
        <w:p w14:paraId="3FEFC34C" w14:textId="77777777">
          <w:pPr>
            <w:tabs>
              <w:tab w:val="center" w:pos="4986"/>
              <w:tab w:val="right" w:pos="9972"/>
            </w:tabs>
          </w:pPr>
        </w:p>
        <w:p w14:paraId="644331BA" w14:textId="77777777">
          <w:pPr>
            <w:tabs>
              <w:tab w:val="center" w:pos="4986"/>
              <w:tab w:val="right" w:pos="9972"/>
            </w:tabs>
          </w:pPr>
        </w:p>
        <w:p w14:paraId="0BAAF1E6" w14:textId="77777777">
          <w:pPr>
            <w:tabs>
              <w:tab w:val="center" w:pos="4986"/>
              <w:tab w:val="right" w:pos="9972"/>
            </w:tabs>
          </w:pPr>
        </w:p>
        <w:p w14:paraId="51E4799A" w14:textId="77777777">
          <w:pPr>
            <w:tabs>
              <w:tab w:val="center" w:pos="4153"/>
              <w:tab w:val="right" w:pos="9100"/>
            </w:tabs>
            <w:suppressAutoHyphens/>
            <w:rPr>
              <w:rFonts w:ascii="Tahoma" w:hAnsi="Tahoma"/>
              <w:spacing w:val="10"/>
              <w:sz w:val="20"/>
              <w:lang w:eastAsia="lt-LT"/>
            </w:rPr>
          </w:pPr>
        </w:p>
        <w:p w14:paraId="4519FD3C" w14:textId="77777777">
          <w:pPr>
            <w:suppressAutoHyphens/>
            <w:ind w:firstLine="567"/>
            <w:jc w:val="both"/>
            <w:rPr>
              <w:color w:val="000000"/>
              <w:lang w:eastAsia="lt-LT"/>
            </w:rPr>
          </w:pPr>
        </w:p>
        <w:sdt>
          <w:sdtPr>
            <w:alias w:val="preambule"/>
            <w:tag w:val="part_4264a1e0f32d4e85ac6ae262337aa784"/>
            <w:lock w:val="sdtLocked"/>
            <w:richText/>
          </w:sdtPr>
          <w:sdtContent>
            <w:p w14:paraId="1114BD0B" w14:textId="77777777">
              <w:pPr>
                <w:suppressAutoHyphens/>
                <w:spacing w:line="276"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5722e22b230e4ad496cdc1eff57aadc4"/>
            <w:lock w:val="sdtLocked"/>
            <w:richText/>
          </w:sdtPr>
          <w:sdtContent>
            <w:p w14:paraId="63A50518" w14:textId="285D1544">
              <w:pPr>
                <w:tabs>
                  <w:tab w:val="left" w:pos="993"/>
                </w:tabs>
                <w:suppressAutoHyphens/>
                <w:spacing w:line="276" w:lineRule="auto"/>
                <w:ind w:firstLine="720"/>
                <w:jc w:val="both"/>
                <w:rPr>
                  <w:szCs w:val="24"/>
                  <w:lang w:eastAsia="lt-LT"/>
                </w:rPr>
              </w:pPr>
              <w:sdt>
                <w:sdtPr>
                  <w:alias w:val="Numeris"/>
                  <w:tag w:val="nr_5722e22b230e4ad496cdc1eff57aadc4"/>
                  <w:lock w:val="sdtLocked"/>
                  <w:richText/>
                </w:sdtPr>
                <w:sdtContent>
                  <w:r>
                    <w:rPr>
                      <w:szCs w:val="24"/>
                      <w:lang w:eastAsia="lt-LT"/>
                    </w:rPr>
                    <w:t>1</w:t>
                  </w:r>
                </w:sdtContent>
              </w:sdt>
              <w:r>
                <w:rPr>
                  <w:szCs w:val="24"/>
                  <w:lang w:eastAsia="lt-LT"/>
                </w:rPr>
                <w:t>. Pakeisti Visuomenės informavimo, konsultavimo ir dalyvavimo priimant sprendimus dėl teritorijų planavimo nuostatus, patvirtintus Lietuvos Respublikos Vyriausybės 1996 m. rugsėjo 18 d. nutarimu Nr. 1079 „Dėl Visuomenės informavimo, konsultavimo ir dalyvavimo priimant sprendimus dėl teritorijų planavimo nuostatų patvirtinimo“:</w:t>
              </w:r>
            </w:p>
            <w:sdt>
              <w:sdtPr>
                <w:alias w:val="1.1 pp."/>
                <w:tag w:val="part_dcb4b893eeee4f3586622f2c2c1745a4"/>
                <w:lock w:val="sdtLocked"/>
                <w:richText/>
              </w:sdtPr>
              <w:sdtContent>
                <w:p w14:paraId="080A6008" w14:textId="07840125">
                  <w:pPr>
                    <w:tabs>
                      <w:tab w:val="left" w:pos="993"/>
                    </w:tabs>
                    <w:suppressAutoHyphens/>
                    <w:spacing w:line="276" w:lineRule="auto"/>
                    <w:ind w:firstLine="720"/>
                    <w:jc w:val="both"/>
                  </w:pPr>
                  <w:sdt>
                    <w:sdtPr>
                      <w:alias w:val="Numeris"/>
                      <w:tag w:val="nr_dcb4b893eeee4f3586622f2c2c1745a4"/>
                      <w:lock w:val="sdtLocked"/>
                      <w:richText/>
                    </w:sdtPr>
                    <w:sdtContent>
                      <w:r>
                        <w:rPr>
                          <w:szCs w:val="24"/>
                          <w:lang w:eastAsia="lt-LT"/>
                        </w:rPr>
                        <w:t>1.1</w:t>
                      </w:r>
                    </w:sdtContent>
                  </w:sdt>
                  <w:r>
                    <w:rPr>
                      <w:szCs w:val="24"/>
                      <w:lang w:eastAsia="lt-LT"/>
                    </w:rPr>
                    <w:t xml:space="preserve">. </w:t>
                  </w:r>
                  <w:r>
                    <w:t>Pakeisti 4 punktą ir jį išdėstyti taip:</w:t>
                  </w:r>
                </w:p>
                <w:sdt>
                  <w:sdtPr>
                    <w:alias w:val="citata"/>
                    <w:tag w:val="part_657f37f66af541a583ccd31cc245080e"/>
                    <w:lock w:val="sdtLocked"/>
                    <w:richText/>
                  </w:sdtPr>
                  <w:sdtContent>
                    <w:sdt>
                      <w:sdtPr>
                        <w:alias w:val="4 p."/>
                        <w:tag w:val="part_62b68780f2ac406aace042075ea13b5a"/>
                        <w:lock w:val="sdtLocked"/>
                        <w:richText/>
                      </w:sdtPr>
                      <w:sdtContent>
                        <w:p w14:paraId="3F35A5C0" w14:textId="77777777">
                          <w:pPr>
                            <w:spacing w:line="276" w:lineRule="auto"/>
                            <w:ind w:firstLine="720"/>
                            <w:jc w:val="both"/>
                            <w:rPr>
                              <w:szCs w:val="24"/>
                              <w:lang w:eastAsia="lt-LT"/>
                            </w:rPr>
                          </w:pPr>
                          <w:r>
                            <w:rPr>
                              <w:szCs w:val="24"/>
                              <w:lang w:eastAsia="lt-LT"/>
                            </w:rPr>
                            <w:t>„</w:t>
                          </w:r>
                          <w:sdt>
                            <w:sdtPr>
                              <w:alias w:val="Numeris"/>
                              <w:tag w:val="nr_62b68780f2ac406aace042075ea13b5a"/>
                              <w:lock w:val="sdtLocked"/>
                              <w:richText/>
                            </w:sdtPr>
                            <w:sdtContent>
                              <w:r>
                                <w:rPr>
                                  <w:szCs w:val="24"/>
                                  <w:lang w:eastAsia="lt-LT"/>
                                </w:rPr>
                                <w:t>4</w:t>
                              </w:r>
                            </w:sdtContent>
                          </w:sdt>
                          <w:r>
                            <w:rPr>
                              <w:szCs w:val="24"/>
                              <w:lang w:eastAsia="lt-LT"/>
                            </w:rPr>
                            <w:t xml:space="preserve">. Pranešimas ar kita informacija viešojo administravimo subjektams ir kitiems asmenims siunčiami Lietuvos Respublikos viešojo administravimo įstatymo 9 straipsnio 1 dalyje nurodytu būdu. Kitiems asmenims minėta informacija gali būti siunčiama ir registruotu laišku deklaruotos gyvenamosios vietos adresu arba juridiniam asmeniui Juridinių asmenų registre nurodytos buveinės adresu. Nepavykus įteikti registruoto laiško deklaruotos gyvenamosios vietos arba Juridinių asmenų registre nurodytos buveinės adresu, </w:t>
                          </w:r>
                          <w:r>
                            <w:rPr>
                              <w:b/>
                              <w:bCs/>
                              <w:szCs w:val="24"/>
                              <w:lang w:eastAsia="lt-LT"/>
                            </w:rPr>
                            <w:t>arba kai gyvenamoji vieta nedeklaruota</w:t>
                          </w:r>
                          <w:r>
                            <w:rPr>
                              <w:szCs w:val="24"/>
                              <w:lang w:eastAsia="lt-LT"/>
                            </w:rPr>
                            <w:t xml:space="preserve">, pranešimas spausdinamas viename iš vietinių ar nacionalinių laikraščių </w:t>
                          </w:r>
                          <w:r>
                            <w:rPr>
                              <w:b/>
                              <w:bCs/>
                              <w:szCs w:val="24"/>
                              <w:lang w:eastAsia="lt-LT"/>
                            </w:rPr>
                            <w:t>arba skelbiamas jų naujienų portaluose internete</w:t>
                          </w:r>
                          <w:r>
                            <w:rPr>
                              <w:szCs w:val="24"/>
                              <w:lang w:eastAsia="lt-LT"/>
                            </w:rPr>
                            <w:t>. Šiame punkte nurodytu būdu išsiuntus pranešimus, laikoma, kad asmuo informuotas tinkamai.“</w:t>
                          </w:r>
                        </w:p>
                      </w:sdtContent>
                    </w:sdt>
                  </w:sdtContent>
                </w:sdt>
              </w:sdtContent>
            </w:sdt>
            <w:sdt>
              <w:sdtPr>
                <w:alias w:val="1.2 pp."/>
                <w:tag w:val="part_3e7c789fc4cc4f2f92500f9c99c27b78"/>
                <w:lock w:val="sdtLocked"/>
                <w:richText/>
              </w:sdtPr>
              <w:sdtContent>
                <w:p w14:paraId="1DBF7C68" w14:textId="777E00F7">
                  <w:pPr>
                    <w:tabs>
                      <w:tab w:val="left" w:pos="993"/>
                    </w:tabs>
                    <w:suppressAutoHyphens/>
                    <w:spacing w:line="276" w:lineRule="auto"/>
                    <w:ind w:firstLine="720"/>
                    <w:jc w:val="both"/>
                  </w:pPr>
                  <w:sdt>
                    <w:sdtPr>
                      <w:alias w:val="Numeris"/>
                      <w:tag w:val="nr_3e7c789fc4cc4f2f92500f9c99c27b78"/>
                      <w:lock w:val="sdtLocked"/>
                      <w:richText/>
                    </w:sdtPr>
                    <w:sdtContent>
                      <w:r>
                        <w:rPr>
                          <w:szCs w:val="24"/>
                          <w:lang w:eastAsia="lt-LT"/>
                        </w:rPr>
                        <w:t>1.2</w:t>
                      </w:r>
                    </w:sdtContent>
                  </w:sdt>
                  <w:r>
                    <w:rPr>
                      <w:szCs w:val="24"/>
                      <w:lang w:eastAsia="lt-LT"/>
                    </w:rPr>
                    <w:t xml:space="preserve">. </w:t>
                  </w:r>
                  <w:r>
                    <w:t>Pakeisti 10 punktą ir jį išdėstyti taip:</w:t>
                  </w:r>
                </w:p>
                <w:sdt>
                  <w:sdtPr>
                    <w:alias w:val="citata"/>
                    <w:tag w:val="part_a3c6c4da58b349768d4df739176d0814"/>
                    <w:lock w:val="sdtLocked"/>
                    <w:richText/>
                  </w:sdtPr>
                  <w:sdtContent>
                    <w:sdt>
                      <w:sdtPr>
                        <w:alias w:val="10 p."/>
                        <w:tag w:val="part_69b8aa9e1d9e496c8cebdeb03cf778b9"/>
                        <w:lock w:val="sdtLocked"/>
                        <w:richText/>
                      </w:sdtPr>
                      <w:sdtContent>
                        <w:p w14:paraId="1D0376D5" w14:textId="71831B37">
                          <w:pPr>
                            <w:spacing w:line="276" w:lineRule="auto"/>
                            <w:ind w:firstLine="720"/>
                            <w:jc w:val="both"/>
                          </w:pPr>
                          <w:r>
                            <w:t>„</w:t>
                          </w:r>
                          <w:sdt>
                            <w:sdtPr>
                              <w:alias w:val="Numeris"/>
                              <w:tag w:val="nr_69b8aa9e1d9e496c8cebdeb03cf778b9"/>
                              <w:lock w:val="sdtLocked"/>
                              <w:richText/>
                            </w:sdtPr>
                            <w:sdtContent>
                              <w:r>
                                <w:t>10</w:t>
                              </w:r>
                            </w:sdtContent>
                          </w:sdt>
                          <w:r>
                            <w:t xml:space="preserve">. </w:t>
                          </w:r>
                          <w:r>
                            <w:rPr>
                              <w:lang w:eastAsia="lt-LT"/>
                            </w:rPr>
                            <w:t xml:space="preserve">Pasiūlymai dėl teritorijų planavimo dokumentų teikiami Teritorijų planavimo įstatymo 37 straipsnio nustatyta tvarka (pasiūlymų teikimo raštu pavyzdys pateiktas 1 priede, </w:t>
                          </w:r>
                          <w:r>
                            <w:rPr>
                              <w:b/>
                              <w:bCs/>
                              <w:szCs w:val="24"/>
                              <w:lang w:eastAsia="lt-LT"/>
                            </w:rPr>
                            <w:t xml:space="preserve">planavimo organizatorius iki viešo svarstymo ar baigiamojo susirinkimo žodžiu gautus pasiūlymus </w:t>
                          </w:r>
                          <w:r>
                            <w:rPr>
                              <w:b/>
                              <w:bCs/>
                              <w:szCs w:val="24"/>
                              <w:shd w:val="clear" w:color="auto" w:fill="FFFFFF"/>
                            </w:rPr>
                            <w:t xml:space="preserve">registruoja (fiksuoja) pasiūlymą pateikusio asmens prašymu ir gauti pasiūlymai aprašomi visuomenės dalyvavimo ataskaitoje, </w:t>
                          </w:r>
                          <w:r>
                            <w:rPr>
                              <w:lang w:eastAsia="lt-LT"/>
                            </w:rPr>
                            <w:t xml:space="preserve">žodžiu teikiami pasiūlymai nurodomi viešo svarstymo protokole). </w:t>
                          </w:r>
                          <w:r>
                            <w:rPr>
                              <w:strike/>
                            </w:rPr>
                            <w:t>Pasiūlymai dėl specialiojo teritorijų planavimo žemėtvarkos dokumentų ir atsakymai į šiuos pasiūlymus teikiami raštu ir per Žemėtvarkos planavimo dokumentų rengimo informacinę sistemą (toliau – ŽPDRIS).</w:t>
                          </w:r>
                          <w:r>
                            <w:t>“</w:t>
                          </w:r>
                        </w:p>
                      </w:sdtContent>
                    </w:sdt>
                  </w:sdtContent>
                </w:sdt>
              </w:sdtContent>
            </w:sdt>
            <w:sdt>
              <w:sdtPr>
                <w:alias w:val="1.3 pp."/>
                <w:tag w:val="part_b787430663064c8281a536b992d1b373"/>
                <w:lock w:val="sdtLocked"/>
                <w:richText/>
              </w:sdtPr>
              <w:sdtContent>
                <w:p w14:paraId="17CFE09A" w14:textId="3CD086C8">
                  <w:pPr>
                    <w:tabs>
                      <w:tab w:val="left" w:pos="993"/>
                    </w:tabs>
                    <w:suppressAutoHyphens/>
                    <w:spacing w:line="276" w:lineRule="auto"/>
                    <w:ind w:firstLine="720"/>
                    <w:jc w:val="both"/>
                  </w:pPr>
                  <w:sdt>
                    <w:sdtPr>
                      <w:alias w:val="Numeris"/>
                      <w:tag w:val="nr_b787430663064c8281a536b992d1b373"/>
                      <w:lock w:val="sdtLocked"/>
                      <w:richText/>
                    </w:sdtPr>
                    <w:sdtContent>
                      <w:r>
                        <w:rPr>
                          <w:szCs w:val="24"/>
                          <w:lang w:eastAsia="lt-LT"/>
                        </w:rPr>
                        <w:t>1.3</w:t>
                      </w:r>
                    </w:sdtContent>
                  </w:sdt>
                  <w:r>
                    <w:rPr>
                      <w:szCs w:val="24"/>
                      <w:lang w:eastAsia="lt-LT"/>
                    </w:rPr>
                    <w:t xml:space="preserve">. </w:t>
                  </w:r>
                  <w:r>
                    <w:t>Pakeisti 11.1 papunktį ir jį išdėstyti taip:</w:t>
                  </w:r>
                </w:p>
                <w:sdt>
                  <w:sdtPr>
                    <w:alias w:val="citata"/>
                    <w:tag w:val="part_b9fd01cf096748a685fd8cdad96b1e36"/>
                    <w:lock w:val="sdtLocked"/>
                    <w:richText/>
                  </w:sdtPr>
                  <w:sdtContent>
                    <w:sdt>
                      <w:sdtPr>
                        <w:alias w:val="11.1 pp."/>
                        <w:tag w:val="part_303e67ad51e74c6f87cd0fec1deb92d3"/>
                        <w:lock w:val="sdtLocked"/>
                        <w:richText/>
                      </w:sdtPr>
                      <w:sdtContent>
                        <w:p w14:paraId="1CE830F0" w14:textId="4ED9F70E">
                          <w:pPr>
                            <w:spacing w:line="276" w:lineRule="auto"/>
                            <w:ind w:firstLine="720"/>
                            <w:jc w:val="both"/>
                            <w:rPr>
                              <w:bCs/>
                              <w:szCs w:val="24"/>
                            </w:rPr>
                          </w:pPr>
                          <w:r>
                            <w:rPr>
                              <w:bCs/>
                              <w:szCs w:val="24"/>
                            </w:rPr>
                            <w:t>„</w:t>
                          </w:r>
                          <w:sdt>
                            <w:sdtPr>
                              <w:alias w:val="Numeris"/>
                              <w:tag w:val="nr_303e67ad51e74c6f87cd0fec1deb92d3"/>
                              <w:lock w:val="sdtLocked"/>
                              <w:richText/>
                            </w:sdtPr>
                            <w:sdtContent>
                              <w:r>
                                <w:rPr>
                                  <w:bCs/>
                                  <w:szCs w:val="24"/>
                                </w:rPr>
                                <w:t>11.1</w:t>
                              </w:r>
                            </w:sdtContent>
                          </w:sdt>
                          <w:r>
                            <w:rPr>
                              <w:bCs/>
                              <w:szCs w:val="24"/>
                            </w:rPr>
                            <w:t xml:space="preserve">. pagal teritorijų planavimo lygmenis Nuostatų 13 ir 17 punktuose, 20.1 papunktyje nurodytais informacijos teikimo būdais planavimo organizatorius ar jo įgaliotas asmuo skelbia visuomenei informaciją apie galimybes susipažinti su teritorijų planavimo dokumento sprendiniais, ne vėliau kaip prieš 5 darbo dienas iki viešinimo procedūros pradžios nurodo viešos ekspozicijos </w:t>
                          </w:r>
                          <w:r>
                            <w:rPr>
                              <w:b/>
                              <w:szCs w:val="24"/>
                            </w:rPr>
                            <w:t>(kuri rengiama planavimo organizatoriaus ir į planuojamą teritoriją patenkančių seniūnijų, kai rengiamas vietovės lygmens teritorijų planavimo dokumentas</w:t>
                          </w:r>
                          <w:r>
                            <w:rPr>
                              <w:b/>
                              <w:color w:val="000000"/>
                              <w:szCs w:val="24"/>
                            </w:rPr>
                            <w:t>, patalpose),</w:t>
                          </w:r>
                          <w:r>
                            <w:rPr>
                              <w:bCs/>
                              <w:szCs w:val="24"/>
                            </w:rPr>
                            <w:t xml:space="preserve"> viešo svarstymo, konsultavimosi ar baigiamojo susirinkimo vietą ir laiką, pasiūlymų priėmimo tvarką; skelbime nurodomi planavimo organizatoriaus ir plano rengėjo adresai ir telefonų numeriai, elektroninis paštas ir interneto svetainė;“.</w:t>
                          </w:r>
                        </w:p>
                      </w:sdtContent>
                    </w:sdt>
                  </w:sdtContent>
                </w:sdt>
              </w:sdtContent>
            </w:sdt>
            <w:sdt>
              <w:sdtPr>
                <w:alias w:val="1.4 pp."/>
                <w:tag w:val="part_f1e2decce54f46ef83dbc9b69d17bd0b"/>
                <w:lock w:val="sdtLocked"/>
                <w:richText/>
              </w:sdtPr>
              <w:sdtContent>
                <w:p w14:paraId="3C1C9DDB" w14:textId="0098844A">
                  <w:pPr>
                    <w:tabs>
                      <w:tab w:val="left" w:pos="993"/>
                    </w:tabs>
                    <w:suppressAutoHyphens/>
                    <w:spacing w:line="276" w:lineRule="auto"/>
                    <w:ind w:firstLine="720"/>
                    <w:jc w:val="both"/>
                  </w:pPr>
                  <w:sdt>
                    <w:sdtPr>
                      <w:alias w:val="Numeris"/>
                      <w:tag w:val="nr_f1e2decce54f46ef83dbc9b69d17bd0b"/>
                      <w:lock w:val="sdtLocked"/>
                      <w:richText/>
                    </w:sdtPr>
                    <w:sdtContent>
                      <w:r>
                        <w:rPr>
                          <w:szCs w:val="24"/>
                          <w:lang w:eastAsia="lt-LT"/>
                        </w:rPr>
                        <w:t>1.4</w:t>
                      </w:r>
                    </w:sdtContent>
                  </w:sdt>
                  <w:r>
                    <w:rPr>
                      <w:szCs w:val="24"/>
                      <w:lang w:eastAsia="lt-LT"/>
                    </w:rPr>
                    <w:t xml:space="preserve">. </w:t>
                  </w:r>
                  <w:r>
                    <w:t>Pakeisti 11.4 papunktį ir jį išdėstyti taip:</w:t>
                  </w:r>
                </w:p>
                <w:sdt>
                  <w:sdtPr>
                    <w:alias w:val="citata"/>
                    <w:tag w:val="part_22a32722d56945459d9ded53475ccd84"/>
                    <w:lock w:val="sdtLocked"/>
                    <w:richText/>
                  </w:sdtPr>
                  <w:sdtContent>
                    <w:sdt>
                      <w:sdtPr>
                        <w:alias w:val="11.4 pp."/>
                        <w:tag w:val="part_50fbb8f5e5294d9599b6c3c0077cb70c"/>
                        <w:lock w:val="sdtLocked"/>
                        <w:richText/>
                      </w:sdtPr>
                      <w:sdtContent>
                        <w:p w14:paraId="5BAE7B40" w14:textId="5167600F">
                          <w:pPr>
                            <w:spacing w:line="276" w:lineRule="auto"/>
                            <w:ind w:firstLine="720"/>
                            <w:jc w:val="both"/>
                            <w:rPr>
                              <w:szCs w:val="24"/>
                            </w:rPr>
                          </w:pPr>
                          <w:r>
                            <w:rPr>
                              <w:szCs w:val="24"/>
                            </w:rPr>
                            <w:t>„</w:t>
                          </w:r>
                          <w:sdt>
                            <w:sdtPr>
                              <w:alias w:val="Numeris"/>
                              <w:tag w:val="nr_50fbb8f5e5294d9599b6c3c0077cb70c"/>
                              <w:lock w:val="sdtLocked"/>
                              <w:richText/>
                            </w:sdtPr>
                            <w:sdtContent>
                              <w:r>
                                <w:rPr>
                                  <w:szCs w:val="24"/>
                                </w:rPr>
                                <w:t>11.4</w:t>
                              </w:r>
                            </w:sdtContent>
                          </w:sdt>
                          <w:r>
                            <w:rPr>
                              <w:szCs w:val="24"/>
                            </w:rPr>
                            <w:t xml:space="preserve">. planavimo organizatorius ar jo įgaliotas asmuo registruoja dalyvius ar jų įgaliotus asmenis, teikiamus pasiūlymus ir sudaro dalyvių sąrašą pagal Nuostatų 2 priede pateiktą pavyzdį. Sąrašą pasirašo planavimo organizatorius ar jo įgaliotas asmuo. Už asmens duomenų tvarkymą atsako planavimo organizatorius. Planavimo organizatorius privalo pateikti </w:t>
                          </w:r>
                          <w:r>
                            <w:rPr>
                              <w:b/>
                              <w:bCs/>
                              <w:szCs w:val="24"/>
                            </w:rPr>
                            <w:t xml:space="preserve">nuasmenintus </w:t>
                          </w:r>
                          <w:r>
                            <w:rPr>
                              <w:szCs w:val="24"/>
                            </w:rPr>
                            <w:t xml:space="preserve">duomenis TPDRIS, </w:t>
                          </w:r>
                          <w:r>
                            <w:rPr>
                              <w:b/>
                              <w:bCs/>
                              <w:szCs w:val="24"/>
                            </w:rPr>
                            <w:t>popierinius dokumentus privalo saugoti 5 metus nuo teritorijų planavimo dokumento įsigaliojimo (</w:t>
                          </w:r>
                          <w:r>
                            <w:rPr>
                              <w:b/>
                              <w:bCs/>
                              <w:szCs w:val="24"/>
                              <w:shd w:val="clear" w:color="auto" w:fill="FFFFFF"/>
                            </w:rPr>
                            <w:t xml:space="preserve">valstybei svarbių projektų teritorijų planavimo dokumentų– 2 metus nuo teritorijų planavimo dokumento įsigaliojimo) ir pasibaigus šiam terminui </w:t>
                          </w:r>
                          <w:r>
                            <w:rPr>
                              <w:b/>
                              <w:bCs/>
                              <w:szCs w:val="24"/>
                            </w:rPr>
                            <w:t>popierinius dokumentus sunaikinti.</w:t>
                          </w:r>
                          <w:r>
                            <w:rPr>
                              <w:szCs w:val="24"/>
                            </w:rPr>
                            <w:t xml:space="preserve"> Duomenys TPDRIS saugomi, kol galioja atitinkamo teritorijų planavimo dokumento sprendiniai arba kol teritorijų planavimo dokumentas paskelbiamas negaliojančiu;“.</w:t>
                          </w:r>
                        </w:p>
                      </w:sdtContent>
                    </w:sdt>
                  </w:sdtContent>
                </w:sdt>
              </w:sdtContent>
            </w:sdt>
            <w:sdt>
              <w:sdtPr>
                <w:alias w:val="1.5 pp."/>
                <w:tag w:val="part_66011d6a11eb4b3988b4d599311ad799"/>
                <w:lock w:val="sdtLocked"/>
                <w:richText/>
              </w:sdtPr>
              <w:sdtContent>
                <w:p w14:paraId="1AD980A8" w14:textId="062595A9">
                  <w:pPr>
                    <w:tabs>
                      <w:tab w:val="left" w:pos="993"/>
                    </w:tabs>
                    <w:suppressAutoHyphens/>
                    <w:spacing w:line="276" w:lineRule="auto"/>
                    <w:ind w:firstLine="720"/>
                    <w:jc w:val="both"/>
                  </w:pPr>
                  <w:sdt>
                    <w:sdtPr>
                      <w:alias w:val="Numeris"/>
                      <w:tag w:val="nr_66011d6a11eb4b3988b4d599311ad799"/>
                      <w:lock w:val="sdtLocked"/>
                      <w:richText/>
                    </w:sdtPr>
                    <w:sdtContent>
                      <w:r>
                        <w:rPr>
                          <w:szCs w:val="24"/>
                          <w:lang w:eastAsia="lt-LT"/>
                        </w:rPr>
                        <w:t>1.5</w:t>
                      </w:r>
                    </w:sdtContent>
                  </w:sdt>
                  <w:r>
                    <w:rPr>
                      <w:szCs w:val="24"/>
                      <w:lang w:eastAsia="lt-LT"/>
                    </w:rPr>
                    <w:t xml:space="preserve">. </w:t>
                  </w:r>
                  <w:r>
                    <w:t>Pakeisti 11.7 papunktį ir jį išdėstyti taip:</w:t>
                  </w:r>
                </w:p>
                <w:sdt>
                  <w:sdtPr>
                    <w:alias w:val="citata"/>
                    <w:tag w:val="part_92b4b879c34e4479bc8bdb9346396abe"/>
                    <w:lock w:val="sdtLocked"/>
                    <w:richText/>
                  </w:sdtPr>
                  <w:sdtContent>
                    <w:sdt>
                      <w:sdtPr>
                        <w:alias w:val="11.7 pp."/>
                        <w:tag w:val="part_a10c8d1fbd3d4d9f9b84280ba3b3c422"/>
                        <w:lock w:val="sdtLocked"/>
                        <w:richText/>
                      </w:sdtPr>
                      <w:sdtContent>
                        <w:p w14:paraId="3FA4D588" w14:textId="75E4C59D">
                          <w:pPr>
                            <w:spacing w:line="276" w:lineRule="auto"/>
                            <w:ind w:firstLine="720"/>
                            <w:jc w:val="both"/>
                            <w:rPr>
                              <w:lang w:eastAsia="lt-LT"/>
                            </w:rPr>
                          </w:pPr>
                          <w:r>
                            <w:t>„</w:t>
                          </w:r>
                          <w:sdt>
                            <w:sdtPr>
                              <w:alias w:val="Numeris"/>
                              <w:tag w:val="nr_a10c8d1fbd3d4d9f9b84280ba3b3c422"/>
                              <w:lock w:val="sdtLocked"/>
                              <w:richText/>
                            </w:sdtPr>
                            <w:sdtContent>
                              <w:r>
                                <w:t>11.7</w:t>
                              </w:r>
                            </w:sdtContent>
                          </w:sdt>
                          <w:r>
                            <w:t xml:space="preserve">. Nuostatų 11.6.1 ir 11.6.2 papunkčiuose nurodytais atvejais visuomenė su pakeistais teritorijų planavimo dokumento sprendiniais supažindinama TPDRIS ir sprendimą rengti teritorijų planavimo dokumentą priėmusios valstybės institucijos (institucijų) ar savivaldybės interneto svetainėje </w:t>
                          </w:r>
                          <w:r>
                            <w:rPr>
                              <w:strike/>
                            </w:rPr>
                            <w:t>(arba ŽPDRIS, rengiant specialiojo teritorijų planavimo žemėtvarkos dokumentus)</w:t>
                          </w:r>
                          <w:r>
                            <w:t>;“.</w:t>
                          </w:r>
                        </w:p>
                      </w:sdtContent>
                    </w:sdt>
                  </w:sdtContent>
                </w:sdt>
              </w:sdtContent>
            </w:sdt>
            <w:sdt>
              <w:sdtPr>
                <w:alias w:val="1.6 pp."/>
                <w:tag w:val="part_85b6fefb9f1d40739ad948c797531baa"/>
                <w:lock w:val="sdtLocked"/>
                <w:richText/>
              </w:sdtPr>
              <w:sdtContent>
                <w:p w14:paraId="00557BEA" w14:textId="5C878F1C">
                  <w:pPr>
                    <w:tabs>
                      <w:tab w:val="left" w:pos="993"/>
                    </w:tabs>
                    <w:suppressAutoHyphens/>
                    <w:spacing w:line="276" w:lineRule="auto"/>
                    <w:ind w:firstLine="720"/>
                    <w:jc w:val="both"/>
                    <w:rPr>
                      <w:szCs w:val="24"/>
                      <w:lang w:eastAsia="lt-LT"/>
                    </w:rPr>
                  </w:pPr>
                  <w:sdt>
                    <w:sdtPr>
                      <w:alias w:val="Numeris"/>
                      <w:tag w:val="nr_85b6fefb9f1d40739ad948c797531baa"/>
                      <w:lock w:val="sdtLocked"/>
                      <w:richText/>
                    </w:sdtPr>
                    <w:sdtContent>
                      <w:r>
                        <w:rPr>
                          <w:szCs w:val="24"/>
                          <w:lang w:eastAsia="lt-LT"/>
                        </w:rPr>
                        <w:t>1.6</w:t>
                      </w:r>
                    </w:sdtContent>
                  </w:sdt>
                  <w:r>
                    <w:rPr>
                      <w:szCs w:val="24"/>
                      <w:lang w:eastAsia="lt-LT"/>
                    </w:rPr>
                    <w:t xml:space="preserve">. </w:t>
                  </w:r>
                  <w:r>
                    <w:t>Pakeisti 13 punktą ir jį išdėstyti taip:</w:t>
                  </w:r>
                </w:p>
                <w:sdt>
                  <w:sdtPr>
                    <w:alias w:val="citata"/>
                    <w:tag w:val="part_f275fc94952b42a9ba3fd24c6bb13517"/>
                    <w:lock w:val="sdtLocked"/>
                    <w:richText/>
                  </w:sdtPr>
                  <w:sdtContent>
                    <w:sdt>
                      <w:sdtPr>
                        <w:alias w:val="13 p."/>
                        <w:tag w:val="part_69dc40ea25d545d895345ac9bde62331"/>
                        <w:lock w:val="sdtLocked"/>
                        <w:richText/>
                      </w:sdtPr>
                      <w:sdtContent>
                        <w:p w14:paraId="580455C1" w14:textId="033B4F0B">
                          <w:pPr>
                            <w:tabs>
                              <w:tab w:val="left" w:pos="993"/>
                            </w:tabs>
                            <w:suppressAutoHyphens/>
                            <w:spacing w:line="276" w:lineRule="auto"/>
                            <w:ind w:firstLine="720"/>
                            <w:jc w:val="both"/>
                            <w:rPr>
                              <w:szCs w:val="24"/>
                              <w:lang w:eastAsia="lt-LT"/>
                            </w:rPr>
                          </w:pPr>
                          <w:r>
                            <w:rPr>
                              <w:szCs w:val="24"/>
                              <w:lang w:eastAsia="lt-LT"/>
                            </w:rPr>
                            <w:t>„</w:t>
                          </w:r>
                          <w:sdt>
                            <w:sdtPr>
                              <w:alias w:val="Numeris"/>
                              <w:tag w:val="nr_69dc40ea25d545d895345ac9bde62331"/>
                              <w:lock w:val="sdtLocked"/>
                              <w:richText/>
                            </w:sdtPr>
                            <w:sdtContent>
                              <w:r>
                                <w:t>13</w:t>
                              </w:r>
                            </w:sdtContent>
                          </w:sdt>
                          <w:r>
                            <w:t xml:space="preserve">. Planavimo organizatorius ar jo įgaliotas asmuo valstybės institucijų sprendimus dėl valstybės lygmens teritorijų planavimo dokumentų </w:t>
                          </w:r>
                          <w:r>
                            <w:rPr>
                              <w:strike/>
                            </w:rPr>
                            <w:t>(išskyrus specialiojo teritorijų planavimo žemėtvarkos dokumentus)</w:t>
                          </w:r>
                          <w:r>
                            <w:t xml:space="preserve"> rengimo ar keitimo (ar </w:t>
                          </w:r>
                          <w:r>
                            <w:rPr>
                              <w:strike/>
                            </w:rPr>
                            <w:t>komplesinių</w:t>
                          </w:r>
                          <w:r>
                            <w:t xml:space="preserve"> </w:t>
                          </w:r>
                          <w:r>
                            <w:rPr>
                              <w:b/>
                              <w:bCs/>
                            </w:rPr>
                            <w:t>kompleksinio teritorijų planavimo</w:t>
                          </w:r>
                          <w:r>
                            <w:t xml:space="preserve"> dokumentų koregavimo) pradžios, planavimo tikslų, planavimo darbų programą, kurioje nurodoma, ar bus atliekamas SPAV (jeigu SPAV neatliekamas, nurodomi motyvai), ne vėliau kaip per 5 darbo dienas nuo jų priėmimo paskelbia šiais informacijos teikimo būdais: </w:t>
                          </w:r>
                          <w:r>
                            <w:rPr>
                              <w:strike/>
                            </w:rPr>
                            <w:t>valstybės institucijų buveinėse,</w:t>
                          </w:r>
                          <w:r>
                            <w:t xml:space="preserve"> </w:t>
                          </w:r>
                          <w:r>
                            <w:rPr>
                              <w:b/>
                              <w:bCs/>
                            </w:rPr>
                            <w:t>valstybės institucijų</w:t>
                          </w:r>
                          <w:r>
                            <w:t xml:space="preserve"> interneto svetainėse ir TPDRIS. Nurodoma, kam ir kokiu adresu visuomenė gali teikti pasiūlymus, pateikiami planavimo organizatoriaus, teritorijų planavimo dokumento rengėjo adresai ir telefonų numeriai, elektroninis paštas ir interneto svetainė.“</w:t>
                          </w:r>
                        </w:p>
                      </w:sdtContent>
                    </w:sdt>
                  </w:sdtContent>
                </w:sdt>
              </w:sdtContent>
            </w:sdt>
            <w:sdt>
              <w:sdtPr>
                <w:alias w:val="1.7 pp."/>
                <w:tag w:val="part_7f15967893ae420ba63e394b252bfd6e"/>
                <w:lock w:val="sdtLocked"/>
                <w:richText/>
              </w:sdtPr>
              <w:sdtContent>
                <w:p w14:paraId="6522B78E" w14:textId="675BC17B">
                  <w:pPr>
                    <w:tabs>
                      <w:tab w:val="left" w:pos="993"/>
                    </w:tabs>
                    <w:suppressAutoHyphens/>
                    <w:spacing w:line="276" w:lineRule="auto"/>
                    <w:ind w:firstLine="720"/>
                    <w:jc w:val="both"/>
                    <w:rPr>
                      <w:szCs w:val="24"/>
                      <w:lang w:eastAsia="lt-LT"/>
                    </w:rPr>
                  </w:pPr>
                  <w:sdt>
                    <w:sdtPr>
                      <w:alias w:val="Numeris"/>
                      <w:tag w:val="nr_7f15967893ae420ba63e394b252bfd6e"/>
                      <w:lock w:val="sdtLocked"/>
                      <w:richText/>
                    </w:sdtPr>
                    <w:sdtContent>
                      <w:r>
                        <w:rPr>
                          <w:szCs w:val="24"/>
                          <w:lang w:eastAsia="lt-LT"/>
                        </w:rPr>
                        <w:t>1.7</w:t>
                      </w:r>
                    </w:sdtContent>
                  </w:sdt>
                  <w:r>
                    <w:rPr>
                      <w:szCs w:val="24"/>
                      <w:lang w:eastAsia="lt-LT"/>
                    </w:rPr>
                    <w:t xml:space="preserve">. </w:t>
                  </w:r>
                  <w:r>
                    <w:t>Pakeisti 17 punktą ir jį išdėstyti taip:</w:t>
                  </w:r>
                </w:p>
                <w:sdt>
                  <w:sdtPr>
                    <w:alias w:val="citata"/>
                    <w:tag w:val="part_74212b25dfcd455893bc928bb737017a"/>
                    <w:lock w:val="sdtLocked"/>
                    <w:richText/>
                  </w:sdtPr>
                  <w:sdtContent>
                    <w:sdt>
                      <w:sdtPr>
                        <w:alias w:val="17 p."/>
                        <w:tag w:val="part_8bc7012b17fd46baaceb1b48816c7445"/>
                        <w:lock w:val="sdtLocked"/>
                        <w:richText/>
                      </w:sdtPr>
                      <w:sdtContent>
                        <w:p w14:paraId="404EE762" w14:textId="03CE86B4">
                          <w:pPr>
                            <w:spacing w:line="276" w:lineRule="auto"/>
                            <w:ind w:firstLine="720"/>
                            <w:jc w:val="both"/>
                            <w:rPr>
                              <w:lang w:eastAsia="lt-LT"/>
                            </w:rPr>
                          </w:pPr>
                          <w:r>
                            <w:rPr>
                              <w:szCs w:val="24"/>
                              <w:lang w:eastAsia="lt-LT"/>
                            </w:rPr>
                            <w:t>„</w:t>
                          </w:r>
                          <w:sdt>
                            <w:sdtPr>
                              <w:alias w:val="Numeris"/>
                              <w:tag w:val="nr_8bc7012b17fd46baaceb1b48816c7445"/>
                              <w:lock w:val="sdtLocked"/>
                              <w:richText/>
                            </w:sdtPr>
                            <w:sdtContent>
                              <w:r>
                                <w:rPr>
                                  <w:lang w:eastAsia="lt-LT"/>
                                </w:rPr>
                                <w:t>17</w:t>
                              </w:r>
                            </w:sdtContent>
                          </w:sdt>
                          <w:r>
                            <w:rPr>
                              <w:lang w:eastAsia="lt-LT"/>
                            </w:rPr>
                            <w:t xml:space="preserve">. Planavimo organizatorius ar jo įgaliotas asmuo valstybės ir (ar) savivaldybių institucijų sprendimus dėl savivaldybės lygmens teritorijų planavimo dokumentų rengimo ar keitimo (ar </w:t>
                          </w:r>
                          <w:r>
                            <w:rPr>
                              <w:strike/>
                              <w:lang w:eastAsia="lt-LT"/>
                            </w:rPr>
                            <w:t>kompleksinių</w:t>
                          </w:r>
                          <w:r>
                            <w:rPr>
                              <w:b/>
                              <w:bCs/>
                              <w:lang w:eastAsia="lt-LT"/>
                            </w:rPr>
                            <w:t xml:space="preserve"> kompleksinio teritorijų planavimo</w:t>
                          </w:r>
                          <w:r>
                            <w:rPr>
                              <w:lang w:eastAsia="lt-LT"/>
                            </w:rPr>
                            <w:t xml:space="preserve"> dokumentų koregavimo) pradžios, planavimo tikslų, planavimo darbų programą, kurioje nurodoma, ar bus atliekamas SPAV (jeigu SPAV neatliekamas, nurodomi motyvai), ne vėliau kaip per 5 darbo dienas nuo jų priėmimo paskelbia šiais informacijos teikimo būdais: </w:t>
                          </w:r>
                          <w:r>
                            <w:rPr>
                              <w:strike/>
                              <w:lang w:eastAsia="lt-LT"/>
                            </w:rPr>
                            <w:t>institucijų buveinėse,</w:t>
                          </w:r>
                          <w:r>
                            <w:rPr>
                              <w:lang w:eastAsia="lt-LT"/>
                            </w:rPr>
                            <w:t xml:space="preserve"> </w:t>
                          </w:r>
                          <w:r>
                            <w:rPr>
                              <w:b/>
                              <w:bCs/>
                              <w:lang w:eastAsia="lt-LT"/>
                            </w:rPr>
                            <w:t>institucijų</w:t>
                          </w:r>
                          <w:r>
                            <w:rPr>
                              <w:lang w:eastAsia="lt-LT"/>
                            </w:rPr>
                            <w:t xml:space="preserve"> interneto svetainėse, seniūnijų, kuriose yra planuojama teritorija, skelbimų lentose</w:t>
                          </w:r>
                          <w:r>
                            <w:rPr>
                              <w:b/>
                              <w:bCs/>
                              <w:lang w:eastAsia="lt-LT"/>
                            </w:rPr>
                            <w:t>,</w:t>
                          </w:r>
                          <w:r>
                            <w:rPr>
                              <w:lang w:eastAsia="lt-LT"/>
                            </w:rPr>
                            <w:t xml:space="preserve"> </w:t>
                          </w:r>
                          <w:r>
                            <w:rPr>
                              <w:strike/>
                              <w:lang w:eastAsia="lt-LT"/>
                            </w:rPr>
                            <w:t>ir</w:t>
                          </w:r>
                          <w:r>
                            <w:rPr>
                              <w:lang w:eastAsia="lt-LT"/>
                            </w:rPr>
                            <w:t xml:space="preserve"> </w:t>
                          </w:r>
                          <w:r>
                            <w:rPr>
                              <w:b/>
                              <w:bCs/>
                              <w:szCs w:val="24"/>
                              <w:lang w:eastAsia="lt-LT"/>
                            </w:rPr>
                            <w:t>pranešimuose (siunčiamuose elektroniniu paštu) planuojamoje teritorijoje esančių seniūnijų seniūnams ir seniūnaičiams, taip pat</w:t>
                          </w:r>
                          <w:r>
                            <w:rPr>
                              <w:b/>
                              <w:bCs/>
                              <w:lang w:eastAsia="lt-LT"/>
                            </w:rPr>
                            <w:t xml:space="preserve"> </w:t>
                          </w:r>
                          <w:r>
                            <w:rPr>
                              <w:lang w:eastAsia="lt-LT"/>
                            </w:rPr>
                            <w:t>TPDRIS. Kartu nurodoma, kam ir kokiu adresu visuomenė gali teikti pasiūlymus, pateikiami planavimo organizatoriaus, teritorijų planavimo dokumento rengėjo adresai ir telefonų numeriai, elektroninis paštas ir interneto svetainė.“</w:t>
                          </w:r>
                        </w:p>
                      </w:sdtContent>
                    </w:sdt>
                  </w:sdtContent>
                </w:sdt>
              </w:sdtContent>
            </w:sdt>
            <w:sdt>
              <w:sdtPr>
                <w:alias w:val="1.8 pp."/>
                <w:tag w:val="part_8a2a1fb7be74436ea3b634a0b51b8f76"/>
                <w:lock w:val="sdtLocked"/>
                <w:richText/>
              </w:sdtPr>
              <w:sdtContent>
                <w:p w14:paraId="15AA6C35" w14:textId="211C9680">
                  <w:pPr>
                    <w:tabs>
                      <w:tab w:val="left" w:pos="993"/>
                    </w:tabs>
                    <w:suppressAutoHyphens/>
                    <w:spacing w:line="276" w:lineRule="auto"/>
                    <w:ind w:firstLine="720"/>
                    <w:jc w:val="both"/>
                  </w:pPr>
                  <w:sdt>
                    <w:sdtPr>
                      <w:alias w:val="Numeris"/>
                      <w:tag w:val="nr_8a2a1fb7be74436ea3b634a0b51b8f76"/>
                      <w:lock w:val="sdtLocked"/>
                      <w:richText/>
                    </w:sdtPr>
                    <w:sdtContent>
                      <w:r>
                        <w:rPr>
                          <w:szCs w:val="24"/>
                          <w:lang w:eastAsia="lt-LT"/>
                        </w:rPr>
                        <w:t>1.8</w:t>
                      </w:r>
                    </w:sdtContent>
                  </w:sdt>
                  <w:r>
                    <w:rPr>
                      <w:szCs w:val="24"/>
                      <w:lang w:eastAsia="lt-LT"/>
                    </w:rPr>
                    <w:t xml:space="preserve">. </w:t>
                  </w:r>
                  <w:r>
                    <w:t>Pakeisti 20 punktą ir jį išdėstyti taip:</w:t>
                  </w:r>
                </w:p>
                <w:sdt>
                  <w:sdtPr>
                    <w:alias w:val="citata"/>
                    <w:tag w:val="part_3ca672276c494749a80584c8ba7943e2"/>
                    <w:lock w:val="sdtLocked"/>
                    <w:richText/>
                  </w:sdtPr>
                  <w:sdtContent>
                    <w:sdt>
                      <w:sdtPr>
                        <w:alias w:val="20 p."/>
                        <w:tag w:val="part_758688b58aab424ea419905e6363d8a7"/>
                        <w:lock w:val="sdtLocked"/>
                        <w:richText/>
                      </w:sdtPr>
                      <w:sdtContent>
                        <w:p w14:paraId="373008B9" w14:textId="77777777">
                          <w:pPr>
                            <w:spacing w:line="276" w:lineRule="auto"/>
                            <w:ind w:firstLine="720"/>
                            <w:jc w:val="both"/>
                            <w:rPr>
                              <w:lang w:eastAsia="lt-LT"/>
                            </w:rPr>
                          </w:pPr>
                          <w:r>
                            <w:rPr>
                              <w:lang w:eastAsia="lt-LT"/>
                            </w:rPr>
                            <w:t>„</w:t>
                          </w:r>
                          <w:sdt>
                            <w:sdtPr>
                              <w:alias w:val="Numeris"/>
                              <w:tag w:val="nr_758688b58aab424ea419905e6363d8a7"/>
                              <w:lock w:val="sdtLocked"/>
                              <w:richText/>
                            </w:sdtPr>
                            <w:sdtContent>
                              <w:r>
                                <w:rPr>
                                  <w:lang w:eastAsia="lt-LT"/>
                                </w:rPr>
                                <w:t>20</w:t>
                              </w:r>
                            </w:sdtContent>
                          </w:sdt>
                          <w:r>
                            <w:rPr>
                              <w:lang w:eastAsia="lt-LT"/>
                            </w:rPr>
                            <w:t>. Planavimo organizatorius ar jo įgaliotas asmuo:</w:t>
                          </w:r>
                        </w:p>
                        <w:sdt>
                          <w:sdtPr>
                            <w:alias w:val="20.1 pp."/>
                            <w:tag w:val="part_ba36a2d81f244de7bc14c9dab87e514a"/>
                            <w:lock w:val="sdtLocked"/>
                            <w:richText/>
                          </w:sdtPr>
                          <w:sdtContent>
                            <w:p w14:paraId="105FE077" w14:textId="10D95E3C">
                              <w:pPr>
                                <w:spacing w:line="276" w:lineRule="auto"/>
                                <w:ind w:firstLine="720"/>
                                <w:jc w:val="both"/>
                                <w:rPr>
                                  <w:lang w:eastAsia="lt-LT"/>
                                </w:rPr>
                              </w:pPr>
                              <w:sdt>
                                <w:sdtPr>
                                  <w:alias w:val="Numeris"/>
                                  <w:tag w:val="nr_ba36a2d81f244de7bc14c9dab87e514a"/>
                                  <w:lock w:val="sdtLocked"/>
                                  <w:richText/>
                                </w:sdtPr>
                                <w:sdtContent>
                                  <w:r>
                                    <w:rPr>
                                      <w:lang w:eastAsia="lt-LT"/>
                                    </w:rPr>
                                    <w:t>20.1</w:t>
                                  </w:r>
                                </w:sdtContent>
                              </w:sdt>
                              <w:r>
                                <w:rPr>
                                  <w:lang w:eastAsia="lt-LT"/>
                                </w:rPr>
                                <w:t xml:space="preserve">. valstybės ir (ar) savivaldybių institucijų sprendimus dėl vietovės lygmens teritorijų planavimo dokumentų rengimo, keitimo ar </w:t>
                              </w:r>
                              <w:r>
                                <w:rPr>
                                  <w:strike/>
                                  <w:lang w:eastAsia="lt-LT"/>
                                </w:rPr>
                                <w:t>kompleksinių</w:t>
                              </w:r>
                              <w:r>
                                <w:rPr>
                                  <w:lang w:eastAsia="lt-LT"/>
                                </w:rPr>
                                <w:t xml:space="preserve"> </w:t>
                              </w:r>
                              <w:r>
                                <w:rPr>
                                  <w:b/>
                                  <w:bCs/>
                                  <w:lang w:eastAsia="lt-LT"/>
                                </w:rPr>
                                <w:t>kompleksinio teritorijų planavimo</w:t>
                              </w:r>
                              <w:r>
                                <w:rPr>
                                  <w:lang w:eastAsia="lt-LT"/>
                                </w:rPr>
                                <w:t xml:space="preserve"> dokumentų koregavimo (išskyrus atvejus, kai detalusis planas </w:t>
                              </w:r>
                              <w:r>
                                <w:rPr>
                                  <w:b/>
                                  <w:bCs/>
                                  <w:szCs w:val="24"/>
                                </w:rPr>
                                <w:t>(arba vietovės lygmens bendrasis planas, kuriame nustatomas detaliųjų planų teritorijos naudojimo reglamentas)</w:t>
                              </w:r>
                              <w:r>
                                <w:rPr>
                                  <w:lang w:eastAsia="lt-LT"/>
                                </w:rPr>
                                <w:t xml:space="preserve"> koreguojamas Teritorijų planavimo įstatymo 28 straipsnio 9 dalyje nustatytais atvejais ar taisant technines klaidas) pradžios, planavimo tikslų, planavimo darbų programą, kurioje nurodoma, ar bus atliekamas SPAV (jeigu SPAV neatliekamas, nurodomi motyvai) ir rengiama koncepcija, ne vėliau kaip per 5 darbo dienas nuo jų priėmimo paskelbia šiais informacijos teikimo būdais: </w:t>
                              </w:r>
                              <w:r>
                                <w:rPr>
                                  <w:strike/>
                                  <w:lang w:eastAsia="lt-LT"/>
                                </w:rPr>
                                <w:t>institucijų buveinėse,</w:t>
                              </w:r>
                              <w:r>
                                <w:rPr>
                                  <w:lang w:eastAsia="lt-LT"/>
                                </w:rPr>
                                <w:t xml:space="preserve"> </w:t>
                              </w:r>
                              <w:r>
                                <w:rPr>
                                  <w:b/>
                                  <w:bCs/>
                                  <w:lang w:eastAsia="lt-LT"/>
                                </w:rPr>
                                <w:t>institucijų</w:t>
                              </w:r>
                              <w:r>
                                <w:rPr>
                                  <w:lang w:eastAsia="lt-LT"/>
                                </w:rPr>
                                <w:t xml:space="preserve"> interneto svetainėse, seniūnijų, kurių teritorijoje yra planuojama teritorija, skelbimų lentose</w:t>
                              </w:r>
                              <w:r>
                                <w:rPr>
                                  <w:b/>
                                  <w:bCs/>
                                  <w:lang w:eastAsia="lt-LT"/>
                                </w:rPr>
                                <w:t>,</w:t>
                              </w:r>
                              <w:r>
                                <w:rPr>
                                  <w:lang w:eastAsia="lt-LT"/>
                                </w:rPr>
                                <w:t xml:space="preserve"> </w:t>
                              </w:r>
                              <w:r>
                                <w:rPr>
                                  <w:strike/>
                                  <w:lang w:eastAsia="lt-LT"/>
                                </w:rPr>
                                <w:t>ir</w:t>
                              </w:r>
                              <w:r>
                                <w:rPr>
                                  <w:lang w:eastAsia="lt-LT"/>
                                </w:rPr>
                                <w:t xml:space="preserve"> </w:t>
                              </w:r>
                              <w:r>
                                <w:rPr>
                                  <w:b/>
                                  <w:bCs/>
                                  <w:szCs w:val="24"/>
                                  <w:lang w:eastAsia="lt-LT"/>
                                </w:rPr>
                                <w:t>pranešimuose (siunčiamuose elektroniniu paštu) planuojamoje teritorijoje esančių seniūnijų seniūnams</w:t>
                              </w:r>
                              <w:r>
                                <w:rPr>
                                  <w:szCs w:val="24"/>
                                  <w:lang w:eastAsia="lt-LT"/>
                                </w:rPr>
                                <w:t xml:space="preserve"> </w:t>
                              </w:r>
                              <w:r>
                                <w:rPr>
                                  <w:b/>
                                  <w:bCs/>
                                  <w:szCs w:val="24"/>
                                  <w:lang w:eastAsia="lt-LT"/>
                                </w:rPr>
                                <w:t>ir seniūnaičiams, taip pat</w:t>
                              </w:r>
                              <w:r>
                                <w:rPr>
                                  <w:lang w:eastAsia="lt-LT"/>
                                </w:rPr>
                                <w:t xml:space="preserve"> TPDRIS. Nurodoma, kam ir kokiu adresu visuomenė gali teikti pasiūlymus,  pateikiami planavimo organizatoriaus, teritorijų planavimo dokumento rengėjo adresai ir telefonų numeriai, elektroninis paštas ir interneto svetainė;</w:t>
                              </w:r>
                            </w:p>
                          </w:sdtContent>
                        </w:sdt>
                        <w:sdt>
                          <w:sdtPr>
                            <w:alias w:val="20.2 pp."/>
                            <w:tag w:val="part_cea00ce65c9a48d498e6430047c1280c"/>
                            <w:lock w:val="sdtLocked"/>
                            <w:richText/>
                          </w:sdtPr>
                          <w:sdtContent>
                            <w:p w14:paraId="68AD225D" w14:textId="4C511931">
                              <w:pPr>
                                <w:spacing w:line="276" w:lineRule="auto"/>
                                <w:ind w:firstLine="720"/>
                                <w:jc w:val="both"/>
                                <w:rPr>
                                  <w:lang w:eastAsia="lt-LT"/>
                                </w:rPr>
                              </w:pPr>
                              <w:sdt>
                                <w:sdtPr>
                                  <w:alias w:val="Numeris"/>
                                  <w:tag w:val="nr_cea00ce65c9a48d498e6430047c1280c"/>
                                  <w:lock w:val="sdtLocked"/>
                                  <w:richText/>
                                </w:sdtPr>
                                <w:sdtContent>
                                  <w:r>
                                    <w:rPr>
                                      <w:szCs w:val="24"/>
                                    </w:rPr>
                                    <w:t>20.2</w:t>
                                  </w:r>
                                </w:sdtContent>
                              </w:sdt>
                              <w:r>
                                <w:rPr>
                                  <w:szCs w:val="24"/>
                                </w:rPr>
                                <w:t xml:space="preserve">. kai rengiamas, keičiamas ar koreguojamas detalusis planas (išskyrus atvejus, kai detalusis planas koreguojamas Teritorijų planavimo įstatymo 28 straipsnio 9 dalyje nustatytais atvejais ar taisant technines klaidas), vadovaujantis Nuostatų 4 punktu, Nuostatų 20.1 papunktyje nurodyta informacija papildomai pateikiama planuojamos teritorijos ir kaimyninių žemės sklypų valdytojams ir naudotojams (jei į planuojamą teritoriją ir (ar) kaimyninį žemės sklypą patenka gyvenamosios paskirties daugiabutis pastatas, informuojama daugiabučio gyvenamojo namo savininkų bendrija ar kitas bendrojo naudojimo objektų valdytojas, kuris apie tai per 5 darbo dienas </w:t>
                              </w:r>
                              <w:r>
                                <w:rPr>
                                  <w:strike/>
                                  <w:szCs w:val="24"/>
                                </w:rPr>
                                <w:t>raštu</w:t>
                              </w:r>
                              <w:r>
                                <w:rPr>
                                  <w:szCs w:val="24"/>
                                </w:rPr>
                                <w:t xml:space="preserve"> </w:t>
                              </w:r>
                              <w:r>
                                <w:rPr>
                                  <w:b/>
                                  <w:bCs/>
                                  <w:szCs w:val="24"/>
                                </w:rPr>
                                <w:t>el. pranešimu ar pranešimą įmetant į pašto dėžutes ir informaciją paskelbiant kiekvienos daugiabučio namo laiptinės skelbimų lentoje</w:t>
                              </w:r>
                              <w:r>
                                <w:rPr>
                                  <w:szCs w:val="24"/>
                                </w:rPr>
                                <w:t xml:space="preserve"> praneša butų ir kitų patalpų savininkams);</w:t>
                              </w:r>
                            </w:p>
                          </w:sdtContent>
                        </w:sdt>
                        <w:sdt>
                          <w:sdtPr>
                            <w:alias w:val="20.3 pp."/>
                            <w:tag w:val="part_3f2cb87234cf4382894be58c432211e1"/>
                            <w:lock w:val="sdtLocked"/>
                            <w:richText/>
                          </w:sdtPr>
                          <w:sdtContent>
                            <w:p w14:paraId="0FD210B3" w14:textId="3F633A92">
                              <w:pPr>
                                <w:tabs>
                                  <w:tab w:val="left" w:pos="993"/>
                                </w:tabs>
                                <w:suppressAutoHyphens/>
                                <w:spacing w:line="276" w:lineRule="auto"/>
                                <w:ind w:firstLine="720"/>
                                <w:jc w:val="both"/>
                                <w:rPr>
                                  <w:szCs w:val="24"/>
                                  <w:lang w:eastAsia="lt-LT"/>
                                </w:rPr>
                              </w:pPr>
                              <w:sdt>
                                <w:sdtPr>
                                  <w:alias w:val="Numeris"/>
                                  <w:tag w:val="nr_3f2cb87234cf4382894be58c432211e1"/>
                                  <w:lock w:val="sdtLocked"/>
                                  <w:richText/>
                                </w:sdtPr>
                                <w:sdtContent>
                                  <w:r>
                                    <w:t>20.3</w:t>
                                  </w:r>
                                </w:sdtContent>
                              </w:sdt>
                              <w:r>
                                <w:t xml:space="preserve">. fizinius asmenis, juridinius asmenis ar jų padalinius, kitas organizacijas ar jų padalinius, kuriems dėl viešojo intereso planuojama nustatyti papildomus žemės ir kito nekilnojamojo turto naudojimo ar ūkinės veiklos apribojimus, rengiant vietovės lygmens specialiuosius ar detaliuosius (ar vietovės lygmens </w:t>
                              </w:r>
                              <w:r>
                                <w:rPr>
                                  <w:strike/>
                                </w:rPr>
                                <w:t>bendrąjį</w:t>
                              </w:r>
                              <w:r>
                                <w:t xml:space="preserve"> </w:t>
                              </w:r>
                              <w:r>
                                <w:rPr>
                                  <w:b/>
                                  <w:bCs/>
                                </w:rPr>
                                <w:t>bendruosius</w:t>
                              </w:r>
                              <w:r>
                                <w:t xml:space="preserve"> </w:t>
                              </w:r>
                              <w:r>
                                <w:rPr>
                                  <w:strike/>
                                </w:rPr>
                                <w:t>planą</w:t>
                              </w:r>
                              <w:r>
                                <w:t xml:space="preserve"> </w:t>
                              </w:r>
                              <w:r>
                                <w:rPr>
                                  <w:b/>
                                  <w:bCs/>
                                </w:rPr>
                                <w:t>planus</w:t>
                              </w:r>
                              <w:r>
                                <w:t xml:space="preserve">, </w:t>
                              </w:r>
                              <w:r>
                                <w:rPr>
                                  <w:strike/>
                                </w:rPr>
                                <w:t>kuriame</w:t>
                              </w:r>
                              <w:r>
                                <w:t xml:space="preserve"> </w:t>
                              </w:r>
                              <w:r>
                                <w:rPr>
                                  <w:b/>
                                  <w:bCs/>
                                </w:rPr>
                                <w:t>kuriuose</w:t>
                              </w:r>
                              <w:r>
                                <w:t xml:space="preserve"> nustatomas detaliojo plano teritorijos naudojimo reglamentas) planus, informuojami Nuostatų 4 punkte nustatyta tvarka ir naudojantis TPDRIS </w:t>
                              </w:r>
                              <w:r>
                                <w:rPr>
                                  <w:strike/>
                                </w:rPr>
                                <w:t>arba ŽPDRIS (kai rengiami specialiojo teritorijų planavimo žemėtvarkos dokumentai)</w:t>
                              </w:r>
                              <w:r>
                                <w:t>. Rengiant valstybei svarbių projektų teritorijų planavimo dokumentus, vadovaujamasi Teritorijų planavimo įstatymo 23 straipsnio 4 dalimi;</w:t>
                              </w:r>
                            </w:p>
                          </w:sdtContent>
                        </w:sdt>
                        <w:sdt>
                          <w:sdtPr>
                            <w:alias w:val="20.4 pp."/>
                            <w:tag w:val="part_b83c615e4dcc4459a75db180c127c121"/>
                            <w:lock w:val="sdtLocked"/>
                            <w:richText/>
                          </w:sdtPr>
                          <w:sdtContent>
                            <w:p w14:paraId="7E043E1F" w14:textId="08A50FFE">
                              <w:pPr>
                                <w:spacing w:line="276" w:lineRule="auto"/>
                                <w:ind w:firstLine="720"/>
                                <w:jc w:val="both"/>
                                <w:rPr>
                                  <w:b/>
                                  <w:bCs/>
                                  <w:szCs w:val="24"/>
                                  <w:lang w:eastAsia="lt-LT"/>
                                </w:rPr>
                              </w:pPr>
                              <w:sdt>
                                <w:sdtPr>
                                  <w:alias w:val="Numeris"/>
                                  <w:tag w:val="nr_b83c615e4dcc4459a75db180c127c121"/>
                                  <w:lock w:val="sdtLocked"/>
                                  <w:richText/>
                                </w:sdtPr>
                                <w:sdtContent>
                                  <w:r>
                                    <w:rPr>
                                      <w:b/>
                                      <w:bCs/>
                                      <w:lang w:eastAsia="lt-LT"/>
                                    </w:rPr>
                                    <w:t>20.4</w:t>
                                  </w:r>
                                </w:sdtContent>
                              </w:sdt>
                              <w:r>
                                <w:rPr>
                                  <w:b/>
                                  <w:bCs/>
                                  <w:lang w:eastAsia="lt-LT"/>
                                </w:rPr>
                                <w:t>. kai rengiami, keičiami ar koreguojami detalieji planai (ar vietovės lygmens bendrieji planai, kuriuose nustatomas detaliųjų planų teritorijos naudojimo reglamentas), išskyrus atvejus, kai detalusis planas (arba vietovės lygmens bendrasis planas, kuriame nustatomas detaliųjų planų teritorijos naudojimo reglamentas) koreguojamas Teritorijų planavimo įstatymo 28 straipsnio 9 dalyje nustatytais atvejais ar taisomos techninės klaidos, Nuostatų 20.1 papunktyje nurodyta informacija papildomai įrašoma prie planuojamos teritorijos ribų planavimo organizatoriaus nurodytoje vietoje (vietose) ir nurodytų matmenų įrengtame informaciniame stende (stenduose).</w:t>
                              </w:r>
                              <w:r>
                                <w:rPr>
                                  <w:b/>
                                  <w:bCs/>
                                  <w:szCs w:val="24"/>
                                  <w:lang w:eastAsia="lt-LT"/>
                                </w:rPr>
                                <w:t>“</w:t>
                              </w:r>
                            </w:p>
                          </w:sdtContent>
                        </w:sdt>
                      </w:sdtContent>
                    </w:sdt>
                  </w:sdtContent>
                </w:sdt>
              </w:sdtContent>
            </w:sdt>
            <w:sdt>
              <w:sdtPr>
                <w:alias w:val="1.9 pp."/>
                <w:tag w:val="part_a0c9de55f073489682efa4354a300fd4"/>
                <w:lock w:val="sdtLocked"/>
                <w:richText/>
              </w:sdtPr>
              <w:sdtContent>
                <w:p w14:paraId="2C0674FE" w14:textId="7FE5019F">
                  <w:pPr>
                    <w:spacing w:line="276" w:lineRule="auto"/>
                    <w:ind w:firstLine="720"/>
                    <w:jc w:val="both"/>
                  </w:pPr>
                  <w:sdt>
                    <w:sdtPr>
                      <w:alias w:val="Numeris"/>
                      <w:tag w:val="nr_a0c9de55f073489682efa4354a300fd4"/>
                      <w:lock w:val="sdtLocked"/>
                      <w:richText/>
                    </w:sdtPr>
                    <w:sdtContent>
                      <w:r>
                        <w:rPr>
                          <w:szCs w:val="24"/>
                          <w:lang w:eastAsia="lt-LT"/>
                        </w:rPr>
                        <w:t>1.9</w:t>
                      </w:r>
                    </w:sdtContent>
                  </w:sdt>
                  <w:r>
                    <w:rPr>
                      <w:szCs w:val="24"/>
                      <w:lang w:eastAsia="lt-LT"/>
                    </w:rPr>
                    <w:t xml:space="preserve">. </w:t>
                  </w:r>
                  <w:r>
                    <w:t>Pakeisti 22 punktą ir jį išdėstyti taip:</w:t>
                  </w:r>
                </w:p>
                <w:sdt>
                  <w:sdtPr>
                    <w:alias w:val="citata"/>
                    <w:tag w:val="part_cc52c2659af9459b81a5e30648e9b035"/>
                    <w:lock w:val="sdtLocked"/>
                    <w:richText/>
                  </w:sdtPr>
                  <w:sdtContent>
                    <w:sdt>
                      <w:sdtPr>
                        <w:alias w:val="22 p."/>
                        <w:tag w:val="part_ec20b2b0b57c4bd1bbc2b8f0bb4cac84"/>
                        <w:lock w:val="sdtLocked"/>
                        <w:richText/>
                      </w:sdtPr>
                      <w:sdtContent>
                        <w:p w14:paraId="39DAB969" w14:textId="77777777">
                          <w:pPr>
                            <w:tabs>
                              <w:tab w:val="left" w:pos="993"/>
                            </w:tabs>
                            <w:suppressAutoHyphens/>
                            <w:spacing w:line="276" w:lineRule="auto"/>
                            <w:ind w:firstLine="720"/>
                            <w:jc w:val="both"/>
                          </w:pPr>
                          <w:r>
                            <w:t>„</w:t>
                          </w:r>
                          <w:sdt>
                            <w:sdtPr>
                              <w:alias w:val="Numeris"/>
                              <w:tag w:val="nr_ec20b2b0b57c4bd1bbc2b8f0bb4cac84"/>
                              <w:lock w:val="sdtLocked"/>
                              <w:richText/>
                            </w:sdtPr>
                            <w:sdtContent>
                              <w:r>
                                <w:t>22</w:t>
                              </w:r>
                            </w:sdtContent>
                          </w:sdt>
                          <w:r>
                            <w:t>. Parengus teritorijų planavimo dokumento projektą, planavimo organizatorius ar jo įgaliotas asmuo:</w:t>
                          </w:r>
                        </w:p>
                        <w:sdt>
                          <w:sdtPr>
                            <w:alias w:val="22.1 pp."/>
                            <w:tag w:val="part_97fc0e2d360b48f68af8eca43b2c8653"/>
                            <w:lock w:val="sdtLocked"/>
                            <w:richText/>
                          </w:sdtPr>
                          <w:sdtContent>
                            <w:p w14:paraId="7AE81181" w14:textId="5CCACED3">
                              <w:pPr>
                                <w:tabs>
                                  <w:tab w:val="left" w:pos="993"/>
                                </w:tabs>
                                <w:suppressAutoHyphens/>
                                <w:spacing w:line="276" w:lineRule="auto"/>
                                <w:ind w:firstLine="720"/>
                                <w:jc w:val="both"/>
                              </w:pPr>
                              <w:sdt>
                                <w:sdtPr>
                                  <w:alias w:val="Numeris"/>
                                  <w:tag w:val="nr_97fc0e2d360b48f68af8eca43b2c8653"/>
                                  <w:lock w:val="sdtLocked"/>
                                  <w:richText/>
                                </w:sdtPr>
                                <w:sdtContent>
                                  <w:r>
                                    <w:t>22.1</w:t>
                                  </w:r>
                                </w:sdtContent>
                              </w:sdt>
                              <w:r>
                                <w:t xml:space="preserve">. vadovaudamasis Nuostatų 4 punktu, informuoja planuojamos teritorijos ir kaimyninių žemės sklypų valdytojus ar naudotojus, nurodydamas, kur galima susipažinti su parengtais detaliojo plano dokumento sprendiniais (jei į planuojamą teritoriją ir (ar) kaimyninį žemės sklypą patenka gyvenamosios paskirties daugiabutis pastatas, apie koreguojamą teritorijų planavimo dokumentą informuojama daugiabučio gyvenamojo namo savininkų bendrija ar kitas bendrojo naudojimo objektų valdytojas, kuris apie tai per 5 darbo dienas </w:t>
                              </w:r>
                              <w:r>
                                <w:rPr>
                                  <w:strike/>
                                </w:rPr>
                                <w:t>raštu</w:t>
                              </w:r>
                              <w:r>
                                <w:rPr>
                                  <w:b/>
                                  <w:bCs/>
                                </w:rPr>
                                <w:t xml:space="preserve"> </w:t>
                              </w:r>
                              <w:r>
                                <w:rPr>
                                  <w:b/>
                                  <w:bCs/>
                                  <w:szCs w:val="24"/>
                                </w:rPr>
                                <w:t>el. pranešimu ar pranešimą įmetant į pašto dėžutes, ir informaciją paskelbdamas kiekvienos daugiabučio namo laiptinės skelbimų lentoje</w:t>
                              </w:r>
                              <w:r>
                                <w:t xml:space="preserve"> praneša butų ir kitų patalpų savininkams);</w:t>
                              </w:r>
                            </w:p>
                          </w:sdtContent>
                        </w:sdt>
                        <w:sdt>
                          <w:sdtPr>
                            <w:alias w:val="22.2 pp."/>
                            <w:tag w:val="part_899f9b0b05e24891ba576d5164375706"/>
                            <w:lock w:val="sdtLocked"/>
                            <w:richText/>
                          </w:sdtPr>
                          <w:sdtContent>
                            <w:p w14:paraId="33F48284" w14:textId="6714FEBE">
                              <w:pPr>
                                <w:tabs>
                                  <w:tab w:val="left" w:pos="993"/>
                                </w:tabs>
                                <w:suppressAutoHyphens/>
                                <w:spacing w:line="276" w:lineRule="auto"/>
                                <w:ind w:firstLine="720"/>
                                <w:jc w:val="both"/>
                              </w:pPr>
                              <w:sdt>
                                <w:sdtPr>
                                  <w:alias w:val="Numeris"/>
                                  <w:tag w:val="nr_899f9b0b05e24891ba576d5164375706"/>
                                  <w:lock w:val="sdtLocked"/>
                                  <w:richText/>
                                </w:sdtPr>
                                <w:sdtContent>
                                  <w:r>
                                    <w:t>22.2</w:t>
                                  </w:r>
                                </w:sdtContent>
                              </w:sdt>
                              <w:r>
                                <w:t xml:space="preserve">. vadovaudamasis Nuostatų 4 punktu, Teritorijų planavimo įstatymo 35 straipsnio 5 dalyje nurodytais atvejais informuoja žemės sklypų valdytojus ir naudotojus apie detaliojo plano (ar bendrojo plano, kuriame nustatomas detaliųjų planų teritorijos naudojimo reglamentas) </w:t>
                              </w:r>
                              <w:r>
                                <w:rPr>
                                  <w:b/>
                                  <w:bCs/>
                                </w:rPr>
                                <w:t>parengimą, nurodydamas, kur galima susipažinti su parengtais detaliojo plano dokumento sprendiniais, ir jo</w:t>
                              </w:r>
                              <w:r>
                                <w:t xml:space="preserve"> viešo svarstymo vietą ir laiką. </w:t>
                              </w:r>
                              <w:r>
                                <w:rPr>
                                  <w:strike/>
                                </w:rPr>
                                <w:t>Jeigu teritorijų planavimo dokumente nustačius Specialiųjų žemės naudojimo sąlygų įstatyme nurodytas teritorijas suvaržomos teisės naudotis žemės sklypu, kuriame stovi daugiabutis namas, apie teritorijų planavimo dokumento projektą, viešo svarstymo vietą ir laiką informuojama daugiabučio gyvenamojo namo savininkų bendrija ar kitas bendrojo naudojimo objektų valdytojas, kuris apie tai per 5 darbo dienas raštu praneša butų ir kitų patalpų savininkams;</w:t>
                              </w:r>
                            </w:p>
                          </w:sdtContent>
                        </w:sdt>
                        <w:sdt>
                          <w:sdtPr>
                            <w:alias w:val="22.3 pp."/>
                            <w:tag w:val="part_51cdaba320934160aeef9ae1c0b43c0b"/>
                            <w:lock w:val="sdtLocked"/>
                            <w:richText/>
                          </w:sdtPr>
                          <w:sdtContent>
                            <w:p w14:paraId="0885DE27" w14:textId="45DA081F">
                              <w:pPr>
                                <w:spacing w:line="276" w:lineRule="auto"/>
                                <w:ind w:firstLine="720"/>
                                <w:jc w:val="both"/>
                                <w:rPr>
                                  <w:lang w:eastAsia="lt-LT"/>
                                </w:rPr>
                              </w:pPr>
                              <w:sdt>
                                <w:sdtPr>
                                  <w:alias w:val="Numeris"/>
                                  <w:tag w:val="nr_51cdaba320934160aeef9ae1c0b43c0b"/>
                                  <w:lock w:val="sdtLocked"/>
                                  <w:richText/>
                                </w:sdtPr>
                                <w:sdtContent>
                                  <w:r>
                                    <w:t>22.3</w:t>
                                  </w:r>
                                </w:sdtContent>
                              </w:sdt>
                              <w:r>
                                <w:t xml:space="preserve">. </w:t>
                              </w:r>
                              <w:r>
                                <w:rPr>
                                  <w:strike/>
                                  <w:lang w:eastAsia="lt-LT"/>
                                </w:rPr>
                                <w:t xml:space="preserve">atlieka Nuostatų 11 punkte nurodytas viešo supažindinimo su parengtu teritorijų planavimo dokumentu procedūras. </w:t>
                              </w:r>
                              <w:r>
                                <w:rPr>
                                  <w:b/>
                                  <w:bCs/>
                                  <w:szCs w:val="24"/>
                                  <w:lang w:eastAsia="lt-LT"/>
                                </w:rPr>
                                <w:t>kai rengiami, keičiami ar koreguojami detalieji planai (ar vietovės lygmens bendrieji planai, kuriuose nustatomas detaliųjų planų teritorijos naudojimo reglamentas), prie planuojamos teritorijos ribų planavimo organizatoriaus nurodytoje vietoje (vietose) ir jo nurodytų matmenų įrengtame informaciniame stende (stenduose) ne vėliau kaip prieš 5 darbo dienas iki viešinimo procedūros pradžios nurodo viešos ekspozicijos, viešo svarstymo, konsultavimosi ar baigiamojo susirinkimo vietą ir laiką, pasiūlymų priėmimo tvarką; skelbime nurodomi planavimo organizatoriaus ir plano rengėjo adresai ir telefonų numeriai, elektroninis paštas ir interneto svetainė;</w:t>
                              </w:r>
                              <w:r>
                                <w:rPr>
                                  <w:lang w:eastAsia="lt-LT"/>
                                </w:rPr>
                                <w:t>“</w:t>
                              </w:r>
                            </w:p>
                          </w:sdtContent>
                        </w:sdt>
                      </w:sdtContent>
                    </w:sdt>
                  </w:sdtContent>
                </w:sdt>
              </w:sdtContent>
            </w:sdt>
            <w:sdt>
              <w:sdtPr>
                <w:alias w:val="22.4 pp."/>
                <w:tag w:val="part_061822f2f59049f89dc9c0c9fb6f6915"/>
                <w:lock w:val="sdtLocked"/>
                <w:richText/>
              </w:sdtPr>
              <w:sdtContent>
                <w:p w14:paraId="5ACA2A00" w14:textId="77777777">
                  <w:pPr>
                    <w:spacing w:line="276" w:lineRule="auto"/>
                    <w:ind w:firstLine="720"/>
                    <w:jc w:val="both"/>
                    <w:rPr>
                      <w:b/>
                      <w:bCs/>
                      <w:highlight w:val="green"/>
                      <w:lang w:eastAsia="lt-LT"/>
                    </w:rPr>
                  </w:pPr>
                  <w:r>
                    <w:rPr>
                      <w:b/>
                      <w:bCs/>
                      <w:lang w:eastAsia="lt-LT"/>
                    </w:rPr>
                    <w:t>„</w:t>
                  </w:r>
                  <w:sdt>
                    <w:sdtPr>
                      <w:alias w:val="Numeris"/>
                      <w:tag w:val="nr_061822f2f59049f89dc9c0c9fb6f6915"/>
                      <w:lock w:val="sdtLocked"/>
                      <w:richText/>
                    </w:sdtPr>
                    <w:sdtContent>
                      <w:r>
                        <w:rPr>
                          <w:b/>
                          <w:bCs/>
                          <w:lang w:eastAsia="lt-LT"/>
                        </w:rPr>
                        <w:t>22.4</w:t>
                      </w:r>
                    </w:sdtContent>
                  </w:sdt>
                  <w:r>
                    <w:rPr>
                      <w:b/>
                      <w:bCs/>
                      <w:lang w:eastAsia="lt-LT"/>
                    </w:rPr>
                    <w:t>. atlieka Nuostatų 11 punkte nurodytas viešo supažindinimo su parengtu teritorijų planavimo dokumentu procedūras.</w:t>
                  </w:r>
                  <w:r>
                    <w:rPr>
                      <w:lang w:eastAsia="lt-LT"/>
                    </w:rPr>
                    <w:t>“</w:t>
                  </w:r>
                </w:p>
              </w:sdtContent>
            </w:sdt>
            <w:sdt>
              <w:sdtPr>
                <w:alias w:val="1.10 pp."/>
                <w:tag w:val="part_9d943bf5c0234b9ab0bc3013c6374fc9"/>
                <w:lock w:val="sdtLocked"/>
                <w:richText/>
              </w:sdtPr>
              <w:sdtContent>
                <w:p w14:paraId="443D3617" w14:textId="28475E4F">
                  <w:pPr>
                    <w:tabs>
                      <w:tab w:val="left" w:pos="993"/>
                    </w:tabs>
                    <w:suppressAutoHyphens/>
                    <w:spacing w:line="276" w:lineRule="auto"/>
                    <w:ind w:firstLine="720"/>
                    <w:jc w:val="both"/>
                    <w:rPr>
                      <w:szCs w:val="24"/>
                      <w:lang w:eastAsia="lt-LT"/>
                    </w:rPr>
                  </w:pPr>
                  <w:sdt>
                    <w:sdtPr>
                      <w:alias w:val="Numeris"/>
                      <w:tag w:val="nr_9d943bf5c0234b9ab0bc3013c6374fc9"/>
                      <w:lock w:val="sdtLocked"/>
                      <w:richText/>
                    </w:sdtPr>
                    <w:sdtContent>
                      <w:r>
                        <w:rPr>
                          <w:szCs w:val="24"/>
                          <w:lang w:eastAsia="lt-LT"/>
                        </w:rPr>
                        <w:t>1.10</w:t>
                      </w:r>
                    </w:sdtContent>
                  </w:sdt>
                  <w:r>
                    <w:rPr>
                      <w:szCs w:val="24"/>
                      <w:lang w:eastAsia="lt-LT"/>
                    </w:rPr>
                    <w:t xml:space="preserve">. </w:t>
                  </w:r>
                  <w:r>
                    <w:t>Pakeisti 23 punktą ir jį išdėstyti taip:</w:t>
                  </w:r>
                </w:p>
                <w:sdt>
                  <w:sdtPr>
                    <w:alias w:val="citata"/>
                    <w:tag w:val="part_0be403f2d33c4f70ada2dcdd4063807c"/>
                    <w:lock w:val="sdtLocked"/>
                    <w:richText/>
                  </w:sdtPr>
                  <w:sdtContent>
                    <w:sdt>
                      <w:sdtPr>
                        <w:alias w:val="23 p."/>
                        <w:tag w:val="part_39d7b325ab874d56aacb3cc797154e81"/>
                        <w:lock w:val="sdtLocked"/>
                        <w:richText/>
                      </w:sdtPr>
                      <w:sdtContent>
                        <w:p w14:paraId="2DFE9A50" w14:textId="7A0F2CD0">
                          <w:pPr>
                            <w:tabs>
                              <w:tab w:val="left" w:pos="993"/>
                            </w:tabs>
                            <w:suppressAutoHyphens/>
                            <w:spacing w:line="276" w:lineRule="auto"/>
                            <w:ind w:firstLine="720"/>
                            <w:jc w:val="both"/>
                          </w:pPr>
                          <w:r>
                            <w:rPr>
                              <w:szCs w:val="24"/>
                              <w:lang w:eastAsia="lt-LT"/>
                            </w:rPr>
                            <w:t>„</w:t>
                          </w:r>
                          <w:sdt>
                            <w:sdtPr>
                              <w:alias w:val="Numeris"/>
                              <w:tag w:val="nr_39d7b325ab874d56aacb3cc797154e81"/>
                              <w:lock w:val="sdtLocked"/>
                              <w:richText/>
                            </w:sdtPr>
                            <w:sdtContent>
                              <w:r>
                                <w:rPr>
                                  <w:lang w:eastAsia="lt-LT"/>
                                </w:rPr>
                                <w:t>23</w:t>
                              </w:r>
                            </w:sdtContent>
                          </w:sdt>
                          <w:r>
                            <w:rPr>
                              <w:lang w:eastAsia="lt-LT"/>
                            </w:rPr>
                            <w:t xml:space="preserve">. Supaprastinta teritorijų planavimo dokumentų viešinimo procedūrų tvarka taikoma  koreguojant kompleksinio teritorijų planavimo dokumentus Teritorijų planavimo įstatymo 28 straipsnio 9 dalyje nustatytais atvejais ir specialiojo teritorijų planavimo dokumentus. Taisant teritorijų planavimo dokumento techninę klaidą, visuomenė informuojama Teritorijų planavimo įstatymo 28 straipsnio 12 dalyje arba 30 straipsnio 7 dalies 1 punkte nustatyta tvarka. </w:t>
                          </w:r>
                          <w:r>
                            <w:rPr>
                              <w:strike/>
                            </w:rPr>
                            <w:t>Taisant technines klaidas ir koreguojant specialiojo teritorijų planavimo žemėtvarkos dokumentus, visuomenė informuojama ŽPDRIS ir planavimo organizatoriaus interneto svetainėje</w:t>
                          </w:r>
                          <w:r>
                            <w:rPr>
                              <w:b/>
                              <w:bCs/>
                              <w:strike/>
                            </w:rPr>
                            <w:t>,</w:t>
                          </w:r>
                          <w:r>
                            <w:rPr>
                              <w:strike/>
                            </w:rPr>
                            <w:t xml:space="preserve"> (jei planavimo organizatorius ją turi)</w:t>
                          </w:r>
                          <w:r>
                            <w:t>.“</w:t>
                          </w:r>
                        </w:p>
                      </w:sdtContent>
                    </w:sdt>
                  </w:sdtContent>
                </w:sdt>
              </w:sdtContent>
            </w:sdt>
            <w:sdt>
              <w:sdtPr>
                <w:alias w:val="1.11 pp."/>
                <w:tag w:val="part_f9cdbaaf0e174ccc99cfb02868a8c8e8"/>
                <w:lock w:val="sdtLocked"/>
                <w:richText/>
              </w:sdtPr>
              <w:sdtContent>
                <w:p w14:paraId="05B7FFD5" w14:textId="761A3209">
                  <w:pPr>
                    <w:tabs>
                      <w:tab w:val="left" w:pos="993"/>
                    </w:tabs>
                    <w:suppressAutoHyphens/>
                    <w:spacing w:line="276" w:lineRule="auto"/>
                    <w:ind w:firstLine="720"/>
                    <w:jc w:val="both"/>
                    <w:rPr>
                      <w:szCs w:val="24"/>
                      <w:lang w:eastAsia="lt-LT"/>
                    </w:rPr>
                  </w:pPr>
                  <w:sdt>
                    <w:sdtPr>
                      <w:alias w:val="Numeris"/>
                      <w:tag w:val="nr_f9cdbaaf0e174ccc99cfb02868a8c8e8"/>
                      <w:lock w:val="sdtLocked"/>
                      <w:richText/>
                    </w:sdtPr>
                    <w:sdtContent>
                      <w:r>
                        <w:rPr>
                          <w:szCs w:val="24"/>
                          <w:lang w:eastAsia="lt-LT"/>
                        </w:rPr>
                        <w:t>1.11</w:t>
                      </w:r>
                    </w:sdtContent>
                  </w:sdt>
                  <w:r>
                    <w:rPr>
                      <w:szCs w:val="24"/>
                      <w:lang w:eastAsia="lt-LT"/>
                    </w:rPr>
                    <w:t xml:space="preserve">. </w:t>
                  </w:r>
                  <w:r>
                    <w:t>Pakeisti 24.1 papunktį ir jį išdėstyti taip:</w:t>
                  </w:r>
                </w:p>
                <w:sdt>
                  <w:sdtPr>
                    <w:alias w:val="citata"/>
                    <w:tag w:val="part_c66d0b7ce851414ab45c6ea48f3f06fb"/>
                    <w:lock w:val="sdtLocked"/>
                    <w:richText/>
                  </w:sdtPr>
                  <w:sdtContent>
                    <w:sdt>
                      <w:sdtPr>
                        <w:alias w:val="24.1 pp."/>
                        <w:tag w:val="part_2b7aa54c707c4005a36e20dba5725421"/>
                        <w:lock w:val="sdtLocked"/>
                        <w:richText/>
                      </w:sdtPr>
                      <w:sdtContent>
                        <w:p w14:paraId="738AC6EE" w14:textId="216DA645">
                          <w:pPr>
                            <w:tabs>
                              <w:tab w:val="left" w:pos="993"/>
                            </w:tabs>
                            <w:suppressAutoHyphens/>
                            <w:spacing w:line="276" w:lineRule="auto"/>
                            <w:ind w:firstLine="720"/>
                            <w:jc w:val="both"/>
                          </w:pPr>
                          <w:r>
                            <w:rPr>
                              <w:szCs w:val="24"/>
                              <w:lang w:eastAsia="lt-LT"/>
                            </w:rPr>
                            <w:t>„</w:t>
                          </w:r>
                          <w:sdt>
                            <w:sdtPr>
                              <w:alias w:val="Numeris"/>
                              <w:tag w:val="nr_2b7aa54c707c4005a36e20dba5725421"/>
                              <w:lock w:val="sdtLocked"/>
                              <w:richText/>
                            </w:sdtPr>
                            <w:sdtContent>
                              <w:r>
                                <w:t>24.1</w:t>
                              </w:r>
                            </w:sdtContent>
                          </w:sdt>
                          <w:r>
                            <w:t xml:space="preserve">. ne vėliau kaip per 5 darbo dienas nuo sprendimo dėl teritorijų planavimo dokumento koregavimo pradžios ir planavimo tikslų priėmimo dienos skelbia informaciją visuomenei (nurodydamas planavimo tikslus ir uždavinius, planavimo darbų programą, sprendimą, informaciją apie SPAV, pasiūlymų teikimo, susipažinimo su parengtais teritorijų planavimo dokumentais tvarką) šiais būdais: TPDRIS </w:t>
                          </w:r>
                          <w:r>
                            <w:rPr>
                              <w:strike/>
                            </w:rPr>
                            <w:t>ar ŽPDRIS</w:t>
                          </w:r>
                          <w:r>
                            <w:t>, planavimo organizatoriaus buveinėje ir jo interneto svetainėje (išskyrus atvejus, kai kaimo plėtros žemėtvarkos projektus organizuojantys fiziniai asmenys neturi interneto svetainės), sprendimą priėmusios institucijos interneto svetainėje</w:t>
                          </w:r>
                          <w:r>
                            <w:rPr>
                              <w:b/>
                              <w:bCs/>
                            </w:rPr>
                            <w:t>,</w:t>
                          </w:r>
                          <w:r>
                            <w:t xml:space="preserve"> </w:t>
                          </w:r>
                          <w:r>
                            <w:rPr>
                              <w:strike/>
                            </w:rPr>
                            <w:t>ir</w:t>
                          </w:r>
                          <w:r>
                            <w:t xml:space="preserve"> </w:t>
                          </w:r>
                          <w:r>
                            <w:rPr>
                              <w:b/>
                              <w:bCs/>
                            </w:rPr>
                            <w:t>koreguojant savivaldybės lygmens ir vietovės lygmens dokumentą</w:t>
                          </w:r>
                          <w:r>
                            <w:t xml:space="preserve"> – </w:t>
                          </w:r>
                          <w:r>
                            <w:rPr>
                              <w:b/>
                              <w:bCs/>
                            </w:rPr>
                            <w:t>ir</w:t>
                          </w:r>
                          <w:r>
                            <w:t xml:space="preserve"> seniūnijų, kurių teritorijoje yra planuojama teritorija, skelbimų lentose </w:t>
                          </w:r>
                          <w:r>
                            <w:rPr>
                              <w:b/>
                              <w:bCs/>
                              <w:lang w:eastAsia="lt-LT"/>
                            </w:rPr>
                            <w:t>bei</w:t>
                          </w:r>
                          <w:r>
                            <w:rPr>
                              <w:lang w:eastAsia="lt-LT"/>
                            </w:rPr>
                            <w:t xml:space="preserve"> </w:t>
                          </w:r>
                          <w:r>
                            <w:rPr>
                              <w:b/>
                              <w:bCs/>
                              <w:szCs w:val="24"/>
                              <w:lang w:eastAsia="lt-LT"/>
                            </w:rPr>
                            <w:t>pranešimuose (siunčiamuose elektroniniu paštu) planuojamoje teritorijoje esančių seniūnijų seniūnams</w:t>
                          </w:r>
                          <w:r>
                            <w:rPr>
                              <w:szCs w:val="24"/>
                              <w:lang w:eastAsia="lt-LT"/>
                            </w:rPr>
                            <w:t xml:space="preserve"> </w:t>
                          </w:r>
                          <w:r>
                            <w:rPr>
                              <w:b/>
                              <w:bCs/>
                              <w:szCs w:val="24"/>
                              <w:lang w:eastAsia="lt-LT"/>
                            </w:rPr>
                            <w:t>ir seniūnaičiams</w:t>
                          </w:r>
                          <w:r>
                            <w:rPr>
                              <w:szCs w:val="24"/>
                              <w:lang w:eastAsia="lt-LT"/>
                            </w:rPr>
                            <w:t xml:space="preserve"> </w:t>
                          </w:r>
                          <w:r>
                            <w:rPr>
                              <w:strike/>
                            </w:rPr>
                            <w:t>(koreguojant savivaldybės lygmens ir vietovės lygmens dokumentą)</w:t>
                          </w:r>
                          <w:r>
                            <w:t>;“.</w:t>
                          </w:r>
                        </w:p>
                      </w:sdtContent>
                    </w:sdt>
                  </w:sdtContent>
                </w:sdt>
              </w:sdtContent>
            </w:sdt>
            <w:sdt>
              <w:sdtPr>
                <w:alias w:val="1.12 pp."/>
                <w:tag w:val="part_cac50485de90473f8253f6ed8817e52f"/>
                <w:lock w:val="sdtLocked"/>
                <w:richText/>
              </w:sdtPr>
              <w:sdtContent>
                <w:p w14:paraId="64E99F23" w14:textId="70F5200B">
                  <w:pPr>
                    <w:tabs>
                      <w:tab w:val="left" w:pos="993"/>
                    </w:tabs>
                    <w:suppressAutoHyphens/>
                    <w:spacing w:line="276" w:lineRule="auto"/>
                    <w:ind w:firstLine="720"/>
                  </w:pPr>
                  <w:sdt>
                    <w:sdtPr>
                      <w:alias w:val="Numeris"/>
                      <w:tag w:val="nr_cac50485de90473f8253f6ed8817e52f"/>
                      <w:lock w:val="sdtLocked"/>
                      <w:richText/>
                    </w:sdtPr>
                    <w:sdtContent>
                      <w:r>
                        <w:t>1.12</w:t>
                      </w:r>
                    </w:sdtContent>
                  </w:sdt>
                  <w:r>
                    <w:t xml:space="preserve">. Pakeisti III skyriaus antrąjį skirsnį ir jį išdėstyti taip: </w:t>
                  </w:r>
                </w:p>
                <w:sdt>
                  <w:sdtPr>
                    <w:alias w:val="citata"/>
                    <w:tag w:val="part_afc28b55433a4b028c19fe250fbc340e"/>
                    <w:lock w:val="sdtLocked"/>
                    <w:richText/>
                  </w:sdtPr>
                  <w:sdtContent>
                    <w:sdt>
                      <w:sdtPr>
                        <w:alias w:val="skirsnis"/>
                        <w:tag w:val="part_d76a84a01e7b47afb9bbaea6a821f5cf"/>
                        <w:lock w:val="sdtLocked"/>
                        <w:richText/>
                      </w:sdtPr>
                      <w:sdtContent>
                        <w:p w14:paraId="76F26ECD" w14:textId="1A4AB83A">
                          <w:pPr>
                            <w:jc w:val="center"/>
                            <w:rPr>
                              <w:szCs w:val="24"/>
                              <w:lang w:eastAsia="lt-LT"/>
                            </w:rPr>
                          </w:pPr>
                          <w:r>
                            <w:rPr>
                              <w:szCs w:val="24"/>
                              <w:lang w:eastAsia="lt-LT"/>
                            </w:rPr>
                            <w:t>„</w:t>
                          </w:r>
                          <w:sdt>
                            <w:sdtPr>
                              <w:alias w:val="Numeris"/>
                              <w:tag w:val="nr_d76a84a01e7b47afb9bbaea6a821f5cf"/>
                              <w:lock w:val="sdtLocked"/>
                              <w:richText/>
                            </w:sdtPr>
                            <w:sdtContent>
                              <w:r>
                                <w:rPr>
                                  <w:szCs w:val="24"/>
                                  <w:lang w:eastAsia="lt-LT"/>
                                </w:rPr>
                                <w:t>ANTRASIS</w:t>
                              </w:r>
                            </w:sdtContent>
                          </w:sdt>
                          <w:r>
                            <w:rPr>
                              <w:szCs w:val="24"/>
                              <w:lang w:eastAsia="lt-LT"/>
                            </w:rPr>
                            <w:t> SKIRSNIS</w:t>
                          </w:r>
                        </w:p>
                        <w:p w14:paraId="4D919965" w14:textId="7C5C9FE8">
                          <w:pPr>
                            <w:jc w:val="center"/>
                            <w:rPr>
                              <w:b/>
                              <w:bCs/>
                              <w:szCs w:val="24"/>
                              <w:lang w:eastAsia="lt-LT"/>
                            </w:rPr>
                          </w:pPr>
                          <w:sdt>
                            <w:sdtPr>
                              <w:alias w:val="Pavadinimas"/>
                              <w:tag w:val="title_d76a84a01e7b47afb9bbaea6a821f5cf"/>
                              <w:lock w:val="sdtLocked"/>
                              <w:richText/>
                            </w:sdtPr>
                            <w:sdtContent>
                              <w:r>
                                <w:rPr>
                                  <w:szCs w:val="24"/>
                                  <w:lang w:eastAsia="lt-LT"/>
                                </w:rPr>
                                <w:t>KOREGUOJAMO DETALIOJO PLANO</w:t>
                              </w:r>
                              <w:r>
                                <w:rPr>
                                  <w:b/>
                                  <w:bCs/>
                                  <w:szCs w:val="24"/>
                                  <w:lang w:eastAsia="lt-LT"/>
                                </w:rPr>
                                <w:t xml:space="preserve"> ARBA VIETOVĖS LYGMENS BENDROJO PLANO, KURIAME NUSTATOMAS DETALIŲJŲ PLANŲ TERITORIJOS NAUDOJIMO REGLAMENTAS, </w:t>
                              </w:r>
                              <w:r>
                                <w:rPr>
                                  <w:szCs w:val="24"/>
                                  <w:lang w:eastAsia="lt-LT"/>
                                </w:rPr>
                                <w:t>VIEŠINIMAS</w:t>
                              </w:r>
                            </w:sdtContent>
                          </w:sdt>
                        </w:p>
                        <w:p w14:paraId="53F742B2" w14:textId="77777777">
                          <w:pPr>
                            <w:jc w:val="center"/>
                            <w:rPr>
                              <w:szCs w:val="24"/>
                              <w:lang w:eastAsia="lt-LT"/>
                            </w:rPr>
                          </w:pPr>
                        </w:p>
                        <w:sdt>
                          <w:sdtPr>
                            <w:alias w:val="26 p."/>
                            <w:tag w:val="part_a08dc7d5b31e488a9d77930ebde01906"/>
                            <w:lock w:val="sdtLocked"/>
                            <w:richText/>
                          </w:sdtPr>
                          <w:sdtContent>
                            <w:p w14:paraId="0CC67D31" w14:textId="086F714F">
                              <w:pPr>
                                <w:spacing w:line="276" w:lineRule="auto"/>
                                <w:ind w:firstLine="720"/>
                                <w:jc w:val="both"/>
                                <w:rPr>
                                  <w:szCs w:val="24"/>
                                  <w:lang w:eastAsia="lt-LT"/>
                                </w:rPr>
                              </w:pPr>
                              <w:sdt>
                                <w:sdtPr>
                                  <w:alias w:val="Numeris"/>
                                  <w:tag w:val="nr_a08dc7d5b31e488a9d77930ebde01906"/>
                                  <w:lock w:val="sdtLocked"/>
                                  <w:richText/>
                                </w:sdtPr>
                                <w:sdtContent>
                                  <w:r>
                                    <w:rPr>
                                      <w:szCs w:val="24"/>
                                      <w:lang w:eastAsia="lt-LT"/>
                                    </w:rPr>
                                    <w:t>26</w:t>
                                  </w:r>
                                </w:sdtContent>
                              </w:sdt>
                              <w:r>
                                <w:rPr>
                                  <w:szCs w:val="24"/>
                                  <w:lang w:eastAsia="lt-LT"/>
                                </w:rPr>
                                <w:t xml:space="preserve">. Planavimo organizatorius ar jo įgaliotas asmuo, Teritorijų planavimo įstatymo 28 straipsnio 9 dalyje nustatytais atvejais koreguojamus detaliojo plano </w:t>
                              </w:r>
                              <w:r>
                                <w:rPr>
                                  <w:b/>
                                  <w:bCs/>
                                  <w:szCs w:val="24"/>
                                </w:rPr>
                                <w:t>(arba vietovės lygmens bendrojo plano, kuriame nustatomas detaliųjų planų teritorijos naudojimo reglamentas)</w:t>
                              </w:r>
                              <w:r>
                                <w:rPr>
                                  <w:szCs w:val="24"/>
                                  <w:lang w:eastAsia="lt-LT"/>
                                </w:rPr>
                                <w:t xml:space="preserve"> sprendinius viešina vadovaudamasis šiais reikalavimais:</w:t>
                              </w:r>
                            </w:p>
                            <w:sdt>
                              <w:sdtPr>
                                <w:alias w:val="26.1 pp."/>
                                <w:tag w:val="part_ed48b6048a2c48f49f78771e0078cdfa"/>
                                <w:lock w:val="sdtLocked"/>
                                <w:richText/>
                              </w:sdtPr>
                              <w:sdtContent>
                                <w:p w14:paraId="35BD6B96" w14:textId="622D3D8F">
                                  <w:pPr>
                                    <w:spacing w:line="276" w:lineRule="auto"/>
                                    <w:ind w:firstLine="720"/>
                                    <w:jc w:val="both"/>
                                    <w:rPr>
                                      <w:szCs w:val="24"/>
                                      <w:lang w:eastAsia="lt-LT"/>
                                    </w:rPr>
                                  </w:pPr>
                                  <w:sdt>
                                    <w:sdtPr>
                                      <w:alias w:val="Numeris"/>
                                      <w:tag w:val="nr_ed48b6048a2c48f49f78771e0078cdfa"/>
                                      <w:lock w:val="sdtLocked"/>
                                      <w:richText/>
                                    </w:sdtPr>
                                    <w:sdtContent>
                                      <w:r>
                                        <w:rPr>
                                          <w:szCs w:val="24"/>
                                          <w:lang w:eastAsia="lt-LT"/>
                                        </w:rPr>
                                        <w:t>26.1</w:t>
                                      </w:r>
                                    </w:sdtContent>
                                  </w:sdt>
                                  <w:r>
                                    <w:rPr>
                                      <w:szCs w:val="24"/>
                                      <w:lang w:eastAsia="lt-LT"/>
                                    </w:rPr>
                                    <w:t>. planavimo organizatoriaus interneto svetainėje</w:t>
                                  </w:r>
                                  <w:r>
                                    <w:rPr>
                                      <w:b/>
                                      <w:bCs/>
                                      <w:szCs w:val="24"/>
                                      <w:lang w:eastAsia="lt-LT"/>
                                    </w:rPr>
                                    <w:t>, taip pat</w:t>
                                  </w:r>
                                  <w:r>
                                    <w:rPr>
                                      <w:szCs w:val="24"/>
                                      <w:lang w:eastAsia="lt-LT"/>
                                    </w:rPr>
                                    <w:t xml:space="preserve"> </w:t>
                                  </w:r>
                                  <w:r>
                                    <w:rPr>
                                      <w:strike/>
                                      <w:szCs w:val="24"/>
                                      <w:lang w:eastAsia="lt-LT"/>
                                    </w:rPr>
                                    <w:t>ir</w:t>
                                  </w:r>
                                  <w:r>
                                    <w:rPr>
                                      <w:szCs w:val="24"/>
                                      <w:lang w:eastAsia="lt-LT"/>
                                    </w:rPr>
                                    <w:t xml:space="preserve"> TPDRIS skelbia informaciją apie koreguojamą detalųjį planą </w:t>
                                  </w:r>
                                  <w:r>
                                    <w:rPr>
                                      <w:b/>
                                      <w:bCs/>
                                      <w:szCs w:val="24"/>
                                    </w:rPr>
                                    <w:t>(arba vietovės lygmens bendrąjį planą, kuriame nustatomas detaliųjų planų teritorijos naudojimo reglamentas)</w:t>
                                  </w:r>
                                  <w:r>
                                    <w:rPr>
                                      <w:szCs w:val="24"/>
                                      <w:lang w:eastAsia="lt-LT"/>
                                    </w:rPr>
                                    <w:t>, nurodo viešos ekspozicijos vietą ir laiką; nurodo planavimo organizatoriaus ir koreguojamo detaliojo plano rengėjo adresus ir telefonų numerius, elektroninį paštą ir interneto svetainę;</w:t>
                                  </w:r>
                                </w:p>
                              </w:sdtContent>
                            </w:sdt>
                            <w:sdt>
                              <w:sdtPr>
                                <w:alias w:val="26.2 pp."/>
                                <w:tag w:val="part_1d582983750c4d04ba349da92281052e"/>
                                <w:lock w:val="sdtLocked"/>
                                <w:richText/>
                              </w:sdtPr>
                              <w:sdtContent>
                                <w:p w14:paraId="127E484E" w14:textId="76D62CC7">
                                  <w:pPr>
                                    <w:spacing w:line="276" w:lineRule="auto"/>
                                    <w:ind w:firstLine="720"/>
                                    <w:jc w:val="both"/>
                                    <w:rPr>
                                      <w:szCs w:val="24"/>
                                      <w:lang w:eastAsia="lt-LT"/>
                                    </w:rPr>
                                  </w:pPr>
                                  <w:sdt>
                                    <w:sdtPr>
                                      <w:alias w:val="Numeris"/>
                                      <w:tag w:val="nr_1d582983750c4d04ba349da92281052e"/>
                                      <w:lock w:val="sdtLocked"/>
                                      <w:richText/>
                                    </w:sdtPr>
                                    <w:sdtContent>
                                      <w:r>
                                        <w:rPr>
                                          <w:szCs w:val="24"/>
                                          <w:lang w:eastAsia="lt-LT"/>
                                        </w:rPr>
                                        <w:t>26.2</w:t>
                                      </w:r>
                                    </w:sdtContent>
                                  </w:sdt>
                                  <w:r>
                                    <w:rPr>
                                      <w:szCs w:val="24"/>
                                      <w:lang w:eastAsia="lt-LT"/>
                                    </w:rPr>
                                    <w:t xml:space="preserve">. </w:t>
                                  </w:r>
                                  <w:r>
                                    <w:rPr>
                                      <w:strike/>
                                      <w:szCs w:val="24"/>
                                      <w:lang w:eastAsia="lt-LT"/>
                                    </w:rPr>
                                    <w:t>planavimo organizatorius ar jo įgaliotas asmuo apie koreguojama detalųjį planą, vadovaudamasis Nuostatų 4 punktu, papildomai informuoja planuojamos teritorijos ir kaimyninių žemės sklypų valdytojus ar naudotojus, nurodydamas, kur galima susipažinti su parengtomis teritorijų planavimo dokumento pataisomis (jei į planuojamą teritoriją ir (ar) kaimyninį žemės sklypą patenka gyvenamosios paskirties daugiabutis pastatas, apie koreguojamą teritorijų planavimo dokumentą informuojama daugiabučio gyvenamojo namo savininkų bendrija ar kitas bendrojo naudojimo objektų valdytojas, kuris apie tai per 5 darbo dienas raštu praneša butų ir kitų patalpų savininkams);</w:t>
                                  </w:r>
                                  <w:r>
                                    <w:rPr>
                                      <w:szCs w:val="24"/>
                                      <w:lang w:eastAsia="lt-LT"/>
                                    </w:rPr>
                                    <w:t xml:space="preserve"> susipažinti su pakoreguotu detaliuoju planu </w:t>
                                  </w:r>
                                  <w:r>
                                    <w:rPr>
                                      <w:b/>
                                      <w:bCs/>
                                      <w:szCs w:val="24"/>
                                    </w:rPr>
                                    <w:t>(arba vietovės lygmens bendruoju planu, kuriame nustatomas detaliųjų planų teritorijos naudojimo reglamentas)</w:t>
                                  </w:r>
                                  <w:r>
                                    <w:rPr>
                                      <w:szCs w:val="24"/>
                                      <w:lang w:eastAsia="lt-LT"/>
                                    </w:rPr>
                                    <w:t xml:space="preserve"> skiriama ne mažiau kaip 10 darbo dienų nuo jo paskelbimo TPDRIS, iš jų ne mažiau kaip 5 darbo dienos – teritorijų planavimo dokumento sprendinių viešai ekspozicijai;</w:t>
                                  </w:r>
                                </w:p>
                              </w:sdtContent>
                            </w:sdt>
                            <w:sdt>
                              <w:sdtPr>
                                <w:alias w:val="26.3 pp."/>
                                <w:tag w:val="part_5ac5d4e9df8e4902b224bc6355e4e2cb"/>
                                <w:lock w:val="sdtLocked"/>
                                <w:richText/>
                              </w:sdtPr>
                              <w:sdtContent>
                                <w:p w14:paraId="11A8A178" w14:textId="4291E9FF">
                                  <w:pPr>
                                    <w:spacing w:line="276" w:lineRule="auto"/>
                                    <w:ind w:firstLine="720"/>
                                    <w:jc w:val="both"/>
                                    <w:rPr>
                                      <w:szCs w:val="24"/>
                                      <w:lang w:eastAsia="lt-LT"/>
                                    </w:rPr>
                                  </w:pPr>
                                  <w:sdt>
                                    <w:sdtPr>
                                      <w:alias w:val="Numeris"/>
                                      <w:tag w:val="nr_5ac5d4e9df8e4902b224bc6355e4e2cb"/>
                                      <w:lock w:val="sdtLocked"/>
                                      <w:richText/>
                                    </w:sdtPr>
                                    <w:sdtContent>
                                      <w:r>
                                        <w:rPr>
                                          <w:szCs w:val="24"/>
                                          <w:lang w:eastAsia="lt-LT"/>
                                        </w:rPr>
                                        <w:t>26.3</w:t>
                                      </w:r>
                                    </w:sdtContent>
                                  </w:sdt>
                                  <w:r>
                                    <w:rPr>
                                      <w:szCs w:val="24"/>
                                      <w:lang w:eastAsia="lt-LT"/>
                                    </w:rPr>
                                    <w:t xml:space="preserve">. per susipažinti su pakoreguotu detaliuoju planu </w:t>
                                  </w:r>
                                  <w:r>
                                    <w:rPr>
                                      <w:b/>
                                      <w:bCs/>
                                      <w:szCs w:val="24"/>
                                    </w:rPr>
                                    <w:t>(arba vietovės lygmens bendruoju planu, kuriame nustatomas detaliųjų planų teritorijos naudojimo reglamentas)</w:t>
                                  </w:r>
                                  <w:r>
                                    <w:rPr>
                                      <w:szCs w:val="24"/>
                                      <w:lang w:eastAsia="lt-LT"/>
                                    </w:rPr>
                                    <w:t xml:space="preserve"> skirtą laiką planavimo organizatorius užregistruoja pasiūlymus dėl teritorijų planavimo dokumento sprendinių, juos išnagrinėja ir, įvertinęs teritorijų planavimo dokumento rengėjo pateiktus argumentus, raštu motyvuotai atsako pasiūlymus teikusiems asmenims per </w:t>
                                  </w:r>
                                  <w:r>
                                    <w:rPr>
                                      <w:strike/>
                                      <w:szCs w:val="24"/>
                                      <w:lang w:eastAsia="lt-LT"/>
                                    </w:rPr>
                                    <w:t>5</w:t>
                                  </w:r>
                                  <w:r>
                                    <w:rPr>
                                      <w:szCs w:val="24"/>
                                      <w:lang w:eastAsia="lt-LT"/>
                                    </w:rPr>
                                    <w:t xml:space="preserve"> </w:t>
                                  </w:r>
                                  <w:r>
                                    <w:rPr>
                                      <w:b/>
                                      <w:bCs/>
                                      <w:szCs w:val="24"/>
                                      <w:lang w:eastAsia="lt-LT"/>
                                    </w:rPr>
                                    <w:t xml:space="preserve">10 </w:t>
                                  </w:r>
                                  <w:r>
                                    <w:rPr>
                                      <w:szCs w:val="24"/>
                                      <w:lang w:eastAsia="lt-LT"/>
                                    </w:rPr>
                                    <w:t>darbo dienas pasibaigus susipažinimo laikotarpiui, nurodydamas, į kokius pasiūlymus atsižvelgta ar neatsižvelgta.</w:t>
                                  </w:r>
                                </w:p>
                              </w:sdtContent>
                            </w:sdt>
                          </w:sdtContent>
                        </w:sdt>
                        <w:sdt>
                          <w:sdtPr>
                            <w:alias w:val="27 p."/>
                            <w:tag w:val="part_f87f95e4ada44d1ab865073396e5d3cc"/>
                            <w:lock w:val="sdtLocked"/>
                            <w:richText/>
                          </w:sdtPr>
                          <w:sdtContent>
                            <w:p w14:paraId="000A8ADA" w14:textId="502E45A6">
                              <w:pPr>
                                <w:spacing w:line="276" w:lineRule="auto"/>
                                <w:ind w:firstLine="720"/>
                                <w:jc w:val="both"/>
                                <w:rPr>
                                  <w:szCs w:val="24"/>
                                  <w:lang w:eastAsia="lt-LT"/>
                                </w:rPr>
                              </w:pPr>
                              <w:sdt>
                                <w:sdtPr>
                                  <w:alias w:val="Numeris"/>
                                  <w:tag w:val="nr_f87f95e4ada44d1ab865073396e5d3cc"/>
                                  <w:lock w:val="sdtLocked"/>
                                  <w:richText/>
                                </w:sdtPr>
                                <w:sdtContent>
                                  <w:r>
                                    <w:rPr>
                                      <w:szCs w:val="24"/>
                                    </w:rPr>
                                    <w:t>27</w:t>
                                  </w:r>
                                </w:sdtContent>
                              </w:sdt>
                              <w:r>
                                <w:rPr>
                                  <w:szCs w:val="24"/>
                                </w:rPr>
                                <w:t xml:space="preserve">. Planavimo organizatorius, Teritorijų planavimo įstatymo 28 straipsnio 9 dalyje nustatytais atvejais pakoreguotą detalųjį planą </w:t>
                              </w:r>
                              <w:r>
                                <w:rPr>
                                  <w:b/>
                                  <w:bCs/>
                                  <w:szCs w:val="24"/>
                                </w:rPr>
                                <w:t>(arba vietovės lygmens bendrąjį planą, kuriame nustatomas detaliųjų planų teritorijos naudojimo reglamentas)</w:t>
                              </w:r>
                              <w:r>
                                <w:rPr>
                                  <w:szCs w:val="24"/>
                                </w:rPr>
                                <w:t xml:space="preserve"> su dokumentais, įrodančiais, kad visuomenė informuota pagal Nuostatų 26.1, 26.2 ir 26.</w:t>
                              </w:r>
                              <w:r>
                                <w:rPr>
                                  <w:strike/>
                                  <w:szCs w:val="24"/>
                                </w:rPr>
                                <w:t>4</w:t>
                              </w:r>
                              <w:r>
                                <w:rPr>
                                  <w:b/>
                                  <w:bCs/>
                                  <w:szCs w:val="24"/>
                                </w:rPr>
                                <w:t>3</w:t>
                              </w:r>
                              <w:r>
                                <w:rPr>
                                  <w:szCs w:val="24"/>
                                </w:rPr>
                                <w:t xml:space="preserve"> papunkčiuose nustatytus reikalavimus supaprastinta viešinimo procedūrų tvarka, pateikia derinančioms institucijoms.</w:t>
                              </w:r>
                            </w:p>
                          </w:sdtContent>
                        </w:sdt>
                        <w:sdt>
                          <w:sdtPr>
                            <w:alias w:val="28 p."/>
                            <w:tag w:val="part_53b7786c307e4bd28d1deeda6e85d4be"/>
                            <w:lock w:val="sdtLocked"/>
                            <w:richText/>
                          </w:sdtPr>
                          <w:sdtContent>
                            <w:p w14:paraId="0D3DC2BA" w14:textId="6703AE9E">
                              <w:pPr>
                                <w:tabs>
                                  <w:tab w:val="left" w:pos="993"/>
                                </w:tabs>
                                <w:suppressAutoHyphens/>
                                <w:spacing w:line="276" w:lineRule="auto"/>
                                <w:ind w:firstLine="720"/>
                                <w:jc w:val="both"/>
                              </w:pPr>
                              <w:sdt>
                                <w:sdtPr>
                                  <w:alias w:val="Numeris"/>
                                  <w:tag w:val="nr_53b7786c307e4bd28d1deeda6e85d4be"/>
                                  <w:lock w:val="sdtLocked"/>
                                  <w:richText/>
                                </w:sdtPr>
                                <w:sdtContent>
                                  <w:r>
                                    <w:t>28</w:t>
                                  </w:r>
                                </w:sdtContent>
                              </w:sdt>
                              <w:r>
                                <w:t>. Teritorijų planavimo įstatymo 18 straipsnio 5 dalyje nustatytu atveju konkrečius žemės sklypo ar jo dalies žemės naudojimo būdus, įrašytus patvirtintame detaliajame plane, keičiant kitais galimais naudojimo būdais savivaldybės mero</w:t>
                              </w:r>
                              <w:r>
                                <w:rPr>
                                  <w:b/>
                                  <w:bCs/>
                                </w:rPr>
                                <w:t xml:space="preserve"> ar jo įgalioto savivaldybės administracijos direktoriaus </w:t>
                              </w:r>
                              <w:r>
                                <w:t>sprendimu, taip pat savivaldybės administracijos direktoriui priėmus sprendimą Teritorijų planavimo įstatymo 28 straipsnio 8 dalyje ir aplinkos ministro tvirtinamose kompleksinio teritorijų planavimo dokumentų rengimo taisyklėse nustatytais atvejais, priimtas sprendimas visuomenei paskelbiamas savivaldybės interneto svetainėje</w:t>
                              </w:r>
                              <w:r>
                                <w:rPr>
                                  <w:b/>
                                  <w:bCs/>
                                </w:rPr>
                                <w:t>,</w:t>
                              </w:r>
                              <w:r>
                                <w:t xml:space="preserve"> </w:t>
                              </w:r>
                              <w:r>
                                <w:rPr>
                                  <w:strike/>
                                </w:rPr>
                                <w:t>ir</w:t>
                              </w:r>
                              <w:r>
                                <w:t xml:space="preserve"> </w:t>
                              </w:r>
                              <w:r>
                                <w:rPr>
                                  <w:b/>
                                  <w:bCs/>
                                </w:rPr>
                                <w:t>taip pat</w:t>
                              </w:r>
                              <w:r>
                                <w:t xml:space="preserve"> TPDRIS ne vėliau kaip kitą darbo dieną po sprendimo priėmimo.“</w:t>
                              </w:r>
                            </w:p>
                            <w:p w14:paraId="642F1051" w14:textId="77777777">
                              <w:pPr>
                                <w:suppressAutoHyphens/>
                                <w:spacing w:line="276" w:lineRule="auto"/>
                                <w:ind w:firstLine="720"/>
                                <w:jc w:val="both"/>
                                <w:rPr>
                                  <w:szCs w:val="24"/>
                                  <w:lang w:eastAsia="lt-LT"/>
                                </w:rPr>
                              </w:pPr>
                            </w:p>
                            <w:p w14:paraId="52E15CA4" w14:textId="77777777">
                              <w:pPr>
                                <w:tabs>
                                  <w:tab w:val="left" w:pos="993"/>
                                </w:tabs>
                                <w:suppressAutoHyphens/>
                                <w:spacing w:line="276" w:lineRule="auto"/>
                                <w:ind w:firstLine="720"/>
                                <w:jc w:val="both"/>
                                <w:rPr>
                                  <w:color w:val="000000"/>
                                  <w:szCs w:val="24"/>
                                  <w:lang w:eastAsia="lt-LT"/>
                                </w:rPr>
                              </w:pPr>
                            </w:p>
                          </w:sdtContent>
                        </w:sdt>
                      </w:sdtContent>
                    </w:sdt>
                  </w:sdtContent>
                </w:sdt>
              </w:sdtContent>
            </w:sdt>
          </w:sdtContent>
        </w:sdt>
        <w:sdt>
          <w:sdtPr>
            <w:alias w:val="signatura"/>
            <w:tag w:val="part_ad56b895611f4ffebf02c7ab89d14167"/>
            <w:lock w:val="sdtLocked"/>
            <w:richText/>
          </w:sdtPr>
          <w:sdtContent>
            <w:p w14:paraId="2AABD573" w14:textId="77777777">
              <w:pPr>
                <w:tabs>
                  <w:tab w:val="left" w:pos="993"/>
                </w:tabs>
                <w:suppressAutoHyphens/>
                <w:spacing w:line="276" w:lineRule="auto"/>
                <w:jc w:val="both"/>
                <w:rPr>
                  <w:color w:val="000000"/>
                  <w:szCs w:val="24"/>
                  <w:lang w:eastAsia="lt-LT"/>
                </w:rPr>
              </w:pPr>
              <w:r>
                <w:rPr>
                  <w:color w:val="000000"/>
                  <w:szCs w:val="24"/>
                  <w:lang w:eastAsia="lt-LT"/>
                </w:rPr>
                <w:t>Ministras Pirmininkas</w:t>
                <w:tab/>
              </w:r>
            </w:p>
            <w:p w14:paraId="1D2861DD" w14:textId="77777777">
              <w:pPr>
                <w:tabs>
                  <w:tab w:val="left" w:pos="993"/>
                </w:tabs>
                <w:suppressAutoHyphens/>
                <w:spacing w:line="276" w:lineRule="auto"/>
                <w:ind w:firstLine="720"/>
                <w:jc w:val="both"/>
                <w:rPr>
                  <w:color w:val="000000"/>
                  <w:szCs w:val="24"/>
                  <w:lang w:eastAsia="lt-LT"/>
                </w:rPr>
              </w:pPr>
            </w:p>
            <w:p w14:paraId="313F20E5" w14:textId="77777777">
              <w:pPr>
                <w:tabs>
                  <w:tab w:val="left" w:pos="993"/>
                </w:tabs>
                <w:suppressAutoHyphens/>
                <w:spacing w:line="276" w:lineRule="auto"/>
                <w:ind w:firstLine="720"/>
                <w:jc w:val="both"/>
                <w:rPr>
                  <w:color w:val="000000"/>
                  <w:szCs w:val="24"/>
                  <w:lang w:eastAsia="lt-LT"/>
                </w:rPr>
              </w:pPr>
            </w:p>
            <w:p w14:paraId="5DDDC137" w14:textId="2D0FF2DB">
              <w:pPr>
                <w:tabs>
                  <w:tab w:val="left" w:pos="993"/>
                </w:tabs>
                <w:suppressAutoHyphens/>
                <w:spacing w:line="276" w:lineRule="auto"/>
                <w:jc w:val="both"/>
                <w:rPr>
                  <w:color w:val="000000"/>
                  <w:szCs w:val="24"/>
                  <w:lang w:eastAsia="lt-LT"/>
                </w:rPr>
              </w:pPr>
              <w:r>
                <w:rPr>
                  <w:color w:val="000000"/>
                  <w:szCs w:val="24"/>
                  <w:lang w:eastAsia="lt-LT"/>
                </w:rPr>
                <w:t>Aplinkos ministras</w:t>
              </w:r>
            </w:p>
          </w:sdtContent>
        </w:sdt>
      </w:sdtContent>
    </w:sdt>
    <w:sectPr>
      <w:footnotePr>
        <w:pos w:val="beneathText"/>
      </w:footnotePr>
      <w:type w:val="continuous"/>
      <w:pgSz w:w="11905" w:h="16837"/>
      <w:pgMar w:top="1383" w:right="708" w:bottom="1032" w:left="1701" w:header="851"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0DEE7" w14:textId="77777777">
      <w:pPr>
        <w:suppressAutoHyphens/>
        <w:rPr>
          <w:lang w:eastAsia="lt-LT"/>
        </w:rPr>
      </w:pPr>
      <w:r>
        <w:rPr>
          <w:lang w:eastAsia="lt-LT"/>
        </w:rPr>
        <w:separator/>
      </w:r>
    </w:p>
  </w:endnote>
  <w:endnote w:type="continuationSeparator" w:id="0">
    <w:p w14:paraId="665E25A7"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FABA8"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CDD47"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59AE2"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17F9B" w14:textId="77777777">
      <w:pPr>
        <w:suppressAutoHyphens/>
        <w:rPr>
          <w:lang w:eastAsia="lt-LT"/>
        </w:rPr>
      </w:pPr>
      <w:r>
        <w:rPr>
          <w:lang w:eastAsia="lt-LT"/>
        </w:rPr>
        <w:separator/>
      </w:r>
    </w:p>
  </w:footnote>
  <w:footnote w:type="continuationSeparator" w:id="0">
    <w:p w14:paraId="47D9932B"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8A05F"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D3928" w14:textId="77777777">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4</w:t>
    </w:r>
    <w:r>
      <w:rPr>
        <w:spacing w:val="10"/>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AE65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44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A7B5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854066">
      <w:bodyDiv w:val="1"/>
      <w:marLeft w:val="0"/>
      <w:marRight w:val="0"/>
      <w:marTop w:val="0"/>
      <w:marBottom w:val="0"/>
      <w:divBdr>
        <w:top w:val="none" w:sz="0" w:space="0" w:color="auto"/>
        <w:left w:val="none" w:sz="0" w:space="0" w:color="auto"/>
        <w:bottom w:val="none" w:sz="0" w:space="0" w:color="auto"/>
        <w:right w:val="none" w:sz="0" w:space="0" w:color="auto"/>
      </w:divBdr>
      <w:divsChild>
        <w:div w:id="444274816">
          <w:marLeft w:val="0"/>
          <w:marRight w:val="0"/>
          <w:marTop w:val="0"/>
          <w:marBottom w:val="0"/>
          <w:divBdr>
            <w:top w:val="none" w:sz="0" w:space="0" w:color="auto"/>
            <w:left w:val="none" w:sz="0" w:space="0" w:color="auto"/>
            <w:bottom w:val="none" w:sz="0" w:space="0" w:color="auto"/>
            <w:right w:val="none" w:sz="0" w:space="0" w:color="auto"/>
          </w:divBdr>
          <w:divsChild>
            <w:div w:id="1881746199">
              <w:marLeft w:val="0"/>
              <w:marRight w:val="0"/>
              <w:marTop w:val="0"/>
              <w:marBottom w:val="0"/>
              <w:divBdr>
                <w:top w:val="none" w:sz="0" w:space="0" w:color="auto"/>
                <w:left w:val="none" w:sz="0" w:space="0" w:color="auto"/>
                <w:bottom w:val="none" w:sz="0" w:space="0" w:color="auto"/>
                <w:right w:val="none" w:sz="0" w:space="0" w:color="auto"/>
              </w:divBdr>
              <w:divsChild>
                <w:div w:id="85572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520295">
          <w:marLeft w:val="0"/>
          <w:marRight w:val="0"/>
          <w:marTop w:val="0"/>
          <w:marBottom w:val="0"/>
          <w:divBdr>
            <w:top w:val="none" w:sz="0" w:space="0" w:color="auto"/>
            <w:left w:val="none" w:sz="0" w:space="0" w:color="auto"/>
            <w:bottom w:val="none" w:sz="0" w:space="0" w:color="auto"/>
            <w:right w:val="none" w:sz="0" w:space="0" w:color="auto"/>
          </w:divBdr>
        </w:div>
      </w:divsChild>
    </w:div>
    <w:div w:id="555429898">
      <w:bodyDiv w:val="1"/>
      <w:marLeft w:val="0"/>
      <w:marRight w:val="0"/>
      <w:marTop w:val="0"/>
      <w:marBottom w:val="0"/>
      <w:divBdr>
        <w:top w:val="none" w:sz="0" w:space="0" w:color="auto"/>
        <w:left w:val="none" w:sz="0" w:space="0" w:color="auto"/>
        <w:bottom w:val="none" w:sz="0" w:space="0" w:color="auto"/>
        <w:right w:val="none" w:sz="0" w:space="0" w:color="auto"/>
      </w:divBdr>
    </w:div>
    <w:div w:id="580023835">
      <w:bodyDiv w:val="1"/>
      <w:marLeft w:val="0"/>
      <w:marRight w:val="0"/>
      <w:marTop w:val="0"/>
      <w:marBottom w:val="0"/>
      <w:divBdr>
        <w:top w:val="none" w:sz="0" w:space="0" w:color="auto"/>
        <w:left w:val="none" w:sz="0" w:space="0" w:color="auto"/>
        <w:bottom w:val="none" w:sz="0" w:space="0" w:color="auto"/>
        <w:right w:val="none" w:sz="0" w:space="0" w:color="auto"/>
      </w:divBdr>
    </w:div>
    <w:div w:id="623854436">
      <w:bodyDiv w:val="1"/>
      <w:marLeft w:val="0"/>
      <w:marRight w:val="0"/>
      <w:marTop w:val="0"/>
      <w:marBottom w:val="0"/>
      <w:divBdr>
        <w:top w:val="none" w:sz="0" w:space="0" w:color="auto"/>
        <w:left w:val="none" w:sz="0" w:space="0" w:color="auto"/>
        <w:bottom w:val="none" w:sz="0" w:space="0" w:color="auto"/>
        <w:right w:val="none" w:sz="0" w:space="0" w:color="auto"/>
      </w:divBdr>
      <w:divsChild>
        <w:div w:id="582839278">
          <w:marLeft w:val="0"/>
          <w:marRight w:val="0"/>
          <w:marTop w:val="0"/>
          <w:marBottom w:val="0"/>
          <w:divBdr>
            <w:top w:val="none" w:sz="0" w:space="0" w:color="auto"/>
            <w:left w:val="none" w:sz="0" w:space="0" w:color="auto"/>
            <w:bottom w:val="none" w:sz="0" w:space="0" w:color="auto"/>
            <w:right w:val="none" w:sz="0" w:space="0" w:color="auto"/>
          </w:divBdr>
        </w:div>
        <w:div w:id="890582694">
          <w:marLeft w:val="0"/>
          <w:marRight w:val="0"/>
          <w:marTop w:val="0"/>
          <w:marBottom w:val="0"/>
          <w:divBdr>
            <w:top w:val="none" w:sz="0" w:space="0" w:color="auto"/>
            <w:left w:val="none" w:sz="0" w:space="0" w:color="auto"/>
            <w:bottom w:val="none" w:sz="0" w:space="0" w:color="auto"/>
            <w:right w:val="none" w:sz="0" w:space="0" w:color="auto"/>
          </w:divBdr>
        </w:div>
        <w:div w:id="1457286416">
          <w:marLeft w:val="0"/>
          <w:marRight w:val="0"/>
          <w:marTop w:val="0"/>
          <w:marBottom w:val="0"/>
          <w:divBdr>
            <w:top w:val="none" w:sz="0" w:space="0" w:color="auto"/>
            <w:left w:val="none" w:sz="0" w:space="0" w:color="auto"/>
            <w:bottom w:val="none" w:sz="0" w:space="0" w:color="auto"/>
            <w:right w:val="none" w:sz="0" w:space="0" w:color="auto"/>
          </w:divBdr>
        </w:div>
      </w:divsChild>
    </w:div>
    <w:div w:id="644049230">
      <w:bodyDiv w:val="1"/>
      <w:marLeft w:val="0"/>
      <w:marRight w:val="0"/>
      <w:marTop w:val="0"/>
      <w:marBottom w:val="0"/>
      <w:divBdr>
        <w:top w:val="none" w:sz="0" w:space="0" w:color="auto"/>
        <w:left w:val="none" w:sz="0" w:space="0" w:color="auto"/>
        <w:bottom w:val="none" w:sz="0" w:space="0" w:color="auto"/>
        <w:right w:val="none" w:sz="0" w:space="0" w:color="auto"/>
      </w:divBdr>
      <w:divsChild>
        <w:div w:id="325866628">
          <w:marLeft w:val="0"/>
          <w:marRight w:val="0"/>
          <w:marTop w:val="0"/>
          <w:marBottom w:val="0"/>
          <w:divBdr>
            <w:top w:val="none" w:sz="0" w:space="0" w:color="auto"/>
            <w:left w:val="none" w:sz="0" w:space="0" w:color="auto"/>
            <w:bottom w:val="none" w:sz="0" w:space="0" w:color="auto"/>
            <w:right w:val="none" w:sz="0" w:space="0" w:color="auto"/>
          </w:divBdr>
        </w:div>
        <w:div w:id="1652714558">
          <w:marLeft w:val="0"/>
          <w:marRight w:val="0"/>
          <w:marTop w:val="0"/>
          <w:marBottom w:val="0"/>
          <w:divBdr>
            <w:top w:val="none" w:sz="0" w:space="0" w:color="auto"/>
            <w:left w:val="none" w:sz="0" w:space="0" w:color="auto"/>
            <w:bottom w:val="none" w:sz="0" w:space="0" w:color="auto"/>
            <w:right w:val="none" w:sz="0" w:space="0" w:color="auto"/>
          </w:divBdr>
        </w:div>
        <w:div w:id="988363996">
          <w:marLeft w:val="0"/>
          <w:marRight w:val="0"/>
          <w:marTop w:val="0"/>
          <w:marBottom w:val="0"/>
          <w:divBdr>
            <w:top w:val="none" w:sz="0" w:space="0" w:color="auto"/>
            <w:left w:val="none" w:sz="0" w:space="0" w:color="auto"/>
            <w:bottom w:val="none" w:sz="0" w:space="0" w:color="auto"/>
            <w:right w:val="none" w:sz="0" w:space="0" w:color="auto"/>
          </w:divBdr>
        </w:div>
        <w:div w:id="1599873047">
          <w:marLeft w:val="0"/>
          <w:marRight w:val="0"/>
          <w:marTop w:val="0"/>
          <w:marBottom w:val="0"/>
          <w:divBdr>
            <w:top w:val="none" w:sz="0" w:space="0" w:color="auto"/>
            <w:left w:val="none" w:sz="0" w:space="0" w:color="auto"/>
            <w:bottom w:val="none" w:sz="0" w:space="0" w:color="auto"/>
            <w:right w:val="none" w:sz="0" w:space="0" w:color="auto"/>
          </w:divBdr>
        </w:div>
      </w:divsChild>
    </w:div>
    <w:div w:id="791292138">
      <w:bodyDiv w:val="1"/>
      <w:marLeft w:val="0"/>
      <w:marRight w:val="0"/>
      <w:marTop w:val="0"/>
      <w:marBottom w:val="0"/>
      <w:divBdr>
        <w:top w:val="none" w:sz="0" w:space="0" w:color="auto"/>
        <w:left w:val="none" w:sz="0" w:space="0" w:color="auto"/>
        <w:bottom w:val="none" w:sz="0" w:space="0" w:color="auto"/>
        <w:right w:val="none" w:sz="0" w:space="0" w:color="auto"/>
      </w:divBdr>
    </w:div>
    <w:div w:id="798836266">
      <w:bodyDiv w:val="1"/>
      <w:marLeft w:val="0"/>
      <w:marRight w:val="0"/>
      <w:marTop w:val="0"/>
      <w:marBottom w:val="0"/>
      <w:divBdr>
        <w:top w:val="none" w:sz="0" w:space="0" w:color="auto"/>
        <w:left w:val="none" w:sz="0" w:space="0" w:color="auto"/>
        <w:bottom w:val="none" w:sz="0" w:space="0" w:color="auto"/>
        <w:right w:val="none" w:sz="0" w:space="0" w:color="auto"/>
      </w:divBdr>
    </w:div>
    <w:div w:id="1060595906">
      <w:bodyDiv w:val="1"/>
      <w:marLeft w:val="0"/>
      <w:marRight w:val="0"/>
      <w:marTop w:val="0"/>
      <w:marBottom w:val="0"/>
      <w:divBdr>
        <w:top w:val="none" w:sz="0" w:space="0" w:color="auto"/>
        <w:left w:val="none" w:sz="0" w:space="0" w:color="auto"/>
        <w:bottom w:val="none" w:sz="0" w:space="0" w:color="auto"/>
        <w:right w:val="none" w:sz="0" w:space="0" w:color="auto"/>
      </w:divBdr>
    </w:div>
    <w:div w:id="1064455325">
      <w:bodyDiv w:val="1"/>
      <w:marLeft w:val="0"/>
      <w:marRight w:val="0"/>
      <w:marTop w:val="0"/>
      <w:marBottom w:val="0"/>
      <w:divBdr>
        <w:top w:val="none" w:sz="0" w:space="0" w:color="auto"/>
        <w:left w:val="none" w:sz="0" w:space="0" w:color="auto"/>
        <w:bottom w:val="none" w:sz="0" w:space="0" w:color="auto"/>
        <w:right w:val="none" w:sz="0" w:space="0" w:color="auto"/>
      </w:divBdr>
    </w:div>
    <w:div w:id="1190601680">
      <w:bodyDiv w:val="1"/>
      <w:marLeft w:val="0"/>
      <w:marRight w:val="0"/>
      <w:marTop w:val="0"/>
      <w:marBottom w:val="0"/>
      <w:divBdr>
        <w:top w:val="none" w:sz="0" w:space="0" w:color="auto"/>
        <w:left w:val="none" w:sz="0" w:space="0" w:color="auto"/>
        <w:bottom w:val="none" w:sz="0" w:space="0" w:color="auto"/>
        <w:right w:val="none" w:sz="0" w:space="0" w:color="auto"/>
      </w:divBdr>
    </w:div>
    <w:div w:id="1198547668">
      <w:bodyDiv w:val="1"/>
      <w:marLeft w:val="0"/>
      <w:marRight w:val="0"/>
      <w:marTop w:val="0"/>
      <w:marBottom w:val="0"/>
      <w:divBdr>
        <w:top w:val="none" w:sz="0" w:space="0" w:color="auto"/>
        <w:left w:val="none" w:sz="0" w:space="0" w:color="auto"/>
        <w:bottom w:val="none" w:sz="0" w:space="0" w:color="auto"/>
        <w:right w:val="none" w:sz="0" w:space="0" w:color="auto"/>
      </w:divBdr>
    </w:div>
    <w:div w:id="1478453606">
      <w:bodyDiv w:val="1"/>
      <w:marLeft w:val="0"/>
      <w:marRight w:val="0"/>
      <w:marTop w:val="0"/>
      <w:marBottom w:val="0"/>
      <w:divBdr>
        <w:top w:val="none" w:sz="0" w:space="0" w:color="auto"/>
        <w:left w:val="none" w:sz="0" w:space="0" w:color="auto"/>
        <w:bottom w:val="none" w:sz="0" w:space="0" w:color="auto"/>
        <w:right w:val="none" w:sz="0" w:space="0" w:color="auto"/>
      </w:divBdr>
    </w:div>
    <w:div w:id="1530215786">
      <w:bodyDiv w:val="1"/>
      <w:marLeft w:val="0"/>
      <w:marRight w:val="0"/>
      <w:marTop w:val="0"/>
      <w:marBottom w:val="0"/>
      <w:divBdr>
        <w:top w:val="none" w:sz="0" w:space="0" w:color="auto"/>
        <w:left w:val="none" w:sz="0" w:space="0" w:color="auto"/>
        <w:bottom w:val="none" w:sz="0" w:space="0" w:color="auto"/>
        <w:right w:val="none" w:sz="0" w:space="0" w:color="auto"/>
      </w:divBdr>
    </w:div>
    <w:div w:id="1647591397">
      <w:bodyDiv w:val="1"/>
      <w:marLeft w:val="0"/>
      <w:marRight w:val="0"/>
      <w:marTop w:val="0"/>
      <w:marBottom w:val="0"/>
      <w:divBdr>
        <w:top w:val="none" w:sz="0" w:space="0" w:color="auto"/>
        <w:left w:val="none" w:sz="0" w:space="0" w:color="auto"/>
        <w:bottom w:val="none" w:sz="0" w:space="0" w:color="auto"/>
        <w:right w:val="none" w:sz="0" w:space="0" w:color="auto"/>
      </w:divBdr>
      <w:divsChild>
        <w:div w:id="1285305774">
          <w:marLeft w:val="0"/>
          <w:marRight w:val="0"/>
          <w:marTop w:val="0"/>
          <w:marBottom w:val="0"/>
          <w:divBdr>
            <w:top w:val="none" w:sz="0" w:space="0" w:color="auto"/>
            <w:left w:val="none" w:sz="0" w:space="0" w:color="auto"/>
            <w:bottom w:val="none" w:sz="0" w:space="0" w:color="auto"/>
            <w:right w:val="none" w:sz="0" w:space="0" w:color="auto"/>
          </w:divBdr>
        </w:div>
        <w:div w:id="1840656553">
          <w:marLeft w:val="0"/>
          <w:marRight w:val="0"/>
          <w:marTop w:val="0"/>
          <w:marBottom w:val="0"/>
          <w:divBdr>
            <w:top w:val="none" w:sz="0" w:space="0" w:color="auto"/>
            <w:left w:val="none" w:sz="0" w:space="0" w:color="auto"/>
            <w:bottom w:val="none" w:sz="0" w:space="0" w:color="auto"/>
            <w:right w:val="none" w:sz="0" w:space="0" w:color="auto"/>
          </w:divBdr>
        </w:div>
      </w:divsChild>
    </w:div>
    <w:div w:id="1653749486">
      <w:bodyDiv w:val="1"/>
      <w:marLeft w:val="0"/>
      <w:marRight w:val="0"/>
      <w:marTop w:val="0"/>
      <w:marBottom w:val="0"/>
      <w:divBdr>
        <w:top w:val="none" w:sz="0" w:space="0" w:color="auto"/>
        <w:left w:val="none" w:sz="0" w:space="0" w:color="auto"/>
        <w:bottom w:val="none" w:sz="0" w:space="0" w:color="auto"/>
        <w:right w:val="none" w:sz="0" w:space="0" w:color="auto"/>
      </w:divBdr>
    </w:div>
    <w:div w:id="1739472516">
      <w:bodyDiv w:val="1"/>
      <w:marLeft w:val="0"/>
      <w:marRight w:val="0"/>
      <w:marTop w:val="0"/>
      <w:marBottom w:val="0"/>
      <w:divBdr>
        <w:top w:val="none" w:sz="0" w:space="0" w:color="auto"/>
        <w:left w:val="none" w:sz="0" w:space="0" w:color="auto"/>
        <w:bottom w:val="none" w:sz="0" w:space="0" w:color="auto"/>
        <w:right w:val="none" w:sz="0" w:space="0" w:color="auto"/>
      </w:divBdr>
      <w:divsChild>
        <w:div w:id="591472608">
          <w:marLeft w:val="0"/>
          <w:marRight w:val="0"/>
          <w:marTop w:val="0"/>
          <w:marBottom w:val="0"/>
          <w:divBdr>
            <w:top w:val="none" w:sz="0" w:space="0" w:color="auto"/>
            <w:left w:val="none" w:sz="0" w:space="0" w:color="auto"/>
            <w:bottom w:val="none" w:sz="0" w:space="0" w:color="auto"/>
            <w:right w:val="none" w:sz="0" w:space="0" w:color="auto"/>
          </w:divBdr>
        </w:div>
        <w:div w:id="1307663019">
          <w:marLeft w:val="0"/>
          <w:marRight w:val="0"/>
          <w:marTop w:val="0"/>
          <w:marBottom w:val="0"/>
          <w:divBdr>
            <w:top w:val="none" w:sz="0" w:space="0" w:color="auto"/>
            <w:left w:val="none" w:sz="0" w:space="0" w:color="auto"/>
            <w:bottom w:val="none" w:sz="0" w:space="0" w:color="auto"/>
            <w:right w:val="none" w:sz="0" w:space="0" w:color="auto"/>
          </w:divBdr>
        </w:div>
        <w:div w:id="1772890536">
          <w:marLeft w:val="0"/>
          <w:marRight w:val="0"/>
          <w:marTop w:val="0"/>
          <w:marBottom w:val="0"/>
          <w:divBdr>
            <w:top w:val="none" w:sz="0" w:space="0" w:color="auto"/>
            <w:left w:val="none" w:sz="0" w:space="0" w:color="auto"/>
            <w:bottom w:val="none" w:sz="0" w:space="0" w:color="auto"/>
            <w:right w:val="none" w:sz="0" w:space="0" w:color="auto"/>
          </w:divBdr>
        </w:div>
      </w:divsChild>
    </w:div>
    <w:div w:id="1770733347">
      <w:bodyDiv w:val="1"/>
      <w:marLeft w:val="0"/>
      <w:marRight w:val="0"/>
      <w:marTop w:val="0"/>
      <w:marBottom w:val="0"/>
      <w:divBdr>
        <w:top w:val="none" w:sz="0" w:space="0" w:color="auto"/>
        <w:left w:val="none" w:sz="0" w:space="0" w:color="auto"/>
        <w:bottom w:val="none" w:sz="0" w:space="0" w:color="auto"/>
        <w:right w:val="none" w:sz="0" w:space="0" w:color="auto"/>
      </w:divBdr>
      <w:divsChild>
        <w:div w:id="324675400">
          <w:marLeft w:val="0"/>
          <w:marRight w:val="0"/>
          <w:marTop w:val="0"/>
          <w:marBottom w:val="0"/>
          <w:divBdr>
            <w:top w:val="none" w:sz="0" w:space="0" w:color="auto"/>
            <w:left w:val="none" w:sz="0" w:space="0" w:color="auto"/>
            <w:bottom w:val="none" w:sz="0" w:space="0" w:color="auto"/>
            <w:right w:val="none" w:sz="0" w:space="0" w:color="auto"/>
          </w:divBdr>
          <w:divsChild>
            <w:div w:id="1955483394">
              <w:marLeft w:val="0"/>
              <w:marRight w:val="0"/>
              <w:marTop w:val="0"/>
              <w:marBottom w:val="0"/>
              <w:divBdr>
                <w:top w:val="none" w:sz="0" w:space="0" w:color="auto"/>
                <w:left w:val="none" w:sz="0" w:space="0" w:color="auto"/>
                <w:bottom w:val="none" w:sz="0" w:space="0" w:color="auto"/>
                <w:right w:val="none" w:sz="0" w:space="0" w:color="auto"/>
              </w:divBdr>
              <w:divsChild>
                <w:div w:id="16041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519787">
          <w:marLeft w:val="0"/>
          <w:marRight w:val="0"/>
          <w:marTop w:val="0"/>
          <w:marBottom w:val="0"/>
          <w:divBdr>
            <w:top w:val="none" w:sz="0" w:space="0" w:color="auto"/>
            <w:left w:val="none" w:sz="0" w:space="0" w:color="auto"/>
            <w:bottom w:val="none" w:sz="0" w:space="0" w:color="auto"/>
            <w:right w:val="none" w:sz="0" w:space="0" w:color="auto"/>
          </w:divBdr>
          <w:divsChild>
            <w:div w:id="810250937">
              <w:marLeft w:val="0"/>
              <w:marRight w:val="0"/>
              <w:marTop w:val="0"/>
              <w:marBottom w:val="0"/>
              <w:divBdr>
                <w:top w:val="none" w:sz="0" w:space="0" w:color="auto"/>
                <w:left w:val="none" w:sz="0" w:space="0" w:color="auto"/>
                <w:bottom w:val="none" w:sz="0" w:space="0" w:color="auto"/>
                <w:right w:val="none" w:sz="0" w:space="0" w:color="auto"/>
              </w:divBdr>
              <w:divsChild>
                <w:div w:id="5066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880357">
      <w:bodyDiv w:val="1"/>
      <w:marLeft w:val="0"/>
      <w:marRight w:val="0"/>
      <w:marTop w:val="0"/>
      <w:marBottom w:val="0"/>
      <w:divBdr>
        <w:top w:val="none" w:sz="0" w:space="0" w:color="auto"/>
        <w:left w:val="none" w:sz="0" w:space="0" w:color="auto"/>
        <w:bottom w:val="none" w:sz="0" w:space="0" w:color="auto"/>
        <w:right w:val="none" w:sz="0" w:space="0" w:color="auto"/>
      </w:divBdr>
    </w:div>
    <w:div w:id="1900359149">
      <w:bodyDiv w:val="1"/>
      <w:marLeft w:val="0"/>
      <w:marRight w:val="0"/>
      <w:marTop w:val="0"/>
      <w:marBottom w:val="0"/>
      <w:divBdr>
        <w:top w:val="none" w:sz="0" w:space="0" w:color="auto"/>
        <w:left w:val="none" w:sz="0" w:space="0" w:color="auto"/>
        <w:bottom w:val="none" w:sz="0" w:space="0" w:color="auto"/>
        <w:right w:val="none" w:sz="0" w:space="0" w:color="auto"/>
      </w:divBdr>
    </w:div>
    <w:div w:id="2038309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3eac97d56864b78aced28440239cbac" PartId="789735f8ed46489f9c9be89643a0600a">
    <Part Type="preambule" DocPartId="f34061060db540c2a336a62b21f7b890" PartId="4264a1e0f32d4e85ac6ae262337aa784"/>
    <Part Type="punktas" Nr="1" Abbr="1 p." DocPartId="13904362d073481d911fadab487ab86c" PartId="5722e22b230e4ad496cdc1eff57aadc4">
      <Part Type="papunktis" Nr="1.1" Abbr="1.1 pp." DocPartId="c972da445cc34894a2cdc6229672bfdb" PartId="dcb4b893eeee4f3586622f2c2c1745a4">
        <Part Type="citata" DocPartId="7df688f3ece04084b60ee854257ff786" PartId="657f37f66af541a583ccd31cc245080e">
          <Part Type="punktas" Nr="4" Abbr="4 p." DocPartId="d091b5d10de549fca8645c535308721b" PartId="62b68780f2ac406aace042075ea13b5a"/>
        </Part>
      </Part>
      <Part Type="papunktis" Nr="1.2" Abbr="1.2 pp." DocPartId="887e5a9e9e7246c089a130faa3101354" PartId="3e7c789fc4cc4f2f92500f9c99c27b78">
        <Part Type="citata" DocPartId="4f035163fad24ced890f4632ac45b8ec" PartId="a3c6c4da58b349768d4df739176d0814">
          <Part Type="punktas" Nr="10" Abbr="10 p." DocPartId="897b61ea7e3441a1a95569f4bc647687" PartId="69b8aa9e1d9e496c8cebdeb03cf778b9"/>
        </Part>
      </Part>
      <Part Type="papunktis" Nr="1.3" Abbr="1.3 pp." DocPartId="cd7be6d807144966bc89931c2cadf4bd" PartId="b787430663064c8281a536b992d1b373">
        <Part Type="citata" DocPartId="3d6bfefe8f1d4558896d461c336c0a97" PartId="b9fd01cf096748a685fd8cdad96b1e36">
          <Part Type="papunktis" Nr="11.1" Abbr="11.1 pp." DocPartId="9ab6c5c81356411da0e5b81b57353208" PartId="303e67ad51e74c6f87cd0fec1deb92d3"/>
        </Part>
      </Part>
      <Part Type="papunktis" Nr="1.4" Abbr="1.4 pp." DocPartId="6212fb76fc9149ee8f7ad4dc0521a3f7" PartId="f1e2decce54f46ef83dbc9b69d17bd0b">
        <Part Type="citata" DocPartId="6f4098376f0648318d1dee11d018bb0b" PartId="22a32722d56945459d9ded53475ccd84">
          <Part Type="papunktis" Nr="11.4" Abbr="11.4 pp." DocPartId="af02083c7ce14b23b54ed92991ca6ada" PartId="50fbb8f5e5294d9599b6c3c0077cb70c"/>
        </Part>
      </Part>
      <Part Type="papunktis" Nr="1.5" Abbr="1.5 pp." DocPartId="4b5c23883808437c83b05cad0d2d80aa" PartId="66011d6a11eb4b3988b4d599311ad799">
        <Part Type="citata" DocPartId="8927121d3ba249b392ba56c50fbadc83" PartId="92b4b879c34e4479bc8bdb9346396abe">
          <Part Type="papunktis" Nr="11.7" Abbr="11.7 pp." DocPartId="626cef6a0a804eb8a9ee6aad67b77b15" PartId="a10c8d1fbd3d4d9f9b84280ba3b3c422"/>
        </Part>
      </Part>
      <Part Type="papunktis" Nr="1.6" Abbr="1.6 pp." DocPartId="6809b88d75954bb389c164cd1e005dd8" PartId="85b6fefb9f1d40739ad948c797531baa">
        <Part Type="citata" DocPartId="a08ba212cbdf4318969e9efa5a143a20" PartId="f275fc94952b42a9ba3fd24c6bb13517">
          <Part Type="punktas" Nr="13" Abbr="13 p." DocPartId="5931edb197d34eacb98c38441c19f133" PartId="69dc40ea25d545d895345ac9bde62331"/>
        </Part>
      </Part>
      <Part Type="papunktis" Nr="1.7" Abbr="1.7 pp." DocPartId="cd645d678e31414c9e4e6335a417d721" PartId="7f15967893ae420ba63e394b252bfd6e">
        <Part Type="citata" DocPartId="ead11828370c427ebaf26e22864ef109" PartId="74212b25dfcd455893bc928bb737017a">
          <Part Type="punktas" Nr="17" Abbr="17 p." DocPartId="ae612b6a82164eef9b46fe35a22a75ff" PartId="8bc7012b17fd46baaceb1b48816c7445"/>
        </Part>
      </Part>
      <Part Type="papunktis" Nr="1.8" Abbr="1.8 pp." DocPartId="1c518333166347b0a30a4b4640f04999" PartId="8a2a1fb7be74436ea3b634a0b51b8f76">
        <Part Type="citata" DocPartId="40ae23fbfc0f4286a87f72fd36ff41a1" PartId="3ca672276c494749a80584c8ba7943e2">
          <Part Type="punktas" Nr="20" Abbr="20 p." DocPartId="586bd5bd6d074849b68277438fa44cbd" PartId="758688b58aab424ea419905e6363d8a7">
            <Part Type="papunktis" Nr="20.1" Abbr="20.1 pp." DocPartId="8730aa4f21a849a7ad6beacc27781f1e" PartId="ba36a2d81f244de7bc14c9dab87e514a"/>
            <Part Type="papunktis" Nr="20.2" Abbr="20.2 pp." DocPartId="52a7ca019b26426a9138d202f61b663d" PartId="cea00ce65c9a48d498e6430047c1280c"/>
            <Part Type="papunktis" Nr="20.3" Abbr="20.3 pp." DocPartId="055fa56ffb3d49808ac659b2d2c3fbea" PartId="3f2cb87234cf4382894be58c432211e1"/>
            <Part Type="papunktis" Nr="20.4" Abbr="20.4 pp." DocPartId="a2a4f1aef2144246aa4514e114c94d98" PartId="b83c615e4dcc4459a75db180c127c121"/>
          </Part>
        </Part>
      </Part>
      <Part Type="papunktis" Nr="1.9" Abbr="1.9 pp." DocPartId="3c38f20be30741fb9aa9dee2fe662024" PartId="a0c9de55f073489682efa4354a300fd4">
        <Part Type="citata" DocPartId="00bf6bd7cefc4b02b92fd7275a0dc47b" PartId="cc52c2659af9459b81a5e30648e9b035">
          <Part Type="punktas" Nr="22" Abbr="22 p." DocPartId="6a72be290aa6466f877c58d10d50a081" PartId="ec20b2b0b57c4bd1bbc2b8f0bb4cac84">
            <Part Type="papunktis" Nr="22.1" Abbr="22.1 pp." DocPartId="0b57e5eed55d4b13a38a534b4daf380b" PartId="97fc0e2d360b48f68af8eca43b2c8653"/>
            <Part Type="papunktis" Nr="22.2" Abbr="22.2 pp." DocPartId="8db343de507f4aa59b608dcf546ce239" PartId="899f9b0b05e24891ba576d5164375706"/>
            <Part Type="papunktis" Nr="22.3" Abbr="22.3 pp." DocPartId="cf590e511c3c457684bcb1a2ee727fe1" PartId="51cdaba320934160aeef9ae1c0b43c0b"/>
          </Part>
        </Part>
      </Part>
      <Part Type="papunktis" Nr="22.4" Abbr="22.4 pp." Notes="Numeris ne iš eilės. Trūksta dalių? [DocDalys]" DocPartId="f6896dbcf74844c6bfca116a925c9b4b" PartId="061822f2f59049f89dc9c0c9fb6f6915"/>
      <Part Type="papunktis" Nr="1.10" Abbr="1.10 pp." Notes="Numeris ne iš eilės. Trūksta dalių? [DocDalys]" DocPartId="be7dd290ff1b4b98b34ac9ccd0edc8f5" PartId="9d943bf5c0234b9ab0bc3013c6374fc9">
        <Part Type="citata" DocPartId="647e15a9dab64a8d97ec4ef77de6d519" PartId="0be403f2d33c4f70ada2dcdd4063807c">
          <Part Type="punktas" Nr="23" Abbr="23 p." DocPartId="45e735bedf94402e95773f6ca30b38a9" PartId="39d7b325ab874d56aacb3cc797154e81"/>
        </Part>
      </Part>
      <Part Type="papunktis" Nr="1.11" Abbr="1.11 pp." DocPartId="4d766acaf61b4b5d99a744e16f66640c" PartId="f9cdbaaf0e174ccc99cfb02868a8c8e8">
        <Part Type="citata" DocPartId="1174733690a344ed903cf8d84a6678a9" PartId="c66d0b7ce851414ab45c6ea48f3f06fb">
          <Part Type="papunktis" Nr="24.1" Abbr="24.1 pp." DocPartId="60de18b7641742d08b7dfdd6c55c846e" PartId="2b7aa54c707c4005a36e20dba5725421"/>
        </Part>
      </Part>
      <Part Type="papunktis" Nr="1.12" Abbr="1.12 pp." DocPartId="7b6fdfc910ac46acacb64af8361db005" PartId="cac50485de90473f8253f6ed8817e52f">
        <Part Type="citata" DocPartId="c406fa787fa44c4fbb0dfa242300f3d9" PartId="afc28b55433a4b028c19fe250fbc340e">
          <Part Type="skirsnis" Nr="2" Title="KOREGUOJAMO DETALIOJO PLANO ARBA VIETOVĖS LYGMENS BENDROJO PLANO, KURIAME NUSTATOMAS DETALIŲJŲ PLANŲ TERITORIJOS NAUDOJIMO REGLAMENTAS, VIEŠINIMAS" DocPartId="292b14d1771a42c18180bc4b0f3bb4c3" PartId="d76a84a01e7b47afb9bbaea6a821f5cf">
            <Part Type="punktas" Nr="26" Abbr="26 p." DocPartId="3b6db99bb134403bab89c2b5a9fc7ae0" PartId="a08dc7d5b31e488a9d77930ebde01906">
              <Part Type="papunktis" Nr="26.1" Abbr="26.1 pp." DocPartId="46342117ade4469494d650c991368a7d" PartId="ed48b6048a2c48f49f78771e0078cdfa"/>
              <Part Type="papunktis" Nr="26.2" Abbr="26.2 pp." DocPartId="4396cb1ae3304cc698a4759c869cac35" PartId="1d582983750c4d04ba349da92281052e"/>
              <Part Type="papunktis" Nr="26.3" Abbr="26.3 pp." DocPartId="fc185bcae2b64820a419210e13636495" PartId="5ac5d4e9df8e4902b224bc6355e4e2cb"/>
            </Part>
            <Part Type="punktas" Nr="27" Abbr="27 p." DocPartId="95a5471b11d048f8927a52bc0d92edd3" PartId="f87f95e4ada44d1ab865073396e5d3cc"/>
            <Part Type="punktas" Nr="28" Abbr="28 p." DocPartId="4b4fde50a6c446edb201a7fe8b74d881" PartId="53b7786c307e4bd28d1deeda6e85d4be"/>
          </Part>
        </Part>
      </Part>
    </Part>
    <Part Type="signatura" DocPartId="1b3844e4749b41a291d9a1ac6dc35787" PartId="ad56b895611f4ffebf02c7ab89d14167"/>
  </Part>
</Parts>
</file>

<file path=customXml/itemProps1.xml><?xml version="1.0" encoding="utf-8"?>
<ds:datastoreItem xmlns:ds="http://schemas.openxmlformats.org/officeDocument/2006/customXml" ds:itemID="{672CB4B7-B6D6-4F3D-B667-970B4CAA963A}">
  <ds:schemaRefs>
    <ds:schemaRef ds:uri="http://schemas.microsoft.com/sharepoint/v3/contenttype/forms"/>
  </ds:schemaRefs>
</ds:datastoreItem>
</file>

<file path=customXml/itemProps2.xml><?xml version="1.0" encoding="utf-8"?>
<ds:datastoreItem xmlns:ds="http://schemas.openxmlformats.org/officeDocument/2006/customXml" ds:itemID="{C983991B-BC22-44B0-A42C-A0E292F1A1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90CF48-51ED-4EA8-BA6B-873D7B7241E4}">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4F14F85D-98DC-420C-AC8F-D0087E6E4DBE}">
  <ds:schemaRefs>
    <ds:schemaRef ds:uri="http://schemas.openxmlformats.org/officeDocument/2006/bibliography"/>
  </ds:schemaRefs>
</ds:datastoreItem>
</file>

<file path=customXml/itemProps5.xml><?xml version="1.0" encoding="utf-8"?>
<ds:datastoreItem xmlns:ds="http://schemas.openxmlformats.org/officeDocument/2006/customXml" ds:itemID="{0648949A-BF5C-432F-A6BF-8BC12244A9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2123</Words>
  <Characters>15711</Characters>
  <Application>Microsoft Office Word</Application>
  <DocSecurity>4</DocSecurity>
  <Lines>241</Lines>
  <Paragraphs>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17778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2024-05-14T05:11:00Z</dcterms:created>
  <dcterms:modified xsi:type="dcterms:W3CDTF">2024-05-14T05:11:00Z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