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8ad179430c74aaf83eeb3e8888f172c"/>
        <w:lock w:val="sdtLocked"/>
        <w:richText/>
      </w:sdtPr>
      <w:sdtContent>
        <w:p w14:paraId="17BCAA1C" w14:textId="4B064FCE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ŽEMĖS VALDYMO SKYRIUS</w:t>
          </w:r>
        </w:p>
        <w:p w14:paraId="17BCAA1D" w14:textId="77777777">
          <w:pPr>
            <w:tabs>
              <w:tab w:val="left" w:pos="851"/>
            </w:tabs>
            <w:suppressAutoHyphens/>
            <w:ind w:hanging="180"/>
            <w:jc w:val="center"/>
            <w:rPr>
              <w:szCs w:val="24"/>
            </w:rPr>
          </w:pPr>
        </w:p>
        <w:p w14:paraId="3247D41F" w14:textId="33941514">
          <w:pPr>
            <w:suppressAutoHyphens/>
            <w:ind w:right="-87"/>
            <w:jc w:val="center"/>
            <w:rPr>
              <w:b/>
              <w:bCs/>
              <w:color w:val="000000"/>
              <w:szCs w:val="24"/>
              <w:shd w:val="clear" w:color="auto" w:fill="FFFFFF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SPRENDIMO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„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DĖL PRITARIMO PERLEISTI NUOSAVYBĖS TEISE PRIKLAUSANČIĄ NEGYVENAMĄJĄ PATALPĄ – GARAŽO BOKSĄ NR. 81 ŽEMĖS SKLYPE S. DARIAUS IR S. GIRĖNO G. 1A, ŠIAULIŲ MIESTE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“</w:t>
          </w:r>
        </w:p>
        <w:p w14:paraId="28B5D125" w14:textId="77777777">
          <w:pPr>
            <w:suppressAutoHyphens/>
            <w:ind w:right="-87"/>
            <w:jc w:val="center"/>
            <w:rPr>
              <w:b/>
              <w:szCs w:val="24"/>
              <w:lang w:eastAsia="lt-LT"/>
            </w:rPr>
          </w:pPr>
        </w:p>
        <w:p w14:paraId="17BCAA1F" w14:textId="77777777">
          <w:pPr>
            <w:tabs>
              <w:tab w:val="left" w:pos="851"/>
            </w:tabs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AIŠKINAMASIS RAŠTAS</w:t>
          </w:r>
        </w:p>
        <w:p w14:paraId="17BCAA20" w14:textId="77777777">
          <w:pPr>
            <w:tabs>
              <w:tab w:val="left" w:pos="851"/>
            </w:tabs>
            <w:suppressAutoHyphens/>
            <w:jc w:val="center"/>
            <w:rPr>
              <w:szCs w:val="24"/>
              <w:lang w:eastAsia="lt-LT"/>
            </w:rPr>
          </w:pPr>
        </w:p>
        <w:p w14:paraId="17BCAA21" w14:textId="6C6843CF">
          <w:pPr>
            <w:tabs>
              <w:tab w:val="left" w:pos="851"/>
            </w:tabs>
            <w:suppressAutoHyphens/>
            <w:jc w:val="center"/>
          </w:pPr>
          <w:r>
            <w:rPr>
              <w:szCs w:val="24"/>
              <w:lang w:eastAsia="lt-LT"/>
            </w:rPr>
            <w:t>2024 m. kovo___ d.</w:t>
          </w:r>
        </w:p>
        <w:p w14:paraId="17BCAA22" w14:textId="77777777">
          <w:pPr>
            <w:tabs>
              <w:tab w:val="left" w:pos="851"/>
            </w:tabs>
            <w:suppressAutoHyphens/>
            <w:ind w:left="4820" w:hanging="482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Šiauliai</w:t>
          </w:r>
        </w:p>
        <w:p w14:paraId="17BCAA24" w14:textId="7F852250">
          <w:pPr>
            <w:tabs>
              <w:tab w:val="left" w:pos="851"/>
            </w:tabs>
            <w:suppressAutoHyphens/>
            <w:ind w:firstLine="1440"/>
            <w:jc w:val="both"/>
            <w:rPr>
              <w:b/>
              <w:bCs/>
              <w:lang w:eastAsia="lt-LT"/>
            </w:rPr>
          </w:pPr>
        </w:p>
        <w:p w14:paraId="17BCAA25" w14:textId="1BBA73AC">
          <w:pPr>
            <w:tabs>
              <w:tab w:val="left" w:pos="851"/>
            </w:tabs>
            <w:suppressAutoHyphens/>
            <w:ind w:firstLine="851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Parengto sprendimo projekto tikslai ir uždaviniai:</w:t>
          </w:r>
        </w:p>
        <w:sdt>
          <w:sdtPr>
            <w:alias w:val="preambule"/>
            <w:tag w:val="part_ea6e3ed6a05946038d361e5f44f7ea67"/>
            <w:lock w:val="sdtLocked"/>
            <w:richText/>
          </w:sdtPr>
          <w:sdtContent>
            <w:p w14:paraId="38721002" w14:textId="455D392F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lt-LT"/>
                </w:rPr>
                <w:t xml:space="preserve">Sprendimo tikslas gauti Šiaulių miesto savivaldybės tarybos pritarimą perleisti M. M.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nuosavybės teise priklausančią negyvenamąją patalpą – garažo boksą Nr. 81 (unikalus Nr. 2999-2001-0016:0118) pastate 1G2p (unikalus Nr. 2999-2001-0016), esančiame </w:t>
              </w:r>
              <w:r>
                <w:rPr>
                  <w:szCs w:val="24"/>
                  <w:lang w:eastAsia="ar-SA"/>
                </w:rPr>
                <w:t xml:space="preserve">suformuotame 1,1942 ha ploto valstybinės žemės sklype (unikalus Nr. 2901-0029-0167, kadastro Nr. 2901/0029:167)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 Girėno g. 1A,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skirsnis"/>
            <w:tag w:val="part_82ea56b1adec4aa589aa9bfd3edd2909"/>
            <w:lock w:val="sdtLocked"/>
            <w:richText/>
          </w:sdtPr>
          <w:sdtContent>
            <w:p w14:paraId="17BCAA27" w14:textId="6B29AA2A">
              <w:pPr>
                <w:suppressAutoHyphens/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82ea56b1adec4aa589aa9bfd3edd290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Dabartinis sprendimo projekte aptariamų klausimų reguliavimas:</w:t>
                  </w:r>
                </w:sdtContent>
              </w:sdt>
            </w:p>
            <w:p w14:paraId="26C66002" w14:textId="62E0AD0F">
              <w:pPr>
                <w:ind w:firstLine="861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M. M. nuosavybės teise priklausanti negyvenamoji patalpa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–</w:t>
              </w:r>
              <w:r>
                <w:rPr>
                  <w:bCs/>
                  <w:szCs w:val="24"/>
                </w:rPr>
                <w:t xml:space="preserve"> garažo boksas Nr. 81 (unikalus Nr. 2999-2001-0016:0118) esanti pastate 1G2p </w:t>
              </w:r>
              <w:r>
                <w:rPr>
                  <w:szCs w:val="24"/>
                </w:rPr>
                <w:t xml:space="preserve">(unikalus Nr. 2999-2001-0016), </w:t>
              </w:r>
              <w:r>
                <w:rPr>
                  <w:bCs/>
                  <w:szCs w:val="24"/>
                </w:rPr>
                <w:t>yra suformuotame 1,1942 ha ploto valstybinės žemės sklype (unikalus Nr. 2901-0029-0167, kadastro Nr. 2901/0029:167), tačiau M. M. nėra sudaręs valstybinės žemės nuomos sutarties.</w:t>
              </w:r>
            </w:p>
            <w:p w14:paraId="4B4FAC4B" w14:textId="77777777">
              <w:pPr>
                <w:tabs>
                  <w:tab w:val="left" w:pos="709"/>
                  <w:tab w:val="left" w:pos="993"/>
                </w:tabs>
                <w:suppressAutoHyphens/>
                <w:ind w:firstLine="851"/>
                <w:jc w:val="both"/>
                <w:rPr>
                  <w:rFonts w:eastAsia="HG Mincho Light J"/>
                  <w:bCs/>
                  <w:szCs w:val="24"/>
                </w:rPr>
              </w:pPr>
              <w:r>
                <w:rPr>
                  <w:rFonts w:eastAsia="HG Mincho Light J"/>
                  <w:bCs/>
                  <w:szCs w:val="24"/>
                </w:rPr>
                <w:t>Valstybinės žemės nuomą reglamentuoja Lietuvos Respublikos žemės įstatymas ir Naudojamų kitos paskirties valstybinės žemės sklypų nuomos taisyklės, patvirtintos Lietuvos Respublikos Vyriausybės 1999 m. kovo 9 d. nutarimu Nr. 260 „Dėl Naudojamų kitos paskirties valstybinės žemės sklypų pardavimo ir nuomos“ (toliau – Taisyklės).</w:t>
              </w:r>
            </w:p>
            <w:p w14:paraId="1112CD18" w14:textId="77777777">
              <w:pPr>
                <w:ind w:firstLine="851"/>
                <w:jc w:val="both"/>
                <w:rPr>
                  <w:i/>
                  <w:iCs/>
                  <w:color w:val="000000"/>
                </w:rPr>
              </w:pPr>
              <w:r>
                <w:rPr>
                  <w:color w:val="000000"/>
                </w:rPr>
                <w:t xml:space="preserve">Taisyklių 28 punkte nurodyta, kad </w:t>
              </w:r>
              <w:r>
                <w:rPr>
                  <w:i/>
                  <w:iCs/>
                  <w:color w:val="000000"/>
                </w:rPr>
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</w:r>
              <w:r>
                <w:rPr>
                  <w:b/>
                  <w:bCs/>
                  <w:i/>
                  <w:iCs/>
                  <w:color w:val="000000"/>
                </w:rPr>
                <w:t> </w:t>
              </w:r>
              <w:r>
                <w:rPr>
                  <w:i/>
                  <w:iCs/>
                  <w:color w:val="000000"/>
                </w:rPr>
                <w:t>priima sprendimą pavesti bendrojo naudojimo objektų valdytojui sudaryti valstybinės žemės nuomos sutartį butų ir kitų patalpų (pastatų) savininkų vardu.</w:t>
              </w:r>
            </w:p>
            <w:p w14:paraId="1E73E823" w14:textId="266101BB">
              <w:pPr>
                <w:ind w:firstLine="851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Vadovaujantis Taisyklių 10 ir 29 punktais, įvykus sandoriui, minėto nekilnojamojo turto įgijėjas dėl valstybinės žemės sklypo dalies pirkimo turi teisę kreiptis į Nacionalinę žemės tarnybą prie Aplinkos ministerijos, o dėl valstybinės žemės sklypo nuomos sutarties sudarymo gali kreiptis į Šiaulių miesto savivaldybę.</w:t>
              </w:r>
            </w:p>
          </w:sdtContent>
        </w:sdt>
        <w:sdt>
          <w:sdtPr>
            <w:alias w:val="skirsnis"/>
            <w:tag w:val="part_16e2c1ee00c447ec9e508ce75b6b61c8"/>
            <w:lock w:val="sdtLocked"/>
            <w:richText/>
          </w:sdtPr>
          <w:sdtContent>
            <w:p w14:paraId="4CB3B3F3" w14:textId="2F4DA2E7">
              <w:pPr>
                <w:suppressAutoHyphens/>
                <w:ind w:firstLine="851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16e2c1ee00c447ec9e508ce75b6b61c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Sprendimo projekte numatytos naujos teisinio reglamentavimo nuostatos:</w:t>
                  </w:r>
                </w:sdtContent>
              </w:sdt>
            </w:p>
            <w:p w14:paraId="506F50C8" w14:textId="2E2E209C">
              <w:pPr>
                <w:tabs>
                  <w:tab w:val="left" w:pos="697"/>
                </w:tabs>
                <w:suppressAutoHyphens/>
                <w:ind w:firstLine="851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>Nenumatoma.</w:t>
              </w:r>
            </w:p>
          </w:sdtContent>
        </w:sdt>
        <w:sdt>
          <w:sdtPr>
            <w:alias w:val="skirsnis"/>
            <w:tag w:val="part_eb46f91d5296490085e63a17cbc504b8"/>
            <w:lock w:val="sdtLocked"/>
            <w:richText/>
          </w:sdtPr>
          <w:sdtContent>
            <w:p w14:paraId="2897EDB6" w14:textId="77777777">
              <w:pPr>
                <w:widowControl w:val="0"/>
                <w:suppressAutoHyphens/>
                <w:ind w:firstLine="851"/>
                <w:jc w:val="both"/>
                <w:rPr>
                  <w:kern w:val="2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Pavadinimas"/>
                  <w:tag w:val="title_eb46f91d5296490085e63a17cbc504b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Priėmus sprendimą, galimos pasekmės (tiek teigiamos, tiek neigiamos).</w:t>
                  </w:r>
                </w:sdtContent>
              </w:sdt>
            </w:p>
            <w:p w14:paraId="349C5418" w14:textId="459B9FB1">
              <w:pPr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kern w:val="1"/>
                  <w:szCs w:val="24"/>
                  <w:lang w:eastAsia="lt-LT"/>
                </w:rPr>
                <w:t>Teigiamos pasekmės – p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riėmus sprendimą teigiamų pasekmių nenumatoma. </w:t>
              </w:r>
            </w:p>
            <w:p w14:paraId="49676343" w14:textId="7C0DB316">
              <w:pPr>
                <w:suppressAutoHyphens/>
                <w:ind w:firstLine="851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kern w:val="1"/>
                  <w:szCs w:val="24"/>
                  <w:lang w:eastAsia="lt-LT"/>
                </w:rPr>
                <w:t>Neigiamos pasekmės – p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riėmus sprendimą neigiamų pasekmių nenumatoma. </w:t>
              </w:r>
            </w:p>
          </w:sdtContent>
        </w:sdt>
        <w:sdt>
          <w:sdtPr>
            <w:alias w:val="skirsnis"/>
            <w:tag w:val="part_e67211db9a8f4ca7b09608691c188758"/>
            <w:lock w:val="sdtLocked"/>
            <w:richText/>
          </w:sdtPr>
          <w:sdtContent>
            <w:p w14:paraId="1E57E06D" w14:textId="40F438D9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e67211db9a8f4ca7b09608691c18875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Priėmus sprendimą, keičiami ar pripažįstami negaliojančiais teisės aktai.</w:t>
                  </w:r>
                </w:sdtContent>
              </w:sdt>
            </w:p>
            <w:p w14:paraId="2C497C55" w14:textId="0C838015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Priėmus sprendimą, teisės aktai nekeičiami ir nepripažįstami negaliojančiais.</w:t>
              </w:r>
            </w:p>
          </w:sdtContent>
        </w:sdt>
        <w:sdt>
          <w:sdtPr>
            <w:alias w:val="skirsnis"/>
            <w:tag w:val="part_1a268e9694464f338613f3340e330d6a"/>
            <w:lock w:val="sdtLocked"/>
            <w:richText/>
          </w:sdtPr>
          <w:sdtContent>
            <w:p w14:paraId="1A338E57" w14:textId="6965EC75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1a268e9694464f338613f3340e330d6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Sprendimui įgyvendinti reikalingi priimti papildomi teisės aktai.</w:t>
                  </w:r>
                </w:sdtContent>
              </w:sdt>
            </w:p>
            <w:p w14:paraId="46E861B1" w14:textId="7435B578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Sprendimui įgyvendinti priimti papildomų teisės aktų nereikia.</w:t>
              </w:r>
            </w:p>
          </w:sdtContent>
        </w:sdt>
        <w:sdt>
          <w:sdtPr>
            <w:alias w:val="skirsnis"/>
            <w:tag w:val="part_f452acbaf11544899d674c706038db5d"/>
            <w:lock w:val="sdtLocked"/>
            <w:richText/>
          </w:sdtPr>
          <w:sdtContent>
            <w:p w14:paraId="5BF8A515" w14:textId="4B7FB83A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f452acbaf11544899d674c706038db5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Sprendimui įgyvendinti reikalingos lėšos.</w:t>
                  </w:r>
                </w:sdtContent>
              </w:sdt>
            </w:p>
            <w:p w14:paraId="6CE1F20A" w14:textId="7DCB57D1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Sprendimo projekto įgyvendinimui papildomos lėšos nebus reikalingos. </w:t>
              </w:r>
            </w:p>
          </w:sdtContent>
        </w:sdt>
        <w:sdt>
          <w:sdtPr>
            <w:alias w:val="skirsnis"/>
            <w:tag w:val="part_2803f9acd5244f1ba666bf3141bb1f96"/>
            <w:lock w:val="sdtLocked"/>
            <w:richText/>
          </w:sdtPr>
          <w:sdtContent>
            <w:p w14:paraId="330F5A8D" w14:textId="7CF4E974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2803f9acd5244f1ba666bf3141bb1f9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Sprendimo projekto antikorupcinis vertinimas.</w:t>
                  </w:r>
                </w:sdtContent>
              </w:sdt>
            </w:p>
            <w:p w14:paraId="6F11A2DE" w14:textId="77777777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>Antikorupcinio vertinimo pažyma nepridedama.</w:t>
              </w:r>
            </w:p>
            <w:p w14:paraId="12A22213" w14:textId="12009118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kern w:val="1"/>
                  <w:szCs w:val="24"/>
                  <w:lang w:eastAsia="lt-LT"/>
                </w:rPr>
                <w:t xml:space="preserve">Sprendimo projektą parengė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Šiaulių miesto savivaldybės administracijos Žemės valdymo skyrius. Tiesioginis rengėjas − skyriaus vyr. specialistė Deimantė Jurgelytė, tel. 8 41 509 585. </w:t>
              </w:r>
            </w:p>
          </w:sdtContent>
        </w:sdt>
        <w:sdt>
          <w:sdtPr>
            <w:alias w:val="skirsnis"/>
            <w:tag w:val="part_3ce63d439f684981a416db29e2c45ced"/>
            <w:lock w:val="sdtLocked"/>
            <w:richText/>
          </w:sdtPr>
          <w:sdtContent>
            <w:p w14:paraId="7101FD74" w14:textId="3A5E93F5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3ce63d439f684981a416db29e2c45ce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Numatomo teisinio reguliavimo poveikio vertinimo rezultatai.</w:t>
                  </w:r>
                </w:sdtContent>
              </w:sdt>
            </w:p>
            <w:p w14:paraId="74654113" w14:textId="6A126425">
              <w:pPr>
                <w:widowControl w:val="0"/>
                <w:suppressAutoHyphens/>
                <w:ind w:left="57" w:firstLine="794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bCs/>
                  <w:kern w:val="1"/>
                  <w:szCs w:val="24"/>
                  <w:lang w:eastAsia="lt-LT"/>
                </w:rPr>
                <w:t>Numatomo teisinio reguliavimo poveikio vertinimas neatliekamas, nes sprendimo projektu nėra numatoma reglamentuoti iki tol nereglamentuotus santykius ar iš esmės keisti teisinį reguliavimą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. </w:t>
              </w:r>
            </w:p>
            <w:p w14:paraId="4BDF89F8" w14:textId="77777777">
              <w:pPr>
                <w:tabs>
                  <w:tab w:val="left" w:pos="570"/>
                </w:tabs>
                <w:suppressAutoHyphens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8b25565a7f814fb69f014caf62cb95d5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701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F6A2A3" w14:textId="77777777">
      <w:pPr>
        <w:suppressAutoHyphens/>
      </w:pPr>
      <w:r>
        <w:separator/>
      </w:r>
    </w:p>
  </w:endnote>
  <w:endnote w:type="continuationSeparator" w:id="0">
    <w:p w14:paraId="1836C4CA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47ACCA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69AB46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E76FB2" w14:textId="77777777">
      <w:pPr>
        <w:suppressAutoHyphens/>
      </w:pPr>
      <w:r>
        <w:separator/>
      </w:r>
    </w:p>
  </w:footnote>
  <w:footnote w:type="continuationSeparator" w:id="0">
    <w:p w14:paraId="79EA8D86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80A4A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FC013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ae37620113d4237b5ec133070be18e1" PartId="e8ad179430c74aaf83eeb3e8888f172c">
    <Part Type="preambule" DocPartId="c3a53734e87244b48e774788d847f671" PartId="ea6e3ed6a05946038d361e5f44f7ea67"/>
    <Part Type="skirsnis" Title="Dabartinis sprendimo projekte aptariamų klausimų reguliavimas:" DocPartId="78e2b73d963046f5b3ebb72b22f988d6" PartId="82ea56b1adec4aa589aa9bfd3edd2909"/>
    <Part Type="skirsnis" Title="Sprendimo projekte numatytos naujos teisinio reglamentavimo nuostatos:" DocPartId="aeea98b888464393bd2a051f17ae0fdd" PartId="16e2c1ee00c447ec9e508ce75b6b61c8"/>
    <Part Type="skirsnis" Title="Priėmus sprendimą, galimos pasekmės (tiek teigiamos, tiek neigiamos)." DocPartId="8a08cccd1d994441a8c08acfdccea82c" PartId="eb46f91d5296490085e63a17cbc504b8"/>
    <Part Type="skirsnis" Title="Priėmus sprendimą, keičiami ar pripažįstami negaliojančiais teisės aktai." DocPartId="7ae0f29b1eb14c499266966650e5e9e9" PartId="e67211db9a8f4ca7b09608691c188758"/>
    <Part Type="skirsnis" Title="Sprendimui įgyvendinti reikalingi priimti papildomi teisės aktai." DocPartId="808c887bfecb4919bbef0a90b83766b4" PartId="1a268e9694464f338613f3340e330d6a"/>
    <Part Type="skirsnis" Title="Sprendimui įgyvendinti reikalingos lėšos." DocPartId="69298d03ba2a4a4ba3278a0a2614798b" PartId="f452acbaf11544899d674c706038db5d"/>
    <Part Type="skirsnis" Title="Sprendimo projekto antikorupcinis vertinimas." DocPartId="5a3ecd55003c4e21adbd681109835155" PartId="2803f9acd5244f1ba666bf3141bb1f96"/>
    <Part Type="skirsnis" Title="Numatomo teisinio reguliavimo poveikio vertinimo rezultatai." DocPartId="f467c6ffd05b40d2bf7f7e3cce2e0eef" PartId="3ce63d439f684981a416db29e2c45ced"/>
    <Part Type="signatura" DocPartId="42e58fefe3894b8988d75775d6855c08" PartId="8b25565a7f814fb69f014caf62cb95d5"/>
  </Part>
</Parts>
</file>

<file path=customXml/itemProps1.xml><?xml version="1.0" encoding="utf-8"?>
<ds:datastoreItem xmlns:ds="http://schemas.openxmlformats.org/officeDocument/2006/customXml" ds:itemID="{46FE03CE-E340-4E53-80A9-8A44A03248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345D75-B15C-4A4A-9EB8-B8FFE7014F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422</Words>
  <Characters>3102</Characters>
  <Application>Microsoft Office Word</Application>
  <DocSecurity>4</DocSecurity>
  <Lines>57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2024-04-04T19:47:00Z</dcterms:created>
  <dc:creator>Žyvilė Rimšienė</dc:creator>
  <dc:language>en-GB</dc:language>
  <lastModifiedBy>adlibuser</lastModifiedBy>
  <lastPrinted>2024-02-21T11:15:00Z</lastPrinted>
  <dcterms:modified xsi:type="dcterms:W3CDTF">2024-04-04T19:47:00Z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