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9078ba7a40494a908ea152efd044026f"/>
        <w:lock w:val="sdtLocked"/>
        <w:richText/>
      </w:sdtPr>
      <w:sdtContent>
        <w:p>
          <w:pPr>
            <w:rPr>
              <w:sz w:val="8"/>
              <w:szCs w:val="8"/>
            </w:rPr>
          </w:pPr>
        </w:p>
        <w:p>
          <w:pPr>
            <w:rPr>
              <w:szCs w:val="24"/>
            </w:rPr>
          </w:pPr>
        </w:p>
        <w:p>
          <w:pPr>
            <w:rPr>
              <w:sz w:val="8"/>
              <w:szCs w:val="8"/>
            </w:rPr>
          </w:pPr>
        </w:p>
        <w:p>
          <w:pPr>
            <w:ind w:left="5851"/>
            <w:rPr>
              <w:szCs w:val="24"/>
            </w:rPr>
          </w:pPr>
          <w:r>
            <w:rPr>
              <w:szCs w:val="24"/>
            </w:rPr>
            <w:t>Neringos savivaldybės</w:t>
          </w:r>
        </w:p>
        <w:p>
          <w:pPr>
            <w:ind w:left="5851"/>
            <w:rPr>
              <w:szCs w:val="24"/>
            </w:rPr>
          </w:pPr>
          <w:r>
            <w:rPr>
              <w:szCs w:val="24"/>
            </w:rPr>
            <w:t>2022–2024 metų strateginio veiklos plano</w:t>
          </w:r>
        </w:p>
        <w:p>
          <w:pPr>
            <w:ind w:left="5851"/>
            <w:rPr>
              <w:b/>
              <w:szCs w:val="24"/>
            </w:rPr>
          </w:pPr>
          <w:sdt>
            <w:sdtPr>
              <w:alias w:val="Numeris"/>
              <w:tag w:val="nr_9078ba7a40494a908ea152efd044026f"/>
              <w:lock w:val="sdtLocked"/>
              <w:richText/>
            </w:sdtPr>
            <w:sdtContent>
              <w:r>
                <w:rPr>
                  <w:szCs w:val="24"/>
                </w:rPr>
                <w:t>15</w:t>
              </w:r>
            </w:sdtContent>
          </w:sdt>
          <w:r>
            <w:rPr>
              <w:szCs w:val="24"/>
            </w:rPr>
            <w:t xml:space="preserve"> priedas</w:t>
          </w:r>
        </w:p>
        <w:p>
          <w:pPr>
            <w:tabs>
              <w:tab w:val="left" w:pos="6663"/>
            </w:tabs>
            <w:ind w:left="5103"/>
            <w:jc w:val="center"/>
            <w:rPr>
              <w:szCs w:val="24"/>
            </w:rPr>
          </w:pPr>
        </w:p>
        <w:p>
          <w:pPr>
            <w:jc w:val="right"/>
            <w:rPr>
              <w:szCs w:val="24"/>
            </w:rPr>
          </w:pPr>
        </w:p>
        <w:p>
          <w:pPr>
            <w:pBdr>
              <w:bottom w:val="single" w:sz="12" w:space="1" w:color="auto"/>
            </w:pBdr>
            <w:jc w:val="center"/>
            <w:rPr>
              <w:szCs w:val="24"/>
            </w:rPr>
          </w:pPr>
          <w:sdt>
            <w:sdtPr>
              <w:alias w:val="Pavadinimas"/>
              <w:tag w:val="title_9078ba7a40494a908ea152efd044026f"/>
              <w:lock w:val="sdtLocked"/>
              <w:richText/>
            </w:sdtPr>
            <w:sdtContent>
              <w:r>
                <w:rPr>
                  <w:szCs w:val="24"/>
                </w:rPr>
                <w:t>SVEIKATOS PRIEŽIŪROS PROGRAMA (08)</w:t>
              </w:r>
            </w:sdtContent>
          </w:sdt>
        </w:p>
        <w:p>
          <w:pPr>
            <w:jc w:val="center"/>
            <w:rPr>
              <w:b/>
              <w:bCs/>
              <w:szCs w:val="24"/>
            </w:rPr>
          </w:pPr>
          <w:r>
            <w:rPr>
              <w:sz w:val="20"/>
            </w:rPr>
            <w:t>(Programos pavadinimas, kodas)</w:t>
          </w:r>
          <w:r>
            <w:rPr>
              <w:sz w:val="22"/>
              <w:szCs w:val="22"/>
            </w:rPr>
            <w:br/>
          </w:r>
          <w:r>
            <w:rPr>
              <w:b/>
              <w:bCs/>
              <w:szCs w:val="24"/>
            </w:rPr>
            <w:t>PROGRAMOS APRAŠYMAS</w:t>
          </w:r>
        </w:p>
        <w:p>
          <w:pPr>
            <w:jc w:val="center"/>
            <w:rPr>
              <w:b/>
              <w:bCs/>
              <w:szCs w:val="24"/>
            </w:rPr>
          </w:pPr>
        </w:p>
        <w:tbl>
          <w:tblPr>
            <w:tblW w:w="999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5757"/>
            <w:gridCol w:w="900"/>
            <w:gridCol w:w="1070"/>
          </w:tblGrid>
          <w:tr>
            <w:tc>
              <w:tcPr>
                <w:tcW w:w="2268" w:type="dxa"/>
                <w:shd w:val="clear" w:color="auto" w:fill="F2DBDB"/>
              </w:tcPr>
              <w:p>
                <w:pPr>
                  <w:keepNext/>
                  <w:rPr>
                    <w:bCs/>
                    <w:szCs w:val="24"/>
                  </w:rPr>
                </w:pPr>
                <w:r>
                  <w:rPr>
                    <w:bCs/>
                    <w:szCs w:val="24"/>
                  </w:rPr>
                  <w:t>Biudžetiniai metai</w:t>
                </w:r>
              </w:p>
            </w:tc>
            <w:tc>
              <w:tcPr>
                <w:tcW w:w="7727" w:type="dxa"/>
                <w:gridSpan w:val="3"/>
              </w:tcPr>
              <w:p>
                <w:pPr>
                  <w:rPr>
                    <w:szCs w:val="24"/>
                  </w:rPr>
                </w:pPr>
                <w:r>
                  <w:rPr>
                    <w:szCs w:val="24"/>
                  </w:rPr>
                  <w:t xml:space="preserve">2022 m.  </w:t>
                </w:r>
              </w:p>
            </w:tc>
          </w:tr>
          <w:tr>
            <w:tc>
              <w:tcPr>
                <w:tcW w:w="2268" w:type="dxa"/>
                <w:shd w:val="clear" w:color="auto" w:fill="F2DBDB"/>
              </w:tcPr>
              <w:p>
                <w:pPr>
                  <w:keepNext/>
                  <w:rPr>
                    <w:bCs/>
                    <w:szCs w:val="24"/>
                  </w:rPr>
                </w:pPr>
                <w:r>
                  <w:rPr>
                    <w:bCs/>
                    <w:szCs w:val="24"/>
                  </w:rPr>
                  <w:t>Programos vykdymo laikotarpis</w:t>
                </w:r>
              </w:p>
            </w:tc>
            <w:tc>
              <w:tcPr>
                <w:tcW w:w="7727" w:type="dxa"/>
                <w:gridSpan w:val="3"/>
              </w:tcPr>
              <w:p>
                <w:pPr>
                  <w:rPr>
                    <w:szCs w:val="24"/>
                  </w:rPr>
                </w:pPr>
                <w:r>
                  <w:rPr>
                    <w:szCs w:val="24"/>
                  </w:rPr>
                  <w:t xml:space="preserve">Tęstinė </w:t>
                </w:r>
              </w:p>
            </w:tc>
          </w:tr>
          <w:tr>
            <w:tc>
              <w:tcPr>
                <w:tcW w:w="2268" w:type="dxa"/>
                <w:shd w:val="clear" w:color="auto" w:fill="F2DBDB"/>
              </w:tcPr>
              <w:p>
                <w:pPr>
                  <w:keepNext/>
                  <w:rPr>
                    <w:bCs/>
                    <w:szCs w:val="24"/>
                  </w:rPr>
                </w:pPr>
                <w:r>
                  <w:rPr>
                    <w:bCs/>
                    <w:szCs w:val="24"/>
                  </w:rPr>
                  <w:t xml:space="preserve">Asignavimų valdytojas </w:t>
                </w:r>
              </w:p>
            </w:tc>
            <w:tc>
              <w:tcPr>
                <w:tcW w:w="7727" w:type="dxa"/>
                <w:gridSpan w:val="3"/>
              </w:tcPr>
              <w:p>
                <w:pPr>
                  <w:rPr>
                    <w:szCs w:val="24"/>
                  </w:rPr>
                </w:pPr>
                <w:r>
                  <w:rPr>
                    <w:szCs w:val="24"/>
                  </w:rPr>
                  <w:t>Neringos savivaldybės administracija</w:t>
                </w:r>
              </w:p>
            </w:tc>
          </w:tr>
          <w:tr>
            <w:tc>
              <w:tcPr>
                <w:tcW w:w="2268" w:type="dxa"/>
                <w:shd w:val="clear" w:color="auto" w:fill="F2DBDB"/>
              </w:tcPr>
              <w:p>
                <w:pPr>
                  <w:keepNext/>
                  <w:rPr>
                    <w:bCs/>
                    <w:szCs w:val="24"/>
                  </w:rPr>
                </w:pPr>
                <w:r>
                  <w:rPr>
                    <w:bCs/>
                    <w:szCs w:val="24"/>
                  </w:rPr>
                  <w:t>Programos vykdytojai</w:t>
                </w:r>
              </w:p>
            </w:tc>
            <w:tc>
              <w:tcPr>
                <w:tcW w:w="7727" w:type="dxa"/>
                <w:gridSpan w:val="3"/>
              </w:tcPr>
              <w:p>
                <w:pPr>
                  <w:rPr>
                    <w:szCs w:val="24"/>
                  </w:rPr>
                </w:pPr>
                <w:r>
                  <w:rPr>
                    <w:szCs w:val="24"/>
                  </w:rPr>
                  <w:t xml:space="preserve">Savivaldybės gydytojas; </w:t>
                </w:r>
              </w:p>
              <w:p>
                <w:pPr>
                  <w:rPr>
                    <w:szCs w:val="24"/>
                  </w:rPr>
                </w:pPr>
                <w:r>
                  <w:rPr>
                    <w:szCs w:val="24"/>
                  </w:rPr>
                  <w:t>Viešoji įstaiga Neringos pirminės sveikatos priežiūros centras;</w:t>
                </w:r>
              </w:p>
              <w:p>
                <w:pPr>
                  <w:rPr>
                    <w:szCs w:val="24"/>
                  </w:rPr>
                </w:pPr>
                <w:r>
                  <w:rPr>
                    <w:szCs w:val="24"/>
                  </w:rPr>
                  <w:t>Klaipėdos miesto visuomenės sveikatos biuras;</w:t>
                </w:r>
              </w:p>
              <w:p>
                <w:pPr>
                  <w:rPr>
                    <w:szCs w:val="24"/>
                  </w:rPr>
                </w:pPr>
                <w:r>
                  <w:rPr>
                    <w:szCs w:val="24"/>
                  </w:rPr>
                  <w:t>Visuomenės sveikatos rėmimo specialiosios programos priemonių vykdytojai.</w:t>
                </w:r>
              </w:p>
            </w:tc>
          </w:tr>
          <w:tr>
            <w:tc>
              <w:tcPr>
                <w:tcW w:w="2268" w:type="dxa"/>
                <w:shd w:val="clear" w:color="auto" w:fill="F2DBDB"/>
              </w:tcPr>
              <w:p>
                <w:pPr>
                  <w:rPr>
                    <w:bCs/>
                    <w:szCs w:val="24"/>
                  </w:rPr>
                </w:pPr>
                <w:r>
                  <w:rPr>
                    <w:bCs/>
                    <w:szCs w:val="24"/>
                  </w:rPr>
                  <w:t>Programos parengimo argumentai</w:t>
                </w:r>
              </w:p>
            </w:tc>
            <w:tc>
              <w:tcPr>
                <w:tcW w:w="7727" w:type="dxa"/>
                <w:gridSpan w:val="3"/>
              </w:tcPr>
              <w:p>
                <w:pPr>
                  <w:jc w:val="both"/>
                  <w:rPr>
                    <w:szCs w:val="24"/>
                  </w:rPr>
                </w:pPr>
                <w:r>
                  <w:rPr>
                    <w:szCs w:val="24"/>
                  </w:rPr>
                  <w:t xml:space="preserve">Sveikatos priežiūros programa realizuojamas Neringos savivaldybės strateginio plėtros plano 2021–2030 metams II-o prioriteto 2.1 tikslo 2.1.2 uždavinys, 2.3. tikslo 2.3.3 uždavinys; III prioriteto 3.2. tikslo 3.2.3. uždavinys; įgyvendinami Neringos bendruomenės sveikatos tarybos </w:t>
                </w:r>
              </w:p>
              <w:p>
                <w:pPr>
                  <w:jc w:val="both"/>
                  <w:rPr>
                    <w:szCs w:val="24"/>
                  </w:rPr>
                </w:pPr>
                <w:r>
                  <w:rPr>
                    <w:szCs w:val="24"/>
                  </w:rPr>
                  <w:t xml:space="preserve">2021-10-08 posėdžio protokolu Nr. V35-3 nustatyti sveikatinimo veiklos prioritetai 2022 m. </w:t>
                </w:r>
              </w:p>
              <w:p>
                <w:pPr>
                  <w:jc w:val="both"/>
                  <w:rPr>
                    <w:szCs w:val="24"/>
                  </w:rPr>
                </w:pPr>
              </w:p>
            </w:tc>
          </w:tr>
          <w:tr>
            <w:trPr>
              <w:cantSplit/>
            </w:trPr>
            <w:tc>
              <w:tcPr>
                <w:tcW w:w="2268" w:type="dxa"/>
                <w:vMerge w:val="restart"/>
                <w:shd w:val="clear" w:color="auto" w:fill="F2DBDB"/>
              </w:tcPr>
              <w:p>
                <w:pPr>
                  <w:rPr>
                    <w:bCs/>
                    <w:szCs w:val="24"/>
                  </w:rPr>
                </w:pPr>
                <w:r>
                  <w:rPr>
                    <w:bCs/>
                    <w:szCs w:val="24"/>
                  </w:rPr>
                  <w:t>Ilgalaikiai prioritetai</w:t>
                </w:r>
              </w:p>
              <w:p>
                <w:pPr>
                  <w:rPr>
                    <w:bCs/>
                    <w:szCs w:val="24"/>
                  </w:rPr>
                </w:pPr>
                <w:r>
                  <w:rPr>
                    <w:bCs/>
                    <w:szCs w:val="24"/>
                  </w:rPr>
                  <w:t>(pagal NSSPP 2021–2030)</w:t>
                </w:r>
              </w:p>
            </w:tc>
            <w:tc>
              <w:tcPr>
                <w:tcW w:w="5757" w:type="dxa"/>
              </w:tcPr>
              <w:p>
                <w:pPr>
                  <w:keepNext/>
                  <w:jc w:val="both"/>
                  <w:outlineLvl w:val="4"/>
                  <w:rPr>
                    <w:szCs w:val="24"/>
                  </w:rPr>
                </w:pPr>
                <w:r>
                  <w:rPr>
                    <w:szCs w:val="24"/>
                  </w:rPr>
                  <w:t>Patrauklios aplinkos gyvenimui ir poilsiui sukūrimas</w:t>
                </w:r>
              </w:p>
            </w:tc>
            <w:tc>
              <w:tcPr>
                <w:tcW w:w="900" w:type="dxa"/>
              </w:tcPr>
              <w:p>
                <w:pPr>
                  <w:keepNext/>
                  <w:outlineLvl w:val="4"/>
                  <w:rPr>
                    <w:szCs w:val="24"/>
                  </w:rPr>
                </w:pPr>
                <w:r>
                  <w:rPr>
                    <w:szCs w:val="24"/>
                  </w:rPr>
                  <w:t>Kodas</w:t>
                </w:r>
              </w:p>
            </w:tc>
            <w:tc>
              <w:tcPr>
                <w:tcW w:w="1070" w:type="dxa"/>
              </w:tcPr>
              <w:p>
                <w:pPr>
                  <w:keepNext/>
                  <w:outlineLvl w:val="4"/>
                  <w:rPr>
                    <w:szCs w:val="24"/>
                  </w:rPr>
                </w:pPr>
                <w:r>
                  <w:rPr>
                    <w:szCs w:val="24"/>
                  </w:rPr>
                  <w:t>2</w:t>
                </w:r>
              </w:p>
            </w:tc>
          </w:tr>
          <w:tr>
            <w:trPr>
              <w:cantSplit/>
            </w:trPr>
            <w:tc>
              <w:tcPr>
                <w:tcW w:w="2268" w:type="dxa"/>
                <w:vMerge/>
                <w:shd w:val="clear" w:color="auto" w:fill="F2DBDB"/>
              </w:tcPr>
              <w:p>
                <w:pPr>
                  <w:rPr>
                    <w:bCs/>
                    <w:szCs w:val="24"/>
                  </w:rPr>
                </w:pPr>
              </w:p>
            </w:tc>
            <w:tc>
              <w:tcPr>
                <w:tcW w:w="5757" w:type="dxa"/>
              </w:tcPr>
              <w:p>
                <w:pPr>
                  <w:keepNext/>
                  <w:jc w:val="both"/>
                  <w:outlineLvl w:val="4"/>
                  <w:rPr>
                    <w:szCs w:val="24"/>
                  </w:rPr>
                </w:pPr>
                <w:r>
                  <w:rPr>
                    <w:szCs w:val="24"/>
                  </w:rPr>
                  <w:t>Viešųjų paslaugų kokybės gerinimas</w:t>
                </w:r>
              </w:p>
            </w:tc>
            <w:tc>
              <w:tcPr>
                <w:tcW w:w="900" w:type="dxa"/>
              </w:tcPr>
              <w:p>
                <w:pPr>
                  <w:keepNext/>
                  <w:outlineLvl w:val="4"/>
                  <w:rPr>
                    <w:szCs w:val="24"/>
                  </w:rPr>
                </w:pPr>
                <w:r>
                  <w:rPr>
                    <w:szCs w:val="24"/>
                  </w:rPr>
                  <w:t>Kodas</w:t>
                </w:r>
              </w:p>
            </w:tc>
            <w:tc>
              <w:tcPr>
                <w:tcW w:w="1070" w:type="dxa"/>
              </w:tcPr>
              <w:p>
                <w:pPr>
                  <w:keepNext/>
                  <w:outlineLvl w:val="4"/>
                  <w:rPr>
                    <w:szCs w:val="24"/>
                  </w:rPr>
                </w:pPr>
                <w:r>
                  <w:rPr>
                    <w:szCs w:val="24"/>
                  </w:rPr>
                  <w:t>3</w:t>
                </w:r>
              </w:p>
            </w:tc>
          </w:tr>
          <w:tr>
            <w:trPr>
              <w:cantSplit/>
            </w:trPr>
            <w:tc>
              <w:tcPr>
                <w:tcW w:w="2268" w:type="dxa"/>
                <w:vMerge w:val="restart"/>
                <w:shd w:val="clear" w:color="auto" w:fill="F2DBDB"/>
              </w:tcPr>
              <w:p>
                <w:pPr>
                  <w:rPr>
                    <w:bCs/>
                    <w:szCs w:val="24"/>
                  </w:rPr>
                </w:pPr>
                <w:r>
                  <w:rPr>
                    <w:bCs/>
                    <w:szCs w:val="24"/>
                  </w:rPr>
                  <w:t>Programa įgyvendinamas savivaldybės strateginiai tikslai</w:t>
                </w:r>
              </w:p>
            </w:tc>
            <w:tc>
              <w:tcPr>
                <w:tcW w:w="5757" w:type="dxa"/>
              </w:tcPr>
              <w:p>
                <w:pPr>
                  <w:rPr>
                    <w:rFonts w:eastAsia="Calibri"/>
                    <w:szCs w:val="24"/>
                  </w:rPr>
                </w:pPr>
                <w:r>
                  <w:rPr>
                    <w:rFonts w:eastAsia="Calibri"/>
                    <w:szCs w:val="24"/>
                  </w:rPr>
                  <w:t xml:space="preserve">Kryptingai vystyti darnaus judumo planą </w:t>
                </w:r>
              </w:p>
              <w:p>
                <w:pPr>
                  <w:rPr>
                    <w:strike/>
                    <w:szCs w:val="24"/>
                  </w:rPr>
                </w:pPr>
              </w:p>
            </w:tc>
            <w:tc>
              <w:tcPr>
                <w:tcW w:w="900" w:type="dxa"/>
              </w:tcPr>
              <w:p>
                <w:pPr>
                  <w:keepNext/>
                  <w:jc w:val="center"/>
                  <w:outlineLvl w:val="3"/>
                  <w:rPr>
                    <w:szCs w:val="24"/>
                  </w:rPr>
                </w:pPr>
                <w:r>
                  <w:rPr>
                    <w:szCs w:val="24"/>
                  </w:rPr>
                  <w:t>Kodas</w:t>
                </w:r>
              </w:p>
              <w:p>
                <w:pPr>
                  <w:rPr>
                    <w:szCs w:val="24"/>
                  </w:rPr>
                </w:pPr>
              </w:p>
            </w:tc>
            <w:tc>
              <w:tcPr>
                <w:tcW w:w="1070" w:type="dxa"/>
              </w:tcPr>
              <w:p>
                <w:pPr>
                  <w:rPr>
                    <w:szCs w:val="24"/>
                  </w:rPr>
                </w:pPr>
                <w:r>
                  <w:rPr>
                    <w:szCs w:val="24"/>
                  </w:rPr>
                  <w:t>2.1.</w:t>
                </w:r>
              </w:p>
            </w:tc>
          </w:tr>
          <w:tr>
            <w:trPr>
              <w:cantSplit/>
            </w:trPr>
            <w:tc>
              <w:tcPr>
                <w:tcW w:w="2268" w:type="dxa"/>
                <w:vMerge/>
                <w:shd w:val="clear" w:color="auto" w:fill="F2DBDB"/>
              </w:tcPr>
              <w:p>
                <w:pPr>
                  <w:rPr>
                    <w:bCs/>
                    <w:szCs w:val="24"/>
                  </w:rPr>
                </w:pPr>
              </w:p>
            </w:tc>
            <w:tc>
              <w:tcPr>
                <w:tcW w:w="5757" w:type="dxa"/>
              </w:tcPr>
              <w:p>
                <w:pPr>
                  <w:rPr>
                    <w:rFonts w:eastAsia="Calibri"/>
                    <w:szCs w:val="24"/>
                  </w:rPr>
                </w:pPr>
                <w:r>
                  <w:rPr>
                    <w:rFonts w:eastAsia="Calibri"/>
                    <w:szCs w:val="24"/>
                  </w:rPr>
                  <w:t>Laimingos bendruomenės kūrimas</w:t>
                </w:r>
              </w:p>
              <w:p>
                <w:pPr>
                  <w:rPr>
                    <w:strike/>
                    <w:szCs w:val="24"/>
                  </w:rPr>
                </w:pPr>
              </w:p>
            </w:tc>
            <w:tc>
              <w:tcPr>
                <w:tcW w:w="900" w:type="dxa"/>
              </w:tcPr>
              <w:p>
                <w:pPr>
                  <w:keepNext/>
                  <w:jc w:val="center"/>
                  <w:outlineLvl w:val="3"/>
                  <w:rPr>
                    <w:szCs w:val="24"/>
                  </w:rPr>
                </w:pPr>
                <w:r>
                  <w:rPr>
                    <w:szCs w:val="24"/>
                  </w:rPr>
                  <w:t>Kodas</w:t>
                </w:r>
              </w:p>
            </w:tc>
            <w:tc>
              <w:tcPr>
                <w:tcW w:w="1070" w:type="dxa"/>
              </w:tcPr>
              <w:p>
                <w:pPr>
                  <w:rPr>
                    <w:szCs w:val="24"/>
                  </w:rPr>
                </w:pPr>
                <w:r>
                  <w:rPr>
                    <w:szCs w:val="24"/>
                  </w:rPr>
                  <w:t>2.3.</w:t>
                </w:r>
              </w:p>
            </w:tc>
          </w:tr>
          <w:tr>
            <w:trPr>
              <w:cantSplit/>
            </w:trPr>
            <w:tc>
              <w:tcPr>
                <w:tcW w:w="2268" w:type="dxa"/>
                <w:vMerge/>
                <w:shd w:val="clear" w:color="auto" w:fill="F2DBDB"/>
              </w:tcPr>
              <w:p>
                <w:pPr>
                  <w:rPr>
                    <w:bCs/>
                    <w:szCs w:val="24"/>
                  </w:rPr>
                </w:pPr>
              </w:p>
            </w:tc>
            <w:tc>
              <w:tcPr>
                <w:tcW w:w="5757" w:type="dxa"/>
              </w:tcPr>
              <w:p>
                <w:pPr>
                  <w:rPr>
                    <w:rFonts w:eastAsia="Calibri"/>
                    <w:szCs w:val="24"/>
                  </w:rPr>
                </w:pPr>
                <w:r>
                  <w:rPr>
                    <w:rFonts w:eastAsia="Calibri"/>
                    <w:szCs w:val="24"/>
                  </w:rPr>
                  <w:t>Viešųjų paslaugų kokybės gerinimas</w:t>
                </w:r>
              </w:p>
              <w:p>
                <w:pPr>
                  <w:rPr>
                    <w:strike/>
                    <w:szCs w:val="24"/>
                  </w:rPr>
                </w:pPr>
              </w:p>
            </w:tc>
            <w:tc>
              <w:tcPr>
                <w:tcW w:w="900" w:type="dxa"/>
              </w:tcPr>
              <w:p>
                <w:pPr>
                  <w:keepNext/>
                  <w:jc w:val="center"/>
                  <w:outlineLvl w:val="3"/>
                  <w:rPr>
                    <w:szCs w:val="24"/>
                  </w:rPr>
                </w:pPr>
                <w:r>
                  <w:rPr>
                    <w:szCs w:val="24"/>
                  </w:rPr>
                  <w:t>Kodas</w:t>
                </w:r>
              </w:p>
            </w:tc>
            <w:tc>
              <w:tcPr>
                <w:tcW w:w="1070" w:type="dxa"/>
              </w:tcPr>
              <w:p>
                <w:pPr>
                  <w:rPr>
                    <w:szCs w:val="24"/>
                  </w:rPr>
                </w:pPr>
                <w:r>
                  <w:rPr>
                    <w:szCs w:val="24"/>
                  </w:rPr>
                  <w:t>3.2.</w:t>
                </w:r>
              </w:p>
            </w:tc>
          </w:tr>
          <w:tr>
            <w:trPr>
              <w:cantSplit/>
            </w:trPr>
            <w:tc>
              <w:tcPr>
                <w:tcW w:w="2268" w:type="dxa"/>
                <w:vMerge w:val="restart"/>
                <w:shd w:val="clear" w:color="auto" w:fill="F2DBDB"/>
              </w:tcPr>
              <w:p>
                <w:pPr>
                  <w:rPr>
                    <w:bCs/>
                    <w:szCs w:val="24"/>
                  </w:rPr>
                </w:pPr>
                <w:r>
                  <w:rPr>
                    <w:bCs/>
                    <w:szCs w:val="24"/>
                  </w:rPr>
                  <w:t xml:space="preserve">Strateginio tikslo uždaviniai </w:t>
                </w:r>
              </w:p>
            </w:tc>
            <w:tc>
              <w:tcPr>
                <w:tcW w:w="5757" w:type="dxa"/>
                <w:tcBorders>
                  <w:bottom w:val="single" w:sz="4" w:space="0" w:color="auto"/>
                </w:tcBorders>
              </w:tcPr>
              <w:p>
                <w:pPr>
                  <w:rPr>
                    <w:szCs w:val="24"/>
                  </w:rPr>
                </w:pPr>
                <w:r>
                  <w:rPr>
                    <w:szCs w:val="24"/>
                  </w:rPr>
                  <w:t xml:space="preserve">Sukurti svečiams ir gyventojams patrauklią ir saugią </w:t>
                </w:r>
              </w:p>
              <w:p>
                <w:pPr>
                  <w:rPr>
                    <w:szCs w:val="24"/>
                  </w:rPr>
                </w:pPr>
                <w:r>
                  <w:rPr>
                    <w:szCs w:val="24"/>
                  </w:rPr>
                  <w:t>aplinką</w:t>
                </w:r>
              </w:p>
            </w:tc>
            <w:tc>
              <w:tcPr>
                <w:tcW w:w="900" w:type="dxa"/>
                <w:tcBorders>
                  <w:bottom w:val="single" w:sz="4" w:space="0" w:color="auto"/>
                </w:tcBorders>
              </w:tcPr>
              <w:p>
                <w:pPr>
                  <w:keepNext/>
                  <w:jc w:val="center"/>
                  <w:outlineLvl w:val="3"/>
                  <w:rPr>
                    <w:szCs w:val="24"/>
                  </w:rPr>
                </w:pPr>
                <w:r>
                  <w:rPr>
                    <w:szCs w:val="24"/>
                  </w:rPr>
                  <w:t>Kodas</w:t>
                </w:r>
              </w:p>
            </w:tc>
            <w:tc>
              <w:tcPr>
                <w:tcW w:w="1070" w:type="dxa"/>
                <w:tcBorders>
                  <w:bottom w:val="single" w:sz="4" w:space="0" w:color="auto"/>
                </w:tcBorders>
              </w:tcPr>
              <w:p>
                <w:pPr>
                  <w:rPr>
                    <w:szCs w:val="24"/>
                  </w:rPr>
                </w:pPr>
                <w:r>
                  <w:rPr>
                    <w:szCs w:val="24"/>
                  </w:rPr>
                  <w:t>2.1.2.</w:t>
                </w:r>
              </w:p>
            </w:tc>
          </w:tr>
          <w:tr>
            <w:trPr>
              <w:cantSplit/>
            </w:trPr>
            <w:tc>
              <w:tcPr>
                <w:tcW w:w="2268" w:type="dxa"/>
                <w:vMerge/>
                <w:shd w:val="clear" w:color="auto" w:fill="F2DBDB"/>
              </w:tcPr>
              <w:p>
                <w:pPr>
                  <w:rPr>
                    <w:bCs/>
                    <w:szCs w:val="24"/>
                  </w:rPr>
                </w:pPr>
              </w:p>
            </w:tc>
            <w:tc>
              <w:tcPr>
                <w:tcW w:w="5757" w:type="dxa"/>
                <w:shd w:val="clear" w:color="auto" w:fill="FFFFFF" w:themeFill="background1"/>
              </w:tcPr>
              <w:p>
                <w:pPr>
                  <w:rPr>
                    <w:rFonts w:eastAsia="Calibri"/>
                    <w:szCs w:val="24"/>
                  </w:rPr>
                </w:pPr>
                <w:r>
                  <w:rPr>
                    <w:rFonts w:eastAsia="Calibri"/>
                    <w:szCs w:val="24"/>
                  </w:rPr>
                  <w:t>Padidinti sklaidą apie sveikos gyvensenos ir fizinio aktyvumo naudą, užtikrinti ligų prevenciją, padidinti gyventojų sveikatingumo raštingumą</w:t>
                </w:r>
              </w:p>
              <w:p>
                <w:pPr>
                  <w:rPr>
                    <w:rFonts w:eastAsia="Calibri"/>
                    <w:szCs w:val="24"/>
                  </w:rPr>
                </w:pPr>
              </w:p>
            </w:tc>
            <w:tc>
              <w:tcPr>
                <w:tcW w:w="900" w:type="dxa"/>
                <w:tcBorders>
                  <w:bottom w:val="single" w:sz="4" w:space="0" w:color="auto"/>
                </w:tcBorders>
              </w:tcPr>
              <w:p>
                <w:pPr>
                  <w:keepNext/>
                  <w:jc w:val="center"/>
                  <w:outlineLvl w:val="3"/>
                  <w:rPr>
                    <w:szCs w:val="24"/>
                  </w:rPr>
                </w:pPr>
                <w:r>
                  <w:rPr>
                    <w:szCs w:val="24"/>
                  </w:rPr>
                  <w:t>Kodas</w:t>
                </w:r>
              </w:p>
            </w:tc>
            <w:tc>
              <w:tcPr>
                <w:tcW w:w="1070" w:type="dxa"/>
                <w:tcBorders>
                  <w:bottom w:val="single" w:sz="4" w:space="0" w:color="auto"/>
                </w:tcBorders>
              </w:tcPr>
              <w:p>
                <w:pPr>
                  <w:rPr>
                    <w:szCs w:val="24"/>
                  </w:rPr>
                </w:pPr>
                <w:r>
                  <w:rPr>
                    <w:szCs w:val="24"/>
                  </w:rPr>
                  <w:t>2.3.3.</w:t>
                </w:r>
              </w:p>
            </w:tc>
          </w:tr>
          <w:tr>
            <w:trPr>
              <w:cantSplit/>
            </w:trPr>
            <w:tc>
              <w:tcPr>
                <w:tcW w:w="2268" w:type="dxa"/>
                <w:vMerge/>
                <w:tcBorders>
                  <w:bottom w:val="single" w:sz="4" w:space="0" w:color="auto"/>
                </w:tcBorders>
                <w:shd w:val="clear" w:color="auto" w:fill="F2DBDB"/>
              </w:tcPr>
              <w:p>
                <w:pPr>
                  <w:rPr>
                    <w:bCs/>
                    <w:szCs w:val="24"/>
                  </w:rPr>
                </w:pPr>
              </w:p>
            </w:tc>
            <w:tc>
              <w:tcPr>
                <w:tcW w:w="5757" w:type="dxa"/>
                <w:shd w:val="clear" w:color="auto" w:fill="FFFFFF" w:themeFill="background1"/>
              </w:tcPr>
              <w:p>
                <w:pPr>
                  <w:rPr>
                    <w:rFonts w:eastAsia="Calibri"/>
                    <w:szCs w:val="24"/>
                  </w:rPr>
                </w:pPr>
                <w:r>
                  <w:rPr>
                    <w:rFonts w:eastAsia="Calibri"/>
                    <w:szCs w:val="24"/>
                  </w:rPr>
                  <w:t xml:space="preserve">Padidinti sveikatos, socialinių paslaugų kokybę ir prieinamumą visų gyvenviečių gyventojams, vykdyti </w:t>
                </w:r>
              </w:p>
              <w:p>
                <w:pPr>
                  <w:rPr>
                    <w:rFonts w:eastAsia="Calibri"/>
                    <w:szCs w:val="24"/>
                  </w:rPr>
                </w:pPr>
                <w:r>
                  <w:rPr>
                    <w:rFonts w:eastAsia="Calibri"/>
                    <w:szCs w:val="24"/>
                  </w:rPr>
                  <w:t>paslaugų plėtrą</w:t>
                </w:r>
              </w:p>
              <w:p>
                <w:pPr>
                  <w:rPr>
                    <w:rFonts w:eastAsia="Calibri"/>
                    <w:szCs w:val="24"/>
                  </w:rPr>
                </w:pPr>
              </w:p>
              <w:p>
                <w:pPr>
                  <w:rPr>
                    <w:rFonts w:eastAsia="Calibri"/>
                    <w:szCs w:val="24"/>
                  </w:rPr>
                </w:pPr>
              </w:p>
              <w:p>
                <w:pPr>
                  <w:rPr>
                    <w:rFonts w:eastAsia="Calibri"/>
                    <w:szCs w:val="24"/>
                  </w:rPr>
                </w:pPr>
              </w:p>
            </w:tc>
            <w:tc>
              <w:tcPr>
                <w:tcW w:w="900" w:type="dxa"/>
                <w:tcBorders>
                  <w:bottom w:val="single" w:sz="4" w:space="0" w:color="auto"/>
                </w:tcBorders>
              </w:tcPr>
              <w:p>
                <w:pPr>
                  <w:keepNext/>
                  <w:jc w:val="center"/>
                  <w:outlineLvl w:val="3"/>
                  <w:rPr>
                    <w:szCs w:val="24"/>
                  </w:rPr>
                </w:pPr>
                <w:r>
                  <w:rPr>
                    <w:szCs w:val="24"/>
                  </w:rPr>
                  <w:t>Kodas</w:t>
                </w:r>
              </w:p>
            </w:tc>
            <w:tc>
              <w:tcPr>
                <w:tcW w:w="1070" w:type="dxa"/>
                <w:tcBorders>
                  <w:bottom w:val="single" w:sz="4" w:space="0" w:color="auto"/>
                </w:tcBorders>
              </w:tcPr>
              <w:p>
                <w:pPr>
                  <w:rPr>
                    <w:szCs w:val="24"/>
                  </w:rPr>
                </w:pPr>
                <w:r>
                  <w:rPr>
                    <w:szCs w:val="24"/>
                  </w:rPr>
                  <w:t>3.2.3.</w:t>
                </w:r>
              </w:p>
            </w:tc>
          </w:tr>
          <w:tr>
            <w:trPr>
              <w:cantSplit/>
              <w:trHeight w:val="14733"/>
            </w:trPr>
            <w:tc>
              <w:tcPr>
                <w:tcW w:w="9995" w:type="dxa"/>
                <w:gridSpan w:val="4"/>
                <w:tcBorders>
                  <w:bottom w:val="single" w:sz="4" w:space="0" w:color="auto"/>
                </w:tcBorders>
              </w:tcPr>
              <w:p>
                <w:pPr>
                  <w:jc w:val="both"/>
                  <w:rPr>
                    <w:b/>
                    <w:bCs/>
                    <w:color w:val="000000"/>
                    <w:szCs w:val="24"/>
                  </w:rPr>
                </w:pPr>
                <w:r>
                  <w:rPr>
                    <w:b/>
                    <w:bCs/>
                    <w:color w:val="000000"/>
                    <w:szCs w:val="24"/>
                  </w:rPr>
                  <w:t xml:space="preserve">Tikslo įgyvendinimo aprašymas: </w:t>
                </w:r>
              </w:p>
              <w:p>
                <w:pPr>
                  <w:jc w:val="both"/>
                  <w:rPr>
                    <w:szCs w:val="24"/>
                  </w:rPr>
                </w:pPr>
                <w:r>
                  <w:rPr>
                    <w:szCs w:val="24"/>
                  </w:rPr>
                  <w:t xml:space="preserve">Įgyvendinant tikslą realizuojamas Lietuvos Respublikos vietos savivaldos įstatyme, Lietuvos Respublikos visuomenės sveikatos priežiūros įstatyme nustatytų savarankiškųjų ir valstybės deleguotų funkcijų įgyvendinimas. Siekiama efektyviai formuoti asmens sveikatos priežiūros sistemą, orientuotą į pacientą, tikslingai skirti lėšas asmens sveikatos priežiūrai gerinti, greitosios medicinos pagalbos paslaugų tolygiam prieinamumui visai bendruomenei, gerinti šių paslaugų kokybę ir GMP posto aprūpinimą reikalinga įranga, užtikrinti visuomenės sveikatos priežiūrą ir sveikatinimo veiklos finansavimą. </w:t>
                </w:r>
              </w:p>
              <w:p>
                <w:pPr>
                  <w:jc w:val="both"/>
                  <w:rPr>
                    <w:szCs w:val="24"/>
                  </w:rPr>
                </w:pPr>
                <w:r>
                  <w:rPr>
                    <w:szCs w:val="24"/>
                  </w:rPr>
                  <w:t>Įgyvendinant tikslą realizuojamos Lietuvos Respublikos vietos savivaldos ir Lietuvos Respublikos visuomenės sveikatos priežiūros įstatymuose nustatytos savivaldybių savarankiškosios funkcijos – pirminė asmens ir visuomenės sveikatos priežiūra (įstaigų steigimas, reorganizavimas, likvidavimas, išlaikymas); savivaldybių sveikatinimo priemonių planavimas ir įgyvendinimas; vaikų ir jaunimo, visuomenės sveikatos priežiūra, triukšmo stebėsena (monitoringas) tyliosiose zonose bei valstybinės (valstybės perduotos savivaldybėms) funkcijos: visuomenės sveikatos priežiūra savivaldybės teritorijoje esančiose ikimokyklinio ugdymo ir bendrojo ugdymo mokyklose ugdomų mokinių pagal ikimokyklinio, priešmokyklinio, pradinio, pagrindinio ir vidurinio ugdymo programas, visuomenės sveikatos stiprinimas, visuomenės sveikatos stebėsena.</w:t>
                </w:r>
              </w:p>
              <w:p>
                <w:pPr>
                  <w:rPr>
                    <w:b/>
                    <w:bCs/>
                    <w:szCs w:val="24"/>
                  </w:rPr>
                </w:pPr>
                <w:r>
                  <w:rPr>
                    <w:b/>
                    <w:bCs/>
                    <w:szCs w:val="24"/>
                  </w:rPr>
                  <w:t>3.2.3. Padidinti sveikatos, socialinių paslaugų kokybę ir prieinamumą visų gyvenviečių gyventojams, vykdyti paslaugų plėtrą</w:t>
                </w:r>
              </w:p>
              <w:p>
                <w:pPr>
                  <w:jc w:val="both"/>
                  <w:rPr>
                    <w:bCs/>
                    <w:szCs w:val="24"/>
                  </w:rPr>
                </w:pPr>
                <w:r>
                  <w:rPr>
                    <w:bCs/>
                    <w:szCs w:val="24"/>
                  </w:rPr>
                  <w:t>Uždavinio įgyvendinimui numatyta viena plati ir išsami, tęstinė priemonė su 11 veiklų.</w:t>
                </w:r>
              </w:p>
              <w:p>
                <w:pPr>
                  <w:jc w:val="both"/>
                  <w:rPr>
                    <w:b/>
                    <w:bCs/>
                    <w:i/>
                    <w:iCs/>
                    <w:szCs w:val="24"/>
                    <w:u w:val="single"/>
                  </w:rPr>
                </w:pPr>
                <w:r>
                  <w:rPr>
                    <w:b/>
                    <w:bCs/>
                    <w:i/>
                    <w:iCs/>
                    <w:szCs w:val="24"/>
                    <w:u w:val="single"/>
                  </w:rPr>
                  <w:t>3.2.3.4. priemonė. Kokybiškų sveikatos paslaugų organizavimas.</w:t>
                </w:r>
              </w:p>
              <w:p>
                <w:pPr>
                  <w:jc w:val="both"/>
                  <w:rPr>
                    <w:szCs w:val="24"/>
                  </w:rPr>
                </w:pPr>
                <w:r>
                  <w:rPr>
                    <w:szCs w:val="24"/>
                  </w:rPr>
                  <w:t xml:space="preserve">Iš  Privalomojo sveikatos draudimo fondo (toliau – PSDF) biudžeto lėšų  nėra finansuojamas Viešosios įstaigos Neringos pirminės sveikatos priežiūros centro (toliau – Neringos PSPC) rentgeno ir fizioterapijos kabinetų, laboratorijos išlaikymas, todėl savivaldybė, siekdama, kad savivaldybės gyventojams būtų suteikiama pakankamai kokybiškų ambulatorinių paslaugų, iš dalies finansuoja šių kabinetų išlaikymą. Šiomis lėšomis vykdoma įrenginių techninė priežiūra, įsigyjami laboratoriniai reagentai, atnaujinama laboratorinė įranga, užtikrinama kokybės kontrolė.  </w:t>
                </w:r>
              </w:p>
              <w:p>
                <w:pPr>
                  <w:jc w:val="both"/>
                  <w:rPr>
                    <w:szCs w:val="24"/>
                  </w:rPr>
                </w:pPr>
                <w:r>
                  <w:rPr>
                    <w:szCs w:val="24"/>
                  </w:rPr>
                  <w:t>Savivaldybė, siekdama užtikrinti odontologinių paslaugų prieinamumą gyventojams, skiria lėšas gydytojo odontologo atlyginimui iš dalies finansuoti, kad būtų galima išlaikyti gydytoją odontologą Neringos PSPC, konkuruojant darbo rinkoje su kitomis Klaipėdos apskrities odontologinėmis klinikomis, galinčiomis pasiūlyti didesnį atlyginimą.</w:t>
                </w:r>
              </w:p>
              <w:p>
                <w:pPr>
                  <w:jc w:val="both"/>
                  <w:rPr>
                    <w:szCs w:val="24"/>
                  </w:rPr>
                </w:pPr>
                <w:r>
                  <w:rPr>
                    <w:szCs w:val="24"/>
                  </w:rPr>
                  <w:t>Tam, kad Neringos PSPC galėtų užtikrinti gydytojo teikiamas asmens sveikatos priežiūros paslaugas po šeimos gydytojų darbo valandų, savaitgaliais ir švenčių dienomis nuo birželio 1 d. iki rugpjūčio 31 d. iki 22.00 val. reikalingas papildomas finansavimas. Lėšos naudojamos laikinai įdarbinamų medicinos gydytojų atlyginimui.</w:t>
                </w:r>
              </w:p>
              <w:p>
                <w:pPr>
                  <w:jc w:val="both"/>
                  <w:rPr>
                    <w:szCs w:val="24"/>
                  </w:rPr>
                </w:pPr>
                <w:r>
                  <w:rPr>
                    <w:szCs w:val="24"/>
                  </w:rPr>
                  <w:t xml:space="preserve">Norint užtikrinti kineziterapijos ir masažo paslaugų teikimą, reikia mokėti darbo užmokestį sveikatos priežiūros specialistams – kineziterapeutams. Įstaiga iš PSDF šioms paslaugoms teikti ir užtikrinti lėšų negauna, mokamų paslaugų kainų dydis yra nustatytas sveikatos apsaugos ministro įsakymu, o šių lėšų nepakanka atlyginimui mokėti specialistams, esantiems įstaigoje. </w:t>
                </w:r>
              </w:p>
              <w:p>
                <w:pPr>
                  <w:jc w:val="both"/>
                  <w:rPr>
                    <w:color w:val="000000"/>
                    <w:szCs w:val="24"/>
                    <w:u w:val="single"/>
                  </w:rPr>
                </w:pPr>
                <w:r>
                  <w:rPr>
                    <w:color w:val="000000"/>
                    <w:szCs w:val="24"/>
                    <w:u w:val="single"/>
                  </w:rPr>
                  <w:t>Šiai priemonei numatytos veiklos:</w:t>
                </w:r>
              </w:p>
              <w:p>
                <w:pPr>
                  <w:jc w:val="both"/>
                  <w:rPr>
                    <w:i/>
                    <w:szCs w:val="24"/>
                  </w:rPr>
                </w:pPr>
                <w:r>
                  <w:rPr>
                    <w:i/>
                    <w:szCs w:val="24"/>
                  </w:rPr>
                  <w:t>3.2.3.4.1. Fizioterapijos, rentgeno ir laboratorijos paslaugų teikimo Neringos PSPC užtikrinimas;</w:t>
                </w:r>
              </w:p>
              <w:p>
                <w:pPr>
                  <w:jc w:val="both"/>
                  <w:rPr>
                    <w:i/>
                    <w:szCs w:val="24"/>
                  </w:rPr>
                </w:pPr>
                <w:r>
                  <w:rPr>
                    <w:i/>
                    <w:szCs w:val="24"/>
                  </w:rPr>
                  <w:t>3.2.3.4.2. Odontologinių paslaugų teikimo Neringos PSPC užtikrinimas;</w:t>
                </w:r>
              </w:p>
              <w:p>
                <w:pPr>
                  <w:jc w:val="both"/>
                  <w:rPr>
                    <w:i/>
                    <w:szCs w:val="24"/>
                  </w:rPr>
                </w:pPr>
                <w:r>
                  <w:rPr>
                    <w:i/>
                    <w:szCs w:val="24"/>
                  </w:rPr>
                  <w:t>3.2.3.4.3. Ambulatorinės reabilitacijos paslaugų teikimo užtikrinimas Neringos PSPC;</w:t>
                </w:r>
              </w:p>
              <w:p>
                <w:pPr>
                  <w:jc w:val="both"/>
                  <w:rPr>
                    <w:i/>
                    <w:szCs w:val="24"/>
                  </w:rPr>
                </w:pPr>
                <w:r>
                  <w:rPr>
                    <w:i/>
                    <w:szCs w:val="24"/>
                  </w:rPr>
                  <w:t xml:space="preserve">3.2.3.4.4. Ambulatorinės gydytojo pagalbos teikimas po šeimos gydytojų darbo valandų, savaitgaliais  ir švenčių dienomis nuo birželio 1 d. iki rugpjūčio 31 d. iki 22.00 val. Neringos PSPC.</w:t>
                </w:r>
              </w:p>
            </w:tc>
          </w:tr>
          <w:tr>
            <w:trPr>
              <w:cantSplit/>
              <w:trHeight w:val="10762"/>
            </w:trPr>
            <w:tc>
              <w:tcPr>
                <w:tcW w:w="9995" w:type="dxa"/>
                <w:gridSpan w:val="4"/>
                <w:tcBorders>
                  <w:top w:val="single" w:sz="4" w:space="0" w:color="auto"/>
                  <w:left w:val="single" w:sz="4" w:space="0" w:color="auto"/>
                  <w:bottom w:val="single" w:sz="4" w:space="0" w:color="auto"/>
                  <w:right w:val="single" w:sz="4" w:space="0" w:color="auto"/>
                </w:tcBorders>
              </w:tcPr>
              <w:p>
                <w:pPr>
                  <w:jc w:val="both"/>
                  <w:rPr>
                    <w:i/>
                    <w:szCs w:val="24"/>
                  </w:rPr>
                </w:pPr>
                <w:r>
                  <w:rPr>
                    <w:i/>
                    <w:szCs w:val="24"/>
                  </w:rPr>
                  <w:t>3.2.3.4.5. Neringos PSPC veiklos rėmimas, darbo sąlygų gerinimas ir užtikrinimas:</w:t>
                </w:r>
              </w:p>
              <w:p>
                <w:pPr>
                  <w:jc w:val="both"/>
                  <w:rPr>
                    <w:iCs/>
                    <w:szCs w:val="24"/>
                  </w:rPr>
                </w:pPr>
                <w:r>
                  <w:rPr>
                    <w:iCs/>
                    <w:szCs w:val="24"/>
                  </w:rPr>
                  <w:t>1)</w:t>
                </w:r>
                <w:r>
                  <w:rPr>
                    <w:bCs/>
                    <w:iCs/>
                    <w:szCs w:val="24"/>
                  </w:rPr>
                  <w:t xml:space="preserve"> Sveikatos priežiūros specialistų kvalifikacijos kėlimas Neringos PSPC. Sveikatos priežiūros specialistai kasmet privalo kelti kvalifikaciją: gydytojai per metus turi išklausyti 120 val. kvalifikacijos tobulinimo kursų, slaugytojai – 60 val., tam reikia </w:t>
                </w:r>
                <w:r>
                  <w:rPr>
                    <w:b/>
                    <w:iCs/>
                    <w:szCs w:val="24"/>
                  </w:rPr>
                  <w:t>5</w:t>
                </w:r>
                <w:r>
                  <w:rPr>
                    <w:bCs/>
                    <w:iCs/>
                    <w:szCs w:val="24"/>
                  </w:rPr>
                  <w:t xml:space="preserve"> tūkst. Eur. per metus.</w:t>
                </w:r>
              </w:p>
              <w:p>
                <w:pPr>
                  <w:jc w:val="both"/>
                  <w:rPr>
                    <w:iCs/>
                    <w:szCs w:val="24"/>
                  </w:rPr>
                </w:pPr>
                <w:r>
                  <w:rPr>
                    <w:iCs/>
                    <w:szCs w:val="24"/>
                  </w:rPr>
                  <w:t xml:space="preserve">2) Remiant Neringos PSPC veiklą, gerinant įstaigos pacientų slaugos skyriaus ir darbuotojų darbo sąlygas, darbdavys privalo užtikrinti darbų saugą, sveikatą ir suteikti tinkamas priemones darbui. Tad įstaiga turi poreikį 2022 metams atnaujinti darbuotojų medicininę aprangą kartą per  dvejus metus. </w:t>
                </w:r>
              </w:p>
              <w:p>
                <w:pPr>
                  <w:jc w:val="both"/>
                  <w:rPr>
                    <w:iCs/>
                    <w:szCs w:val="24"/>
                  </w:rPr>
                </w:pPr>
                <w:r>
                  <w:rPr>
                    <w:iCs/>
                    <w:szCs w:val="24"/>
                  </w:rPr>
                  <w:t xml:space="preserve">3) Reikia atlikti įstaigos pastato, esančio adresu Taikos g. 11, Neringa, remonto darbus. </w:t>
                </w:r>
              </w:p>
              <w:p>
                <w:pPr>
                  <w:jc w:val="both"/>
                  <w:rPr>
                    <w:szCs w:val="24"/>
                  </w:rPr>
                </w:pPr>
                <w:r>
                  <w:rPr>
                    <w:i/>
                    <w:szCs w:val="24"/>
                  </w:rPr>
                  <w:t>3.2.3.4.6. GMP posto Juodkrantėje veiklos užtikrinimas vasaros sezono metu.</w:t>
                </w:r>
                <w:r>
                  <w:rPr>
                    <w:szCs w:val="24"/>
                  </w:rPr>
                  <w:t xml:space="preserve"> </w:t>
                </w:r>
              </w:p>
              <w:p>
                <w:pPr>
                  <w:jc w:val="both"/>
                  <w:rPr>
                    <w:szCs w:val="24"/>
                  </w:rPr>
                </w:pPr>
                <w:r>
                  <w:rPr>
                    <w:szCs w:val="24"/>
                  </w:rPr>
                  <w:t xml:space="preserve">Lėšos naudojamos GMP specialisto ir vairuotojo sanitaro darbo užmokesčiui, medikamentų ir </w:t>
                </w:r>
                <w:r>
                  <w:rPr>
                    <w:color w:val="000000"/>
                    <w:szCs w:val="24"/>
                  </w:rPr>
                  <w:t xml:space="preserve">medicinos priemonių įsigijimui, GMP automobilio eksploatacinėms išlaidoms padengti.  </w:t>
                </w:r>
              </w:p>
              <w:p>
                <w:pPr>
                  <w:jc w:val="both"/>
                  <w:rPr>
                    <w:bCs/>
                    <w:i/>
                    <w:szCs w:val="24"/>
                  </w:rPr>
                </w:pPr>
                <w:r>
                  <w:rPr>
                    <w:bCs/>
                    <w:i/>
                    <w:szCs w:val="24"/>
                  </w:rPr>
                  <w:t xml:space="preserve">3.2.3.4.7. Projekto „Žmonių saugumo didinimas Baltijos jūroje per tarptautinį bendradarbiavimą Vakarų Lietuvoje ir Kuržemėje“ įgyvendinimas. </w:t>
                </w:r>
              </w:p>
              <w:p>
                <w:pPr>
                  <w:jc w:val="both"/>
                  <w:rPr>
                    <w:bCs/>
                    <w:szCs w:val="24"/>
                  </w:rPr>
                </w:pPr>
                <w:r>
                  <w:rPr>
                    <w:bCs/>
                    <w:szCs w:val="24"/>
                  </w:rPr>
                  <w:t>Neringos savivaldybės taryba 2019 m. birželio 27 d. sprendimu Nr. T1-114 pritarė šio projekto įgyvendinimui. Numatomas baigtinis 100 proc. projekto įgyvendinimas 2022 m.</w:t>
                </w:r>
              </w:p>
              <w:p>
                <w:pPr>
                  <w:jc w:val="both"/>
                  <w:rPr>
                    <w:bCs/>
                    <w:i/>
                    <w:szCs w:val="24"/>
                  </w:rPr>
                </w:pPr>
                <w:r>
                  <w:rPr>
                    <w:bCs/>
                    <w:i/>
                    <w:szCs w:val="24"/>
                  </w:rPr>
                  <w:t>3.2.3.4.8.Neringos PSPC Palaikomojo gydymo ir slaugos skyriaus veiklos užtikrinimas.</w:t>
                </w:r>
              </w:p>
              <w:p>
                <w:pPr>
                  <w:jc w:val="both"/>
                  <w:rPr>
                    <w:bCs/>
                    <w:iCs/>
                    <w:szCs w:val="24"/>
                  </w:rPr>
                </w:pPr>
                <w:r>
                  <w:rPr>
                    <w:bCs/>
                    <w:iCs/>
                    <w:szCs w:val="24"/>
                  </w:rPr>
                  <w:t>Įstaigoje Palaikomojo gydymo ir slaugos skyriaus paslaugos teikiamos nepertraukiamai, visus metus.</w:t>
                </w:r>
              </w:p>
              <w:p>
                <w:pPr>
                  <w:jc w:val="both"/>
                  <w:rPr>
                    <w:bCs/>
                    <w:iCs/>
                    <w:szCs w:val="24"/>
                  </w:rPr>
                </w:pPr>
                <w:r>
                  <w:rPr>
                    <w:bCs/>
                    <w:iCs/>
                    <w:szCs w:val="24"/>
                  </w:rPr>
                  <w:t xml:space="preserve">Skyriuje beveik visada gydoma 10–12 pacientų. Iš PSDF apmokama tik 3,5 lovos už paciento 120 dienų per kalendorinius metus terminą, todėl reikalingas šio skyriaus išlaikymas slaugos priemonėms (med. priemonėms ir medikamentams, valymo priemonėms ir kt.), skalbyklos paslaugoms, paciento maitinimui, darbuotojų darbo užmokesčiui. </w:t>
                </w:r>
              </w:p>
              <w:p>
                <w:pPr>
                  <w:rPr>
                    <w:rFonts w:eastAsia="Calibri"/>
                    <w:b/>
                    <w:bCs/>
                    <w:szCs w:val="24"/>
                  </w:rPr>
                </w:pPr>
                <w:r>
                  <w:rPr>
                    <w:rFonts w:eastAsia="Calibri"/>
                    <w:b/>
                    <w:bCs/>
                    <w:szCs w:val="24"/>
                  </w:rPr>
                  <w:t>2.3.3.</w:t>
                </w:r>
                <w:r>
                  <w:rPr>
                    <w:rFonts w:eastAsia="Calibri"/>
                    <w:szCs w:val="24"/>
                  </w:rPr>
                  <w:t xml:space="preserve"> </w:t>
                </w:r>
                <w:r>
                  <w:rPr>
                    <w:rFonts w:eastAsia="Calibri"/>
                    <w:b/>
                    <w:bCs/>
                    <w:szCs w:val="24"/>
                  </w:rPr>
                  <w:t>Padidinti sklaidą apie sveikos gyvensenos ir fizinio aktyvumo naudą, užtikrinti ligų prevenciją, padidinti gyventojų sveikatingumo raštingumą.</w:t>
                </w:r>
              </w:p>
              <w:p>
                <w:pPr>
                  <w:rPr>
                    <w:szCs w:val="24"/>
                  </w:rPr>
                </w:pPr>
                <w:r>
                  <w:rPr>
                    <w:szCs w:val="24"/>
                  </w:rPr>
                  <w:t>Uždaviniui įgyvendinti numatytos 2 priemonės.</w:t>
                </w:r>
              </w:p>
              <w:p>
                <w:pPr>
                  <w:jc w:val="both"/>
                  <w:rPr>
                    <w:b/>
                    <w:bCs/>
                    <w:i/>
                    <w:szCs w:val="24"/>
                    <w:u w:val="single"/>
                  </w:rPr>
                </w:pPr>
                <w:r>
                  <w:rPr>
                    <w:b/>
                    <w:bCs/>
                    <w:i/>
                    <w:szCs w:val="24"/>
                    <w:u w:val="single"/>
                  </w:rPr>
                  <w:t>2.3.3.2. priemonė. Bendruomenės sveikatos priežiūros paslaugų prieinamumą užtikrinančių projektų ir (ar) programų įgyvendinimas</w:t>
                </w:r>
              </w:p>
              <w:p>
                <w:pPr>
                  <w:jc w:val="both"/>
                  <w:rPr>
                    <w:bCs/>
                    <w:szCs w:val="24"/>
                  </w:rPr>
                </w:pPr>
                <w:r>
                  <w:rPr>
                    <w:bCs/>
                    <w:szCs w:val="24"/>
                  </w:rPr>
                  <w:t>Šias paslaugas Savivaldybės gyventojams teikia Klaipėdos miesto visuomenės sveikatos biuras pagal Neringos ir Klaipėdos miesto savivaldybių bendradarbiavimo sutartį.</w:t>
                </w:r>
              </w:p>
              <w:p>
                <w:pPr>
                  <w:jc w:val="both"/>
                  <w:rPr>
                    <w:bCs/>
                    <w:szCs w:val="24"/>
                  </w:rPr>
                </w:pPr>
                <w:r>
                  <w:rPr>
                    <w:bCs/>
                    <w:szCs w:val="24"/>
                  </w:rPr>
                  <w:t>Lėšas skiria Sveikatos apsaugos ministerija pagal sveikatos apsaugos ministro įsakymu patvirtintą Valstybės biudžeto specialiosios tikslinės dotacijos, skiriamos savivaldybių biudžetams Sveikatos apsaugos ministerijos kuruojamoms valstybinėms (valstybės perduotoms savivaldybėms) visuomenės sveikatos priežiūros funkcijoms vykdyti, planavimo, paskirstymo, naudojimo ir atsiskaitymo už ją tvarkos aprašą. 2022 m. savivaldybei šioms funkcijoms vykdyti dar nėra skirta lėšų, tad teikiamas apytikslis poreikis.</w:t>
                </w:r>
              </w:p>
              <w:p>
                <w:pPr>
                  <w:pBdr>
                    <w:top w:val="single" w:sz="4" w:space="1" w:color="auto"/>
                    <w:left w:val="single" w:sz="4" w:space="4" w:color="auto"/>
                    <w:bottom w:val="single" w:sz="4" w:space="1" w:color="auto"/>
                    <w:right w:val="single" w:sz="4" w:space="4" w:color="auto"/>
                  </w:pBdr>
                  <w:jc w:val="both"/>
                  <w:rPr>
                    <w:bCs/>
                    <w:szCs w:val="24"/>
                  </w:rPr>
                </w:pPr>
                <w:r>
                  <w:rPr>
                    <w:bCs/>
                    <w:szCs w:val="24"/>
                  </w:rPr>
                  <w:t xml:space="preserve">Šios funkcijos įgyvendinamos iš valstybės skiriamos specialios dotacijos ir Savivaldybės biudžeto lėšų. Nuo 2017 m. Klaipėdos miesto visuomenės sveikatos biure įsteigtas vienas visuomenės sveikatos specialisto etatas mokinių sveikatos priežiūrai Neringos mokyklose. Neringos savivaldybės tarybos sprendimu Neringos gimnazijoje patvirtinta 0,75 etato ir Nidos lopšelyje-darželyje „Ąžuoliukas“ – 0,25 etato. </w:t>
                </w:r>
              </w:p>
            </w:tc>
          </w:tr>
        </w:tbl>
        <w:sdt>
          <w:sdtPr>
            <w:alias w:val="15 pr. 2.3.3.2.3 pp."/>
            <w:tag w:val="part_73085806834241a989762b971095bcd6"/>
            <w:lock w:val="sdtLocked"/>
            <w:richText/>
          </w:sdtPr>
          <w:sdtContent>
            <w:p>
              <w:pPr>
                <w:pBdr>
                  <w:top w:val="single" w:sz="4" w:space="1" w:color="auto"/>
                  <w:left w:val="single" w:sz="4" w:space="4" w:color="auto"/>
                  <w:bottom w:val="single" w:sz="4" w:space="1" w:color="auto"/>
                  <w:right w:val="single" w:sz="4" w:space="0" w:color="auto"/>
                </w:pBdr>
                <w:jc w:val="both"/>
                <w:rPr>
                  <w:bCs/>
                  <w:i/>
                  <w:szCs w:val="24"/>
                </w:rPr>
              </w:pPr>
              <w:sdt>
                <w:sdtPr>
                  <w:alias w:val="Numeris"/>
                  <w:tag w:val="nr_73085806834241a989762b971095bcd6"/>
                  <w:lock w:val="sdtLocked"/>
                  <w:richText/>
                </w:sdtPr>
                <w:sdtContent>
                  <w:r>
                    <w:rPr>
                      <w:bCs/>
                      <w:i/>
                      <w:szCs w:val="24"/>
                    </w:rPr>
                    <w:t>2.3.3.2.3</w:t>
                  </w:r>
                </w:sdtContent>
              </w:sdt>
              <w:r>
                <w:rPr>
                  <w:bCs/>
                  <w:i/>
                  <w:szCs w:val="24"/>
                </w:rPr>
                <w:t>. Vaikų ir jaunimo visuomenės sveikatos priežiūra.</w:t>
              </w:r>
            </w:p>
            <w:p>
              <w:pPr>
                <w:pBdr>
                  <w:top w:val="single" w:sz="4" w:space="1" w:color="auto"/>
                  <w:left w:val="single" w:sz="4" w:space="4" w:color="auto"/>
                  <w:bottom w:val="single" w:sz="4" w:space="1" w:color="auto"/>
                  <w:right w:val="single" w:sz="4" w:space="0" w:color="auto"/>
                </w:pBdr>
                <w:jc w:val="both"/>
                <w:rPr>
                  <w:bCs/>
                  <w:szCs w:val="24"/>
                </w:rPr>
              </w:pPr>
              <w:r>
                <w:rPr>
                  <w:bCs/>
                  <w:szCs w:val="24"/>
                </w:rPr>
                <w:t>LR visuomenės sveikatos priežiūros įstatymo 6 straipsnis numato, kad savivaldybės vykdo vaikų</w:t>
              </w:r>
            </w:p>
            <w:p>
              <w:pPr>
                <w:pBdr>
                  <w:top w:val="single" w:sz="4" w:space="1" w:color="auto"/>
                  <w:left w:val="single" w:sz="4" w:space="4" w:color="auto"/>
                  <w:bottom w:val="single" w:sz="4" w:space="1" w:color="auto"/>
                  <w:right w:val="single" w:sz="4" w:space="0" w:color="auto"/>
                </w:pBdr>
                <w:jc w:val="both"/>
                <w:rPr>
                  <w:bCs/>
                  <w:szCs w:val="24"/>
                </w:rPr>
              </w:pPr>
              <w:r>
                <w:rPr>
                  <w:bCs/>
                  <w:szCs w:val="24"/>
                </w:rPr>
                <w:t xml:space="preserve">ir jaunimo visuomenės sveikatos priežiūrą. Šią veiklą vykdo Klaipėdos miesto sveikatos biuras sutartiniu pagrindu su Neringos savivaldybės administracija. </w:t>
              </w:r>
            </w:p>
          </w:sdtContent>
        </w:sdt>
        <w:sdt>
          <w:sdtPr>
            <w:alias w:val="15 pr. 2.3.3.2.4 pp."/>
            <w:tag w:val="part_af9a8375474a431e9b5b179976889394"/>
            <w:lock w:val="sdtLocked"/>
            <w:richText/>
          </w:sdtPr>
          <w:sdtContent>
            <w:p>
              <w:pPr>
                <w:pBdr>
                  <w:top w:val="single" w:sz="4" w:space="1" w:color="auto"/>
                  <w:left w:val="single" w:sz="4" w:space="4" w:color="auto"/>
                  <w:bottom w:val="single" w:sz="4" w:space="1" w:color="auto"/>
                  <w:right w:val="single" w:sz="4" w:space="0" w:color="auto"/>
                </w:pBdr>
                <w:jc w:val="both"/>
                <w:rPr>
                  <w:bCs/>
                  <w:szCs w:val="24"/>
                </w:rPr>
              </w:pPr>
              <w:sdt>
                <w:sdtPr>
                  <w:alias w:val="Numeris"/>
                  <w:tag w:val="nr_af9a8375474a431e9b5b179976889394"/>
                  <w:lock w:val="sdtLocked"/>
                  <w:richText/>
                </w:sdtPr>
                <w:sdtContent>
                  <w:r>
                    <w:rPr>
                      <w:bCs/>
                      <w:i/>
                      <w:szCs w:val="24"/>
                    </w:rPr>
                    <w:t>2.3.3.2.4</w:t>
                  </w:r>
                </w:sdtContent>
              </w:sdt>
              <w:r>
                <w:rPr>
                  <w:bCs/>
                  <w:i/>
                  <w:szCs w:val="24"/>
                </w:rPr>
                <w:t>. Savižudybių prevencijos priemonių įgyvendinimas.</w:t>
              </w:r>
              <w:r>
                <w:rPr>
                  <w:bCs/>
                  <w:szCs w:val="24"/>
                </w:rPr>
                <w:t xml:space="preserve"> </w:t>
              </w:r>
            </w:p>
          </w:sdtContent>
        </w:sdt>
        <w:sdt>
          <w:sdtPr>
            <w:alias w:val="15 pr. 2.3.3.1 pp."/>
            <w:tag w:val="part_c4f124cc556a45f1a2b7b41640904199"/>
            <w:lock w:val="sdtLocked"/>
            <w:richText/>
          </w:sdtPr>
          <w:sdtContent>
            <w:p>
              <w:pPr>
                <w:pBdr>
                  <w:top w:val="single" w:sz="4" w:space="1" w:color="auto"/>
                  <w:left w:val="single" w:sz="4" w:space="4" w:color="auto"/>
                  <w:bottom w:val="single" w:sz="4" w:space="1" w:color="auto"/>
                  <w:right w:val="single" w:sz="4" w:space="0" w:color="auto"/>
                </w:pBdr>
                <w:jc w:val="both"/>
                <w:rPr>
                  <w:b/>
                  <w:bCs/>
                  <w:iCs/>
                  <w:szCs w:val="24"/>
                  <w:u w:val="single"/>
                </w:rPr>
              </w:pPr>
              <w:sdt>
                <w:sdtPr>
                  <w:alias w:val="Numeris"/>
                  <w:tag w:val="nr_c4f124cc556a45f1a2b7b41640904199"/>
                  <w:lock w:val="sdtLocked"/>
                  <w:richText/>
                </w:sdtPr>
                <w:sdtContent>
                  <w:r>
                    <w:rPr>
                      <w:b/>
                      <w:bCs/>
                      <w:i/>
                      <w:szCs w:val="24"/>
                      <w:u w:val="single"/>
                    </w:rPr>
                    <w:t>2.3.3.1</w:t>
                  </w:r>
                </w:sdtContent>
              </w:sdt>
              <w:r>
                <w:rPr>
                  <w:b/>
                  <w:bCs/>
                  <w:i/>
                  <w:szCs w:val="24"/>
                  <w:u w:val="single"/>
                </w:rPr>
                <w:t>. priemonė.</w:t>
              </w:r>
              <w:r>
                <w:rPr>
                  <w:szCs w:val="24"/>
                </w:rPr>
                <w:t xml:space="preserve"> </w:t>
              </w:r>
              <w:r>
                <w:rPr>
                  <w:b/>
                  <w:bCs/>
                  <w:i/>
                  <w:szCs w:val="24"/>
                  <w:u w:val="single"/>
                </w:rPr>
                <w:t>Sveiką gyvenseną skatinančių projektų ir (ar) programų įgyvendinimas.</w:t>
              </w:r>
            </w:p>
            <w:p>
              <w:pPr>
                <w:pBdr>
                  <w:top w:val="single" w:sz="4" w:space="1" w:color="auto"/>
                  <w:left w:val="single" w:sz="4" w:space="4" w:color="auto"/>
                  <w:bottom w:val="single" w:sz="4" w:space="1" w:color="auto"/>
                  <w:right w:val="single" w:sz="4" w:space="0" w:color="auto"/>
                </w:pBdr>
                <w:jc w:val="both"/>
                <w:rPr>
                  <w:bCs/>
                  <w:szCs w:val="24"/>
                </w:rPr>
              </w:pPr>
              <w:r>
                <w:rPr>
                  <w:bCs/>
                  <w:szCs w:val="24"/>
                  <w:u w:val="single"/>
                </w:rPr>
                <w:t>Veikla</w:t>
              </w:r>
              <w:r>
                <w:rPr>
                  <w:bCs/>
                  <w:szCs w:val="24"/>
                </w:rPr>
                <w:t>:</w:t>
                <w:tab/>
              </w:r>
            </w:p>
            <w:sdt>
              <w:sdtPr>
                <w:alias w:val="15 pr. 2.3.3.1.1 pp."/>
                <w:tag w:val="part_8e9e301767b04d7194a2640aa5a068f7"/>
                <w:lock w:val="sdtLocked"/>
                <w:richText/>
              </w:sdtPr>
              <w:sdtContent>
                <w:p>
                  <w:pPr>
                    <w:pBdr>
                      <w:top w:val="single" w:sz="4" w:space="1" w:color="auto"/>
                      <w:left w:val="single" w:sz="4" w:space="4" w:color="auto"/>
                      <w:bottom w:val="single" w:sz="4" w:space="1" w:color="auto"/>
                      <w:right w:val="single" w:sz="4" w:space="0" w:color="auto"/>
                    </w:pBdr>
                    <w:jc w:val="both"/>
                    <w:rPr>
                      <w:bCs/>
                      <w:i/>
                      <w:szCs w:val="24"/>
                    </w:rPr>
                  </w:pPr>
                  <w:sdt>
                    <w:sdtPr>
                      <w:alias w:val="Numeris"/>
                      <w:tag w:val="nr_8e9e301767b04d7194a2640aa5a068f7"/>
                      <w:lock w:val="sdtLocked"/>
                      <w:richText/>
                    </w:sdtPr>
                    <w:sdtContent>
                      <w:r>
                        <w:rPr>
                          <w:bCs/>
                          <w:i/>
                          <w:szCs w:val="24"/>
                        </w:rPr>
                        <w:t>2.3.3.1.1</w:t>
                      </w:r>
                    </w:sdtContent>
                  </w:sdt>
                  <w:r>
                    <w:rPr>
                      <w:bCs/>
                      <w:i/>
                      <w:szCs w:val="24"/>
                    </w:rPr>
                    <w:t>. Savivaldybės visuomenės sveikatos rėmimo specialiosios programos (VSRSP) priemonių (projektų) įgyvendinimas.</w:t>
                  </w:r>
                </w:p>
                <w:p>
                  <w:pPr>
                    <w:pBdr>
                      <w:top w:val="single" w:sz="4" w:space="1" w:color="auto"/>
                      <w:left w:val="single" w:sz="4" w:space="4" w:color="auto"/>
                      <w:bottom w:val="single" w:sz="4" w:space="1" w:color="auto"/>
                      <w:right w:val="single" w:sz="4" w:space="0" w:color="auto"/>
                    </w:pBdr>
                    <w:jc w:val="both"/>
                    <w:rPr>
                      <w:bCs/>
                      <w:color w:val="FF0000"/>
                      <w:szCs w:val="24"/>
                    </w:rPr>
                  </w:pPr>
                  <w:r>
                    <w:rPr>
                      <w:bCs/>
                      <w:szCs w:val="24"/>
                    </w:rPr>
                    <w:t xml:space="preserve">Savivaldybės sveikatinimo priemonės ir jų įgyvendinimui skiriamos lėšos numatomos Savivaldybės visuomenės sveikatos rėmimo specialioje programoje ir jos pajamų–išlaidų sąmatoje, tvirtinamoje Savivaldybės taryboje. Sveikatinimo priemonės atrenkamos viešo konkurso būdu. Yra gautos 4 paraiškos sveikatinimo veiklai vykdyti 2022 m. </w:t>
                  </w:r>
                </w:p>
              </w:sdtContent>
            </w:sdt>
            <w:sdt>
              <w:sdtPr>
                <w:alias w:val="15 pr. 2.3.3.1.2 pp."/>
                <w:tag w:val="part_1fc72b19bb56440cad5dc71d3171c9a8"/>
                <w:lock w:val="sdtLocked"/>
                <w:richText/>
              </w:sdtPr>
              <w:sdtContent>
                <w:p>
                  <w:pPr>
                    <w:pBdr>
                      <w:top w:val="single" w:sz="4" w:space="1" w:color="auto"/>
                      <w:left w:val="single" w:sz="4" w:space="4" w:color="auto"/>
                      <w:bottom w:val="single" w:sz="4" w:space="1" w:color="auto"/>
                      <w:right w:val="single" w:sz="4" w:space="0" w:color="auto"/>
                    </w:pBdr>
                    <w:jc w:val="both"/>
                    <w:rPr>
                      <w:bCs/>
                      <w:i/>
                      <w:iCs/>
                      <w:szCs w:val="24"/>
                    </w:rPr>
                  </w:pPr>
                  <w:sdt>
                    <w:sdtPr>
                      <w:alias w:val="Numeris"/>
                      <w:tag w:val="nr_1fc72b19bb56440cad5dc71d3171c9a8"/>
                      <w:lock w:val="sdtLocked"/>
                      <w:richText/>
                    </w:sdtPr>
                    <w:sdtContent>
                      <w:r>
                        <w:rPr>
                          <w:bCs/>
                          <w:i/>
                          <w:iCs/>
                          <w:szCs w:val="24"/>
                        </w:rPr>
                        <w:t>2.3.3.1.2</w:t>
                      </w:r>
                    </w:sdtContent>
                  </w:sdt>
                  <w:r>
                    <w:rPr>
                      <w:bCs/>
                      <w:i/>
                      <w:iCs/>
                      <w:szCs w:val="24"/>
                    </w:rPr>
                    <w:t xml:space="preserve">. Projekto </w:t>
                  </w:r>
                  <w:r>
                    <w:rPr>
                      <w:i/>
                      <w:iCs/>
                      <w:szCs w:val="24"/>
                    </w:rPr>
                    <w:t>„</w:t>
                  </w:r>
                  <w:r>
                    <w:rPr>
                      <w:bCs/>
                      <w:i/>
                      <w:iCs/>
                      <w:szCs w:val="24"/>
                    </w:rPr>
                    <w:t>Sveikos gyvensenos skatinimas Neringos savivaldybėje” įgyvendinimas.</w:t>
                  </w:r>
                </w:p>
                <w:p>
                  <w:pPr>
                    <w:pBdr>
                      <w:top w:val="single" w:sz="4" w:space="1" w:color="auto"/>
                      <w:left w:val="single" w:sz="4" w:space="4" w:color="auto"/>
                      <w:bottom w:val="single" w:sz="4" w:space="1" w:color="auto"/>
                      <w:right w:val="single" w:sz="4" w:space="0" w:color="auto"/>
                    </w:pBdr>
                    <w:jc w:val="both"/>
                    <w:rPr>
                      <w:bCs/>
                      <w:szCs w:val="24"/>
                    </w:rPr>
                  </w:pPr>
                  <w:r>
                    <w:rPr>
                      <w:bCs/>
                      <w:szCs w:val="24"/>
                    </w:rPr>
                    <w:t xml:space="preserve">Neringos savivaldybės taryba 2017-11-23 sprendimu Nr. T1-234 „Dėl pritarimo dalyvauti projekte </w:t>
                  </w:r>
                  <w:r>
                    <w:rPr>
                      <w:szCs w:val="24"/>
                    </w:rPr>
                    <w:t>„</w:t>
                  </w:r>
                  <w:r>
                    <w:rPr>
                      <w:bCs/>
                      <w:szCs w:val="24"/>
                    </w:rPr>
                    <w:t xml:space="preserve">Sveikos gyvensenos skatinimas Neringos savivaldybėje“ pritarė Savivaldybės administracijos dalyvavimui šiame projekte, įgyvendinant 2014–2020 metų Europos Sąjungos fondų investicijų programos </w:t>
                  </w:r>
                  <w:r>
                    <w:rPr>
                      <w:szCs w:val="24"/>
                    </w:rPr>
                    <w:t xml:space="preserve">8 prioriteto „Socialinės įtraukties didinimas ir kova su skurdu“ įgyvendinimo priemonę </w:t>
                    <w:br/>
                    <w:t xml:space="preserve">Nr. 08.4.2-ESFA-R-630 </w:t>
                  </w:r>
                  <w:r>
                    <w:rPr>
                      <w:bCs/>
                      <w:szCs w:val="24"/>
                    </w:rPr>
                    <w:t>„</w:t>
                  </w:r>
                  <w:r>
                    <w:rPr>
                      <w:szCs w:val="24"/>
                    </w:rPr>
                    <w:t>Sveikos gyvensenos skatinimas regioniniu lygiu</w:t>
                  </w:r>
                  <w:r>
                    <w:rPr>
                      <w:bCs/>
                      <w:szCs w:val="24"/>
                    </w:rPr>
                    <w:t xml:space="preserve">“. 2018 m. rugpjūčio </w:t>
                    <w:br/>
                    <w:t xml:space="preserve">23 d. pasirašyta dvišalė Europos socialinio fondo agentūros ir Neringos savivaldybės administracijos sutartis dėl projekto įgyvendinimo. Projektas bus baigtas 2022 m. I ketv. </w:t>
                  </w:r>
                </w:p>
              </w:sdtContent>
            </w:sdt>
          </w:sdtContent>
        </w:sdt>
        <w:sdt>
          <w:sdtPr>
            <w:alias w:val="15 pr. 2.1.2 pp."/>
            <w:tag w:val="part_7b03dc8848374d3897e77a2a952ce871"/>
            <w:lock w:val="sdtLocked"/>
            <w:richText/>
          </w:sdtPr>
          <w:sdtContent>
            <w:p>
              <w:pPr>
                <w:pBdr>
                  <w:top w:val="single" w:sz="4" w:space="1" w:color="auto"/>
                  <w:left w:val="single" w:sz="4" w:space="4" w:color="auto"/>
                  <w:bottom w:val="single" w:sz="4" w:space="1" w:color="auto"/>
                  <w:right w:val="single" w:sz="4" w:space="0" w:color="auto"/>
                </w:pBdr>
                <w:rPr>
                  <w:rFonts w:eastAsia="Calibri"/>
                  <w:b/>
                  <w:bCs/>
                  <w:szCs w:val="24"/>
                </w:rPr>
              </w:pPr>
              <w:sdt>
                <w:sdtPr>
                  <w:alias w:val="Numeris"/>
                  <w:tag w:val="nr_7b03dc8848374d3897e77a2a952ce871"/>
                  <w:lock w:val="sdtLocked"/>
                  <w:richText/>
                </w:sdtPr>
                <w:sdtContent>
                  <w:r>
                    <w:rPr>
                      <w:rFonts w:eastAsia="Calibri"/>
                      <w:b/>
                      <w:bCs/>
                      <w:szCs w:val="24"/>
                    </w:rPr>
                    <w:t>2.1.2</w:t>
                  </w:r>
                </w:sdtContent>
              </w:sdt>
              <w:r>
                <w:rPr>
                  <w:rFonts w:eastAsia="Calibri"/>
                  <w:b/>
                  <w:bCs/>
                  <w:szCs w:val="24"/>
                </w:rPr>
                <w:t>. Sukurti svečiams ir gyventojams patrauklią ir saugią aplinką.</w:t>
              </w:r>
            </w:p>
            <w:p>
              <w:pPr>
                <w:pBdr>
                  <w:top w:val="single" w:sz="4" w:space="1" w:color="auto"/>
                  <w:left w:val="single" w:sz="4" w:space="4" w:color="auto"/>
                  <w:bottom w:val="single" w:sz="4" w:space="1" w:color="auto"/>
                  <w:right w:val="single" w:sz="4" w:space="0" w:color="auto"/>
                </w:pBdr>
                <w:rPr>
                  <w:rFonts w:eastAsia="Calibri"/>
                  <w:szCs w:val="24"/>
                </w:rPr>
              </w:pPr>
              <w:r>
                <w:rPr>
                  <w:rFonts w:eastAsia="Calibri"/>
                  <w:szCs w:val="24"/>
                </w:rPr>
                <w:t>Uždaviniui įgyvendinti numatoma viena priemonė.</w:t>
              </w:r>
            </w:p>
            <w:sdt>
              <w:sdtPr>
                <w:alias w:val="15 pr. 2.1.2.1 pp."/>
                <w:tag w:val="part_46cb8d35cc404de880ab01742ba6ff9e"/>
                <w:lock w:val="sdtLocked"/>
                <w:richText/>
              </w:sdtPr>
              <w:sdtContent>
                <w:p>
                  <w:pPr>
                    <w:pBdr>
                      <w:top w:val="single" w:sz="4" w:space="1" w:color="auto"/>
                      <w:left w:val="single" w:sz="4" w:space="4" w:color="auto"/>
                      <w:bottom w:val="single" w:sz="4" w:space="1" w:color="auto"/>
                      <w:right w:val="single" w:sz="4" w:space="0" w:color="auto"/>
                    </w:pBdr>
                    <w:rPr>
                      <w:rFonts w:eastAsia="Calibri"/>
                      <w:b/>
                      <w:bCs/>
                      <w:i/>
                      <w:iCs/>
                      <w:szCs w:val="24"/>
                      <w:u w:val="single"/>
                    </w:rPr>
                  </w:pPr>
                  <w:sdt>
                    <w:sdtPr>
                      <w:alias w:val="Numeris"/>
                      <w:tag w:val="nr_46cb8d35cc404de880ab01742ba6ff9e"/>
                      <w:lock w:val="sdtLocked"/>
                      <w:richText/>
                    </w:sdtPr>
                    <w:sdtContent>
                      <w:r>
                        <w:rPr>
                          <w:rFonts w:eastAsia="Calibri"/>
                          <w:b/>
                          <w:bCs/>
                          <w:i/>
                          <w:iCs/>
                          <w:szCs w:val="24"/>
                          <w:u w:val="single"/>
                        </w:rPr>
                        <w:t>2.1.2.1</w:t>
                      </w:r>
                    </w:sdtContent>
                  </w:sdt>
                  <w:r>
                    <w:rPr>
                      <w:rFonts w:eastAsia="Calibri"/>
                      <w:b/>
                      <w:bCs/>
                      <w:i/>
                      <w:iCs/>
                      <w:szCs w:val="24"/>
                      <w:u w:val="single"/>
                    </w:rPr>
                    <w:t>. priemonė. Efektyvių triukšmo valdymo priemonių įgyvendinimas ir komunikacija</w:t>
                  </w:r>
                </w:p>
                <w:p>
                  <w:pPr>
                    <w:pBdr>
                      <w:top w:val="single" w:sz="4" w:space="1" w:color="auto"/>
                      <w:left w:val="single" w:sz="4" w:space="4" w:color="auto"/>
                      <w:bottom w:val="single" w:sz="4" w:space="1" w:color="auto"/>
                      <w:right w:val="single" w:sz="4" w:space="0" w:color="auto"/>
                    </w:pBdr>
                    <w:rPr>
                      <w:szCs w:val="24"/>
                      <w:u w:val="single"/>
                    </w:rPr>
                  </w:pPr>
                  <w:r>
                    <w:rPr>
                      <w:szCs w:val="24"/>
                      <w:u w:val="single"/>
                    </w:rPr>
                    <w:t>Veikla:</w:t>
                  </w:r>
                </w:p>
                <w:sdt>
                  <w:sdtPr>
                    <w:alias w:val="15 pr. 2.1.2.1.1 pp."/>
                    <w:tag w:val="part_e19a27254292496c9efff4f7b2c0c8c6"/>
                    <w:lock w:val="sdtLocked"/>
                    <w:richText/>
                  </w:sdtPr>
                  <w:sdtContent>
                    <w:p>
                      <w:pPr>
                        <w:pBdr>
                          <w:top w:val="single" w:sz="4" w:space="1" w:color="auto"/>
                          <w:left w:val="single" w:sz="4" w:space="4" w:color="auto"/>
                          <w:bottom w:val="single" w:sz="4" w:space="1" w:color="auto"/>
                          <w:right w:val="single" w:sz="4" w:space="0" w:color="auto"/>
                        </w:pBdr>
                        <w:jc w:val="both"/>
                        <w:rPr>
                          <w:bCs/>
                          <w:i/>
                          <w:szCs w:val="24"/>
                        </w:rPr>
                      </w:pPr>
                      <w:sdt>
                        <w:sdtPr>
                          <w:alias w:val="Numeris"/>
                          <w:tag w:val="nr_e19a27254292496c9efff4f7b2c0c8c6"/>
                          <w:lock w:val="sdtLocked"/>
                          <w:richText/>
                        </w:sdtPr>
                        <w:sdtContent>
                          <w:r>
                            <w:rPr>
                              <w:bCs/>
                              <w:i/>
                              <w:szCs w:val="24"/>
                            </w:rPr>
                            <w:t>2.1.2.1.1</w:t>
                          </w:r>
                        </w:sdtContent>
                      </w:sdt>
                      <w:r>
                        <w:rPr>
                          <w:bCs/>
                          <w:i/>
                          <w:szCs w:val="24"/>
                        </w:rPr>
                        <w:t>. Triukšmo stebėsenos vykdymas tyliosiose zonose ir pagal skundus.</w:t>
                      </w:r>
                    </w:p>
                    <w:p>
                      <w:pPr>
                        <w:pBdr>
                          <w:top w:val="single" w:sz="4" w:space="1" w:color="auto"/>
                          <w:left w:val="single" w:sz="4" w:space="4" w:color="auto"/>
                          <w:bottom w:val="single" w:sz="4" w:space="1" w:color="auto"/>
                          <w:right w:val="single" w:sz="4" w:space="0" w:color="auto"/>
                        </w:pBdr>
                        <w:jc w:val="both"/>
                        <w:rPr>
                          <w:bCs/>
                          <w:szCs w:val="24"/>
                        </w:rPr>
                      </w:pPr>
                      <w:r>
                        <w:rPr>
                          <w:bCs/>
                          <w:szCs w:val="24"/>
                        </w:rPr>
                        <w:t>Lietuvos Respublikos vietos savivaldos įstatymas numato, kad savivaldybėms priskirtas triukšmo prevencijos ir triukšmo valstybinio valdymo įgyvendinimas yra savarankiškoji savivaldybės funkcija.</w:t>
                      </w:r>
                    </w:p>
                    <w:p>
                      <w:pPr>
                        <w:pBdr>
                          <w:top w:val="single" w:sz="4" w:space="1" w:color="auto"/>
                          <w:left w:val="single" w:sz="4" w:space="4" w:color="auto"/>
                          <w:bottom w:val="single" w:sz="4" w:space="1" w:color="auto"/>
                          <w:right w:val="single" w:sz="4" w:space="0" w:color="auto"/>
                        </w:pBdr>
                        <w:jc w:val="both"/>
                        <w:rPr>
                          <w:bCs/>
                          <w:szCs w:val="24"/>
                        </w:rPr>
                      </w:pPr>
                      <w:r>
                        <w:rPr>
                          <w:bCs/>
                          <w:szCs w:val="24"/>
                        </w:rPr>
                        <w:t xml:space="preserve">Lietuvos Respublikos triukšmo valdymo įstatymo 13 straipsnio „Savivaldybių institucijų kompetencija“ 8 punktas numato, kad savivaldybės organizuoja triukšmo stebėsenos (monitoringo) tyliosiose zonose atlikimą, nustato ir mažina triukšmą triukšmo prevencijos zonose, tiria gyventojų skundus dėl triukšmo. </w:t>
                      </w:r>
                    </w:p>
                    <w:p>
                      <w:pPr>
                        <w:jc w:val="both"/>
                        <w:rPr>
                          <w:bCs/>
                          <w:sz w:val="22"/>
                          <w:szCs w:val="22"/>
                        </w:rPr>
                      </w:pPr>
                    </w:p>
                  </w:sdtContent>
                </w:sdt>
              </w:sdtContent>
            </w:sdt>
          </w:sdtContent>
        </w:sdt>
        <w:sdt>
          <w:sdtPr>
            <w:alias w:val="skirsnis"/>
            <w:tag w:val="part_a0d944e7ad7c4e1aadac632a6801e4b8"/>
            <w:lock w:val="sdtLocked"/>
            <w:richText/>
          </w:sdtPr>
          <w:sdtContent>
            <w:p>
              <w:pPr>
                <w:jc w:val="both"/>
                <w:rPr>
                  <w:b/>
                  <w:bCs/>
                  <w:szCs w:val="24"/>
                </w:rPr>
              </w:pPr>
              <w:sdt>
                <w:sdtPr>
                  <w:alias w:val="Pavadinimas"/>
                  <w:tag w:val="title_a0d944e7ad7c4e1aadac632a6801e4b8"/>
                  <w:lock w:val="sdtLocked"/>
                  <w:richText/>
                </w:sdtPr>
                <w:sdtContent>
                  <w:r>
                    <w:rPr>
                      <w:b/>
                      <w:bCs/>
                      <w:szCs w:val="24"/>
                    </w:rPr>
                    <w:t>Numatomas programos įgyvendinimo rezultatas:</w:t>
                  </w:r>
                </w:sdtContent>
              </w:sdt>
            </w:p>
            <w:p>
              <w:pPr>
                <w:pBdr>
                  <w:top w:val="single" w:sz="4" w:space="1" w:color="auto"/>
                  <w:left w:val="single" w:sz="4" w:space="4" w:color="auto"/>
                  <w:bottom w:val="single" w:sz="4" w:space="1" w:color="auto"/>
                  <w:right w:val="single" w:sz="4" w:space="0" w:color="auto"/>
                </w:pBdr>
                <w:jc w:val="both"/>
                <w:rPr>
                  <w:szCs w:val="24"/>
                </w:rPr>
              </w:pPr>
              <w:r>
                <w:rPr>
                  <w:szCs w:val="24"/>
                </w:rPr>
                <w:t>Sveikatos priežiūros paslaugų plėtra; kokybiškesnės sveikatos priežiūros paslaugos; gerėjantis sveikatos priežiūros paslaugų prieinamumas, ilgėjanti gyvenimo trukmė, mažėjantis mirtingumas, gerėjanti gyvenimo kokybė ir kt.), vykdoma triukšmo stebėsena.</w:t>
              </w:r>
            </w:p>
            <w:p>
              <w:pPr>
                <w:rPr>
                  <w:szCs w:val="24"/>
                </w:rPr>
              </w:pP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81"/>
              </w:tblGrid>
              <w:tr>
                <w:tc>
                  <w:tcPr>
                    <w:tcW w:w="9781" w:type="dxa"/>
                  </w:tcPr>
                  <w:p>
                    <w:pPr>
                      <w:rPr>
                        <w:b/>
                        <w:bCs/>
                        <w:szCs w:val="24"/>
                      </w:rPr>
                    </w:pPr>
                    <w:r>
                      <w:rPr>
                        <w:b/>
                        <w:bCs/>
                        <w:szCs w:val="24"/>
                      </w:rPr>
                      <w:t xml:space="preserve">Galimi programos vykdymo ir finansavimo variantai: </w:t>
                    </w:r>
                  </w:p>
                  <w:p>
                    <w:pPr>
                      <w:jc w:val="both"/>
                      <w:rPr>
                        <w:b/>
                        <w:bCs/>
                        <w:strike/>
                        <w:szCs w:val="24"/>
                      </w:rPr>
                    </w:pPr>
                    <w:r>
                      <w:rPr>
                        <w:szCs w:val="24"/>
                      </w:rPr>
                      <w:t xml:space="preserve">Neringos savivaldybės biudžeto, Neringos savivaldybės visuomenės sveikatos rėmimo specialiosios programos, Neringos savivaldybės Aplinkos apsaugos rėmimo specialiosios programos, Europos Sąjungos ir valstybės biudžeto lėšos. </w:t>
                    </w:r>
                  </w:p>
                </w:tc>
              </w:tr>
            </w:tbl>
            <w:p>
              <w:pPr>
                <w:rPr>
                  <w:b/>
                  <w:bCs/>
                  <w:strike/>
                  <w:szCs w:val="24"/>
                </w:rPr>
              </w:pP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81"/>
              </w:tblGrid>
              <w:tr>
                <w:tc>
                  <w:tcPr>
                    <w:tcW w:w="9781" w:type="dxa"/>
                  </w:tcPr>
                  <w:p>
                    <w:pPr>
                      <w:rPr>
                        <w:szCs w:val="24"/>
                      </w:rPr>
                    </w:pPr>
                    <w:r>
                      <w:rPr>
                        <w:szCs w:val="24"/>
                      </w:rPr>
                      <w:t xml:space="preserve">Susiję Lietuvos Respublikos ir Savivaldybės teisės aktai: </w:t>
                    </w:r>
                  </w:p>
                  <w:p>
                    <w:pPr>
                      <w:rPr>
                        <w:szCs w:val="24"/>
                      </w:rPr>
                    </w:pPr>
                    <w:r>
                      <w:rPr>
                        <w:szCs w:val="24"/>
                      </w:rPr>
                      <w:t>Lietuvos sveikatos 2014–2025 m. strategija;</w:t>
                    </w:r>
                  </w:p>
                  <w:p>
                    <w:pPr>
                      <w:rPr>
                        <w:szCs w:val="24"/>
                      </w:rPr>
                    </w:pPr>
                    <w:r>
                      <w:rPr>
                        <w:szCs w:val="24"/>
                      </w:rPr>
                      <w:t>Lietuvos Respublikos vietos savivaldos įstatymas;</w:t>
                    </w:r>
                  </w:p>
                  <w:p>
                    <w:pPr>
                      <w:rPr>
                        <w:szCs w:val="24"/>
                      </w:rPr>
                    </w:pPr>
                    <w:r>
                      <w:rPr>
                        <w:szCs w:val="24"/>
                      </w:rPr>
                      <w:t>Lietuvos Respublikos sveikatos sistemos įstatymas;</w:t>
                    </w:r>
                  </w:p>
                  <w:p>
                    <w:pPr>
                      <w:rPr>
                        <w:szCs w:val="24"/>
                      </w:rPr>
                    </w:pPr>
                    <w:r>
                      <w:rPr>
                        <w:szCs w:val="24"/>
                      </w:rPr>
                      <w:t>Lietuvos Respublikos sveikatos priežiūros</w:t>
                    </w:r>
                    <w:r>
                      <w:rPr>
                        <w:sz w:val="22"/>
                        <w:szCs w:val="22"/>
                      </w:rPr>
                      <w:t xml:space="preserve"> įstaigų įstatymas;</w:t>
                    </w:r>
                  </w:p>
                  <w:p>
                    <w:pPr>
                      <w:rPr>
                        <w:szCs w:val="24"/>
                      </w:rPr>
                    </w:pPr>
                    <w:r>
                      <w:rPr>
                        <w:szCs w:val="24"/>
                      </w:rPr>
                      <w:t>Lietuvos Respublikos visuomenės sveikatos priežiūros įstatymas;</w:t>
                    </w:r>
                  </w:p>
                  <w:p>
                    <w:pPr>
                      <w:rPr>
                        <w:szCs w:val="24"/>
                      </w:rPr>
                    </w:pPr>
                    <w:r>
                      <w:rPr>
                        <w:szCs w:val="24"/>
                      </w:rPr>
                      <w:t xml:space="preserve">Lietuvos Respublikos </w:t>
                    </w:r>
                    <w:r>
                      <w:rPr>
                        <w:szCs w:val="24"/>
                        <w:shd w:val="clear" w:color="auto" w:fill="FFFFFF"/>
                      </w:rPr>
                      <w:t>visuomenės sveikatos stebėsenos (monitoringo) įstatymas;</w:t>
                    </w:r>
                  </w:p>
                  <w:p>
                    <w:pPr>
                      <w:rPr>
                        <w:szCs w:val="24"/>
                      </w:rPr>
                    </w:pPr>
                    <w:r>
                      <w:rPr>
                        <w:szCs w:val="24"/>
                      </w:rPr>
                      <w:t>Lietuvos Respublikos triukšmo valdymo įstatymas;</w:t>
                    </w:r>
                  </w:p>
                  <w:p>
                    <w:pPr>
                      <w:rPr>
                        <w:szCs w:val="24"/>
                      </w:rPr>
                    </w:pPr>
                    <w:r>
                      <w:rPr>
                        <w:szCs w:val="24"/>
                      </w:rPr>
                      <w:t>Valstybės pažangos strategija „Lietuvos pažangos strategija „Lietuva 2030“;</w:t>
                    </w:r>
                  </w:p>
                  <w:p>
                    <w:pPr>
                      <w:rPr>
                        <w:szCs w:val="24"/>
                      </w:rPr>
                    </w:pPr>
                    <w:r>
                      <w:rPr>
                        <w:szCs w:val="24"/>
                      </w:rPr>
                      <w:t>Sveiko senėjimo užtikrinimo Lietuvoje 2014–2023 metų veiksmų planas;</w:t>
                    </w:r>
                  </w:p>
                  <w:p>
                    <w:pPr>
                      <w:rPr>
                        <w:szCs w:val="24"/>
                      </w:rPr>
                    </w:pPr>
                    <w:r>
                      <w:rPr>
                        <w:szCs w:val="24"/>
                      </w:rPr>
                      <w:t>Nacionalinė visuomenės sveikatos priežiūros 2016–2023 metų plėtros programa;</w:t>
                    </w:r>
                  </w:p>
                  <w:p>
                    <w:pPr>
                      <w:rPr>
                        <w:szCs w:val="24"/>
                      </w:rPr>
                    </w:pPr>
                    <w:r>
                      <w:rPr>
                        <w:szCs w:val="24"/>
                      </w:rPr>
                      <w:t>Pagalbos savižudybės grėsmę patiriantiems, savižudybės krizę išgyvenantiems ir savižudybės krizę išgyvenusiems asmenims teikimo tvarkos aprašas.</w:t>
                    </w:r>
                  </w:p>
                </w:tc>
              </w:tr>
            </w:tbl>
            <w:p/>
          </w:sdtContent>
        </w:sdt>
        <w:sdt>
          <w:sdtPr>
            <w:alias w:val="skirsnis"/>
            <w:tag w:val="part_a23ad00f7b2647438183b100bb175dae"/>
            <w:lock w:val="sdtLocked"/>
            <w:richText/>
          </w:sdtPr>
          <w:sdtContent>
            <w:p>
              <w:pPr>
                <w:tabs>
                  <w:tab w:val="left" w:pos="-284"/>
                  <w:tab w:val="left" w:pos="0"/>
                  <w:tab w:val="left" w:pos="993"/>
                  <w:tab w:val="left" w:pos="1276"/>
                </w:tabs>
                <w:jc w:val="center"/>
                <w:rPr>
                  <w:bCs/>
                  <w:szCs w:val="24"/>
                </w:rPr>
              </w:pPr>
              <w:sdt>
                <w:sdtPr>
                  <w:alias w:val="Pavadinimas"/>
                  <w:tag w:val="title_a23ad00f7b2647438183b100bb175dae"/>
                  <w:lock w:val="sdtLocked"/>
                  <w:richText/>
                </w:sdtPr>
                <w:sdtContent>
                  <w:r>
                    <w:rPr>
                      <w:b/>
                      <w:bCs/>
                      <w:sz w:val="22"/>
                      <w:szCs w:val="22"/>
                      <w:u w:val="single"/>
                    </w:rPr>
                    <w:t>______________________________</w:t>
                  </w:r>
                </w:sdtContent>
              </w:sdt>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39" w:code="9"/>
      <w:pgMar w:top="1134" w:right="283" w:bottom="709"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2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91C08830-C945-473D-9C7E-0C5184A7D7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95247485">
      <w:marLeft w:val="0"/>
      <w:marRight w:val="0"/>
      <w:marTop w:val="0"/>
      <w:marBottom w:val="0"/>
      <w:divBdr>
        <w:top w:val="none" w:sz="0" w:space="0" w:color="auto"/>
        <w:left w:val="none" w:sz="0" w:space="0" w:color="auto"/>
        <w:bottom w:val="none" w:sz="0" w:space="0" w:color="auto"/>
        <w:right w:val="none" w:sz="0" w:space="0" w:color="auto"/>
      </w:divBdr>
    </w:div>
    <w:div w:id="179524748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5" Abbr="15 pr." Title="SVEIKATOS PRIEŽIŪROS PROGRAMA (08)" DocPartId="8ead9cb0483f4090b6205e44ebc6a5b6" PartId="9078ba7a40494a908ea152efd044026f">
    <Part Type="papunktis" Nr="2.3.3.2.3" Abbr="15 pr. 2.3.3.2.3 pp." DocPartId="f9ed0224b8b341fc8003f2bc0218830f" PartId="73085806834241a989762b971095bcd6"/>
    <Part Type="papunktis" Nr="2.3.3.2.4" Abbr="15 pr. 2.3.3.2.4 pp." DocPartId="fe344db603dc4b0f9b34ab9c2af24797" PartId="af9a8375474a431e9b5b179976889394"/>
    <Part Type="papunktis" Nr="2.3.3.1" Abbr="15 pr. 2.3.3.1 pp." Notes="Numeris ne iš eilės. Trūksta dalių? [DocDalys]" DocPartId="f0202f2d5aaa4fb084459b0961f1e79d" PartId="c4f124cc556a45f1a2b7b41640904199">
      <Part Type="papunktis" Nr="2.3.3.1.1" Abbr="15 pr. 2.3.3.1.1 pp." DocPartId="9e91f4a8e59448d88426c3bc3c0b1038" PartId="8e9e301767b04d7194a2640aa5a068f7"/>
      <Part Type="papunktis" Nr="2.3.3.1.2" Abbr="15 pr. 2.3.3.1.2 pp." DocPartId="a96869402da04bb5aba7f927e589ab0c" PartId="1fc72b19bb56440cad5dc71d3171c9a8"/>
    </Part>
    <Part Type="papunktis" Nr="2.1.2" Abbr="15 pr. 2.1.2 pp." Notes="Numeris ne iš eilės. Trūksta dalių? [DocDalys]" DocPartId="8276b4cbb32d4e909163baf6ed8cec53" PartId="7b03dc8848374d3897e77a2a952ce871">
      <Part Type="papunktis" Nr="2.1.2.1" Abbr="15 pr. 2.1.2.1 pp." DocPartId="2d7c66451813467baae40b07e201a8d1" PartId="46cb8d35cc404de880ab01742ba6ff9e">
        <Part Type="papunktis" Nr="2.1.2.1.1" Abbr="15 pr. 2.1.2.1.1 pp." DocPartId="c98e9fc10e1c4e54a1609b6ca9391896" PartId="e19a27254292496c9efff4f7b2c0c8c6"/>
      </Part>
    </Part>
    <Part Type="skirsnis" Title="Numatomas programos įgyvendinimo rezultatas:" DocPartId="e9e7b4f4efc343028393d3ddbb2d0474" PartId="a0d944e7ad7c4e1aadac632a6801e4b8"/>
    <Part Type="skirsnis" Title="______________________________" DocPartId="c0c5d477e7a9421ea122bc4241a53b74" PartId="a23ad00f7b2647438183b100bb175dae"/>
  </Part>
</Parts>
</file>

<file path=customXml/itemProps1.xml><?xml version="1.0" encoding="utf-8"?>
<ds:datastoreItem xmlns:ds="http://schemas.openxmlformats.org/officeDocument/2006/customXml" ds:itemID="{178DC57A-04DB-4673-90BC-A93EBD463A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1418</Words>
  <Characters>11196</Characters>
  <Application>Microsoft Office Word</Application>
  <DocSecurity>4</DocSecurity>
  <Lines>228</Lines>
  <Paragraphs>130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STRATEGINIO PLANAVIMO VILNIAUS MIESTO SAVIVALDYBĖJE ORGANIZAVIMO TVARKOS APRAŠO TVIRTINIMO</vt:lpstr>
      <vt:lpstr>DĖL STRATEGINIO PLANAVIMO VILNIAUS MIESTO SAVIVALDYBĖJE ORGANIZAVIMO TVARKOS APRAŠO TVIRTINIMO</vt:lpstr>
    </vt:vector>
  </TitlesOfParts>
  <Manager>2014-09-10</Manager>
  <Company>vmsa</Company>
  <LinksUpToDate>false</LinksUpToDate>
  <CharactersWithSpaces>12484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PRIEDAS</category>
  <dcterms:created xsi:type="dcterms:W3CDTF">2022-02-09T11:58:00Z</dcterms:created>
  <dc:creator>VILNIAUS MIESTO SAVIVALDYBĖS TARYBA</dc:creator>
  <lastModifiedBy>adlibuser</lastModifiedBy>
  <lastPrinted>2021-01-06T09:17:00Z</lastPrinted>
  <dcterms:modified xsi:type="dcterms:W3CDTF">2022-02-09T11:58:00Z</dcterms:modified>
  <revision>2</revision>
  <dc:subject>1-1971</dc:subject>
  <dc:title>DĖL STRATEGINIO PLANAVIMO VILNIAUS MIESTO SAVIVALDYBĖJE ORGANIZAVIMO TVARKOS APRAŠO TVIRTINIMO</dc:title>
</coreProperties>
</file>