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9 pr."/>
        <w:tag w:val="part_aa594db7dc154ef3a5a19a1ba923b9ab"/>
        <w:lock w:val="sdtLocked"/>
        <w:richText/>
      </w:sdtPr>
      <w:sdtContent>
        <w:p>
          <w:pPr>
            <w:rPr>
              <w:sz w:val="8"/>
              <w:szCs w:val="8"/>
            </w:rPr>
          </w:pPr>
        </w:p>
        <w:p>
          <w:pPr>
            <w:rPr>
              <w:szCs w:val="24"/>
            </w:rPr>
          </w:pPr>
        </w:p>
        <w:p>
          <w:pPr>
            <w:rPr>
              <w:sz w:val="8"/>
              <w:szCs w:val="8"/>
            </w:rPr>
          </w:pPr>
        </w:p>
        <w:p>
          <w:pPr>
            <w:spacing w:line="240" w:lineRule="atLeast"/>
            <w:ind w:left="5184"/>
            <w:rPr>
              <w:szCs w:val="24"/>
            </w:rPr>
          </w:pPr>
          <w:r>
            <w:rPr>
              <w:szCs w:val="24"/>
            </w:rPr>
            <w:t>Neringos savivaldybės</w:t>
          </w:r>
        </w:p>
        <w:p>
          <w:pPr>
            <w:spacing w:line="240" w:lineRule="atLeast"/>
            <w:ind w:left="5184"/>
            <w:rPr>
              <w:szCs w:val="24"/>
            </w:rPr>
          </w:pPr>
          <w:r>
            <w:rPr>
              <w:szCs w:val="24"/>
            </w:rPr>
            <w:t>2022–2024 metų strateginio veiklos plano</w:t>
          </w:r>
        </w:p>
        <w:p>
          <w:pPr>
            <w:spacing w:line="240" w:lineRule="atLeast"/>
            <w:ind w:left="5184"/>
            <w:rPr>
              <w:szCs w:val="24"/>
            </w:rPr>
          </w:pPr>
          <w:sdt>
            <w:sdtPr>
              <w:alias w:val="Numeris"/>
              <w:tag w:val="nr_aa594db7dc154ef3a5a19a1ba923b9ab"/>
              <w:lock w:val="sdtLocked"/>
              <w:richText/>
            </w:sdtPr>
            <w:sdtContent>
              <w:r>
                <w:rPr>
                  <w:szCs w:val="24"/>
                </w:rPr>
                <w:t>9</w:t>
              </w:r>
            </w:sdtContent>
          </w:sdt>
          <w:r>
            <w:rPr>
              <w:szCs w:val="24"/>
            </w:rPr>
            <w:t xml:space="preserve"> priedas</w:t>
          </w:r>
        </w:p>
        <w:p>
          <w:pPr>
            <w:spacing w:line="259" w:lineRule="auto"/>
            <w:ind w:firstLine="5236"/>
            <w:jc w:val="right"/>
            <w:rPr>
              <w:b/>
              <w:sz w:val="22"/>
              <w:szCs w:val="22"/>
            </w:rPr>
          </w:pPr>
        </w:p>
        <w:p>
          <w:pPr>
            <w:rPr>
              <w:sz w:val="14"/>
              <w:szCs w:val="14"/>
            </w:rPr>
          </w:pPr>
        </w:p>
        <w:p>
          <w:pPr>
            <w:pBdr>
              <w:bottom w:val="single" w:sz="12" w:space="1" w:color="auto"/>
            </w:pBdr>
            <w:jc w:val="center"/>
            <w:rPr>
              <w:szCs w:val="24"/>
            </w:rPr>
          </w:pPr>
          <w:sdt>
            <w:sdtPr>
              <w:alias w:val="Pavadinimas"/>
              <w:tag w:val="title_aa594db7dc154ef3a5a19a1ba923b9ab"/>
              <w:lock w:val="sdtLocked"/>
              <w:richText/>
            </w:sdtPr>
            <w:sdtContent>
              <w:r>
                <w:rPr>
                  <w:b/>
                  <w:bCs/>
                  <w:szCs w:val="24"/>
                </w:rPr>
                <w:t>MIESTO INFRASTRUKTŪROS PRIEŽIŪROS PLĖTROS PROGRAMOS (Nr. 05)</w:t>
              </w:r>
            </w:sdtContent>
          </w:sdt>
        </w:p>
        <w:p>
          <w:pPr>
            <w:ind w:firstLine="62"/>
            <w:jc w:val="center"/>
            <w:rPr>
              <w:b/>
              <w:bCs/>
              <w:szCs w:val="24"/>
            </w:rPr>
          </w:pPr>
          <w:r>
            <w:rPr>
              <w:iCs/>
              <w:szCs w:val="24"/>
            </w:rPr>
            <w:t>(Programos pavadinimas, kodas)</w:t>
            <w:br/>
          </w:r>
          <w:r>
            <w:rPr>
              <w:b/>
              <w:bCs/>
              <w:szCs w:val="24"/>
            </w:rPr>
            <w:t>APRAŠYMAS</w:t>
          </w:r>
        </w:p>
        <w:p>
          <w:pPr>
            <w:jc w:val="center"/>
            <w:rPr>
              <w:b/>
              <w:bCs/>
              <w:szCs w:val="24"/>
            </w:rPr>
          </w:pPr>
        </w:p>
        <w:p>
          <w:pPr>
            <w:jc w:val="center"/>
            <w:rPr>
              <w:b/>
              <w:bCs/>
              <w:szCs w:val="24"/>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6660"/>
          </w:tblGrid>
          <w:tr>
            <w:tc>
              <w:tcPr>
                <w:tcW w:w="2988" w:type="dxa"/>
                <w:shd w:val="clear" w:color="auto" w:fill="F2DBDB"/>
              </w:tcPr>
              <w:p>
                <w:pPr>
                  <w:keepNext/>
                  <w:rPr>
                    <w:b/>
                    <w:bCs/>
                    <w:szCs w:val="24"/>
                  </w:rPr>
                </w:pPr>
                <w:r>
                  <w:rPr>
                    <w:b/>
                    <w:bCs/>
                    <w:szCs w:val="24"/>
                  </w:rPr>
                  <w:t>Biudžetiniai metai</w:t>
                </w:r>
              </w:p>
            </w:tc>
            <w:tc>
              <w:tcPr>
                <w:tcW w:w="6660" w:type="dxa"/>
              </w:tcPr>
              <w:p>
                <w:pPr>
                  <w:rPr>
                    <w:b/>
                    <w:szCs w:val="24"/>
                  </w:rPr>
                </w:pPr>
                <w:r>
                  <w:rPr>
                    <w:b/>
                    <w:szCs w:val="24"/>
                  </w:rPr>
                  <w:t>2022-ieji metai</w:t>
                </w:r>
              </w:p>
            </w:tc>
          </w:tr>
          <w:tr>
            <w:tc>
              <w:tcPr>
                <w:tcW w:w="2988" w:type="dxa"/>
                <w:shd w:val="clear" w:color="auto" w:fill="F2DBDB"/>
              </w:tcPr>
              <w:p>
                <w:pPr>
                  <w:keepNext/>
                  <w:rPr>
                    <w:b/>
                    <w:bCs/>
                    <w:szCs w:val="24"/>
                  </w:rPr>
                </w:pPr>
                <w:r>
                  <w:rPr>
                    <w:b/>
                    <w:bCs/>
                    <w:szCs w:val="24"/>
                  </w:rPr>
                  <w:t>Programos vykdymo laikotarpis</w:t>
                </w:r>
              </w:p>
            </w:tc>
            <w:tc>
              <w:tcPr>
                <w:tcW w:w="6660" w:type="dxa"/>
              </w:tcPr>
              <w:p>
                <w:pPr>
                  <w:rPr>
                    <w:b/>
                    <w:szCs w:val="24"/>
                  </w:rPr>
                </w:pPr>
                <w:r>
                  <w:rPr>
                    <w:b/>
                    <w:szCs w:val="24"/>
                  </w:rPr>
                  <w:t>Tęstinė</w:t>
                </w:r>
              </w:p>
            </w:tc>
          </w:tr>
          <w:tr>
            <w:tc>
              <w:tcPr>
                <w:tcW w:w="2988" w:type="dxa"/>
                <w:shd w:val="clear" w:color="auto" w:fill="F2DBDB"/>
              </w:tcPr>
              <w:p>
                <w:pPr>
                  <w:keepNext/>
                  <w:rPr>
                    <w:b/>
                    <w:bCs/>
                    <w:szCs w:val="24"/>
                  </w:rPr>
                </w:pPr>
                <w:r>
                  <w:rPr>
                    <w:b/>
                    <w:bCs/>
                    <w:szCs w:val="24"/>
                  </w:rPr>
                  <w:t xml:space="preserve">Asignavimų valdytojai, kodas </w:t>
                </w:r>
              </w:p>
            </w:tc>
            <w:tc>
              <w:tcPr>
                <w:tcW w:w="6660" w:type="dxa"/>
              </w:tcPr>
              <w:p>
                <w:pPr>
                  <w:rPr>
                    <w:b/>
                    <w:szCs w:val="24"/>
                  </w:rPr>
                </w:pPr>
                <w:r>
                  <w:rPr>
                    <w:b/>
                    <w:szCs w:val="24"/>
                  </w:rPr>
                  <w:t>Neringos savivaldybės administracija (</w:t>
                </w:r>
                <w:r>
                  <w:rPr>
                    <w:sz w:val="22"/>
                    <w:szCs w:val="22"/>
                  </w:rPr>
                  <w:t>188754378</w:t>
                </w:r>
                <w:r>
                  <w:rPr>
                    <w:b/>
                    <w:szCs w:val="24"/>
                  </w:rPr>
                  <w:t>)</w:t>
                </w:r>
              </w:p>
              <w:p>
                <w:pPr>
                  <w:rPr>
                    <w:b/>
                    <w:szCs w:val="24"/>
                  </w:rPr>
                </w:pPr>
                <w:r>
                  <w:rPr>
                    <w:b/>
                    <w:szCs w:val="24"/>
                  </w:rPr>
                  <w:t>Biudžetinė įstaiga „Paslaugos Neringai“ (</w:t>
                </w:r>
                <w:r>
                  <w:rPr>
                    <w:szCs w:val="24"/>
                  </w:rPr>
                  <w:t>152729437</w:t>
                </w:r>
                <w:r>
                  <w:rPr>
                    <w:b/>
                    <w:szCs w:val="24"/>
                  </w:rPr>
                  <w:t>)</w:t>
                </w:r>
              </w:p>
              <w:p>
                <w:pPr>
                  <w:rPr>
                    <w:b/>
                    <w:szCs w:val="24"/>
                  </w:rPr>
                </w:pPr>
                <w:r>
                  <w:rPr>
                    <w:b/>
                    <w:szCs w:val="24"/>
                  </w:rPr>
                  <w:t xml:space="preserve">Viešoji įstaiga Nidos oro parkas </w:t>
                </w:r>
                <w:r>
                  <w:rPr>
                    <w:bCs/>
                    <w:szCs w:val="24"/>
                  </w:rPr>
                  <w:t>(152782436)</w:t>
                </w:r>
              </w:p>
            </w:tc>
          </w:tr>
          <w:tr>
            <w:tc>
              <w:tcPr>
                <w:tcW w:w="2988" w:type="dxa"/>
                <w:shd w:val="clear" w:color="auto" w:fill="F2DBDB"/>
              </w:tcPr>
              <w:p>
                <w:pPr>
                  <w:keepNext/>
                  <w:rPr>
                    <w:b/>
                    <w:bCs/>
                    <w:szCs w:val="24"/>
                  </w:rPr>
                </w:pPr>
                <w:r>
                  <w:rPr>
                    <w:b/>
                    <w:bCs/>
                    <w:szCs w:val="24"/>
                  </w:rPr>
                  <w:t>Programos vykdytojai</w:t>
                </w:r>
              </w:p>
            </w:tc>
            <w:tc>
              <w:tcPr>
                <w:tcW w:w="6660" w:type="dxa"/>
              </w:tcPr>
              <w:p>
                <w:pPr>
                  <w:rPr>
                    <w:b/>
                    <w:szCs w:val="24"/>
                  </w:rPr>
                </w:pPr>
                <w:r>
                  <w:rPr>
                    <w:b/>
                    <w:szCs w:val="24"/>
                  </w:rPr>
                  <w:t>Miesto tvarkymo ir statybos skyrius</w:t>
                </w:r>
              </w:p>
              <w:p>
                <w:pPr>
                  <w:rPr>
                    <w:b/>
                    <w:szCs w:val="24"/>
                  </w:rPr>
                </w:pPr>
                <w:r>
                  <w:rPr>
                    <w:b/>
                    <w:szCs w:val="24"/>
                  </w:rPr>
                  <w:t>Architektūros ir teritorijų planavimo skyrius</w:t>
                </w:r>
              </w:p>
              <w:p>
                <w:pPr>
                  <w:rPr>
                    <w:b/>
                    <w:szCs w:val="24"/>
                  </w:rPr>
                </w:pPr>
                <w:r>
                  <w:rPr>
                    <w:b/>
                    <w:szCs w:val="24"/>
                  </w:rPr>
                  <w:t>Strateginio planavimo, investicijų ir turizmo skyrius</w:t>
                </w:r>
              </w:p>
              <w:p>
                <w:pPr>
                  <w:rPr>
                    <w:b/>
                    <w:szCs w:val="24"/>
                  </w:rPr>
                </w:pPr>
                <w:r>
                  <w:rPr>
                    <w:b/>
                    <w:szCs w:val="24"/>
                  </w:rPr>
                  <w:t>Biudžetinė įstaiga „Paslaugos Neringai“</w:t>
                </w:r>
              </w:p>
              <w:p>
                <w:pPr>
                  <w:rPr>
                    <w:b/>
                    <w:szCs w:val="24"/>
                  </w:rPr>
                </w:pPr>
                <w:r>
                  <w:rPr>
                    <w:b/>
                    <w:szCs w:val="24"/>
                  </w:rPr>
                  <w:t>Viešoji įstaiga Nidos oro parkas</w:t>
                </w:r>
              </w:p>
            </w:tc>
          </w:tr>
        </w:tbl>
        <w:p>
          <w:pPr>
            <w:jc w:val="center"/>
            <w:rPr>
              <w:b/>
              <w:bCs/>
              <w:szCs w:val="24"/>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720"/>
          </w:tblGrid>
          <w:tr>
            <w:trPr>
              <w:cantSplit/>
            </w:trPr>
            <w:tc>
              <w:tcPr>
                <w:tcW w:w="2988" w:type="dxa"/>
                <w:tcBorders>
                  <w:bottom w:val="nil"/>
                </w:tcBorders>
                <w:shd w:val="clear" w:color="auto" w:fill="F2DBDB"/>
              </w:tcPr>
              <w:p>
                <w:pPr>
                  <w:spacing w:line="259" w:lineRule="auto"/>
                  <w:rPr>
                    <w:b/>
                    <w:szCs w:val="24"/>
                  </w:rPr>
                </w:pPr>
                <w:r>
                  <w:rPr>
                    <w:b/>
                    <w:szCs w:val="24"/>
                  </w:rPr>
                  <w:t>Programos parengimo argumentai</w:t>
                </w:r>
              </w:p>
            </w:tc>
            <w:tc>
              <w:tcPr>
                <w:tcW w:w="6660" w:type="dxa"/>
                <w:gridSpan w:val="3"/>
                <w:tcBorders>
                  <w:bottom w:val="nil"/>
                </w:tcBorders>
              </w:tcPr>
              <w:p>
                <w:pPr>
                  <w:spacing w:line="259" w:lineRule="auto"/>
                  <w:jc w:val="both"/>
                  <w:rPr>
                    <w:b/>
                    <w:szCs w:val="24"/>
                  </w:rPr>
                </w:pPr>
                <w:r>
                  <w:rPr>
                    <w:b/>
                    <w:szCs w:val="24"/>
                  </w:rPr>
                  <w:t xml:space="preserve">Programa parengta siekiant  įgyvendinti LR strateginės plėtros dokumentus, savivaldybėms priskirtas LR vietos savivaldos įstatymo funkcijas, Neringos savivaldybės strateginiame plėtros plane 2021–2030 metams numatytus prioritetus ir kryptingai suformuoti veiksmus jiems įgyvendinti. Programoje nustatyti  tikslai ir uždaviniai, apima turizmo infrastruktūros ir paslaugų plėtojimą, darnios ir saugios gyvenamosios aplinkos kūrimą.</w:t>
                </w:r>
              </w:p>
            </w:tc>
          </w:tr>
          <w:tr>
            <w:trPr>
              <w:cantSplit/>
            </w:trPr>
            <w:tc>
              <w:tcPr>
                <w:tcW w:w="2988" w:type="dxa"/>
                <w:vMerge w:val="restart"/>
                <w:shd w:val="clear" w:color="auto" w:fill="F2DBDB"/>
              </w:tcPr>
              <w:p>
                <w:pPr>
                  <w:spacing w:line="259" w:lineRule="auto"/>
                  <w:rPr>
                    <w:b/>
                    <w:szCs w:val="24"/>
                  </w:rPr>
                </w:pPr>
                <w:r>
                  <w:rPr>
                    <w:b/>
                    <w:szCs w:val="24"/>
                  </w:rPr>
                  <w:t>Ilgalaikis prioritetas</w:t>
                </w:r>
              </w:p>
              <w:p>
                <w:pPr>
                  <w:rPr>
                    <w:sz w:val="14"/>
                    <w:szCs w:val="14"/>
                  </w:rPr>
                </w:pPr>
              </w:p>
              <w:p>
                <w:pPr>
                  <w:spacing w:line="259" w:lineRule="auto"/>
                  <w:rPr>
                    <w:b/>
                    <w:szCs w:val="24"/>
                  </w:rPr>
                </w:pPr>
                <w:r>
                  <w:rPr>
                    <w:b/>
                    <w:szCs w:val="24"/>
                  </w:rPr>
                  <w:t>(pagal NSSPP 2021–2030)</w:t>
                </w:r>
              </w:p>
            </w:tc>
            <w:tc>
              <w:tcPr>
                <w:tcW w:w="5040" w:type="dxa"/>
              </w:tcPr>
              <w:p>
                <w:pPr>
                  <w:rPr>
                    <w:sz w:val="4"/>
                    <w:szCs w:val="4"/>
                  </w:rPr>
                </w:pPr>
              </w:p>
              <w:p>
                <w:pPr>
                  <w:keepNext/>
                  <w:keepLines/>
                  <w:spacing w:line="259" w:lineRule="auto"/>
                  <w:outlineLvl w:val="4"/>
                  <w:rPr>
                    <w:b/>
                    <w:szCs w:val="24"/>
                  </w:rPr>
                </w:pPr>
                <w:r>
                  <w:rPr>
                    <w:b/>
                    <w:szCs w:val="24"/>
                  </w:rPr>
                  <w:t>Darnaus pajūrio ir vandens turizmo bei konkurencingumo augimas</w:t>
                  <w:tab/>
                </w:r>
              </w:p>
            </w:tc>
            <w:tc>
              <w:tcPr>
                <w:tcW w:w="900" w:type="dxa"/>
              </w:tcPr>
              <w:p>
                <w:pPr>
                  <w:rPr>
                    <w:sz w:val="4"/>
                    <w:szCs w:val="4"/>
                  </w:rPr>
                </w:pPr>
              </w:p>
              <w:p>
                <w:pPr>
                  <w:keepNext/>
                  <w:keepLines/>
                  <w:spacing w:line="259" w:lineRule="auto"/>
                  <w:outlineLvl w:val="4"/>
                  <w:rPr>
                    <w:b/>
                    <w:bCs/>
                    <w:szCs w:val="24"/>
                  </w:rPr>
                </w:pPr>
                <w:r>
                  <w:rPr>
                    <w:b/>
                    <w:bCs/>
                    <w:szCs w:val="24"/>
                  </w:rPr>
                  <w:t>Kodas</w:t>
                </w:r>
              </w:p>
            </w:tc>
            <w:tc>
              <w:tcPr>
                <w:tcW w:w="720" w:type="dxa"/>
              </w:tcPr>
              <w:p>
                <w:pPr>
                  <w:rPr>
                    <w:sz w:val="4"/>
                    <w:szCs w:val="4"/>
                  </w:rPr>
                </w:pPr>
              </w:p>
              <w:p>
                <w:pPr>
                  <w:keepNext/>
                  <w:keepLines/>
                  <w:spacing w:line="259" w:lineRule="auto"/>
                  <w:outlineLvl w:val="4"/>
                  <w:rPr>
                    <w:b/>
                    <w:szCs w:val="24"/>
                  </w:rPr>
                </w:pPr>
                <w:r>
                  <w:rPr>
                    <w:b/>
                    <w:szCs w:val="24"/>
                  </w:rPr>
                  <w:t>1</w:t>
                </w:r>
              </w:p>
            </w:tc>
          </w:tr>
          <w:tr>
            <w:trPr>
              <w:cantSplit/>
            </w:trPr>
            <w:tc>
              <w:tcPr>
                <w:tcW w:w="2988" w:type="dxa"/>
                <w:vMerge/>
                <w:shd w:val="clear" w:color="auto" w:fill="F2DBDB"/>
              </w:tcPr>
              <w:p>
                <w:pPr>
                  <w:spacing w:line="259" w:lineRule="auto"/>
                  <w:rPr>
                    <w:b/>
                    <w:szCs w:val="24"/>
                  </w:rPr>
                </w:pPr>
              </w:p>
            </w:tc>
            <w:tc>
              <w:tcPr>
                <w:tcW w:w="5040" w:type="dxa"/>
              </w:tcPr>
              <w:p>
                <w:pPr>
                  <w:rPr>
                    <w:sz w:val="4"/>
                    <w:szCs w:val="4"/>
                  </w:rPr>
                </w:pPr>
              </w:p>
              <w:p>
                <w:pPr>
                  <w:keepNext/>
                  <w:keepLines/>
                  <w:tabs>
                    <w:tab w:val="left" w:pos="1788"/>
                  </w:tabs>
                  <w:spacing w:line="259" w:lineRule="auto"/>
                  <w:outlineLvl w:val="4"/>
                  <w:rPr>
                    <w:b/>
                    <w:szCs w:val="24"/>
                  </w:rPr>
                </w:pPr>
                <w:r>
                  <w:rPr>
                    <w:b/>
                    <w:szCs w:val="24"/>
                  </w:rPr>
                  <w:t>Patrauklios aplinkos gyvenimui ir poilsiui kūrimas</w:t>
                </w:r>
              </w:p>
            </w:tc>
            <w:tc>
              <w:tcPr>
                <w:tcW w:w="900" w:type="dxa"/>
              </w:tcPr>
              <w:p>
                <w:pPr>
                  <w:rPr>
                    <w:sz w:val="4"/>
                    <w:szCs w:val="4"/>
                  </w:rPr>
                </w:pPr>
              </w:p>
              <w:p>
                <w:pPr>
                  <w:keepNext/>
                  <w:keepLines/>
                  <w:spacing w:line="259" w:lineRule="auto"/>
                  <w:outlineLvl w:val="4"/>
                  <w:rPr>
                    <w:b/>
                    <w:bCs/>
                    <w:szCs w:val="24"/>
                  </w:rPr>
                </w:pPr>
                <w:r>
                  <w:rPr>
                    <w:b/>
                    <w:bCs/>
                    <w:szCs w:val="24"/>
                  </w:rPr>
                  <w:t>Kodas</w:t>
                </w:r>
              </w:p>
            </w:tc>
            <w:tc>
              <w:tcPr>
                <w:tcW w:w="720" w:type="dxa"/>
              </w:tcPr>
              <w:p>
                <w:pPr>
                  <w:rPr>
                    <w:sz w:val="4"/>
                    <w:szCs w:val="4"/>
                  </w:rPr>
                </w:pPr>
              </w:p>
              <w:p>
                <w:pPr>
                  <w:keepNext/>
                  <w:keepLines/>
                  <w:spacing w:line="259" w:lineRule="auto"/>
                  <w:outlineLvl w:val="4"/>
                  <w:rPr>
                    <w:b/>
                    <w:szCs w:val="24"/>
                  </w:rPr>
                </w:pPr>
                <w:r>
                  <w:rPr>
                    <w:b/>
                    <w:szCs w:val="24"/>
                  </w:rPr>
                  <w:t>2</w:t>
                </w:r>
              </w:p>
            </w:tc>
          </w:tr>
          <w:tr>
            <w:trPr>
              <w:cantSplit/>
            </w:trPr>
            <w:tc>
              <w:tcPr>
                <w:tcW w:w="2988" w:type="dxa"/>
                <w:vMerge/>
                <w:shd w:val="clear" w:color="auto" w:fill="F2DBDB"/>
              </w:tcPr>
              <w:p>
                <w:pPr>
                  <w:spacing w:line="259" w:lineRule="auto"/>
                  <w:rPr>
                    <w:b/>
                    <w:szCs w:val="24"/>
                  </w:rPr>
                </w:pPr>
              </w:p>
            </w:tc>
            <w:tc>
              <w:tcPr>
                <w:tcW w:w="5040" w:type="dxa"/>
              </w:tcPr>
              <w:p>
                <w:pPr>
                  <w:rPr>
                    <w:sz w:val="4"/>
                    <w:szCs w:val="4"/>
                  </w:rPr>
                </w:pPr>
              </w:p>
              <w:p>
                <w:pPr>
                  <w:keepNext/>
                  <w:keepLines/>
                  <w:spacing w:line="259" w:lineRule="auto"/>
                  <w:outlineLvl w:val="4"/>
                  <w:rPr>
                    <w:b/>
                    <w:szCs w:val="24"/>
                  </w:rPr>
                </w:pPr>
                <w:r>
                  <w:rPr>
                    <w:b/>
                    <w:szCs w:val="24"/>
                  </w:rPr>
                  <w:t>Efektyvus Neringos savivaldybės valdymas</w:t>
                </w:r>
              </w:p>
            </w:tc>
            <w:tc>
              <w:tcPr>
                <w:tcW w:w="900" w:type="dxa"/>
              </w:tcPr>
              <w:p>
                <w:pPr>
                  <w:rPr>
                    <w:sz w:val="4"/>
                    <w:szCs w:val="4"/>
                  </w:rPr>
                </w:pPr>
              </w:p>
              <w:p>
                <w:pPr>
                  <w:keepNext/>
                  <w:keepLines/>
                  <w:spacing w:line="259" w:lineRule="auto"/>
                  <w:outlineLvl w:val="4"/>
                  <w:rPr>
                    <w:b/>
                    <w:bCs/>
                    <w:szCs w:val="24"/>
                  </w:rPr>
                </w:pPr>
                <w:r>
                  <w:rPr>
                    <w:b/>
                    <w:bCs/>
                    <w:szCs w:val="24"/>
                  </w:rPr>
                  <w:t>Kodas</w:t>
                </w:r>
              </w:p>
            </w:tc>
            <w:tc>
              <w:tcPr>
                <w:tcW w:w="720" w:type="dxa"/>
              </w:tcPr>
              <w:p>
                <w:pPr>
                  <w:rPr>
                    <w:sz w:val="4"/>
                    <w:szCs w:val="4"/>
                  </w:rPr>
                </w:pPr>
              </w:p>
              <w:p>
                <w:pPr>
                  <w:keepNext/>
                  <w:keepLines/>
                  <w:spacing w:line="259" w:lineRule="auto"/>
                  <w:outlineLvl w:val="4"/>
                  <w:rPr>
                    <w:b/>
                    <w:szCs w:val="24"/>
                  </w:rPr>
                </w:pPr>
                <w:r>
                  <w:rPr>
                    <w:b/>
                    <w:szCs w:val="24"/>
                  </w:rPr>
                  <w:t>3</w:t>
                </w:r>
              </w:p>
            </w:tc>
          </w:tr>
          <w:tr>
            <w:trPr>
              <w:cantSplit/>
            </w:trPr>
            <w:tc>
              <w:tcPr>
                <w:tcW w:w="2988" w:type="dxa"/>
                <w:vMerge w:val="restart"/>
                <w:shd w:val="clear" w:color="auto" w:fill="F2DBDB"/>
              </w:tcPr>
              <w:p>
                <w:pPr>
                  <w:spacing w:line="259" w:lineRule="auto"/>
                  <w:rPr>
                    <w:b/>
                    <w:szCs w:val="24"/>
                  </w:rPr>
                </w:pPr>
                <w:r>
                  <w:rPr>
                    <w:b/>
                    <w:szCs w:val="24"/>
                  </w:rPr>
                  <w:t xml:space="preserve">Šia programa įgyvendinamas savivaldybės  strateginis tikslas </w:t>
                </w:r>
              </w:p>
            </w:tc>
            <w:tc>
              <w:tcPr>
                <w:tcW w:w="5040" w:type="dxa"/>
              </w:tcPr>
              <w:p>
                <w:pPr>
                  <w:spacing w:line="259" w:lineRule="auto"/>
                  <w:rPr>
                    <w:b/>
                    <w:szCs w:val="24"/>
                  </w:rPr>
                </w:pPr>
                <w:r>
                  <w:rPr>
                    <w:b/>
                    <w:szCs w:val="24"/>
                  </w:rPr>
                  <w:t>Užtikrinti darnios vietokūros vystymą bei turizmo infrastruktūros patrauklumą</w:t>
                </w:r>
              </w:p>
            </w:tc>
            <w:tc>
              <w:tcPr>
                <w:tcW w:w="900" w:type="dxa"/>
              </w:tcPr>
              <w:p>
                <w:pPr>
                  <w:rPr>
                    <w:sz w:val="4"/>
                    <w:szCs w:val="4"/>
                  </w:rPr>
                </w:pPr>
              </w:p>
              <w:p>
                <w:pPr>
                  <w:keepNext/>
                  <w:keepLines/>
                  <w:spacing w:line="259" w:lineRule="auto"/>
                  <w:outlineLvl w:val="3"/>
                  <w:rPr>
                    <w:b/>
                    <w:bCs/>
                    <w:szCs w:val="24"/>
                  </w:rPr>
                </w:pPr>
                <w:r>
                  <w:rPr>
                    <w:b/>
                    <w:bCs/>
                    <w:szCs w:val="24"/>
                  </w:rPr>
                  <w:t>Kodas</w:t>
                </w:r>
              </w:p>
            </w:tc>
            <w:tc>
              <w:tcPr>
                <w:tcW w:w="720" w:type="dxa"/>
              </w:tcPr>
              <w:p>
                <w:pPr>
                  <w:spacing w:line="259" w:lineRule="auto"/>
                  <w:rPr>
                    <w:b/>
                    <w:szCs w:val="24"/>
                  </w:rPr>
                </w:pPr>
                <w:r>
                  <w:rPr>
                    <w:b/>
                    <w:szCs w:val="24"/>
                  </w:rPr>
                  <w:t>1.1.</w:t>
                </w:r>
              </w:p>
            </w:tc>
          </w:tr>
          <w:tr>
            <w:trPr>
              <w:cantSplit/>
            </w:trPr>
            <w:tc>
              <w:tcPr>
                <w:tcW w:w="2988" w:type="dxa"/>
                <w:vMerge/>
                <w:shd w:val="clear" w:color="auto" w:fill="F2DBDB"/>
              </w:tcPr>
              <w:p>
                <w:pPr>
                  <w:spacing w:line="259" w:lineRule="auto"/>
                  <w:rPr>
                    <w:b/>
                    <w:szCs w:val="24"/>
                  </w:rPr>
                </w:pPr>
              </w:p>
            </w:tc>
            <w:tc>
              <w:tcPr>
                <w:tcW w:w="5040" w:type="dxa"/>
              </w:tcPr>
              <w:p>
                <w:pPr>
                  <w:spacing w:line="259" w:lineRule="auto"/>
                  <w:rPr>
                    <w:b/>
                    <w:szCs w:val="24"/>
                  </w:rPr>
                </w:pPr>
                <w:r>
                  <w:rPr>
                    <w:b/>
                    <w:szCs w:val="24"/>
                  </w:rPr>
                  <w:t>Kryptingai vystyti darnaus judumo planą</w:t>
                </w:r>
              </w:p>
            </w:tc>
            <w:tc>
              <w:tcPr>
                <w:tcW w:w="900" w:type="dxa"/>
              </w:tcPr>
              <w:p>
                <w:pPr>
                  <w:rPr>
                    <w:sz w:val="4"/>
                    <w:szCs w:val="4"/>
                  </w:rPr>
                </w:pPr>
              </w:p>
              <w:p>
                <w:pPr>
                  <w:keepNext/>
                  <w:keepLines/>
                  <w:spacing w:line="259" w:lineRule="auto"/>
                  <w:outlineLvl w:val="3"/>
                  <w:rPr>
                    <w:b/>
                    <w:bCs/>
                    <w:szCs w:val="24"/>
                  </w:rPr>
                </w:pPr>
                <w:r>
                  <w:rPr>
                    <w:b/>
                    <w:bCs/>
                    <w:szCs w:val="24"/>
                  </w:rPr>
                  <w:t>Kodas</w:t>
                </w:r>
              </w:p>
            </w:tc>
            <w:tc>
              <w:tcPr>
                <w:tcW w:w="720" w:type="dxa"/>
              </w:tcPr>
              <w:p>
                <w:pPr>
                  <w:spacing w:line="259" w:lineRule="auto"/>
                  <w:rPr>
                    <w:b/>
                    <w:szCs w:val="24"/>
                  </w:rPr>
                </w:pPr>
                <w:r>
                  <w:rPr>
                    <w:b/>
                    <w:szCs w:val="24"/>
                  </w:rPr>
                  <w:t>2.1</w:t>
                </w:r>
              </w:p>
            </w:tc>
          </w:tr>
          <w:tr>
            <w:trPr>
              <w:cantSplit/>
            </w:trPr>
            <w:tc>
              <w:tcPr>
                <w:tcW w:w="2988" w:type="dxa"/>
                <w:vMerge/>
                <w:shd w:val="clear" w:color="auto" w:fill="F2DBDB"/>
              </w:tcPr>
              <w:p>
                <w:pPr>
                  <w:spacing w:line="259" w:lineRule="auto"/>
                  <w:rPr>
                    <w:b/>
                    <w:szCs w:val="24"/>
                  </w:rPr>
                </w:pPr>
              </w:p>
            </w:tc>
            <w:tc>
              <w:tcPr>
                <w:tcW w:w="5040" w:type="dxa"/>
              </w:tcPr>
              <w:p>
                <w:pPr>
                  <w:spacing w:line="259" w:lineRule="auto"/>
                  <w:rPr>
                    <w:b/>
                    <w:szCs w:val="24"/>
                  </w:rPr>
                </w:pPr>
                <w:r>
                  <w:rPr>
                    <w:b/>
                    <w:szCs w:val="24"/>
                  </w:rPr>
                  <w:t>Kurti žaliosios savivaldybės modelį</w:t>
                </w:r>
              </w:p>
            </w:tc>
            <w:tc>
              <w:tcPr>
                <w:tcW w:w="900" w:type="dxa"/>
              </w:tcPr>
              <w:p>
                <w:pPr>
                  <w:rPr>
                    <w:sz w:val="4"/>
                    <w:szCs w:val="4"/>
                  </w:rPr>
                </w:pPr>
              </w:p>
              <w:p>
                <w:pPr>
                  <w:keepNext/>
                  <w:keepLines/>
                  <w:spacing w:line="259" w:lineRule="auto"/>
                  <w:outlineLvl w:val="3"/>
                  <w:rPr>
                    <w:b/>
                    <w:bCs/>
                    <w:szCs w:val="24"/>
                  </w:rPr>
                </w:pPr>
                <w:r>
                  <w:rPr>
                    <w:b/>
                    <w:bCs/>
                    <w:szCs w:val="24"/>
                  </w:rPr>
                  <w:t>Kodas</w:t>
                </w:r>
              </w:p>
            </w:tc>
            <w:tc>
              <w:tcPr>
                <w:tcW w:w="720" w:type="dxa"/>
              </w:tcPr>
              <w:p>
                <w:pPr>
                  <w:spacing w:line="259" w:lineRule="auto"/>
                  <w:rPr>
                    <w:b/>
                    <w:szCs w:val="24"/>
                  </w:rPr>
                </w:pPr>
                <w:r>
                  <w:rPr>
                    <w:b/>
                    <w:szCs w:val="24"/>
                  </w:rPr>
                  <w:t>3.3.</w:t>
                </w:r>
              </w:p>
            </w:tc>
          </w:tr>
        </w:tbl>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5"/>
            <w:gridCol w:w="352"/>
            <w:gridCol w:w="186"/>
            <w:gridCol w:w="22"/>
            <w:gridCol w:w="1962"/>
            <w:gridCol w:w="1985"/>
            <w:gridCol w:w="1163"/>
            <w:gridCol w:w="141"/>
            <w:gridCol w:w="659"/>
            <w:gridCol w:w="21"/>
            <w:gridCol w:w="29"/>
            <w:gridCol w:w="680"/>
            <w:gridCol w:w="284"/>
            <w:gridCol w:w="708"/>
            <w:gridCol w:w="29"/>
          </w:tblGrid>
          <w:tr>
            <w:trPr>
              <w:gridAfter w:val="1"/>
              <w:wAfter w:w="29" w:type="dxa"/>
              <w:cantSplit/>
            </w:trPr>
            <w:tc>
              <w:tcPr>
                <w:tcW w:w="1907" w:type="dxa"/>
                <w:gridSpan w:val="2"/>
                <w:shd w:val="clear" w:color="auto" w:fill="F2DBDB"/>
              </w:tcPr>
              <w:p>
                <w:pPr>
                  <w:keepNext/>
                  <w:spacing w:after="160"/>
                  <w:rPr>
                    <w:b/>
                    <w:bCs/>
                    <w:sz w:val="22"/>
                    <w:szCs w:val="24"/>
                  </w:rPr>
                </w:pPr>
                <w:r>
                  <w:rPr>
                    <w:b/>
                    <w:bCs/>
                    <w:szCs w:val="24"/>
                  </w:rPr>
                  <w:t>Programos tikslas</w:t>
                </w:r>
              </w:p>
            </w:tc>
            <w:tc>
              <w:tcPr>
                <w:tcW w:w="6118" w:type="dxa"/>
                <w:gridSpan w:val="7"/>
              </w:tcPr>
              <w:p>
                <w:pPr>
                  <w:spacing w:line="259" w:lineRule="auto"/>
                  <w:rPr>
                    <w:b/>
                    <w:szCs w:val="24"/>
                  </w:rPr>
                </w:pPr>
                <w:r>
                  <w:rPr>
                    <w:b/>
                    <w:szCs w:val="24"/>
                  </w:rPr>
                  <w:t>Užtikrinti darnios vietokūros vystymą bei turizmo infrastruktūros patrauklumą</w:t>
                </w:r>
              </w:p>
            </w:tc>
            <w:tc>
              <w:tcPr>
                <w:tcW w:w="1014" w:type="dxa"/>
                <w:gridSpan w:val="4"/>
              </w:tcPr>
              <w:p>
                <w:pPr>
                  <w:keepNext/>
                  <w:jc w:val="center"/>
                  <w:rPr>
                    <w:b/>
                    <w:bCs/>
                    <w:szCs w:val="24"/>
                  </w:rPr>
                </w:pPr>
                <w:r>
                  <w:rPr>
                    <w:b/>
                    <w:bCs/>
                    <w:szCs w:val="24"/>
                  </w:rPr>
                  <w:t>Kodas</w:t>
                </w:r>
              </w:p>
            </w:tc>
            <w:tc>
              <w:tcPr>
                <w:tcW w:w="708" w:type="dxa"/>
              </w:tcPr>
              <w:p>
                <w:pPr>
                  <w:spacing w:line="259" w:lineRule="auto"/>
                  <w:jc w:val="center"/>
                  <w:rPr>
                    <w:b/>
                    <w:szCs w:val="24"/>
                  </w:rPr>
                </w:pPr>
                <w:r>
                  <w:rPr>
                    <w:b/>
                    <w:szCs w:val="24"/>
                  </w:rPr>
                  <w:t>1.1.</w:t>
                </w:r>
              </w:p>
            </w:tc>
          </w:tr>
          <w:tr>
            <w:trPr>
              <w:gridAfter w:val="1"/>
              <w:wAfter w:w="29" w:type="dxa"/>
              <w:cantSplit/>
              <w:trHeight w:val="1860"/>
            </w:trPr>
            <w:tc>
              <w:tcPr>
                <w:tcW w:w="9747" w:type="dxa"/>
                <w:gridSpan w:val="14"/>
              </w:tcPr>
              <w:p>
                <w:pPr>
                  <w:jc w:val="both"/>
                  <w:rPr>
                    <w:b/>
                    <w:bCs/>
                    <w:szCs w:val="24"/>
                  </w:rPr>
                </w:pPr>
                <w:r>
                  <w:rPr>
                    <w:b/>
                    <w:bCs/>
                    <w:szCs w:val="24"/>
                  </w:rPr>
                  <w:t xml:space="preserve">Tikslo įgyvendinimo aprašymas: </w:t>
                </w:r>
              </w:p>
              <w:p>
                <w:pPr>
                  <w:jc w:val="both"/>
                  <w:rPr>
                    <w:bCs/>
                    <w:szCs w:val="24"/>
                  </w:rPr>
                </w:pPr>
                <w:r>
                  <w:rPr>
                    <w:bCs/>
                    <w:szCs w:val="24"/>
                  </w:rPr>
                  <w:t xml:space="preserve">Šiuo tikslu siekiama kompleksiškai planuoti miesto teritorijas, sudarant geras sąlygas subalansuotam verslo, rekreacijos, gyvenamosios aplinkos, infrastruktūros vystymuisi. </w:t>
                </w:r>
              </w:p>
              <w:p>
                <w:pPr>
                  <w:jc w:val="both"/>
                  <w:rPr>
                    <w:b/>
                    <w:bCs/>
                    <w:szCs w:val="24"/>
                  </w:rPr>
                </w:pPr>
                <w:r>
                  <w:rPr>
                    <w:b/>
                    <w:bCs/>
                    <w:szCs w:val="24"/>
                  </w:rPr>
                  <w:t>01 Uždavinys. Padidinti kurorto lankytinų objektų patrauklumą ir vykdyti paveldo aktualizavimą.</w:t>
                </w:r>
              </w:p>
              <w:p>
                <w:pPr>
                  <w:jc w:val="both"/>
                  <w:rPr>
                    <w:bCs/>
                    <w:szCs w:val="24"/>
                  </w:rPr>
                </w:pPr>
                <w:r>
                  <w:rPr>
                    <w:bCs/>
                    <w:szCs w:val="24"/>
                  </w:rPr>
                  <w:t xml:space="preserve">Įgyvendinant šį uždavinį bus užbaigtas įgyvendinti Urbo kalno sutvarkymo I etapo projektas. </w:t>
                </w:r>
              </w:p>
              <w:p>
                <w:pPr>
                  <w:jc w:val="both"/>
                  <w:rPr>
                    <w:b/>
                    <w:bCs/>
                    <w:szCs w:val="24"/>
                  </w:rPr>
                </w:pPr>
                <w:r>
                  <w:rPr>
                    <w:b/>
                    <w:bCs/>
                    <w:szCs w:val="24"/>
                  </w:rPr>
                  <w:t>02 Uždavinys. Sukurti naują ir atnaujinti esamą viešąją rekreacinę ir turizmo infrastruktūrą, skirti mažinti sezoniškumą, užtikrinant tvarumo principus.</w:t>
                </w:r>
              </w:p>
              <w:p>
                <w:pPr>
                  <w:jc w:val="both"/>
                  <w:rPr>
                    <w:bCs/>
                    <w:szCs w:val="24"/>
                  </w:rPr>
                </w:pPr>
                <w:r>
                  <w:rPr>
                    <w:bCs/>
                    <w:szCs w:val="24"/>
                  </w:rPr>
                  <w:t>Įgyvendinant šį uždavinį bus tvarkomos Neringos savivaldybės viešosios vietos, rekonstruojami pėsčiųjų ir dviračių takai.</w:t>
                </w:r>
                <w:r>
                  <w:rPr>
                    <w:szCs w:val="24"/>
                  </w:rPr>
                  <w:t xml:space="preserve"> </w:t>
                </w:r>
                <w:r>
                  <w:rPr>
                    <w:bCs/>
                    <w:szCs w:val="24"/>
                  </w:rPr>
                  <w:t>Bus padidintas miesto viešųjų erdvių patrauklumas.</w:t>
                </w:r>
                <w:r>
                  <w:rPr>
                    <w:szCs w:val="24"/>
                  </w:rPr>
                  <w:t xml:space="preserve"> </w:t>
                </w:r>
                <w:r>
                  <w:rPr>
                    <w:bCs/>
                    <w:szCs w:val="24"/>
                  </w:rPr>
                  <w:t>Tinkamai ir laiku parengti teritorijų planavimo dokumentai, bei atskirų žemės sklypų planavimo dokumentai leis tinkamai vystyti harmoningą gyvenamąją, darbo ir poilsio aplinką.</w:t>
                </w:r>
              </w:p>
              <w:p>
                <w:pPr>
                  <w:jc w:val="both"/>
                  <w:rPr>
                    <w:b/>
                    <w:bCs/>
                    <w:szCs w:val="24"/>
                  </w:rPr>
                </w:pPr>
                <w:r>
                  <w:rPr>
                    <w:b/>
                    <w:bCs/>
                    <w:szCs w:val="24"/>
                  </w:rPr>
                  <w:t xml:space="preserve">03   Atnaujinti / aktualizuoti vandens transportą / kelius ir susijusią infrastruktūrą.</w:t>
                </w:r>
              </w:p>
              <w:p>
                <w:pPr>
                  <w:jc w:val="both"/>
                  <w:rPr>
                    <w:bCs/>
                    <w:szCs w:val="24"/>
                  </w:rPr>
                </w:pPr>
                <w:r>
                  <w:rPr>
                    <w:bCs/>
                    <w:szCs w:val="24"/>
                  </w:rPr>
                  <w:t xml:space="preserve">Įgyvendinant šį uždavinį bus tvarkomos Neringos savivaldybės krantinės, uostai, prieplaukos ir molai. </w:t>
                </w:r>
              </w:p>
            </w:tc>
          </w:tr>
          <w:tr>
            <w:trPr>
              <w:gridAfter w:val="1"/>
              <w:wAfter w:w="29" w:type="dxa"/>
              <w:cantSplit/>
              <w:trHeight w:val="269"/>
            </w:trPr>
            <w:tc>
              <w:tcPr>
                <w:tcW w:w="9747" w:type="dxa"/>
                <w:gridSpan w:val="14"/>
                <w:shd w:val="clear" w:color="auto" w:fill="D9D9D9"/>
              </w:tcPr>
              <w:p>
                <w:pPr>
                  <w:jc w:val="center"/>
                  <w:rPr>
                    <w:b/>
                    <w:bCs/>
                    <w:szCs w:val="24"/>
                  </w:rPr>
                </w:pPr>
                <w:r>
                  <w:rPr>
                    <w:b/>
                    <w:bCs/>
                    <w:szCs w:val="24"/>
                  </w:rPr>
                  <w:t xml:space="preserve">1.1. tikslo rezultato vertinimo kriterijai </w:t>
                </w:r>
              </w:p>
              <w:p>
                <w:pPr>
                  <w:jc w:val="center"/>
                  <w:rPr>
                    <w:szCs w:val="24"/>
                    <w:lang w:val="en-GB"/>
                  </w:rPr>
                </w:pPr>
              </w:p>
            </w:tc>
          </w:tr>
          <w:tr>
            <w:trPr>
              <w:gridAfter w:val="1"/>
              <w:wAfter w:w="29" w:type="dxa"/>
              <w:cantSplit/>
              <w:trHeight w:val="695"/>
            </w:trPr>
            <w:tc>
              <w:tcPr>
                <w:tcW w:w="1555" w:type="dxa"/>
                <w:vMerge w:val="restart"/>
              </w:tcPr>
              <w:p>
                <w:pPr>
                  <w:jc w:val="both"/>
                  <w:rPr>
                    <w:bCs/>
                    <w:szCs w:val="24"/>
                  </w:rPr>
                </w:pPr>
                <w:r>
                  <w:rPr>
                    <w:bCs/>
                    <w:szCs w:val="24"/>
                  </w:rPr>
                  <w:t>Kodas</w:t>
                </w:r>
              </w:p>
            </w:tc>
            <w:tc>
              <w:tcPr>
                <w:tcW w:w="2522" w:type="dxa"/>
                <w:gridSpan w:val="4"/>
                <w:vMerge w:val="restart"/>
              </w:tcPr>
              <w:p>
                <w:pPr>
                  <w:jc w:val="both"/>
                  <w:rPr>
                    <w:bCs/>
                    <w:szCs w:val="24"/>
                  </w:rPr>
                </w:pPr>
                <w:r>
                  <w:rPr>
                    <w:bCs/>
                    <w:szCs w:val="24"/>
                  </w:rPr>
                  <w:t>Kriterijaus pavadinimas, mato vnt.</w:t>
                </w:r>
              </w:p>
            </w:tc>
            <w:tc>
              <w:tcPr>
                <w:tcW w:w="1985" w:type="dxa"/>
                <w:vMerge w:val="restart"/>
              </w:tcPr>
              <w:p>
                <w:pPr>
                  <w:jc w:val="center"/>
                  <w:rPr>
                    <w:bCs/>
                    <w:szCs w:val="24"/>
                  </w:rPr>
                </w:pPr>
                <w:r>
                  <w:rPr>
                    <w:bCs/>
                    <w:szCs w:val="24"/>
                  </w:rPr>
                  <w:t>Savivaldybės skyrius, atsakingas už rodiklio reikšmių pateikimą</w:t>
                </w:r>
              </w:p>
            </w:tc>
            <w:tc>
              <w:tcPr>
                <w:tcW w:w="3685" w:type="dxa"/>
                <w:gridSpan w:val="8"/>
              </w:tcPr>
              <w:p>
                <w:pPr>
                  <w:jc w:val="center"/>
                  <w:rPr>
                    <w:bCs/>
                    <w:szCs w:val="24"/>
                  </w:rPr>
                </w:pPr>
                <w:r>
                  <w:rPr>
                    <w:bCs/>
                    <w:szCs w:val="24"/>
                  </w:rPr>
                  <w:t>Kriterijaus reikšmė, metais</w:t>
                </w:r>
              </w:p>
            </w:tc>
          </w:tr>
          <w:tr>
            <w:trPr>
              <w:cantSplit/>
              <w:trHeight w:val="360"/>
            </w:trPr>
            <w:tc>
              <w:tcPr>
                <w:tcW w:w="1555" w:type="dxa"/>
                <w:vMerge/>
              </w:tcPr>
              <w:p>
                <w:pPr>
                  <w:rPr>
                    <w:bCs/>
                    <w:szCs w:val="24"/>
                  </w:rPr>
                </w:pPr>
              </w:p>
            </w:tc>
            <w:tc>
              <w:tcPr>
                <w:tcW w:w="2522" w:type="dxa"/>
                <w:gridSpan w:val="4"/>
                <w:vMerge/>
              </w:tcPr>
              <w:p>
                <w:pPr>
                  <w:rPr>
                    <w:bCs/>
                    <w:szCs w:val="24"/>
                  </w:rPr>
                </w:pPr>
              </w:p>
            </w:tc>
            <w:tc>
              <w:tcPr>
                <w:tcW w:w="1985" w:type="dxa"/>
                <w:vMerge/>
              </w:tcPr>
              <w:p>
                <w:pPr>
                  <w:rPr>
                    <w:bCs/>
                    <w:szCs w:val="24"/>
                    <w:lang w:val="en-GB"/>
                  </w:rPr>
                </w:pPr>
              </w:p>
            </w:tc>
            <w:tc>
              <w:tcPr>
                <w:tcW w:w="1163" w:type="dxa"/>
              </w:tcPr>
              <w:p>
                <w:pPr>
                  <w:jc w:val="center"/>
                  <w:rPr>
                    <w:bCs/>
                    <w:szCs w:val="24"/>
                  </w:rPr>
                </w:pPr>
                <w:r>
                  <w:rPr>
                    <w:bCs/>
                    <w:szCs w:val="24"/>
                  </w:rPr>
                  <w:t>2022</w:t>
                </w:r>
              </w:p>
            </w:tc>
            <w:tc>
              <w:tcPr>
                <w:tcW w:w="850" w:type="dxa"/>
                <w:gridSpan w:val="4"/>
              </w:tcPr>
              <w:p>
                <w:pPr>
                  <w:jc w:val="center"/>
                  <w:rPr>
                    <w:bCs/>
                    <w:szCs w:val="24"/>
                  </w:rPr>
                </w:pPr>
                <w:r>
                  <w:rPr>
                    <w:bCs/>
                    <w:szCs w:val="24"/>
                  </w:rPr>
                  <w:t>2023</w:t>
                </w:r>
              </w:p>
            </w:tc>
            <w:tc>
              <w:tcPr>
                <w:tcW w:w="1701" w:type="dxa"/>
                <w:gridSpan w:val="4"/>
              </w:tcPr>
              <w:p>
                <w:pPr>
                  <w:jc w:val="center"/>
                  <w:rPr>
                    <w:bCs/>
                    <w:szCs w:val="24"/>
                  </w:rPr>
                </w:pPr>
                <w:r>
                  <w:rPr>
                    <w:bCs/>
                    <w:szCs w:val="24"/>
                  </w:rPr>
                  <w:t>2024</w:t>
                </w:r>
              </w:p>
            </w:tc>
          </w:tr>
          <w:tr>
            <w:trPr>
              <w:cantSplit/>
              <w:trHeight w:val="1020"/>
            </w:trPr>
            <w:tc>
              <w:tcPr>
                <w:tcW w:w="1555" w:type="dxa"/>
              </w:tcPr>
              <w:p>
                <w:pPr>
                  <w:ind w:right="-108"/>
                  <w:rPr>
                    <w:bCs/>
                    <w:szCs w:val="24"/>
                  </w:rPr>
                </w:pPr>
                <w:r>
                  <w:rPr>
                    <w:bCs/>
                    <w:szCs w:val="24"/>
                  </w:rPr>
                  <w:t>R-05-01-01</w:t>
                </w:r>
              </w:p>
            </w:tc>
            <w:tc>
              <w:tcPr>
                <w:tcW w:w="2522" w:type="dxa"/>
                <w:gridSpan w:val="4"/>
              </w:tcPr>
              <w:p>
                <w:pPr>
                  <w:rPr>
                    <w:bCs/>
                    <w:szCs w:val="24"/>
                  </w:rPr>
                </w:pPr>
                <w:r>
                  <w:rPr>
                    <w:bCs/>
                    <w:szCs w:val="24"/>
                  </w:rPr>
                  <w:t>Įgyvendinti projektai</w:t>
                </w:r>
              </w:p>
            </w:tc>
            <w:tc>
              <w:tcPr>
                <w:tcW w:w="1985" w:type="dxa"/>
                <w:vMerge w:val="restart"/>
              </w:tcPr>
              <w:p>
                <w:pPr>
                  <w:rPr>
                    <w:bCs/>
                    <w:szCs w:val="24"/>
                  </w:rPr>
                </w:pPr>
                <w:r>
                  <w:rPr>
                    <w:bCs/>
                    <w:szCs w:val="24"/>
                  </w:rPr>
                  <w:t>Miesto tvarkymo ir statybos skyrius</w:t>
                </w:r>
              </w:p>
            </w:tc>
            <w:tc>
              <w:tcPr>
                <w:tcW w:w="1163" w:type="dxa"/>
              </w:tcPr>
              <w:p>
                <w:pPr>
                  <w:spacing w:line="259" w:lineRule="auto"/>
                  <w:jc w:val="center"/>
                  <w:rPr>
                    <w:bCs/>
                    <w:sz w:val="22"/>
                    <w:szCs w:val="22"/>
                    <w:lang w:val="en-GB"/>
                  </w:rPr>
                </w:pPr>
              </w:p>
              <w:p>
                <w:pPr>
                  <w:rPr>
                    <w:sz w:val="14"/>
                    <w:szCs w:val="14"/>
                  </w:rPr>
                </w:pPr>
              </w:p>
              <w:p>
                <w:pPr>
                  <w:spacing w:line="259" w:lineRule="auto"/>
                  <w:jc w:val="center"/>
                  <w:rPr>
                    <w:bCs/>
                    <w:sz w:val="22"/>
                    <w:szCs w:val="22"/>
                    <w:lang w:val="en-GB"/>
                  </w:rPr>
                </w:pPr>
              </w:p>
              <w:p>
                <w:pPr>
                  <w:rPr>
                    <w:sz w:val="14"/>
                    <w:szCs w:val="14"/>
                  </w:rPr>
                </w:pPr>
              </w:p>
              <w:p>
                <w:pPr>
                  <w:jc w:val="center"/>
                  <w:rPr>
                    <w:bCs/>
                    <w:szCs w:val="24"/>
                    <w:lang w:val="en-GB"/>
                  </w:rPr>
                </w:pPr>
                <w:r>
                  <w:rPr>
                    <w:bCs/>
                    <w:szCs w:val="24"/>
                    <w:lang w:val="en-GB"/>
                  </w:rPr>
                  <w:t>4</w:t>
                </w:r>
              </w:p>
            </w:tc>
            <w:tc>
              <w:tcPr>
                <w:tcW w:w="850" w:type="dxa"/>
                <w:gridSpan w:val="4"/>
              </w:tcPr>
              <w:p>
                <w:pPr>
                  <w:spacing w:line="259" w:lineRule="auto"/>
                  <w:jc w:val="center"/>
                  <w:rPr>
                    <w:bCs/>
                    <w:sz w:val="22"/>
                    <w:szCs w:val="22"/>
                    <w:lang w:val="en-GB"/>
                  </w:rPr>
                </w:pPr>
              </w:p>
              <w:p>
                <w:pPr>
                  <w:rPr>
                    <w:sz w:val="14"/>
                    <w:szCs w:val="14"/>
                  </w:rPr>
                </w:pPr>
              </w:p>
              <w:p>
                <w:pPr>
                  <w:spacing w:line="259" w:lineRule="auto"/>
                  <w:jc w:val="center"/>
                  <w:rPr>
                    <w:bCs/>
                    <w:sz w:val="22"/>
                    <w:szCs w:val="22"/>
                    <w:lang w:val="en-GB"/>
                  </w:rPr>
                </w:pPr>
              </w:p>
              <w:p>
                <w:pPr>
                  <w:rPr>
                    <w:sz w:val="14"/>
                    <w:szCs w:val="14"/>
                  </w:rPr>
                </w:pPr>
              </w:p>
              <w:p>
                <w:pPr>
                  <w:jc w:val="center"/>
                  <w:rPr>
                    <w:bCs/>
                    <w:szCs w:val="24"/>
                    <w:lang w:val="en-GB"/>
                  </w:rPr>
                </w:pPr>
                <w:r>
                  <w:rPr>
                    <w:bCs/>
                    <w:szCs w:val="24"/>
                    <w:lang w:val="en-GB"/>
                  </w:rPr>
                  <w:t>4</w:t>
                </w:r>
              </w:p>
            </w:tc>
            <w:tc>
              <w:tcPr>
                <w:tcW w:w="1701" w:type="dxa"/>
                <w:gridSpan w:val="4"/>
              </w:tcPr>
              <w:p>
                <w:pPr>
                  <w:spacing w:line="259" w:lineRule="auto"/>
                  <w:jc w:val="center"/>
                  <w:rPr>
                    <w:bCs/>
                    <w:sz w:val="22"/>
                    <w:szCs w:val="22"/>
                    <w:lang w:val="en-GB"/>
                  </w:rPr>
                </w:pPr>
              </w:p>
              <w:p>
                <w:pPr>
                  <w:rPr>
                    <w:sz w:val="14"/>
                    <w:szCs w:val="14"/>
                  </w:rPr>
                </w:pPr>
              </w:p>
              <w:p>
                <w:pPr>
                  <w:spacing w:line="259" w:lineRule="auto"/>
                  <w:jc w:val="center"/>
                  <w:rPr>
                    <w:bCs/>
                    <w:sz w:val="22"/>
                    <w:szCs w:val="22"/>
                    <w:lang w:val="en-GB"/>
                  </w:rPr>
                </w:pPr>
              </w:p>
              <w:p>
                <w:pPr>
                  <w:rPr>
                    <w:sz w:val="14"/>
                    <w:szCs w:val="14"/>
                  </w:rPr>
                </w:pPr>
              </w:p>
              <w:p>
                <w:pPr>
                  <w:jc w:val="center"/>
                  <w:rPr>
                    <w:bCs/>
                    <w:szCs w:val="24"/>
                    <w:lang w:val="en-GB"/>
                  </w:rPr>
                </w:pPr>
                <w:r>
                  <w:rPr>
                    <w:bCs/>
                    <w:szCs w:val="24"/>
                    <w:lang w:val="en-GB"/>
                  </w:rPr>
                  <w:t>4</w:t>
                </w:r>
              </w:p>
            </w:tc>
          </w:tr>
          <w:tr>
            <w:trPr>
              <w:cantSplit/>
              <w:trHeight w:val="855"/>
            </w:trPr>
            <w:tc>
              <w:tcPr>
                <w:tcW w:w="1555" w:type="dxa"/>
              </w:tcPr>
              <w:p>
                <w:pPr>
                  <w:ind w:right="-108"/>
                  <w:rPr>
                    <w:bCs/>
                    <w:szCs w:val="24"/>
                  </w:rPr>
                </w:pPr>
                <w:r>
                  <w:rPr>
                    <w:bCs/>
                    <w:szCs w:val="24"/>
                  </w:rPr>
                  <w:t>R-05-01-02</w:t>
                </w:r>
              </w:p>
            </w:tc>
            <w:tc>
              <w:tcPr>
                <w:tcW w:w="2522" w:type="dxa"/>
                <w:gridSpan w:val="4"/>
              </w:tcPr>
              <w:p>
                <w:pPr>
                  <w:rPr>
                    <w:bCs/>
                    <w:szCs w:val="24"/>
                  </w:rPr>
                </w:pPr>
                <w:r>
                  <w:rPr>
                    <w:bCs/>
                    <w:szCs w:val="24"/>
                  </w:rPr>
                  <w:t>Vykdomų teritorijų planavimo projektų skaičius, vnt.</w:t>
                </w:r>
              </w:p>
            </w:tc>
            <w:tc>
              <w:tcPr>
                <w:tcW w:w="1985" w:type="dxa"/>
                <w:vMerge/>
              </w:tcPr>
              <w:p>
                <w:pPr>
                  <w:rPr>
                    <w:bCs/>
                    <w:szCs w:val="24"/>
                  </w:rPr>
                </w:pPr>
              </w:p>
            </w:tc>
            <w:tc>
              <w:tcPr>
                <w:tcW w:w="1163" w:type="dxa"/>
              </w:tcPr>
              <w:p>
                <w:pPr>
                  <w:spacing w:line="259" w:lineRule="auto"/>
                  <w:jc w:val="center"/>
                  <w:rPr>
                    <w:bCs/>
                    <w:sz w:val="22"/>
                    <w:szCs w:val="22"/>
                    <w:lang w:val="en-GB"/>
                  </w:rPr>
                </w:pPr>
                <w:r>
                  <w:rPr>
                    <w:bCs/>
                    <w:sz w:val="22"/>
                    <w:szCs w:val="22"/>
                    <w:lang w:val="en-GB"/>
                  </w:rPr>
                  <w:t>9</w:t>
                </w:r>
              </w:p>
            </w:tc>
            <w:tc>
              <w:tcPr>
                <w:tcW w:w="850" w:type="dxa"/>
                <w:gridSpan w:val="4"/>
              </w:tcPr>
              <w:p>
                <w:pPr>
                  <w:spacing w:line="259" w:lineRule="auto"/>
                  <w:jc w:val="center"/>
                  <w:rPr>
                    <w:bCs/>
                    <w:sz w:val="22"/>
                    <w:szCs w:val="22"/>
                    <w:lang w:val="en-GB"/>
                  </w:rPr>
                </w:pPr>
                <w:r>
                  <w:rPr>
                    <w:bCs/>
                    <w:sz w:val="22"/>
                    <w:szCs w:val="22"/>
                    <w:lang w:val="en-GB"/>
                  </w:rPr>
                  <w:t>9</w:t>
                </w:r>
              </w:p>
            </w:tc>
            <w:tc>
              <w:tcPr>
                <w:tcW w:w="1701" w:type="dxa"/>
                <w:gridSpan w:val="4"/>
              </w:tcPr>
              <w:p>
                <w:pPr>
                  <w:spacing w:line="259" w:lineRule="auto"/>
                  <w:jc w:val="center"/>
                  <w:rPr>
                    <w:bCs/>
                    <w:sz w:val="22"/>
                    <w:szCs w:val="22"/>
                    <w:lang w:val="en-GB"/>
                  </w:rPr>
                </w:pPr>
                <w:r>
                  <w:rPr>
                    <w:bCs/>
                    <w:sz w:val="22"/>
                    <w:szCs w:val="22"/>
                    <w:lang w:val="en-GB"/>
                  </w:rPr>
                  <w:t>9</w:t>
                </w:r>
              </w:p>
            </w:tc>
          </w:tr>
          <w:tr>
            <w:trPr>
              <w:gridAfter w:val="1"/>
              <w:wAfter w:w="29" w:type="dxa"/>
              <w:cantSplit/>
              <w:trHeight w:val="465"/>
            </w:trPr>
            <w:tc>
              <w:tcPr>
                <w:tcW w:w="2115" w:type="dxa"/>
                <w:gridSpan w:val="4"/>
                <w:shd w:val="clear" w:color="auto" w:fill="F2DBDB"/>
              </w:tcPr>
              <w:p>
                <w:pPr>
                  <w:rPr>
                    <w:b/>
                    <w:szCs w:val="24"/>
                  </w:rPr>
                </w:pPr>
                <w:r>
                  <w:rPr>
                    <w:b/>
                    <w:szCs w:val="24"/>
                  </w:rPr>
                  <w:t xml:space="preserve">Programos </w:t>
                </w:r>
              </w:p>
              <w:p>
                <w:pPr>
                  <w:rPr>
                    <w:b/>
                    <w:bCs/>
                    <w:szCs w:val="24"/>
                  </w:rPr>
                </w:pPr>
                <w:r>
                  <w:rPr>
                    <w:b/>
                    <w:szCs w:val="24"/>
                  </w:rPr>
                  <w:t>tikslas</w:t>
                </w:r>
              </w:p>
            </w:tc>
            <w:tc>
              <w:tcPr>
                <w:tcW w:w="5910" w:type="dxa"/>
                <w:gridSpan w:val="5"/>
              </w:tcPr>
              <w:p>
                <w:pPr>
                  <w:rPr>
                    <w:b/>
                    <w:bCs/>
                    <w:szCs w:val="24"/>
                  </w:rPr>
                </w:pPr>
                <w:r>
                  <w:rPr>
                    <w:b/>
                    <w:bCs/>
                    <w:szCs w:val="24"/>
                  </w:rPr>
                  <w:t>Kryptingai vystyti darnaus judumo planą</w:t>
                </w:r>
              </w:p>
            </w:tc>
            <w:tc>
              <w:tcPr>
                <w:tcW w:w="1014" w:type="dxa"/>
                <w:gridSpan w:val="4"/>
              </w:tcPr>
              <w:p>
                <w:pPr>
                  <w:rPr>
                    <w:b/>
                    <w:szCs w:val="24"/>
                  </w:rPr>
                </w:pPr>
                <w:r>
                  <w:rPr>
                    <w:b/>
                    <w:szCs w:val="24"/>
                  </w:rPr>
                  <w:t>Kodas</w:t>
                </w:r>
              </w:p>
            </w:tc>
            <w:tc>
              <w:tcPr>
                <w:tcW w:w="708" w:type="dxa"/>
              </w:tcPr>
              <w:p>
                <w:pPr>
                  <w:rPr>
                    <w:b/>
                    <w:bCs/>
                    <w:szCs w:val="24"/>
                  </w:rPr>
                </w:pPr>
                <w:r>
                  <w:rPr>
                    <w:b/>
                    <w:bCs/>
                    <w:szCs w:val="24"/>
                  </w:rPr>
                  <w:t>2.1</w:t>
                </w:r>
              </w:p>
            </w:tc>
          </w:tr>
          <w:tr>
            <w:trPr>
              <w:gridAfter w:val="1"/>
              <w:wAfter w:w="29" w:type="dxa"/>
              <w:cantSplit/>
              <w:trHeight w:val="2385"/>
            </w:trPr>
            <w:tc>
              <w:tcPr>
                <w:tcW w:w="9747" w:type="dxa"/>
                <w:gridSpan w:val="14"/>
              </w:tcPr>
              <w:p>
                <w:pPr>
                  <w:rPr>
                    <w:b/>
                    <w:bCs/>
                    <w:szCs w:val="24"/>
                  </w:rPr>
                </w:pPr>
                <w:r>
                  <w:rPr>
                    <w:b/>
                    <w:bCs/>
                    <w:szCs w:val="24"/>
                  </w:rPr>
                  <w:t xml:space="preserve">Tikslo įgyvendinimo aprašymas: </w:t>
                </w:r>
              </w:p>
              <w:p>
                <w:pPr>
                  <w:jc w:val="both"/>
                  <w:rPr>
                    <w:bCs/>
                    <w:szCs w:val="24"/>
                  </w:rPr>
                </w:pPr>
                <w:r>
                  <w:rPr>
                    <w:bCs/>
                    <w:szCs w:val="24"/>
                  </w:rPr>
                  <w:t>Šiuo tikslu siekiama užtikrinti darnią susisiekimo sistemos plėtrą ir teikti miesto gyventojams kokybiškas komunalines ir viešųjų erdvių priežiūros paslaugas.</w:t>
                </w:r>
              </w:p>
              <w:p>
                <w:pPr>
                  <w:jc w:val="both"/>
                  <w:rPr>
                    <w:b/>
                    <w:bCs/>
                    <w:szCs w:val="24"/>
                  </w:rPr>
                </w:pPr>
                <w:r>
                  <w:rPr>
                    <w:b/>
                    <w:bCs/>
                    <w:szCs w:val="24"/>
                  </w:rPr>
                  <w:t xml:space="preserve">01 Uždavinys. Išvystyti darnią susisiekimo sistemą, skatinti judumą ekologiškomis transporto priemonėmis ir išplėsti jų infrastruktūrą </w:t>
                </w:r>
              </w:p>
              <w:p>
                <w:pPr>
                  <w:jc w:val="both"/>
                  <w:rPr>
                    <w:bCs/>
                    <w:szCs w:val="24"/>
                  </w:rPr>
                </w:pPr>
                <w:r>
                  <w:rPr>
                    <w:bCs/>
                    <w:szCs w:val="24"/>
                  </w:rPr>
                  <w:t xml:space="preserve">Įgyvendinant šį uždavinį bus vykdomos darnaus judumo specialiojo  plano priemonės:  tvarkomi vietinės reikšmės keliai, gatvės, automobilių stovėjimo aikštelės,  sukuriama efektyvi ekologiško transporto infrastruktūra</w:t>
                </w:r>
              </w:p>
              <w:p>
                <w:pPr>
                  <w:rPr>
                    <w:b/>
                    <w:bCs/>
                    <w:szCs w:val="24"/>
                  </w:rPr>
                </w:pPr>
                <w:r>
                  <w:rPr>
                    <w:b/>
                    <w:bCs/>
                    <w:szCs w:val="24"/>
                  </w:rPr>
                  <w:t>02 Uždavinys. Sukurti svečiams ir gyventojams patrauklią ir saugią aplinką</w:t>
                </w:r>
              </w:p>
              <w:p>
                <w:pPr>
                  <w:rPr>
                    <w:bCs/>
                    <w:szCs w:val="24"/>
                  </w:rPr>
                </w:pPr>
                <w:r>
                  <w:rPr>
                    <w:bCs/>
                    <w:szCs w:val="24"/>
                  </w:rPr>
                  <w:t>Įgyvendinant šį uždavinį bus vykdomas savivaldybei priskiriamų teritorijų valymas, žaliųjų plotų želdinimas, gyvatvorių ir gėlynų priežiūra, viešųjų tualetų remontas ir priežiūra, konteinerinių tualetų nuoma, vykdomi paplūdimių priežiūros darbai, užtikrinamas gatvių ir skverų apšvietimas.</w:t>
                </w:r>
              </w:p>
              <w:p>
                <w:pPr>
                  <w:rPr>
                    <w:bCs/>
                    <w:szCs w:val="24"/>
                  </w:rPr>
                </w:pPr>
              </w:p>
              <w:p>
                <w:pPr>
                  <w:rPr>
                    <w:bCs/>
                    <w:szCs w:val="24"/>
                  </w:rPr>
                </w:pPr>
              </w:p>
              <w:p>
                <w:pPr>
                  <w:rPr>
                    <w:bCs/>
                    <w:szCs w:val="24"/>
                  </w:rPr>
                </w:pPr>
              </w:p>
            </w:tc>
          </w:tr>
          <w:tr>
            <w:trPr>
              <w:gridAfter w:val="1"/>
              <w:wAfter w:w="29" w:type="dxa"/>
              <w:cantSplit/>
              <w:trHeight w:val="269"/>
            </w:trPr>
            <w:tc>
              <w:tcPr>
                <w:tcW w:w="9747" w:type="dxa"/>
                <w:gridSpan w:val="14"/>
                <w:shd w:val="clear" w:color="auto" w:fill="D9D9D9"/>
              </w:tcPr>
              <w:p>
                <w:pPr>
                  <w:jc w:val="center"/>
                  <w:rPr>
                    <w:b/>
                    <w:bCs/>
                    <w:szCs w:val="24"/>
                  </w:rPr>
                </w:pPr>
                <w:r>
                  <w:rPr>
                    <w:b/>
                    <w:bCs/>
                    <w:szCs w:val="24"/>
                  </w:rPr>
                  <w:t xml:space="preserve">2.1. tikslo rezultato vertinimo kriterijai </w:t>
                </w:r>
              </w:p>
              <w:p>
                <w:pPr>
                  <w:jc w:val="center"/>
                  <w:rPr>
                    <w:szCs w:val="24"/>
                    <w:lang w:val="en-GB"/>
                  </w:rPr>
                </w:pPr>
              </w:p>
            </w:tc>
          </w:tr>
          <w:tr>
            <w:trPr>
              <w:gridAfter w:val="1"/>
              <w:wAfter w:w="29" w:type="dxa"/>
              <w:cantSplit/>
              <w:trHeight w:val="695"/>
            </w:trPr>
            <w:tc>
              <w:tcPr>
                <w:tcW w:w="1555" w:type="dxa"/>
                <w:vMerge w:val="restart"/>
              </w:tcPr>
              <w:p>
                <w:pPr>
                  <w:jc w:val="both"/>
                  <w:rPr>
                    <w:bCs/>
                    <w:szCs w:val="24"/>
                  </w:rPr>
                </w:pPr>
                <w:r>
                  <w:rPr>
                    <w:bCs/>
                    <w:szCs w:val="24"/>
                  </w:rPr>
                  <w:t>Kodas</w:t>
                </w:r>
              </w:p>
            </w:tc>
            <w:tc>
              <w:tcPr>
                <w:tcW w:w="2522" w:type="dxa"/>
                <w:gridSpan w:val="4"/>
                <w:vMerge w:val="restart"/>
              </w:tcPr>
              <w:p>
                <w:pPr>
                  <w:jc w:val="both"/>
                  <w:rPr>
                    <w:bCs/>
                    <w:szCs w:val="24"/>
                  </w:rPr>
                </w:pPr>
                <w:r>
                  <w:rPr>
                    <w:bCs/>
                    <w:szCs w:val="24"/>
                  </w:rPr>
                  <w:t>Kriterijaus pavadinimas, mato vnt.</w:t>
                </w:r>
              </w:p>
            </w:tc>
            <w:tc>
              <w:tcPr>
                <w:tcW w:w="1985" w:type="dxa"/>
                <w:vMerge w:val="restart"/>
              </w:tcPr>
              <w:p>
                <w:pPr>
                  <w:jc w:val="center"/>
                  <w:rPr>
                    <w:bCs/>
                    <w:szCs w:val="24"/>
                  </w:rPr>
                </w:pPr>
                <w:r>
                  <w:rPr>
                    <w:bCs/>
                    <w:szCs w:val="24"/>
                  </w:rPr>
                  <w:t>Savivaldybės skyrius, atsakingas už rodiklio reikšmių pateikimą</w:t>
                </w:r>
              </w:p>
            </w:tc>
            <w:tc>
              <w:tcPr>
                <w:tcW w:w="3685" w:type="dxa"/>
                <w:gridSpan w:val="8"/>
              </w:tcPr>
              <w:p>
                <w:pPr>
                  <w:jc w:val="center"/>
                  <w:rPr>
                    <w:bCs/>
                    <w:szCs w:val="24"/>
                  </w:rPr>
                </w:pPr>
                <w:r>
                  <w:rPr>
                    <w:bCs/>
                    <w:szCs w:val="24"/>
                  </w:rPr>
                  <w:t>Kriterijaus reikšmė, metais</w:t>
                </w:r>
              </w:p>
            </w:tc>
          </w:tr>
          <w:tr>
            <w:trPr>
              <w:gridAfter w:val="1"/>
              <w:wAfter w:w="29" w:type="dxa"/>
              <w:cantSplit/>
              <w:trHeight w:val="360"/>
            </w:trPr>
            <w:tc>
              <w:tcPr>
                <w:tcW w:w="1555" w:type="dxa"/>
                <w:vMerge/>
              </w:tcPr>
              <w:p>
                <w:pPr>
                  <w:rPr>
                    <w:bCs/>
                    <w:szCs w:val="24"/>
                  </w:rPr>
                </w:pPr>
              </w:p>
            </w:tc>
            <w:tc>
              <w:tcPr>
                <w:tcW w:w="2522" w:type="dxa"/>
                <w:gridSpan w:val="4"/>
                <w:vMerge/>
              </w:tcPr>
              <w:p>
                <w:pPr>
                  <w:rPr>
                    <w:bCs/>
                    <w:szCs w:val="24"/>
                  </w:rPr>
                </w:pPr>
              </w:p>
            </w:tc>
            <w:tc>
              <w:tcPr>
                <w:tcW w:w="1985" w:type="dxa"/>
                <w:vMerge/>
              </w:tcPr>
              <w:p>
                <w:pPr>
                  <w:rPr>
                    <w:bCs/>
                    <w:szCs w:val="24"/>
                    <w:lang w:val="en-GB"/>
                  </w:rPr>
                </w:pPr>
              </w:p>
            </w:tc>
            <w:tc>
              <w:tcPr>
                <w:tcW w:w="1304" w:type="dxa"/>
                <w:gridSpan w:val="2"/>
              </w:tcPr>
              <w:p>
                <w:pPr>
                  <w:jc w:val="center"/>
                  <w:rPr>
                    <w:bCs/>
                    <w:szCs w:val="24"/>
                  </w:rPr>
                </w:pPr>
                <w:r>
                  <w:rPr>
                    <w:bCs/>
                    <w:szCs w:val="24"/>
                  </w:rPr>
                  <w:t>2022</w:t>
                </w:r>
              </w:p>
            </w:tc>
            <w:tc>
              <w:tcPr>
                <w:tcW w:w="1389" w:type="dxa"/>
                <w:gridSpan w:val="4"/>
              </w:tcPr>
              <w:p>
                <w:pPr>
                  <w:jc w:val="center"/>
                  <w:rPr>
                    <w:bCs/>
                    <w:szCs w:val="24"/>
                  </w:rPr>
                </w:pPr>
                <w:r>
                  <w:rPr>
                    <w:bCs/>
                    <w:szCs w:val="24"/>
                  </w:rPr>
                  <w:t>2023</w:t>
                </w:r>
              </w:p>
            </w:tc>
            <w:tc>
              <w:tcPr>
                <w:tcW w:w="992" w:type="dxa"/>
                <w:gridSpan w:val="2"/>
              </w:tcPr>
              <w:p>
                <w:pPr>
                  <w:jc w:val="center"/>
                  <w:rPr>
                    <w:bCs/>
                    <w:szCs w:val="24"/>
                  </w:rPr>
                </w:pPr>
                <w:r>
                  <w:rPr>
                    <w:bCs/>
                    <w:szCs w:val="24"/>
                  </w:rPr>
                  <w:t>2024</w:t>
                </w:r>
              </w:p>
            </w:tc>
          </w:tr>
          <w:tr>
            <w:trPr>
              <w:gridAfter w:val="1"/>
              <w:wAfter w:w="29" w:type="dxa"/>
              <w:cantSplit/>
              <w:trHeight w:val="855"/>
            </w:trPr>
            <w:tc>
              <w:tcPr>
                <w:tcW w:w="1555" w:type="dxa"/>
              </w:tcPr>
              <w:p>
                <w:pPr>
                  <w:ind w:right="-108"/>
                  <w:rPr>
                    <w:bCs/>
                    <w:szCs w:val="24"/>
                  </w:rPr>
                </w:pPr>
                <w:r>
                  <w:rPr>
                    <w:bCs/>
                    <w:szCs w:val="24"/>
                  </w:rPr>
                  <w:t>R-02-02-01</w:t>
                </w:r>
              </w:p>
            </w:tc>
            <w:tc>
              <w:tcPr>
                <w:tcW w:w="2522" w:type="dxa"/>
                <w:gridSpan w:val="4"/>
              </w:tcPr>
              <w:p>
                <w:pPr>
                  <w:rPr>
                    <w:bCs/>
                    <w:szCs w:val="24"/>
                  </w:rPr>
                </w:pPr>
                <w:r>
                  <w:rPr>
                    <w:bCs/>
                    <w:szCs w:val="24"/>
                  </w:rPr>
                  <w:t>Susisiekimo projektų įgyvendinimas, vnt.</w:t>
                </w:r>
              </w:p>
            </w:tc>
            <w:tc>
              <w:tcPr>
                <w:tcW w:w="1985" w:type="dxa"/>
                <w:vMerge w:val="restart"/>
              </w:tcPr>
              <w:p>
                <w:pPr>
                  <w:rPr>
                    <w:bCs/>
                    <w:szCs w:val="24"/>
                  </w:rPr>
                </w:pPr>
                <w:r>
                  <w:rPr>
                    <w:bCs/>
                    <w:szCs w:val="24"/>
                  </w:rPr>
                  <w:t>Miesto tvarkymo ir statybos skyrius</w:t>
                </w:r>
              </w:p>
            </w:tc>
            <w:tc>
              <w:tcPr>
                <w:tcW w:w="1304" w:type="dxa"/>
                <w:gridSpan w:val="2"/>
              </w:tcPr>
              <w:p>
                <w:pPr>
                  <w:spacing w:line="259" w:lineRule="auto"/>
                  <w:jc w:val="center"/>
                  <w:rPr>
                    <w:bCs/>
                    <w:sz w:val="22"/>
                    <w:szCs w:val="22"/>
                  </w:rPr>
                </w:pPr>
              </w:p>
              <w:p>
                <w:pPr>
                  <w:rPr>
                    <w:sz w:val="14"/>
                    <w:szCs w:val="14"/>
                  </w:rPr>
                </w:pPr>
              </w:p>
              <w:p>
                <w:pPr>
                  <w:jc w:val="center"/>
                  <w:rPr>
                    <w:bCs/>
                    <w:szCs w:val="24"/>
                    <w:lang w:val="en-GB"/>
                  </w:rPr>
                </w:pPr>
                <w:r>
                  <w:rPr>
                    <w:bCs/>
                    <w:szCs w:val="24"/>
                    <w:lang w:val="en-GB"/>
                  </w:rPr>
                  <w:t>2</w:t>
                </w:r>
              </w:p>
            </w:tc>
            <w:tc>
              <w:tcPr>
                <w:tcW w:w="1389" w:type="dxa"/>
                <w:gridSpan w:val="4"/>
              </w:tcPr>
              <w:p>
                <w:pPr>
                  <w:spacing w:line="259" w:lineRule="auto"/>
                  <w:jc w:val="center"/>
                  <w:rPr>
                    <w:bCs/>
                    <w:sz w:val="22"/>
                    <w:szCs w:val="22"/>
                    <w:lang w:val="en-GB"/>
                  </w:rPr>
                </w:pPr>
              </w:p>
              <w:p>
                <w:pPr>
                  <w:rPr>
                    <w:sz w:val="14"/>
                    <w:szCs w:val="14"/>
                  </w:rPr>
                </w:pPr>
              </w:p>
              <w:p>
                <w:pPr>
                  <w:jc w:val="center"/>
                  <w:rPr>
                    <w:bCs/>
                    <w:szCs w:val="24"/>
                    <w:lang w:val="en-GB"/>
                  </w:rPr>
                </w:pPr>
                <w:r>
                  <w:rPr>
                    <w:bCs/>
                    <w:szCs w:val="24"/>
                    <w:lang w:val="en-GB"/>
                  </w:rPr>
                  <w:t>2</w:t>
                </w:r>
              </w:p>
            </w:tc>
            <w:tc>
              <w:tcPr>
                <w:tcW w:w="992" w:type="dxa"/>
                <w:gridSpan w:val="2"/>
              </w:tcPr>
              <w:p>
                <w:pPr>
                  <w:spacing w:line="259" w:lineRule="auto"/>
                  <w:jc w:val="center"/>
                  <w:rPr>
                    <w:bCs/>
                    <w:sz w:val="22"/>
                    <w:szCs w:val="22"/>
                    <w:lang w:val="en-GB"/>
                  </w:rPr>
                </w:pPr>
              </w:p>
              <w:p>
                <w:pPr>
                  <w:rPr>
                    <w:sz w:val="14"/>
                    <w:szCs w:val="14"/>
                  </w:rPr>
                </w:pPr>
              </w:p>
              <w:p>
                <w:pPr>
                  <w:jc w:val="center"/>
                  <w:rPr>
                    <w:bCs/>
                    <w:szCs w:val="24"/>
                    <w:lang w:val="en-GB"/>
                  </w:rPr>
                </w:pPr>
                <w:r>
                  <w:rPr>
                    <w:bCs/>
                    <w:szCs w:val="24"/>
                    <w:lang w:val="en-GB"/>
                  </w:rPr>
                  <w:t>2</w:t>
                </w:r>
              </w:p>
            </w:tc>
          </w:tr>
          <w:tr>
            <w:trPr>
              <w:gridAfter w:val="1"/>
              <w:wAfter w:w="29" w:type="dxa"/>
              <w:cantSplit/>
              <w:trHeight w:val="855"/>
            </w:trPr>
            <w:tc>
              <w:tcPr>
                <w:tcW w:w="1555" w:type="dxa"/>
              </w:tcPr>
              <w:p>
                <w:pPr>
                  <w:ind w:right="-108"/>
                  <w:rPr>
                    <w:bCs/>
                    <w:szCs w:val="24"/>
                  </w:rPr>
                </w:pPr>
                <w:r>
                  <w:rPr>
                    <w:bCs/>
                    <w:szCs w:val="24"/>
                  </w:rPr>
                  <w:t>R-02-02-02</w:t>
                </w:r>
              </w:p>
            </w:tc>
            <w:tc>
              <w:tcPr>
                <w:tcW w:w="2522" w:type="dxa"/>
                <w:gridSpan w:val="4"/>
              </w:tcPr>
              <w:p>
                <w:pPr>
                  <w:rPr>
                    <w:bCs/>
                    <w:szCs w:val="24"/>
                  </w:rPr>
                </w:pPr>
                <w:r>
                  <w:rPr>
                    <w:bCs/>
                    <w:szCs w:val="24"/>
                  </w:rPr>
                  <w:t>Saugaus eismo priemonių diegimas, vnt.</w:t>
                </w:r>
              </w:p>
            </w:tc>
            <w:tc>
              <w:tcPr>
                <w:tcW w:w="1985" w:type="dxa"/>
                <w:vMerge/>
              </w:tcPr>
              <w:p>
                <w:pPr>
                  <w:rPr>
                    <w:bCs/>
                    <w:szCs w:val="24"/>
                    <w:lang w:val="en-GB"/>
                  </w:rPr>
                </w:pPr>
              </w:p>
            </w:tc>
            <w:tc>
              <w:tcPr>
                <w:tcW w:w="1304" w:type="dxa"/>
                <w:gridSpan w:val="2"/>
              </w:tcPr>
              <w:p>
                <w:pPr>
                  <w:spacing w:line="259" w:lineRule="auto"/>
                  <w:jc w:val="center"/>
                  <w:rPr>
                    <w:bCs/>
                    <w:sz w:val="22"/>
                    <w:szCs w:val="22"/>
                    <w:lang w:val="en-GB"/>
                  </w:rPr>
                </w:pPr>
                <w:r>
                  <w:rPr>
                    <w:bCs/>
                    <w:sz w:val="22"/>
                    <w:szCs w:val="22"/>
                    <w:lang w:val="en-GB"/>
                  </w:rPr>
                  <w:t>1</w:t>
                </w:r>
              </w:p>
            </w:tc>
            <w:tc>
              <w:tcPr>
                <w:tcW w:w="1389" w:type="dxa"/>
                <w:gridSpan w:val="4"/>
              </w:tcPr>
              <w:p>
                <w:pPr>
                  <w:spacing w:line="259" w:lineRule="auto"/>
                  <w:jc w:val="center"/>
                  <w:rPr>
                    <w:bCs/>
                    <w:sz w:val="22"/>
                    <w:szCs w:val="22"/>
                    <w:lang w:val="en-GB"/>
                  </w:rPr>
                </w:pPr>
                <w:r>
                  <w:rPr>
                    <w:bCs/>
                    <w:sz w:val="22"/>
                    <w:szCs w:val="22"/>
                    <w:lang w:val="en-GB"/>
                  </w:rPr>
                  <w:t>1</w:t>
                </w:r>
              </w:p>
            </w:tc>
            <w:tc>
              <w:tcPr>
                <w:tcW w:w="992" w:type="dxa"/>
                <w:gridSpan w:val="2"/>
              </w:tcPr>
              <w:p>
                <w:pPr>
                  <w:spacing w:line="259" w:lineRule="auto"/>
                  <w:jc w:val="center"/>
                  <w:rPr>
                    <w:bCs/>
                    <w:sz w:val="22"/>
                    <w:szCs w:val="22"/>
                    <w:lang w:val="en-GB"/>
                  </w:rPr>
                </w:pPr>
                <w:r>
                  <w:rPr>
                    <w:bCs/>
                    <w:sz w:val="22"/>
                    <w:szCs w:val="22"/>
                    <w:lang w:val="en-GB"/>
                  </w:rPr>
                  <w:t>1</w:t>
                </w:r>
              </w:p>
            </w:tc>
          </w:tr>
          <w:tr>
            <w:trPr>
              <w:gridAfter w:val="1"/>
              <w:wAfter w:w="29" w:type="dxa"/>
              <w:cantSplit/>
              <w:trHeight w:val="777"/>
            </w:trPr>
            <w:tc>
              <w:tcPr>
                <w:tcW w:w="2093" w:type="dxa"/>
                <w:gridSpan w:val="3"/>
                <w:shd w:val="clear" w:color="auto" w:fill="F2DBDB"/>
              </w:tcPr>
              <w:p>
                <w:pPr>
                  <w:rPr>
                    <w:b/>
                    <w:szCs w:val="24"/>
                  </w:rPr>
                </w:pPr>
                <w:r>
                  <w:rPr>
                    <w:b/>
                    <w:szCs w:val="24"/>
                  </w:rPr>
                  <w:t xml:space="preserve">Programos </w:t>
                </w:r>
              </w:p>
              <w:p>
                <w:pPr>
                  <w:rPr>
                    <w:b/>
                    <w:bCs/>
                    <w:szCs w:val="24"/>
                  </w:rPr>
                </w:pPr>
                <w:r>
                  <w:rPr>
                    <w:b/>
                    <w:szCs w:val="24"/>
                  </w:rPr>
                  <w:t>tikslas</w:t>
                </w:r>
              </w:p>
            </w:tc>
            <w:tc>
              <w:tcPr>
                <w:tcW w:w="5953" w:type="dxa"/>
                <w:gridSpan w:val="7"/>
              </w:tcPr>
              <w:p>
                <w:pPr>
                  <w:rPr>
                    <w:b/>
                    <w:bCs/>
                    <w:szCs w:val="24"/>
                  </w:rPr>
                </w:pPr>
                <w:r>
                  <w:rPr>
                    <w:b/>
                    <w:bCs/>
                    <w:szCs w:val="24"/>
                  </w:rPr>
                  <w:t>Kurti žaliosios savivaldybės modelį</w:t>
                </w:r>
              </w:p>
            </w:tc>
            <w:tc>
              <w:tcPr>
                <w:tcW w:w="993" w:type="dxa"/>
                <w:gridSpan w:val="3"/>
              </w:tcPr>
              <w:p>
                <w:pPr>
                  <w:rPr>
                    <w:b/>
                    <w:szCs w:val="24"/>
                  </w:rPr>
                </w:pPr>
                <w:r>
                  <w:rPr>
                    <w:b/>
                    <w:szCs w:val="24"/>
                  </w:rPr>
                  <w:t>Kodas</w:t>
                </w:r>
              </w:p>
            </w:tc>
            <w:tc>
              <w:tcPr>
                <w:tcW w:w="708" w:type="dxa"/>
              </w:tcPr>
              <w:p>
                <w:pPr>
                  <w:rPr>
                    <w:b/>
                    <w:bCs/>
                    <w:szCs w:val="24"/>
                  </w:rPr>
                </w:pPr>
                <w:r>
                  <w:rPr>
                    <w:b/>
                    <w:bCs/>
                    <w:szCs w:val="24"/>
                  </w:rPr>
                  <w:t>3.3.</w:t>
                </w:r>
              </w:p>
            </w:tc>
          </w:tr>
          <w:tr>
            <w:trPr>
              <w:gridAfter w:val="1"/>
              <w:wAfter w:w="29" w:type="dxa"/>
              <w:cantSplit/>
              <w:trHeight w:val="1905"/>
            </w:trPr>
            <w:tc>
              <w:tcPr>
                <w:tcW w:w="9747" w:type="dxa"/>
                <w:gridSpan w:val="14"/>
                <w:shd w:val="clear" w:color="auto" w:fill="FFFFFF"/>
              </w:tcPr>
              <w:p>
                <w:pPr>
                  <w:rPr>
                    <w:b/>
                    <w:bCs/>
                    <w:szCs w:val="24"/>
                  </w:rPr>
                </w:pPr>
                <w:r>
                  <w:rPr>
                    <w:b/>
                    <w:bCs/>
                    <w:szCs w:val="24"/>
                  </w:rPr>
                  <w:t>Tikslo įgyvendinimo aprašymas:</w:t>
                </w:r>
              </w:p>
              <w:p>
                <w:pPr>
                  <w:jc w:val="both"/>
                  <w:rPr>
                    <w:bCs/>
                    <w:szCs w:val="24"/>
                  </w:rPr>
                </w:pPr>
                <w:r>
                  <w:rPr>
                    <w:bCs/>
                    <w:szCs w:val="24"/>
                  </w:rPr>
                  <w:t xml:space="preserve">Šiuo tikslu siekiama skatinti atsinaujinančių energijos šaltinių plėtrą ir mažinti energijos suvartojimą. </w:t>
                </w:r>
              </w:p>
              <w:p>
                <w:pPr>
                  <w:rPr>
                    <w:b/>
                    <w:bCs/>
                    <w:szCs w:val="24"/>
                  </w:rPr>
                </w:pPr>
                <w:r>
                  <w:rPr>
                    <w:b/>
                    <w:bCs/>
                    <w:szCs w:val="24"/>
                  </w:rPr>
                  <w:t>01 Uždavinys. Organizuoti tvarų ir efektyvų energetinių išteklių panaudojimą</w:t>
                </w:r>
              </w:p>
              <w:p>
                <w:pPr>
                  <w:jc w:val="both"/>
                  <w:rPr>
                    <w:bCs/>
                    <w:szCs w:val="24"/>
                  </w:rPr>
                </w:pPr>
                <w:r>
                  <w:rPr>
                    <w:bCs/>
                    <w:szCs w:val="24"/>
                  </w:rPr>
                  <w:t>Įgyvendinant šį uždavinį bus modernizuojami daugiabučiai gyvenamieji namai, atnaujinamas gatvių apšvietimas ir vykdoma atsinaujinančių energijos šaltinių plėtra.</w:t>
                </w:r>
              </w:p>
            </w:tc>
          </w:tr>
        </w:tbl>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3"/>
            <w:gridCol w:w="2664"/>
            <w:gridCol w:w="1985"/>
            <w:gridCol w:w="1304"/>
            <w:gridCol w:w="1276"/>
            <w:gridCol w:w="1105"/>
          </w:tblGrid>
          <w:tr>
            <w:trPr>
              <w:cantSplit/>
              <w:trHeight w:val="153"/>
            </w:trPr>
            <w:tc>
              <w:tcPr>
                <w:tcW w:w="9747" w:type="dxa"/>
                <w:gridSpan w:val="6"/>
                <w:shd w:val="clear" w:color="auto" w:fill="D9D9D9"/>
              </w:tcPr>
              <w:p>
                <w:pPr>
                  <w:spacing w:after="160"/>
                  <w:jc w:val="center"/>
                  <w:rPr>
                    <w:b/>
                    <w:bCs/>
                    <w:sz w:val="22"/>
                    <w:szCs w:val="24"/>
                  </w:rPr>
                </w:pPr>
                <w:r>
                  <w:rPr>
                    <w:b/>
                    <w:bCs/>
                    <w:szCs w:val="24"/>
                  </w:rPr>
                  <w:t>3.3 tikslo rezultato vertinimo kriterijai</w:t>
                </w:r>
              </w:p>
              <w:p>
                <w:pPr>
                  <w:jc w:val="center"/>
                  <w:rPr>
                    <w:b/>
                    <w:bCs/>
                    <w:szCs w:val="24"/>
                  </w:rPr>
                </w:pPr>
              </w:p>
            </w:tc>
          </w:tr>
          <w:tr>
            <w:trPr>
              <w:cantSplit/>
              <w:trHeight w:val="198"/>
            </w:trPr>
            <w:tc>
              <w:tcPr>
                <w:tcW w:w="1413" w:type="dxa"/>
                <w:vMerge w:val="restart"/>
              </w:tcPr>
              <w:p>
                <w:pPr>
                  <w:jc w:val="both"/>
                  <w:rPr>
                    <w:b/>
                    <w:bCs/>
                    <w:szCs w:val="24"/>
                  </w:rPr>
                </w:pPr>
                <w:r>
                  <w:rPr>
                    <w:b/>
                    <w:bCs/>
                    <w:szCs w:val="24"/>
                  </w:rPr>
                  <w:t>Kodas</w:t>
                </w:r>
              </w:p>
            </w:tc>
            <w:tc>
              <w:tcPr>
                <w:tcW w:w="2664" w:type="dxa"/>
                <w:vMerge w:val="restart"/>
              </w:tcPr>
              <w:p>
                <w:pPr>
                  <w:jc w:val="both"/>
                  <w:rPr>
                    <w:b/>
                    <w:bCs/>
                    <w:szCs w:val="24"/>
                  </w:rPr>
                </w:pPr>
                <w:r>
                  <w:rPr>
                    <w:bCs/>
                    <w:szCs w:val="24"/>
                  </w:rPr>
                  <w:t>Kriterijaus pavadinimas, mato vnt.</w:t>
                </w:r>
              </w:p>
            </w:tc>
            <w:tc>
              <w:tcPr>
                <w:tcW w:w="1985" w:type="dxa"/>
                <w:vMerge w:val="restart"/>
              </w:tcPr>
              <w:p>
                <w:pPr>
                  <w:jc w:val="center"/>
                  <w:rPr>
                    <w:b/>
                    <w:bCs/>
                    <w:szCs w:val="24"/>
                  </w:rPr>
                </w:pPr>
                <w:r>
                  <w:rPr>
                    <w:bCs/>
                    <w:szCs w:val="24"/>
                  </w:rPr>
                  <w:t>Savivaldybės skyrius, atsakingas už rodiklio reikšmių pateikimą</w:t>
                </w:r>
              </w:p>
            </w:tc>
            <w:tc>
              <w:tcPr>
                <w:tcW w:w="3685" w:type="dxa"/>
                <w:gridSpan w:val="3"/>
              </w:tcPr>
              <w:p>
                <w:pPr>
                  <w:rPr>
                    <w:b/>
                    <w:bCs/>
                    <w:szCs w:val="24"/>
                  </w:rPr>
                </w:pPr>
                <w:r>
                  <w:rPr>
                    <w:bCs/>
                    <w:szCs w:val="24"/>
                  </w:rPr>
                  <w:t>Kriterijaus reikšmė, metais</w:t>
                </w:r>
              </w:p>
            </w:tc>
          </w:tr>
          <w:tr>
            <w:trPr>
              <w:cantSplit/>
              <w:trHeight w:val="480"/>
            </w:trPr>
            <w:tc>
              <w:tcPr>
                <w:tcW w:w="1413" w:type="dxa"/>
                <w:vMerge/>
              </w:tcPr>
              <w:p>
                <w:pPr>
                  <w:jc w:val="both"/>
                  <w:rPr>
                    <w:bCs/>
                    <w:szCs w:val="24"/>
                  </w:rPr>
                </w:pPr>
              </w:p>
            </w:tc>
            <w:tc>
              <w:tcPr>
                <w:tcW w:w="2664" w:type="dxa"/>
                <w:vMerge/>
              </w:tcPr>
              <w:p>
                <w:pPr>
                  <w:jc w:val="both"/>
                  <w:rPr>
                    <w:bCs/>
                    <w:szCs w:val="24"/>
                  </w:rPr>
                </w:pPr>
              </w:p>
            </w:tc>
            <w:tc>
              <w:tcPr>
                <w:tcW w:w="1985" w:type="dxa"/>
                <w:vMerge/>
              </w:tcPr>
              <w:p>
                <w:pPr>
                  <w:jc w:val="center"/>
                  <w:rPr>
                    <w:bCs/>
                    <w:szCs w:val="24"/>
                  </w:rPr>
                </w:pPr>
              </w:p>
            </w:tc>
            <w:tc>
              <w:tcPr>
                <w:tcW w:w="1304" w:type="dxa"/>
              </w:tcPr>
              <w:p>
                <w:pPr>
                  <w:jc w:val="center"/>
                  <w:rPr>
                    <w:bCs/>
                    <w:szCs w:val="24"/>
                  </w:rPr>
                </w:pPr>
                <w:r>
                  <w:rPr>
                    <w:bCs/>
                    <w:szCs w:val="24"/>
                  </w:rPr>
                  <w:t>2022</w:t>
                </w:r>
              </w:p>
              <w:p>
                <w:pPr>
                  <w:jc w:val="center"/>
                  <w:rPr>
                    <w:bCs/>
                    <w:szCs w:val="24"/>
                  </w:rPr>
                </w:pPr>
              </w:p>
              <w:p>
                <w:pPr>
                  <w:jc w:val="center"/>
                  <w:rPr>
                    <w:bCs/>
                    <w:szCs w:val="24"/>
                  </w:rPr>
                </w:pPr>
              </w:p>
            </w:tc>
            <w:tc>
              <w:tcPr>
                <w:tcW w:w="1276" w:type="dxa"/>
              </w:tcPr>
              <w:p>
                <w:pPr>
                  <w:jc w:val="center"/>
                  <w:rPr>
                    <w:bCs/>
                    <w:szCs w:val="24"/>
                  </w:rPr>
                </w:pPr>
                <w:r>
                  <w:rPr>
                    <w:bCs/>
                    <w:szCs w:val="24"/>
                  </w:rPr>
                  <w:t>2023</w:t>
                </w:r>
              </w:p>
            </w:tc>
            <w:tc>
              <w:tcPr>
                <w:tcW w:w="1105" w:type="dxa"/>
              </w:tcPr>
              <w:p>
                <w:pPr>
                  <w:jc w:val="center"/>
                  <w:rPr>
                    <w:bCs/>
                    <w:szCs w:val="24"/>
                  </w:rPr>
                </w:pPr>
                <w:r>
                  <w:rPr>
                    <w:bCs/>
                    <w:szCs w:val="24"/>
                  </w:rPr>
                  <w:t>2024</w:t>
                </w:r>
              </w:p>
            </w:tc>
          </w:tr>
          <w:tr>
            <w:trPr>
              <w:cantSplit/>
              <w:trHeight w:val="465"/>
            </w:trPr>
            <w:tc>
              <w:tcPr>
                <w:tcW w:w="1413" w:type="dxa"/>
                <w:vMerge/>
              </w:tcPr>
              <w:p>
                <w:pPr>
                  <w:rPr>
                    <w:bCs/>
                    <w:szCs w:val="24"/>
                  </w:rPr>
                </w:pPr>
              </w:p>
            </w:tc>
            <w:tc>
              <w:tcPr>
                <w:tcW w:w="2664" w:type="dxa"/>
                <w:vMerge/>
              </w:tcPr>
              <w:p>
                <w:pPr>
                  <w:rPr>
                    <w:bCs/>
                    <w:szCs w:val="24"/>
                  </w:rPr>
                </w:pPr>
              </w:p>
            </w:tc>
            <w:tc>
              <w:tcPr>
                <w:tcW w:w="1985" w:type="dxa"/>
                <w:vMerge/>
              </w:tcPr>
              <w:p>
                <w:pPr>
                  <w:rPr>
                    <w:bCs/>
                    <w:szCs w:val="24"/>
                    <w:lang w:val="en-GB"/>
                  </w:rPr>
                </w:pPr>
              </w:p>
            </w:tc>
            <w:tc>
              <w:tcPr>
                <w:tcW w:w="1304" w:type="dxa"/>
                <w:vMerge w:val="restart"/>
              </w:tcPr>
              <w:p>
                <w:pPr>
                  <w:spacing w:line="259" w:lineRule="auto"/>
                  <w:jc w:val="center"/>
                  <w:rPr>
                    <w:bCs/>
                    <w:szCs w:val="24"/>
                  </w:rPr>
                </w:pPr>
              </w:p>
              <w:p>
                <w:pPr>
                  <w:rPr>
                    <w:sz w:val="14"/>
                    <w:szCs w:val="14"/>
                  </w:rPr>
                </w:pPr>
              </w:p>
              <w:p>
                <w:pPr>
                  <w:spacing w:line="259" w:lineRule="auto"/>
                  <w:jc w:val="center"/>
                  <w:rPr>
                    <w:bCs/>
                    <w:szCs w:val="24"/>
                  </w:rPr>
                </w:pPr>
                <w:r>
                  <w:rPr>
                    <w:bCs/>
                    <w:szCs w:val="24"/>
                    <w:lang w:val="en-GB"/>
                  </w:rPr>
                  <w:t>2</w:t>
                </w:r>
              </w:p>
            </w:tc>
            <w:tc>
              <w:tcPr>
                <w:tcW w:w="1276" w:type="dxa"/>
                <w:vMerge w:val="restart"/>
              </w:tcPr>
              <w:p>
                <w:pPr>
                  <w:spacing w:line="259" w:lineRule="auto"/>
                  <w:jc w:val="center"/>
                  <w:rPr>
                    <w:bCs/>
                    <w:szCs w:val="24"/>
                    <w:lang w:val="en-GB"/>
                  </w:rPr>
                </w:pPr>
              </w:p>
              <w:p>
                <w:pPr>
                  <w:rPr>
                    <w:sz w:val="14"/>
                    <w:szCs w:val="14"/>
                  </w:rPr>
                </w:pPr>
              </w:p>
              <w:p>
                <w:pPr>
                  <w:spacing w:line="259" w:lineRule="auto"/>
                  <w:jc w:val="center"/>
                  <w:rPr>
                    <w:bCs/>
                    <w:szCs w:val="24"/>
                  </w:rPr>
                </w:pPr>
                <w:r>
                  <w:rPr>
                    <w:bCs/>
                    <w:szCs w:val="24"/>
                    <w:lang w:val="en-GB"/>
                  </w:rPr>
                  <w:t>2</w:t>
                </w:r>
              </w:p>
            </w:tc>
            <w:tc>
              <w:tcPr>
                <w:tcW w:w="1105" w:type="dxa"/>
                <w:vMerge w:val="restart"/>
              </w:tcPr>
              <w:p>
                <w:pPr>
                  <w:spacing w:line="259" w:lineRule="auto"/>
                  <w:jc w:val="center"/>
                  <w:rPr>
                    <w:bCs/>
                    <w:szCs w:val="24"/>
                    <w:lang w:val="en-GB"/>
                  </w:rPr>
                </w:pPr>
              </w:p>
              <w:p>
                <w:pPr>
                  <w:rPr>
                    <w:sz w:val="14"/>
                    <w:szCs w:val="14"/>
                  </w:rPr>
                </w:pPr>
              </w:p>
              <w:p>
                <w:pPr>
                  <w:spacing w:line="259" w:lineRule="auto"/>
                  <w:jc w:val="center"/>
                  <w:rPr>
                    <w:bCs/>
                    <w:szCs w:val="24"/>
                  </w:rPr>
                </w:pPr>
                <w:r>
                  <w:rPr>
                    <w:bCs/>
                    <w:szCs w:val="24"/>
                    <w:lang w:val="en-GB"/>
                  </w:rPr>
                  <w:t>2</w:t>
                </w:r>
              </w:p>
            </w:tc>
          </w:tr>
          <w:tr>
            <w:trPr>
              <w:cantSplit/>
              <w:trHeight w:val="465"/>
            </w:trPr>
            <w:tc>
              <w:tcPr>
                <w:tcW w:w="1413" w:type="dxa"/>
              </w:tcPr>
              <w:p>
                <w:pPr>
                  <w:rPr>
                    <w:bCs/>
                    <w:szCs w:val="24"/>
                  </w:rPr>
                </w:pPr>
                <w:r>
                  <w:rPr>
                    <w:bCs/>
                    <w:szCs w:val="24"/>
                  </w:rPr>
                  <w:t>R-05-03-01</w:t>
                </w:r>
              </w:p>
            </w:tc>
            <w:tc>
              <w:tcPr>
                <w:tcW w:w="2664" w:type="dxa"/>
              </w:tcPr>
              <w:p>
                <w:pPr>
                  <w:rPr>
                    <w:bCs/>
                    <w:szCs w:val="24"/>
                  </w:rPr>
                </w:pPr>
                <w:r>
                  <w:rPr>
                    <w:bCs/>
                    <w:szCs w:val="24"/>
                  </w:rPr>
                  <w:t xml:space="preserve">Projektų įgyvendinimas, kuriuose mažinamas energijos suvartojimas, vnt. </w:t>
                </w:r>
              </w:p>
            </w:tc>
            <w:tc>
              <w:tcPr>
                <w:tcW w:w="1985" w:type="dxa"/>
              </w:tcPr>
              <w:p>
                <w:pPr>
                  <w:spacing w:line="259" w:lineRule="auto"/>
                  <w:jc w:val="center"/>
                  <w:rPr>
                    <w:szCs w:val="24"/>
                  </w:rPr>
                </w:pPr>
                <w:r>
                  <w:rPr>
                    <w:bCs/>
                    <w:szCs w:val="24"/>
                  </w:rPr>
                  <w:t>Miesto tvarkymo ir statybos skyrius</w:t>
                </w:r>
              </w:p>
            </w:tc>
            <w:tc>
              <w:tcPr>
                <w:tcW w:w="1304" w:type="dxa"/>
                <w:vMerge/>
              </w:tcPr>
              <w:p>
                <w:pPr>
                  <w:spacing w:line="259" w:lineRule="auto"/>
                  <w:rPr>
                    <w:bCs/>
                    <w:szCs w:val="24"/>
                    <w:lang w:val="en-GB"/>
                  </w:rPr>
                </w:pPr>
              </w:p>
            </w:tc>
            <w:tc>
              <w:tcPr>
                <w:tcW w:w="1276" w:type="dxa"/>
                <w:vMerge/>
              </w:tcPr>
              <w:p>
                <w:pPr>
                  <w:spacing w:line="259" w:lineRule="auto"/>
                  <w:rPr>
                    <w:bCs/>
                    <w:szCs w:val="24"/>
                    <w:lang w:val="en-GB"/>
                  </w:rPr>
                </w:pPr>
              </w:p>
            </w:tc>
            <w:tc>
              <w:tcPr>
                <w:tcW w:w="1105" w:type="dxa"/>
                <w:vMerge/>
              </w:tcPr>
              <w:p>
                <w:pPr>
                  <w:spacing w:line="259" w:lineRule="auto"/>
                  <w:rPr>
                    <w:bCs/>
                    <w:szCs w:val="24"/>
                    <w:lang w:val="en-GB"/>
                  </w:rPr>
                </w:pPr>
              </w:p>
            </w:tc>
          </w:tr>
          <w:tr>
            <w:trPr>
              <w:cantSplit/>
              <w:trHeight w:val="465"/>
            </w:trPr>
            <w:tc>
              <w:tcPr>
                <w:tcW w:w="9747" w:type="dxa"/>
                <w:gridSpan w:val="6"/>
              </w:tcPr>
              <w:p>
                <w:pPr>
                  <w:spacing w:line="259" w:lineRule="auto"/>
                  <w:rPr>
                    <w:b/>
                    <w:szCs w:val="24"/>
                  </w:rPr>
                </w:pPr>
                <w:r>
                  <w:rPr>
                    <w:b/>
                    <w:szCs w:val="24"/>
                  </w:rPr>
                  <w:t>Numatomas programos įgyvendinimo rezultatas:</w:t>
                </w:r>
              </w:p>
              <w:p>
                <w:pPr>
                  <w:rPr>
                    <w:sz w:val="14"/>
                    <w:szCs w:val="14"/>
                  </w:rPr>
                </w:pPr>
              </w:p>
              <w:p>
                <w:pPr>
                  <w:spacing w:line="259" w:lineRule="auto"/>
                  <w:jc w:val="both"/>
                  <w:rPr>
                    <w:color w:val="000000"/>
                    <w:szCs w:val="24"/>
                  </w:rPr>
                </w:pPr>
                <w:r>
                  <w:rPr>
                    <w:color w:val="000000"/>
                    <w:szCs w:val="24"/>
                  </w:rPr>
                  <w:t xml:space="preserve">Tinkamai ir laiku parengti teritorijų planavimo dokumentai, bei atskirų žemės sklypų planavimo dokumentai leis tinkamai vystyti harmoningą gyvenamąją, darbo ir poilsio aplinką. </w:t>
                </w:r>
              </w:p>
              <w:p>
                <w:pPr>
                  <w:rPr>
                    <w:sz w:val="14"/>
                    <w:szCs w:val="14"/>
                  </w:rPr>
                </w:pPr>
              </w:p>
              <w:p>
                <w:pPr>
                  <w:spacing w:line="259" w:lineRule="auto"/>
                  <w:jc w:val="both"/>
                  <w:rPr>
                    <w:color w:val="000000"/>
                    <w:szCs w:val="24"/>
                  </w:rPr>
                </w:pPr>
                <w:r>
                  <w:rPr>
                    <w:color w:val="000000"/>
                    <w:szCs w:val="24"/>
                  </w:rPr>
                  <w:t>Kultūros paveldo teritorijų ir kultūros paveldo objektų sutvarkymas ne tik padės išsaugoti minėtą paveldą, bet ir prisidės prie miesto patrauklumo didinimo.</w:t>
                </w:r>
              </w:p>
              <w:p>
                <w:pPr>
                  <w:rPr>
                    <w:sz w:val="14"/>
                    <w:szCs w:val="14"/>
                  </w:rPr>
                </w:pPr>
              </w:p>
              <w:p>
                <w:pPr>
                  <w:spacing w:line="259" w:lineRule="auto"/>
                  <w:jc w:val="both"/>
                  <w:rPr>
                    <w:szCs w:val="24"/>
                  </w:rPr>
                </w:pPr>
                <w:r>
                  <w:rPr>
                    <w:color w:val="000000"/>
                    <w:szCs w:val="24"/>
                  </w:rPr>
                  <w:t xml:space="preserve">Įgyvendinus programos priemones, bus padidintas miesto viešųjų erdvių patrauklumas, užtikrinama miesto švara ir tvarka, prižiūrimos ir modernizuojamos miesto susisiekimo  komunikacijos.</w:t>
                </w:r>
              </w:p>
              <w:p>
                <w:pPr>
                  <w:rPr>
                    <w:sz w:val="14"/>
                    <w:szCs w:val="14"/>
                  </w:rPr>
                </w:pPr>
              </w:p>
              <w:p>
                <w:pPr>
                  <w:spacing w:line="259" w:lineRule="auto"/>
                  <w:rPr>
                    <w:bCs/>
                    <w:szCs w:val="24"/>
                  </w:rPr>
                </w:pPr>
              </w:p>
            </w:tc>
          </w:tr>
          <w:tr>
            <w:trPr>
              <w:cantSplit/>
              <w:trHeight w:val="465"/>
            </w:trPr>
            <w:tc>
              <w:tcPr>
                <w:tcW w:w="9747" w:type="dxa"/>
                <w:gridSpan w:val="6"/>
              </w:tcPr>
              <w:p>
                <w:pPr>
                  <w:rPr>
                    <w:b/>
                    <w:bCs/>
                    <w:szCs w:val="24"/>
                  </w:rPr>
                </w:pPr>
                <w:r>
                  <w:rPr>
                    <w:b/>
                    <w:bCs/>
                    <w:szCs w:val="24"/>
                  </w:rPr>
                  <w:t>Galimi programos vykdymo ir finansavimo variantai: Europos sąjungos lėšos, Savivaldybės biudžeto lėšos, Kelių priežiūros ir plėtros programos lėšos, Valstybės biudžeto lėšos.</w:t>
                </w:r>
              </w:p>
              <w:p>
                <w:pPr>
                  <w:spacing w:line="259" w:lineRule="auto"/>
                  <w:rPr>
                    <w:b/>
                    <w:szCs w:val="24"/>
                  </w:rPr>
                </w:pPr>
              </w:p>
            </w:tc>
          </w:tr>
          <w:tr>
            <w:trPr>
              <w:cantSplit/>
              <w:trHeight w:val="465"/>
            </w:trPr>
            <w:tc>
              <w:tcPr>
                <w:tcW w:w="9747" w:type="dxa"/>
                <w:gridSpan w:val="6"/>
              </w:tcPr>
              <w:p>
                <w:pPr>
                  <w:jc w:val="both"/>
                  <w:rPr>
                    <w:b/>
                    <w:szCs w:val="24"/>
                  </w:rPr>
                </w:pPr>
                <w:r>
                  <w:rPr>
                    <w:b/>
                    <w:szCs w:val="24"/>
                  </w:rPr>
                  <w:t xml:space="preserve">Neringos savivaldybės 2021–2030 metų strateginio plėtros plano dalys, susijusios su vykdoma programa: </w:t>
                </w:r>
              </w:p>
              <w:p>
                <w:pPr>
                  <w:tabs>
                    <w:tab w:val="left" w:pos="426"/>
                  </w:tabs>
                  <w:jc w:val="both"/>
                  <w:rPr>
                    <w:szCs w:val="24"/>
                  </w:rPr>
                </w:pPr>
                <w:r>
                  <w:rPr>
                    <w:szCs w:val="24"/>
                  </w:rPr>
                  <w:t>1.1.1. Padidinti kurorto lankytinų objektų patrauklumą ir vykdyti paveldo aktualizavimą;</w:t>
                </w:r>
              </w:p>
              <w:p>
                <w:pPr>
                  <w:tabs>
                    <w:tab w:val="left" w:pos="426"/>
                  </w:tabs>
                  <w:jc w:val="both"/>
                  <w:rPr>
                    <w:szCs w:val="24"/>
                  </w:rPr>
                </w:pPr>
                <w:r>
                  <w:rPr>
                    <w:szCs w:val="24"/>
                  </w:rPr>
                  <w:t>1.1.2. Sukurti naują ir atnaujinti esamą viešąją rekreacinę ir turizmo infrastruktūrą, skirti mažinti sezoniškumą, užtikrinant tvarumo principus;</w:t>
                </w:r>
              </w:p>
              <w:p>
                <w:pPr>
                  <w:tabs>
                    <w:tab w:val="left" w:pos="426"/>
                  </w:tabs>
                  <w:jc w:val="both"/>
                  <w:rPr>
                    <w:szCs w:val="24"/>
                  </w:rPr>
                </w:pPr>
                <w:r>
                  <w:rPr>
                    <w:szCs w:val="24"/>
                  </w:rPr>
                  <w:t>1.1.3. Atnaujinti / aktualizuoti vandens transportą/kelius ir susijusią infrastruktūrą;</w:t>
                </w:r>
              </w:p>
              <w:p>
                <w:pPr>
                  <w:tabs>
                    <w:tab w:val="left" w:pos="426"/>
                  </w:tabs>
                  <w:jc w:val="both"/>
                  <w:rPr>
                    <w:bCs/>
                    <w:szCs w:val="24"/>
                  </w:rPr>
                </w:pPr>
                <w:r>
                  <w:rPr>
                    <w:bCs/>
                    <w:szCs w:val="24"/>
                  </w:rPr>
                  <w:t>2.1.1. Išvystyti darnią susisiekimo sistemą, skatinti judumą ekologiškomis transporto priemonėmis ir išplėsti jų infrastruktūrą;</w:t>
                </w:r>
              </w:p>
              <w:p>
                <w:pPr>
                  <w:tabs>
                    <w:tab w:val="left" w:pos="426"/>
                  </w:tabs>
                  <w:jc w:val="both"/>
                  <w:rPr>
                    <w:bCs/>
                    <w:szCs w:val="24"/>
                  </w:rPr>
                </w:pPr>
                <w:r>
                  <w:rPr>
                    <w:bCs/>
                    <w:szCs w:val="24"/>
                  </w:rPr>
                  <w:t>2.1.2. Sukurti svečiams ir gyventojams patrauklią ir saugią aplinką;</w:t>
                </w:r>
              </w:p>
              <w:p>
                <w:pPr>
                  <w:rPr>
                    <w:b/>
                    <w:bCs/>
                    <w:szCs w:val="24"/>
                  </w:rPr>
                </w:pPr>
                <w:r>
                  <w:rPr>
                    <w:bCs/>
                    <w:szCs w:val="24"/>
                  </w:rPr>
                  <w:t>3.3.1. Organizuoti tvarų ir efektyvų energetinių išteklių panaudojimą.</w:t>
                </w:r>
              </w:p>
            </w:tc>
          </w:tr>
          <w:tr>
            <w:trPr>
              <w:cantSplit/>
              <w:trHeight w:val="465"/>
            </w:trPr>
            <w:tc>
              <w:tcPr>
                <w:tcW w:w="9747" w:type="dxa"/>
                <w:gridSpan w:val="6"/>
              </w:tcPr>
              <w:p>
                <w:pPr>
                  <w:rPr>
                    <w:b/>
                    <w:szCs w:val="24"/>
                  </w:rPr>
                </w:pPr>
                <w:r>
                  <w:rPr>
                    <w:b/>
                    <w:szCs w:val="24"/>
                  </w:rPr>
                  <w:t xml:space="preserve">Susiję Lietuvos Respublikos ir Savivaldybės teisės aktai: </w:t>
                </w:r>
              </w:p>
              <w:p>
                <w:pPr>
                  <w:spacing w:line="259" w:lineRule="auto"/>
                  <w:jc w:val="both"/>
                  <w:rPr>
                    <w:b/>
                    <w:szCs w:val="24"/>
                  </w:rPr>
                </w:pPr>
                <w:r>
                  <w:rPr>
                    <w:szCs w:val="24"/>
                  </w:rPr>
                  <w:t>Lietuvos Respublikos vietos savivaldos įstatymas, Lietuvos Respublikos statybos įstatymas, Lietuvos Respublikos kelių įstatymas, Lietuvos Respublikos teritorijų planavimo įstatymas, Lietuvos Respublikos nekilnojamojo kultūros paveldo apsaugos įstatymas, Lietuvos Respublikos saugomų teritorijų įstatymas, Lietuvos Respublikos pajūrio juostos įstatymas, Lietuvos Respublikos geodezijos ir kartografijos įstatymas.</w:t>
                </w:r>
              </w:p>
            </w:tc>
          </w:tr>
        </w:tbl>
        <w:p>
          <w:pPr>
            <w:spacing w:line="259" w:lineRule="auto"/>
            <w:rPr>
              <w:szCs w:val="24"/>
            </w:rPr>
          </w:pPr>
        </w:p>
        <w:p>
          <w:pPr>
            <w:rPr>
              <w:sz w:val="14"/>
              <w:szCs w:val="14"/>
            </w:rPr>
          </w:pPr>
        </w:p>
        <w:p>
          <w:pPr>
            <w:spacing w:line="259" w:lineRule="auto"/>
            <w:jc w:val="center"/>
            <w:rPr>
              <w:szCs w:val="24"/>
            </w:rPr>
          </w:pPr>
          <w:r>
            <w:rPr>
              <w:szCs w:val="24"/>
            </w:rPr>
            <w:t>__________________________</w:t>
          </w:r>
        </w:p>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418"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spacing w:before="100" w:beforeAutospacing="1" w:after="100" w:afterAutospacing="1"/>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F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E0D1BC-AAA4-40C3-A6B2-DEBDC887235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9" Abbr="9 pr." Title="MIESTO INFRASTRUKTŪROS PRIEŽIŪROS PLĖTROS PROGRAMOS (Nr. 05)" DocPartId="00009f80528c412e83ef257ee1e6d57b" PartId="aa594db7dc154ef3a5a19a1ba923b9ab"/>
</Parts>
</file>

<file path=customXml/itemProps1.xml><?xml version="1.0" encoding="utf-8"?>
<ds:datastoreItem xmlns:ds="http://schemas.openxmlformats.org/officeDocument/2006/customXml" ds:itemID="{832A2948-CF7D-43D4-B1BC-25B6ED97B6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844</Words>
  <Characters>6413</Characters>
  <Application>Microsoft Office Word</Application>
  <DocSecurity>4</DocSecurity>
  <Lines>267</Lines>
  <Paragraphs>161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7096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2022-02-09T11:58:00Z</dcterms:created>
  <dc:creator>Vilma Kavaliova</dc:creator>
  <lastModifiedBy>adlibuser</lastModifiedBy>
  <lastPrinted>2022-01-06T09:48:00Z</lastPrinted>
  <dcterms:modified xsi:type="dcterms:W3CDTF">2022-02-09T11:58:00Z</dcterms:modified>
  <revision>2</revision>
</coreProperties>
</file>