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7 pr."/>
        <w:tag w:val="part_36abd66f98be4ce09851eb7302eb41b4"/>
        <w:lock w:val="sdtLocked"/>
        <w:richText/>
      </w:sdtPr>
      <w:sdtContent>
        <w:p>
          <w:pPr>
            <w:ind w:left="5103" w:firstLine="284"/>
            <w:jc w:val="both"/>
            <w:rPr>
              <w:szCs w:val="24"/>
            </w:rPr>
          </w:pPr>
          <w:r>
            <w:rPr>
              <w:szCs w:val="24"/>
            </w:rPr>
            <w:t>Neringos savivaldybės</w:t>
          </w:r>
        </w:p>
        <w:p>
          <w:pPr>
            <w:ind w:left="5103" w:firstLine="284"/>
            <w:jc w:val="both"/>
            <w:rPr>
              <w:szCs w:val="24"/>
            </w:rPr>
          </w:pPr>
          <w:r>
            <w:rPr>
              <w:szCs w:val="24"/>
            </w:rPr>
            <w:t>2022–2024 metų strateginio veiklos plano</w:t>
          </w:r>
        </w:p>
        <w:p>
          <w:pPr>
            <w:ind w:left="5103" w:firstLine="284"/>
            <w:jc w:val="both"/>
            <w:rPr>
              <w:b/>
              <w:szCs w:val="24"/>
            </w:rPr>
          </w:pPr>
          <w:sdt>
            <w:sdtPr>
              <w:alias w:val="Numeris"/>
              <w:tag w:val="nr_36abd66f98be4ce09851eb7302eb41b4"/>
              <w:lock w:val="sdtLocked"/>
              <w:richText/>
            </w:sdtPr>
            <w:sdtContent>
              <w:r>
                <w:rPr>
                  <w:szCs w:val="24"/>
                </w:rPr>
                <w:t>7</w:t>
              </w:r>
            </w:sdtContent>
          </w:sdt>
          <w:r>
            <w:rPr>
              <w:szCs w:val="24"/>
            </w:rPr>
            <w:t xml:space="preserve"> priedas</w:t>
          </w:r>
        </w:p>
        <w:p>
          <w:pPr>
            <w:ind w:firstLine="5236"/>
            <w:jc w:val="right"/>
            <w:rPr>
              <w:b/>
              <w:szCs w:val="24"/>
            </w:rPr>
          </w:pPr>
        </w:p>
        <w:sdt>
          <w:sdtPr>
            <w:alias w:val="Pavadinimas"/>
            <w:tag w:val="title_36abd66f98be4ce09851eb7302eb41b4"/>
            <w:lock w:val="sdtLocked"/>
            <w:richText/>
          </w:sdtPr>
          <w:sdtContent>
            <w:p>
              <w:pPr>
                <w:pBdr>
                  <w:bottom w:val="single" w:sz="12" w:space="1" w:color="auto"/>
                </w:pBdr>
                <w:jc w:val="center"/>
                <w:rPr>
                  <w:b/>
                  <w:szCs w:val="24"/>
                </w:rPr>
              </w:pPr>
              <w:r>
                <w:rPr>
                  <w:b/>
                  <w:szCs w:val="24"/>
                </w:rPr>
                <w:t>SOCIALINĖS PARAMOS PROGRAMOS</w:t>
              </w:r>
            </w:p>
            <w:p>
              <w:pPr>
                <w:pBdr>
                  <w:bottom w:val="single" w:sz="12" w:space="1" w:color="auto"/>
                </w:pBdr>
                <w:ind w:firstLine="62"/>
                <w:jc w:val="center"/>
                <w:rPr>
                  <w:b/>
                  <w:szCs w:val="24"/>
                </w:rPr>
              </w:pPr>
              <w:r>
                <w:rPr>
                  <w:b/>
                  <w:szCs w:val="24"/>
                </w:rPr>
                <w:t>(Nr. 04)</w:t>
              </w:r>
            </w:p>
          </w:sdtContent>
        </w:sdt>
        <w:p>
          <w:pPr>
            <w:ind w:firstLine="62"/>
            <w:jc w:val="center"/>
            <w:rPr>
              <w:iCs/>
              <w:sz w:val="22"/>
              <w:szCs w:val="22"/>
            </w:rPr>
          </w:pPr>
          <w:r>
            <w:rPr>
              <w:iCs/>
              <w:sz w:val="20"/>
            </w:rPr>
            <w:t>(Programos pavadinimas, kodas)</w:t>
          </w:r>
          <w:r>
            <w:rPr>
              <w:iCs/>
              <w:sz w:val="22"/>
              <w:szCs w:val="22"/>
            </w:rPr>
            <w:br/>
          </w:r>
        </w:p>
        <w:sdt>
          <w:sdtPr>
            <w:alias w:val="lentele"/>
            <w:tag w:val="part_229b7f4bca104ac0a8e9f9cb22d232e1"/>
            <w:lock w:val="sdtLocked"/>
            <w:richText/>
          </w:sdtPr>
          <w:sdtContent>
            <w:p>
              <w:pPr>
                <w:jc w:val="center"/>
                <w:rPr>
                  <w:b/>
                  <w:bCs/>
                  <w:szCs w:val="22"/>
                </w:rPr>
              </w:pPr>
              <w:sdt>
                <w:sdtPr>
                  <w:alias w:val="Pavadinimas"/>
                  <w:tag w:val="title_229b7f4bca104ac0a8e9f9cb22d232e1"/>
                  <w:lock w:val="sdtLocked"/>
                  <w:richText/>
                </w:sdtPr>
                <w:sdtContent>
                  <w:r>
                    <w:rPr>
                      <w:b/>
                      <w:bCs/>
                      <w:szCs w:val="22"/>
                    </w:rPr>
                    <w:t>APRAŠYMAS</w:t>
                  </w:r>
                </w:sdtContent>
              </w:sdt>
            </w:p>
            <w:p>
              <w:pPr>
                <w:jc w:val="center"/>
                <w:rPr>
                  <w:b/>
                  <w:bCs/>
                  <w:szCs w:val="22"/>
                </w:rPr>
              </w:pPr>
            </w:p>
            <w:tbl>
              <w:tblPr>
                <w:tblW w:w="98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275"/>
                <w:gridCol w:w="6614"/>
              </w:tblGrid>
              <w:tr>
                <w:tc>
                  <w:tcPr>
                    <w:tcW w:w="3275" w:type="dxa"/>
                  </w:tcPr>
                  <w:p>
                    <w:pPr>
                      <w:rPr>
                        <w:b/>
                        <w:szCs w:val="24"/>
                      </w:rPr>
                    </w:pPr>
                    <w:r>
                      <w:rPr>
                        <w:b/>
                        <w:bCs/>
                        <w:szCs w:val="24"/>
                      </w:rPr>
                      <w:t>Biudžetiniai metai</w:t>
                    </w:r>
                  </w:p>
                </w:tc>
                <w:tc>
                  <w:tcPr>
                    <w:tcW w:w="6614" w:type="dxa"/>
                  </w:tcPr>
                  <w:p>
                    <w:pPr>
                      <w:rPr>
                        <w:b/>
                        <w:szCs w:val="24"/>
                      </w:rPr>
                    </w:pPr>
                    <w:r>
                      <w:rPr>
                        <w:b/>
                        <w:szCs w:val="24"/>
                      </w:rPr>
                      <w:t>2022</w:t>
                    </w:r>
                  </w:p>
                </w:tc>
              </w:tr>
              <w:tr>
                <w:trPr>
                  <w:trHeight w:val="431"/>
                </w:trPr>
                <w:tc>
                  <w:tcPr>
                    <w:tcW w:w="3275" w:type="dxa"/>
                  </w:tcPr>
                  <w:p>
                    <w:pPr>
                      <w:rPr>
                        <w:b/>
                        <w:szCs w:val="24"/>
                      </w:rPr>
                    </w:pPr>
                    <w:r>
                      <w:rPr>
                        <w:b/>
                        <w:bCs/>
                        <w:szCs w:val="24"/>
                      </w:rPr>
                      <w:t>Programos vykdymo laikotarpis</w:t>
                    </w:r>
                  </w:p>
                </w:tc>
                <w:tc>
                  <w:tcPr>
                    <w:tcW w:w="6614" w:type="dxa"/>
                  </w:tcPr>
                  <w:p>
                    <w:pPr>
                      <w:rPr>
                        <w:b/>
                        <w:szCs w:val="24"/>
                      </w:rPr>
                    </w:pPr>
                    <w:r>
                      <w:rPr>
                        <w:b/>
                        <w:szCs w:val="24"/>
                      </w:rPr>
                      <w:t>Tęstinė</w:t>
                    </w:r>
                  </w:p>
                </w:tc>
              </w:tr>
              <w:tr>
                <w:trPr>
                  <w:trHeight w:val="653"/>
                </w:trPr>
                <w:tc>
                  <w:tcPr>
                    <w:tcW w:w="3275" w:type="dxa"/>
                  </w:tcPr>
                  <w:p>
                    <w:pPr>
                      <w:rPr>
                        <w:b/>
                        <w:szCs w:val="24"/>
                      </w:rPr>
                    </w:pPr>
                    <w:r>
                      <w:rPr>
                        <w:b/>
                        <w:bCs/>
                        <w:szCs w:val="24"/>
                      </w:rPr>
                      <w:t>Asignavimų valdytojai, kodas</w:t>
                    </w:r>
                  </w:p>
                </w:tc>
                <w:tc>
                  <w:tcPr>
                    <w:tcW w:w="6614" w:type="dxa"/>
                  </w:tcPr>
                  <w:p>
                    <w:pPr>
                      <w:rPr>
                        <w:szCs w:val="24"/>
                      </w:rPr>
                    </w:pPr>
                    <w:r>
                      <w:rPr>
                        <w:szCs w:val="24"/>
                      </w:rPr>
                      <w:t>Neringos savivaldybės administracija (188754378)</w:t>
                    </w:r>
                  </w:p>
                  <w:p>
                    <w:pPr>
                      <w:rPr>
                        <w:szCs w:val="24"/>
                      </w:rPr>
                    </w:pPr>
                    <w:r>
                      <w:rPr>
                        <w:szCs w:val="24"/>
                      </w:rPr>
                      <w:t>Neringos socialinių paslaugų centras (302303230)</w:t>
                    </w:r>
                  </w:p>
                </w:tc>
              </w:tr>
              <w:tr>
                <w:tc>
                  <w:tcPr>
                    <w:tcW w:w="3275" w:type="dxa"/>
                  </w:tcPr>
                  <w:p>
                    <w:pPr>
                      <w:rPr>
                        <w:b/>
                        <w:szCs w:val="24"/>
                      </w:rPr>
                    </w:pPr>
                    <w:r>
                      <w:rPr>
                        <w:b/>
                        <w:bCs/>
                        <w:szCs w:val="24"/>
                      </w:rPr>
                      <w:t>Programos vykdytojai</w:t>
                    </w:r>
                  </w:p>
                </w:tc>
                <w:tc>
                  <w:tcPr>
                    <w:tcW w:w="6614" w:type="dxa"/>
                  </w:tcPr>
                  <w:p>
                    <w:pPr>
                      <w:jc w:val="both"/>
                      <w:rPr>
                        <w:szCs w:val="24"/>
                      </w:rPr>
                    </w:pPr>
                    <w:r>
                      <w:rPr>
                        <w:szCs w:val="24"/>
                      </w:rPr>
                      <w:t xml:space="preserve">Socialinės paramos skyrius </w:t>
                    </w:r>
                  </w:p>
                  <w:p>
                    <w:pPr>
                      <w:rPr>
                        <w:color w:val="FF0000"/>
                        <w:szCs w:val="24"/>
                      </w:rPr>
                    </w:pPr>
                    <w:r>
                      <w:rPr>
                        <w:szCs w:val="24"/>
                      </w:rPr>
                      <w:t>Neringos savivaldybės administracijos jaunimo reikalų koordinatorius</w:t>
                    </w:r>
                  </w:p>
                  <w:p>
                    <w:pPr>
                      <w:jc w:val="both"/>
                      <w:rPr>
                        <w:szCs w:val="24"/>
                      </w:rPr>
                    </w:pPr>
                    <w:r>
                      <w:rPr>
                        <w:szCs w:val="24"/>
                      </w:rPr>
                      <w:t>Miesto tvarkymo ir statybos skyrius</w:t>
                    </w:r>
                  </w:p>
                  <w:p>
                    <w:pPr>
                      <w:jc w:val="both"/>
                      <w:rPr>
                        <w:szCs w:val="24"/>
                      </w:rPr>
                    </w:pPr>
                    <w:r>
                      <w:rPr>
                        <w:szCs w:val="24"/>
                      </w:rPr>
                      <w:t>Biudžeto ir turto valdymo skyrius</w:t>
                    </w:r>
                  </w:p>
                  <w:p>
                    <w:pPr>
                      <w:jc w:val="both"/>
                      <w:rPr>
                        <w:szCs w:val="24"/>
                      </w:rPr>
                    </w:pPr>
                    <w:r>
                      <w:rPr>
                        <w:szCs w:val="24"/>
                      </w:rPr>
                      <w:t xml:space="preserve">Neringos socialinių paslaugų centras </w:t>
                    </w:r>
                  </w:p>
                </w:tc>
              </w:tr>
            </w:tbl>
            <w:p>
              <w:pPr>
                <w:jc w:val="center"/>
                <w:rPr>
                  <w:szCs w:val="24"/>
                </w:rPr>
              </w:pPr>
            </w:p>
          </w:sdtContent>
        </w:sdt>
        <w:sdt>
          <w:sdtPr>
            <w:alias w:val="lentele"/>
            <w:tag w:val="part_00ad2897f4d94f10bc6f4079b3e372c6"/>
            <w:lock w:val="sdtLocked"/>
            <w:richText/>
          </w:sdtPr>
          <w:sdtContent>
            <w:tbl>
              <w:tblPr>
                <w:tblW w:w="98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313"/>
                <w:gridCol w:w="4620"/>
                <w:gridCol w:w="993"/>
                <w:gridCol w:w="928"/>
              </w:tblGrid>
              <w:tr>
                <w:tc>
                  <w:tcPr>
                    <w:tcW w:w="3313" w:type="dxa"/>
                  </w:tcPr>
                  <w:p>
                    <w:pPr>
                      <w:rPr>
                        <w:szCs w:val="24"/>
                      </w:rPr>
                    </w:pPr>
                    <w:r>
                      <w:rPr>
                        <w:b/>
                        <w:szCs w:val="24"/>
                      </w:rPr>
                      <w:t>Programos parengimo argumentai</w:t>
                    </w:r>
                  </w:p>
                </w:tc>
                <w:tc>
                  <w:tcPr>
                    <w:tcW w:w="6541" w:type="dxa"/>
                    <w:gridSpan w:val="3"/>
                  </w:tcPr>
                  <w:p>
                    <w:pPr>
                      <w:ind w:firstLine="567"/>
                      <w:jc w:val="both"/>
                      <w:rPr>
                        <w:szCs w:val="24"/>
                      </w:rPr>
                    </w:pPr>
                    <w:r>
                      <w:rPr>
                        <w:szCs w:val="24"/>
                      </w:rPr>
                      <w:t xml:space="preserve">Programa parengta siekiant užtikrinti socialiai pažeidžiamų gyventojų grupių socialinę integraciją bei efektyvią socialinę apsaugą. Realizuojamos Lietuvos Respublikos vietos savivaldos įstatymu nustatytos </w:t>
                    </w:r>
                    <w:r>
                      <w:rPr>
                        <w:i/>
                        <w:szCs w:val="24"/>
                      </w:rPr>
                      <w:t>savarankiškosios savivaldybių funkcijos</w:t>
                    </w:r>
                    <w:r>
                      <w:rPr>
                        <w:szCs w:val="24"/>
                      </w:rPr>
                      <w:t xml:space="preserve">: </w:t>
                    </w:r>
                    <w:r>
                      <w:rPr>
                        <w:szCs w:val="24"/>
                        <w:lang w:eastAsia="lt-LT"/>
                      </w:rPr>
                      <w:t>socialinių paslaugų planavimas ir teikimas, socialinių paslaugų įstaigų steigimas, išlaikymas ir bendradarbiavimas su nevyriausybinėmis organizacijomis; sąlygų savivaldybės teritorijoje gyvenančių neįgaliųjų socialiniam integravimui į bendruomenę sudarymas.</w:t>
                    </w:r>
                  </w:p>
                  <w:p>
                    <w:pPr>
                      <w:ind w:firstLine="567"/>
                      <w:jc w:val="both"/>
                      <w:rPr>
                        <w:szCs w:val="24"/>
                      </w:rPr>
                    </w:pPr>
                    <w:r>
                      <w:rPr>
                        <w:bCs/>
                        <w:szCs w:val="24"/>
                      </w:rPr>
                      <w:t xml:space="preserve">Programa taip pat įgyvendinamos </w:t>
                    </w:r>
                    <w:r>
                      <w:rPr>
                        <w:szCs w:val="24"/>
                      </w:rPr>
                      <w:t>Lietuvos Respublikos vietos savivaldos įstatymu nustatytos valstybinės (valstybės perduotos savivaldybėms) funkcijos. Valstybinės funkcijos – tai valstybės funkcijos, perduotos savivaldybėms atsižvelgiant į gyventojų interesus. Šios funkcijos perduotos įstatymų ir įgyvendinamos vadovaujantis valstybės teisės aktais.</w:t>
                    </w:r>
                  </w:p>
                  <w:p>
                    <w:pPr>
                      <w:ind w:firstLine="567"/>
                      <w:jc w:val="both"/>
                      <w:rPr>
                        <w:szCs w:val="24"/>
                      </w:rPr>
                    </w:pPr>
                    <w:r>
                      <w:rPr>
                        <w:szCs w:val="24"/>
                      </w:rPr>
                      <w:t xml:space="preserve">Teikiant socialinę paramą žmonėms bei užtikrinat socialinės atskirties mažinimą, efektyvią socialinę apsaugą, yra būtinybė parengti Socialinės paramos programą. </w:t>
                    </w:r>
                  </w:p>
                </w:tc>
              </w:tr>
              <w:tr>
                <w:tc>
                  <w:tcPr>
                    <w:tcW w:w="3313" w:type="dxa"/>
                  </w:tcPr>
                  <w:p>
                    <w:pPr>
                      <w:rPr>
                        <w:b/>
                        <w:szCs w:val="24"/>
                      </w:rPr>
                    </w:pPr>
                    <w:r>
                      <w:rPr>
                        <w:b/>
                        <w:szCs w:val="24"/>
                      </w:rPr>
                      <w:t>Ilgalaikiai prioritetai</w:t>
                    </w:r>
                  </w:p>
                  <w:p>
                    <w:pPr>
                      <w:rPr>
                        <w:szCs w:val="24"/>
                      </w:rPr>
                    </w:pPr>
                    <w:r>
                      <w:rPr>
                        <w:b/>
                        <w:szCs w:val="24"/>
                      </w:rPr>
                      <w:t>(pagal NSSPP 2021–2030)</w:t>
                    </w:r>
                  </w:p>
                </w:tc>
                <w:tc>
                  <w:tcPr>
                    <w:tcW w:w="4620" w:type="dxa"/>
                  </w:tcPr>
                  <w:p>
                    <w:pPr>
                      <w:jc w:val="both"/>
                      <w:rPr>
                        <w:rFonts w:eastAsia="Calibri"/>
                        <w:szCs w:val="24"/>
                      </w:rPr>
                    </w:pPr>
                    <w:r>
                      <w:rPr>
                        <w:rFonts w:eastAsia="Calibri"/>
                        <w:szCs w:val="24"/>
                      </w:rPr>
                      <w:t>II prioritetas. Patrauklios aplinkos gyvenimui ir poilsiui kūrimas.</w:t>
                    </w:r>
                  </w:p>
                  <w:p>
                    <w:pPr>
                      <w:jc w:val="both"/>
                      <w:rPr>
                        <w:szCs w:val="24"/>
                      </w:rPr>
                    </w:pPr>
                    <w:r>
                      <w:rPr>
                        <w:rFonts w:eastAsia="Calibri"/>
                        <w:szCs w:val="24"/>
                      </w:rPr>
                      <w:t>III prioritetas. Efektyvus Neringos savivaldybės valdymas</w:t>
                    </w:r>
                  </w:p>
                </w:tc>
                <w:tc>
                  <w:tcPr>
                    <w:tcW w:w="993" w:type="dxa"/>
                  </w:tcPr>
                  <w:p>
                    <w:pPr>
                      <w:keepNext/>
                      <w:outlineLvl w:val="4"/>
                      <w:rPr>
                        <w:b/>
                        <w:bCs/>
                        <w:szCs w:val="24"/>
                      </w:rPr>
                    </w:pPr>
                    <w:r>
                      <w:rPr>
                        <w:b/>
                        <w:bCs/>
                        <w:szCs w:val="24"/>
                      </w:rPr>
                      <w:t>Kodas</w:t>
                    </w:r>
                  </w:p>
                  <w:p>
                    <w:pPr>
                      <w:spacing w:line="259" w:lineRule="auto"/>
                      <w:rPr>
                        <w:szCs w:val="24"/>
                      </w:rPr>
                    </w:pPr>
                  </w:p>
                  <w:p>
                    <w:pPr>
                      <w:rPr>
                        <w:sz w:val="14"/>
                        <w:szCs w:val="14"/>
                      </w:rPr>
                    </w:pPr>
                  </w:p>
                  <w:p>
                    <w:pPr>
                      <w:spacing w:line="259" w:lineRule="auto"/>
                      <w:rPr>
                        <w:b/>
                        <w:szCs w:val="24"/>
                      </w:rPr>
                    </w:pPr>
                    <w:r>
                      <w:rPr>
                        <w:b/>
                        <w:szCs w:val="24"/>
                      </w:rPr>
                      <w:t>Kodas</w:t>
                    </w:r>
                  </w:p>
                </w:tc>
                <w:tc>
                  <w:tcPr>
                    <w:tcW w:w="928" w:type="dxa"/>
                  </w:tcPr>
                  <w:p>
                    <w:pPr>
                      <w:keepNext/>
                      <w:jc w:val="center"/>
                      <w:outlineLvl w:val="4"/>
                      <w:rPr>
                        <w:b/>
                        <w:szCs w:val="24"/>
                      </w:rPr>
                    </w:pPr>
                    <w:r>
                      <w:rPr>
                        <w:b/>
                        <w:szCs w:val="24"/>
                      </w:rPr>
                      <w:t>2</w:t>
                    </w:r>
                  </w:p>
                  <w:p>
                    <w:pPr>
                      <w:spacing w:line="259" w:lineRule="auto"/>
                      <w:jc w:val="center"/>
                      <w:rPr>
                        <w:szCs w:val="24"/>
                      </w:rPr>
                    </w:pPr>
                  </w:p>
                  <w:p>
                    <w:pPr>
                      <w:rPr>
                        <w:sz w:val="14"/>
                        <w:szCs w:val="14"/>
                      </w:rPr>
                    </w:pPr>
                  </w:p>
                  <w:p>
                    <w:pPr>
                      <w:spacing w:line="259" w:lineRule="auto"/>
                      <w:jc w:val="center"/>
                      <w:rPr>
                        <w:b/>
                        <w:szCs w:val="24"/>
                      </w:rPr>
                    </w:pPr>
                    <w:r>
                      <w:rPr>
                        <w:b/>
                        <w:szCs w:val="24"/>
                      </w:rPr>
                      <w:t>3</w:t>
                    </w:r>
                  </w:p>
                </w:tc>
              </w:tr>
              <w:tr>
                <w:tc>
                  <w:tcPr>
                    <w:tcW w:w="3313" w:type="dxa"/>
                  </w:tcPr>
                  <w:p>
                    <w:pPr>
                      <w:rPr>
                        <w:szCs w:val="24"/>
                      </w:rPr>
                    </w:pPr>
                    <w:r>
                      <w:rPr>
                        <w:b/>
                        <w:szCs w:val="24"/>
                      </w:rPr>
                      <w:t>Šia programa įgyvendinamas savivaldybės strateginiai tikslai</w:t>
                    </w:r>
                  </w:p>
                </w:tc>
                <w:tc>
                  <w:tcPr>
                    <w:tcW w:w="4620" w:type="dxa"/>
                  </w:tcPr>
                  <w:p>
                    <w:pPr>
                      <w:tabs>
                        <w:tab w:val="left" w:pos="676"/>
                      </w:tabs>
                      <w:spacing w:line="259" w:lineRule="auto"/>
                      <w:ind w:firstLine="360"/>
                      <w:jc w:val="both"/>
                      <w:rPr>
                        <w:sz w:val="22"/>
                        <w:szCs w:val="22"/>
                      </w:rPr>
                    </w:pPr>
                    <w:r>
                      <w:rPr>
                        <w:szCs w:val="24"/>
                      </w:rPr>
                      <w:t>1.</w:t>
                      <w:tab/>
                    </w:r>
                    <w:r>
                      <w:rPr>
                        <w:sz w:val="22"/>
                        <w:szCs w:val="22"/>
                      </w:rPr>
                      <w:t>Užtikrinti kultūrai, sportui ir gyvenimui patrauklios aplinkos kūrimą.</w:t>
                    </w:r>
                  </w:p>
                  <w:p>
                    <w:pPr>
                      <w:rPr>
                        <w:sz w:val="14"/>
                        <w:szCs w:val="14"/>
                      </w:rPr>
                    </w:pPr>
                  </w:p>
                  <w:p>
                    <w:pPr>
                      <w:tabs>
                        <w:tab w:val="left" w:pos="676"/>
                      </w:tabs>
                      <w:spacing w:line="259" w:lineRule="auto"/>
                      <w:ind w:firstLine="360"/>
                      <w:jc w:val="both"/>
                      <w:rPr>
                        <w:sz w:val="22"/>
                        <w:szCs w:val="22"/>
                      </w:rPr>
                    </w:pPr>
                    <w:r>
                      <w:rPr>
                        <w:szCs w:val="24"/>
                      </w:rPr>
                      <w:t>2.</w:t>
                      <w:tab/>
                    </w:r>
                    <w:r>
                      <w:rPr>
                        <w:sz w:val="22"/>
                        <w:szCs w:val="22"/>
                      </w:rPr>
                      <w:t>Laimingos bendruomenės kūrimas.</w:t>
                    </w:r>
                  </w:p>
                  <w:p>
                    <w:pPr>
                      <w:rPr>
                        <w:sz w:val="14"/>
                        <w:szCs w:val="14"/>
                      </w:rPr>
                    </w:pPr>
                  </w:p>
                  <w:p>
                    <w:pPr>
                      <w:tabs>
                        <w:tab w:val="left" w:pos="676"/>
                      </w:tabs>
                      <w:spacing w:line="259" w:lineRule="auto"/>
                      <w:ind w:firstLine="360"/>
                      <w:jc w:val="both"/>
                      <w:rPr>
                        <w:sz w:val="22"/>
                        <w:szCs w:val="22"/>
                      </w:rPr>
                    </w:pPr>
                    <w:r>
                      <w:rPr>
                        <w:szCs w:val="24"/>
                      </w:rPr>
                      <w:t>3.</w:t>
                      <w:tab/>
                    </w:r>
                    <w:r>
                      <w:rPr>
                        <w:sz w:val="22"/>
                        <w:szCs w:val="22"/>
                      </w:rPr>
                      <w:t>Viešųjų paslaugų kokybės gerinimas.</w:t>
                    </w:r>
                  </w:p>
                </w:tc>
                <w:tc>
                  <w:tcPr>
                    <w:tcW w:w="993" w:type="dxa"/>
                  </w:tcPr>
                  <w:p>
                    <w:pPr>
                      <w:rPr>
                        <w:sz w:val="20"/>
                      </w:rPr>
                    </w:pPr>
                  </w:p>
                  <w:p>
                    <w:pPr>
                      <w:keepNext/>
                      <w:outlineLvl w:val="3"/>
                      <w:rPr>
                        <w:b/>
                        <w:bCs/>
                        <w:szCs w:val="24"/>
                      </w:rPr>
                    </w:pPr>
                    <w:r>
                      <w:rPr>
                        <w:b/>
                        <w:bCs/>
                        <w:szCs w:val="24"/>
                      </w:rPr>
                      <w:t>Kodas</w:t>
                    </w:r>
                  </w:p>
                  <w:p>
                    <w:pPr>
                      <w:rPr>
                        <w:sz w:val="20"/>
                      </w:rPr>
                    </w:pPr>
                  </w:p>
                  <w:p>
                    <w:pPr>
                      <w:keepNext/>
                      <w:outlineLvl w:val="3"/>
                      <w:rPr>
                        <w:b/>
                        <w:bCs/>
                        <w:szCs w:val="24"/>
                      </w:rPr>
                    </w:pPr>
                    <w:r>
                      <w:rPr>
                        <w:b/>
                        <w:bCs/>
                        <w:szCs w:val="24"/>
                      </w:rPr>
                      <w:t>Kodas</w:t>
                    </w:r>
                  </w:p>
                </w:tc>
                <w:tc>
                  <w:tcPr>
                    <w:tcW w:w="928" w:type="dxa"/>
                  </w:tcPr>
                  <w:p>
                    <w:pPr>
                      <w:jc w:val="center"/>
                      <w:rPr>
                        <w:b/>
                        <w:szCs w:val="24"/>
                      </w:rPr>
                    </w:pPr>
                  </w:p>
                  <w:p>
                    <w:pPr>
                      <w:jc w:val="center"/>
                      <w:rPr>
                        <w:b/>
                        <w:strike/>
                        <w:szCs w:val="24"/>
                      </w:rPr>
                    </w:pPr>
                    <w:r>
                      <w:rPr>
                        <w:b/>
                        <w:szCs w:val="24"/>
                      </w:rPr>
                      <w:t>2</w:t>
                    </w:r>
                  </w:p>
                  <w:p>
                    <w:pPr>
                      <w:spacing w:line="259" w:lineRule="auto"/>
                      <w:jc w:val="center"/>
                      <w:rPr>
                        <w:b/>
                        <w:szCs w:val="24"/>
                      </w:rPr>
                    </w:pPr>
                  </w:p>
                  <w:p>
                    <w:pPr>
                      <w:rPr>
                        <w:sz w:val="14"/>
                        <w:szCs w:val="14"/>
                      </w:rPr>
                    </w:pPr>
                  </w:p>
                  <w:p>
                    <w:pPr>
                      <w:spacing w:line="259" w:lineRule="auto"/>
                      <w:jc w:val="center"/>
                      <w:rPr>
                        <w:b/>
                        <w:szCs w:val="24"/>
                      </w:rPr>
                    </w:pPr>
                    <w:r>
                      <w:rPr>
                        <w:b/>
                        <w:szCs w:val="24"/>
                      </w:rPr>
                      <w:t>3</w:t>
                    </w:r>
                  </w:p>
                </w:tc>
              </w:tr>
            </w:tbl>
            <w:p>
              <w:pPr>
                <w:jc w:val="center"/>
                <w:rPr>
                  <w:szCs w:val="24"/>
                </w:rPr>
              </w:pPr>
            </w:p>
          </w:sdtContent>
        </w:sdt>
        <w:sdt>
          <w:sdtPr>
            <w:alias w:val="lentele"/>
            <w:tag w:val="part_714ffafa09a644f4b82a9090ac143d38"/>
            <w:lock w:val="sdtLocked"/>
            <w:richText/>
          </w:sdtPr>
          <w:sdtContent>
            <w:tbl>
              <w:tblPr>
                <w:tblW w:w="97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413"/>
                <w:gridCol w:w="42"/>
                <w:gridCol w:w="808"/>
                <w:gridCol w:w="5670"/>
                <w:gridCol w:w="993"/>
                <w:gridCol w:w="850"/>
              </w:tblGrid>
              <w:tr>
                <w:trPr>
                  <w:trHeight w:val="174"/>
                </w:trPr>
                <w:tc>
                  <w:tcPr>
                    <w:tcW w:w="2263" w:type="dxa"/>
                    <w:gridSpan w:val="3"/>
                  </w:tcPr>
                  <w:p>
                    <w:pPr>
                      <w:keepNext/>
                      <w:rPr>
                        <w:b/>
                        <w:bCs/>
                        <w:szCs w:val="24"/>
                      </w:rPr>
                    </w:pPr>
                    <w:r>
                      <w:rPr>
                        <w:b/>
                        <w:szCs w:val="24"/>
                      </w:rPr>
                      <w:t>Programos tikslas</w:t>
                    </w:r>
                  </w:p>
                </w:tc>
                <w:tc>
                  <w:tcPr>
                    <w:tcW w:w="5670" w:type="dxa"/>
                  </w:tcPr>
                  <w:p>
                    <w:pPr>
                      <w:tabs>
                        <w:tab w:val="left" w:pos="676"/>
                      </w:tabs>
                      <w:spacing w:line="259" w:lineRule="auto"/>
                      <w:jc w:val="both"/>
                      <w:rPr>
                        <w:szCs w:val="24"/>
                      </w:rPr>
                    </w:pPr>
                    <w:r>
                      <w:rPr>
                        <w:szCs w:val="24"/>
                      </w:rPr>
                      <w:t>Užtikrinti kultūrai, sportui ir gyvenimui patrauklios aplinkos kūrimą.</w:t>
                    </w:r>
                  </w:p>
                </w:tc>
                <w:tc>
                  <w:tcPr>
                    <w:tcW w:w="993" w:type="dxa"/>
                  </w:tcPr>
                  <w:p>
                    <w:pPr>
                      <w:keepNext/>
                      <w:jc w:val="center"/>
                      <w:rPr>
                        <w:b/>
                        <w:bCs/>
                        <w:szCs w:val="24"/>
                      </w:rPr>
                    </w:pPr>
                    <w:r>
                      <w:rPr>
                        <w:b/>
                        <w:bCs/>
                        <w:szCs w:val="24"/>
                      </w:rPr>
                      <w:t>Kodai</w:t>
                    </w:r>
                  </w:p>
                </w:tc>
                <w:tc>
                  <w:tcPr>
                    <w:tcW w:w="850" w:type="dxa"/>
                  </w:tcPr>
                  <w:p>
                    <w:pPr>
                      <w:jc w:val="center"/>
                      <w:rPr>
                        <w:b/>
                        <w:szCs w:val="24"/>
                      </w:rPr>
                    </w:pPr>
                    <w:r>
                      <w:rPr>
                        <w:b/>
                        <w:szCs w:val="24"/>
                      </w:rPr>
                      <w:t>2.2</w:t>
                    </w:r>
                  </w:p>
                  <w:p>
                    <w:pPr>
                      <w:rPr>
                        <w:b/>
                        <w:szCs w:val="24"/>
                      </w:rPr>
                    </w:pPr>
                  </w:p>
                </w:tc>
              </w:tr>
              <w:tr>
                <w:trPr>
                  <w:trHeight w:val="6935"/>
                </w:trPr>
                <w:tc>
                  <w:tcPr>
                    <w:tcW w:w="9776" w:type="dxa"/>
                    <w:gridSpan w:val="6"/>
                    <w:tcBorders>
                      <w:bottom w:val="single" w:sz="4" w:space="0" w:color="auto"/>
                    </w:tcBorders>
                  </w:tcPr>
                  <w:tbl>
                    <w:tblPr>
                      <w:tblW w:w="966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150"/>
                      <w:gridCol w:w="7484"/>
                      <w:gridCol w:w="29"/>
                    </w:tblGrid>
                    <w:tr>
                      <w:trPr>
                        <w:gridAfter w:val="1"/>
                        <w:wAfter w:w="29" w:type="dxa"/>
                        <w:trHeight w:val="182"/>
                      </w:trPr>
                      <w:tc>
                        <w:tcPr>
                          <w:tcW w:w="9634" w:type="dxa"/>
                          <w:gridSpan w:val="2"/>
                        </w:tcPr>
                        <w:p>
                          <w:pPr>
                            <w:rPr>
                              <w:b/>
                              <w:bCs/>
                              <w:szCs w:val="24"/>
                            </w:rPr>
                          </w:pPr>
                          <w:r>
                            <w:rPr>
                              <w:b/>
                              <w:bCs/>
                              <w:szCs w:val="24"/>
                            </w:rPr>
                            <w:t xml:space="preserve">Tikslo įgyvendinimo aprašymas: </w:t>
                          </w:r>
                        </w:p>
                        <w:p>
                          <w:pPr>
                            <w:jc w:val="both"/>
                            <w:rPr>
                              <w:bCs/>
                              <w:szCs w:val="24"/>
                            </w:rPr>
                          </w:pPr>
                          <w:r>
                            <w:rPr>
                              <w:bCs/>
                              <w:szCs w:val="24"/>
                            </w:rPr>
                            <w:t xml:space="preserve">Plėtoti gyvenamosios paskirties pastatų statybą ir įsigijimą. </w:t>
                          </w:r>
                        </w:p>
                      </w:tc>
                    </w:tr>
                    <w:tr>
                      <w:trPr>
                        <w:gridAfter w:val="1"/>
                        <w:wAfter w:w="29" w:type="dxa"/>
                      </w:trPr>
                      <w:tc>
                        <w:tcPr>
                          <w:tcW w:w="2150" w:type="dxa"/>
                        </w:tcPr>
                        <w:p>
                          <w:pPr>
                            <w:jc w:val="center"/>
                            <w:rPr>
                              <w:szCs w:val="24"/>
                            </w:rPr>
                          </w:pPr>
                          <w:r>
                            <w:rPr>
                              <w:b/>
                              <w:szCs w:val="24"/>
                            </w:rPr>
                            <w:t>2.2.2 uždavinys</w:t>
                          </w:r>
                        </w:p>
                      </w:tc>
                      <w:tc>
                        <w:tcPr>
                          <w:tcW w:w="7484" w:type="dxa"/>
                        </w:tcPr>
                        <w:p>
                          <w:pPr>
                            <w:jc w:val="both"/>
                            <w:rPr>
                              <w:b/>
                              <w:bCs/>
                              <w:szCs w:val="24"/>
                            </w:rPr>
                          </w:pPr>
                          <w:r>
                            <w:rPr>
                              <w:b/>
                              <w:szCs w:val="24"/>
                            </w:rPr>
                            <w:t>Pritraukti nuolatos gyvenančius ir dirbančius gyventojus į savivaldybę</w:t>
                          </w:r>
                        </w:p>
                      </w:tc>
                    </w:tr>
                    <w:tr>
                      <w:trPr>
                        <w:trHeight w:val="2194"/>
                      </w:trPr>
                      <w:tc>
                        <w:tcPr>
                          <w:tcW w:w="9663" w:type="dxa"/>
                          <w:gridSpan w:val="3"/>
                          <w:tcBorders>
                            <w:left w:val="nil"/>
                            <w:bottom w:val="nil"/>
                            <w:right w:val="nil"/>
                          </w:tcBorders>
                        </w:tcPr>
                        <w:p>
                          <w:pPr>
                            <w:tabs>
                              <w:tab w:val="left" w:pos="120"/>
                              <w:tab w:val="left" w:pos="270"/>
                            </w:tabs>
                            <w:jc w:val="both"/>
                            <w:rPr>
                              <w:szCs w:val="24"/>
                            </w:rPr>
                          </w:pPr>
                          <w:r>
                            <w:rPr>
                              <w:szCs w:val="24"/>
                            </w:rPr>
                            <w:t xml:space="preserve">Planuojama: </w:t>
                          </w:r>
                        </w:p>
                        <w:p>
                          <w:pPr>
                            <w:tabs>
                              <w:tab w:val="left" w:pos="120"/>
                              <w:tab w:val="left" w:pos="270"/>
                              <w:tab w:val="left" w:pos="596"/>
                            </w:tabs>
                            <w:spacing w:line="259" w:lineRule="auto"/>
                            <w:ind w:left="29" w:firstLine="331"/>
                            <w:jc w:val="both"/>
                            <w:rPr>
                              <w:sz w:val="22"/>
                              <w:szCs w:val="22"/>
                            </w:rPr>
                          </w:pPr>
                          <w:r>
                            <w:rPr>
                              <w:szCs w:val="24"/>
                            </w:rPr>
                            <w:t>-</w:t>
                            <w:tab/>
                          </w:r>
                          <w:r>
                            <w:rPr>
                              <w:sz w:val="22"/>
                              <w:szCs w:val="22"/>
                            </w:rPr>
                            <w:t>įgyvendinti projektą „Socialinio būsto Neringoje, Preiloje, statyba“ (ESF ir Neringos savivaldybės biudžeto lėšos);</w:t>
                          </w:r>
                        </w:p>
                        <w:p>
                          <w:pPr>
                            <w:rPr>
                              <w:sz w:val="14"/>
                              <w:szCs w:val="14"/>
                            </w:rPr>
                          </w:pPr>
                        </w:p>
                        <w:p>
                          <w:pPr>
                            <w:tabs>
                              <w:tab w:val="left" w:pos="120"/>
                              <w:tab w:val="left" w:pos="270"/>
                            </w:tabs>
                            <w:spacing w:line="259" w:lineRule="auto"/>
                            <w:ind w:left="596" w:hanging="236"/>
                            <w:jc w:val="both"/>
                            <w:rPr>
                              <w:sz w:val="22"/>
                              <w:szCs w:val="22"/>
                            </w:rPr>
                          </w:pPr>
                          <w:r>
                            <w:rPr>
                              <w:szCs w:val="24"/>
                            </w:rPr>
                            <w:t>-</w:t>
                            <w:tab/>
                          </w:r>
                          <w:r>
                            <w:rPr>
                              <w:sz w:val="22"/>
                              <w:szCs w:val="22"/>
                            </w:rPr>
                            <w:t>įrengti ir sutvarkyti 2 socialinius būstus;</w:t>
                          </w:r>
                        </w:p>
                        <w:p>
                          <w:pPr>
                            <w:rPr>
                              <w:sz w:val="14"/>
                              <w:szCs w:val="14"/>
                            </w:rPr>
                          </w:pPr>
                        </w:p>
                        <w:p>
                          <w:pPr>
                            <w:tabs>
                              <w:tab w:val="left" w:pos="120"/>
                              <w:tab w:val="left" w:pos="270"/>
                            </w:tabs>
                            <w:spacing w:line="259" w:lineRule="auto"/>
                            <w:ind w:left="596" w:hanging="236"/>
                            <w:jc w:val="both"/>
                            <w:rPr>
                              <w:sz w:val="22"/>
                              <w:szCs w:val="22"/>
                            </w:rPr>
                          </w:pPr>
                          <w:r>
                            <w:rPr>
                              <w:szCs w:val="24"/>
                            </w:rPr>
                            <w:t>-</w:t>
                            <w:tab/>
                          </w:r>
                          <w:r>
                            <w:rPr>
                              <w:sz w:val="22"/>
                              <w:szCs w:val="22"/>
                            </w:rPr>
                            <w:t>socialinių bustų nuoma iš fizinių ir juridinių asmenų;</w:t>
                          </w:r>
                        </w:p>
                        <w:p>
                          <w:pPr>
                            <w:rPr>
                              <w:sz w:val="14"/>
                              <w:szCs w:val="14"/>
                            </w:rPr>
                          </w:pPr>
                        </w:p>
                        <w:p>
                          <w:pPr>
                            <w:tabs>
                              <w:tab w:val="left" w:pos="120"/>
                              <w:tab w:val="left" w:pos="270"/>
                            </w:tabs>
                            <w:spacing w:line="259" w:lineRule="auto"/>
                            <w:ind w:left="596" w:hanging="236"/>
                            <w:jc w:val="both"/>
                            <w:rPr>
                              <w:sz w:val="22"/>
                              <w:szCs w:val="22"/>
                            </w:rPr>
                          </w:pPr>
                          <w:r>
                            <w:rPr>
                              <w:szCs w:val="24"/>
                            </w:rPr>
                            <w:t>-</w:t>
                            <w:tab/>
                          </w:r>
                          <w:r>
                            <w:rPr>
                              <w:sz w:val="22"/>
                              <w:szCs w:val="22"/>
                            </w:rPr>
                            <w:t>nupirkti bustų;</w:t>
                          </w:r>
                        </w:p>
                        <w:p>
                          <w:pPr>
                            <w:rPr>
                              <w:sz w:val="14"/>
                              <w:szCs w:val="14"/>
                            </w:rPr>
                          </w:pPr>
                        </w:p>
                        <w:p>
                          <w:pPr>
                            <w:tabs>
                              <w:tab w:val="left" w:pos="120"/>
                              <w:tab w:val="left" w:pos="270"/>
                              <w:tab w:val="left" w:pos="483"/>
                            </w:tabs>
                            <w:spacing w:line="259" w:lineRule="auto"/>
                            <w:ind w:left="58" w:firstLine="302"/>
                            <w:jc w:val="both"/>
                            <w:rPr>
                              <w:sz w:val="22"/>
                              <w:szCs w:val="22"/>
                            </w:rPr>
                          </w:pPr>
                          <w:r>
                            <w:rPr>
                              <w:szCs w:val="24"/>
                            </w:rPr>
                            <w:t>-</w:t>
                            <w:tab/>
                          </w:r>
                          <w:r>
                            <w:rPr>
                              <w:sz w:val="22"/>
                              <w:szCs w:val="22"/>
                            </w:rPr>
                            <w:t xml:space="preserve"> skirti socialinius ir savivaldybės būstus Neringos savivaldybėje gyvenantiems asmenims (šeimoms). </w:t>
                          </w:r>
                        </w:p>
                      </w:tc>
                    </w:tr>
                  </w:tbl>
                  <w:p>
                    <w:pPr>
                      <w:rPr>
                        <w:b/>
                        <w:bCs/>
                        <w:szCs w:val="24"/>
                      </w:rPr>
                    </w:pPr>
                  </w:p>
                  <w:tbl>
                    <w:tblPr>
                      <w:tblW w:w="966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150"/>
                      <w:gridCol w:w="5320"/>
                      <w:gridCol w:w="993"/>
                      <w:gridCol w:w="1200"/>
                    </w:tblGrid>
                    <w:tr>
                      <w:trPr>
                        <w:trHeight w:val="174"/>
                      </w:trPr>
                      <w:tc>
                        <w:tcPr>
                          <w:tcW w:w="2150" w:type="dxa"/>
                        </w:tcPr>
                        <w:p>
                          <w:pPr>
                            <w:keepNext/>
                            <w:rPr>
                              <w:b/>
                              <w:bCs/>
                              <w:szCs w:val="24"/>
                            </w:rPr>
                          </w:pPr>
                          <w:r>
                            <w:rPr>
                              <w:b/>
                              <w:szCs w:val="24"/>
                            </w:rPr>
                            <w:t>Programos tikslas</w:t>
                          </w:r>
                        </w:p>
                      </w:tc>
                      <w:tc>
                        <w:tcPr>
                          <w:tcW w:w="5320" w:type="dxa"/>
                        </w:tcPr>
                        <w:p>
                          <w:pPr>
                            <w:tabs>
                              <w:tab w:val="left" w:pos="676"/>
                            </w:tabs>
                            <w:spacing w:line="259" w:lineRule="auto"/>
                            <w:jc w:val="both"/>
                            <w:rPr>
                              <w:b/>
                              <w:szCs w:val="24"/>
                            </w:rPr>
                          </w:pPr>
                          <w:r>
                            <w:rPr>
                              <w:b/>
                              <w:szCs w:val="24"/>
                            </w:rPr>
                            <w:t>Laimingos bendruomenės kūrimas</w:t>
                          </w:r>
                        </w:p>
                      </w:tc>
                      <w:tc>
                        <w:tcPr>
                          <w:tcW w:w="993" w:type="dxa"/>
                        </w:tcPr>
                        <w:p>
                          <w:pPr>
                            <w:keepNext/>
                            <w:jc w:val="center"/>
                            <w:rPr>
                              <w:b/>
                              <w:bCs/>
                              <w:szCs w:val="24"/>
                            </w:rPr>
                          </w:pPr>
                          <w:r>
                            <w:rPr>
                              <w:b/>
                              <w:bCs/>
                              <w:szCs w:val="24"/>
                            </w:rPr>
                            <w:t>Kodai</w:t>
                          </w:r>
                        </w:p>
                      </w:tc>
                      <w:tc>
                        <w:tcPr>
                          <w:tcW w:w="1200" w:type="dxa"/>
                        </w:tcPr>
                        <w:p>
                          <w:pPr>
                            <w:jc w:val="center"/>
                            <w:rPr>
                              <w:b/>
                              <w:szCs w:val="24"/>
                            </w:rPr>
                          </w:pPr>
                          <w:r>
                            <w:rPr>
                              <w:b/>
                              <w:szCs w:val="24"/>
                            </w:rPr>
                            <w:t>2.3</w:t>
                          </w:r>
                        </w:p>
                      </w:tc>
                    </w:tr>
                  </w:tbl>
                  <w:p>
                    <w:pPr>
                      <w:rPr>
                        <w:b/>
                        <w:bCs/>
                        <w:szCs w:val="24"/>
                      </w:rPr>
                    </w:pPr>
                  </w:p>
                  <w:p>
                    <w:pPr>
                      <w:rPr>
                        <w:b/>
                        <w:bCs/>
                        <w:szCs w:val="24"/>
                      </w:rPr>
                    </w:pPr>
                    <w:r>
                      <w:rPr>
                        <w:b/>
                        <w:bCs/>
                        <w:szCs w:val="24"/>
                      </w:rPr>
                      <w:t xml:space="preserve">Tikslo įgyvendinimo aprašymas: </w:t>
                    </w:r>
                  </w:p>
                  <w:p>
                    <w:pPr>
                      <w:ind w:firstLine="567"/>
                      <w:jc w:val="both"/>
                      <w:rPr>
                        <w:szCs w:val="24"/>
                      </w:rPr>
                    </w:pPr>
                    <w:r>
                      <w:rPr>
                        <w:szCs w:val="24"/>
                      </w:rPr>
                      <w:t xml:space="preserve">Įgyvendinant šį tikslą, siekiama teikti kokybiškas socialines paslaugas Neringos savivaldybės gyventojams ir įtrauki nevyriausybines organizacijas, vietines ir religines bendruomenes kitai socialinei veiklai vykdyti. </w:t>
                    </w:r>
                    <w:r>
                      <w:rPr>
                        <w:bCs/>
                        <w:szCs w:val="24"/>
                      </w:rPr>
                      <w:t xml:space="preserve">Tikslas įgyvendinamas skelbiant </w:t>
                    </w:r>
                    <w:r>
                      <w:rPr>
                        <w:szCs w:val="24"/>
                      </w:rPr>
                      <w:t>Nevyriausybinių organizacijų socialinių projektų dalinio finansavimo Neringos savivaldybės biudžeto lėšomis</w:t>
                    </w:r>
                    <w:r>
                      <w:rPr>
                        <w:szCs w:val="24"/>
                        <w:lang w:eastAsia="lt-LT"/>
                      </w:rPr>
                      <w:t xml:space="preserve"> konkursus ir s</w:t>
                    </w:r>
                    <w:r>
                      <w:rPr>
                        <w:szCs w:val="24"/>
                      </w:rPr>
                      <w:t>kelbiant kvietimus teikti paraiškas Neringos savivaldybės bendruomenių rėmimo programai.</w:t>
                    </w:r>
                  </w:p>
                  <w:p>
                    <w:pPr>
                      <w:ind w:firstLine="567"/>
                      <w:jc w:val="both"/>
                      <w:rPr>
                        <w:szCs w:val="24"/>
                      </w:rPr>
                    </w:pPr>
                    <w:r>
                      <w:rPr>
                        <w:bCs/>
                        <w:szCs w:val="24"/>
                        <w:lang w:val="pt-BR"/>
                      </w:rPr>
                      <w:t>Vykdomas socialinės reabilitacijos paslaugų neįgaliesiems bendruomenėje projektų finansavimas ir jų vykdymo kontrolė.</w:t>
                    </w:r>
                  </w:p>
                  <w:p>
                    <w:pPr>
                      <w:ind w:firstLine="567"/>
                      <w:jc w:val="both"/>
                      <w:rPr>
                        <w:szCs w:val="24"/>
                        <w:lang w:eastAsia="lt-LT"/>
                      </w:rPr>
                    </w:pPr>
                    <w:r>
                      <w:rPr>
                        <w:szCs w:val="24"/>
                      </w:rPr>
                      <w:t>Remiami projektai skirti tik Neringos savivaldybės gyventojų socialinėms problemoms spręsti,</w:t>
                    </w:r>
                    <w:r>
                      <w:rPr>
                        <w:szCs w:val="24"/>
                        <w:lang w:eastAsia="lt-LT"/>
                      </w:rPr>
                      <w:t xml:space="preserve"> suteikia galimybę vykdyti socialinę veiklą socialiai pažeidžiamoms gyventojų grupėms, pavyzdžiui, senjorams ar neįgaliesiems. Taip pat siekiama ugdyti bendruomenės narių pilietiškumą, populiarinti socialinio verslo plėtrą, stiprinti bendruomenės gyventojų sutelktumą ir kt. </w:t>
                    </w:r>
                  </w:p>
                  <w:tbl>
                    <w:tblPr>
                      <w:tblW w:w="93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292"/>
                      <w:gridCol w:w="7088"/>
                    </w:tblGrid>
                    <w:tr>
                      <w:tc>
                        <w:tcPr>
                          <w:tcW w:w="2292" w:type="dxa"/>
                        </w:tcPr>
                        <w:p>
                          <w:pPr>
                            <w:jc w:val="center"/>
                            <w:rPr>
                              <w:szCs w:val="24"/>
                            </w:rPr>
                          </w:pPr>
                          <w:r>
                            <w:rPr>
                              <w:b/>
                              <w:szCs w:val="24"/>
                            </w:rPr>
                            <w:t>2.3.2 uždavinys</w:t>
                          </w:r>
                        </w:p>
                      </w:tc>
                      <w:tc>
                        <w:tcPr>
                          <w:tcW w:w="7088" w:type="dxa"/>
                        </w:tcPr>
                        <w:p>
                          <w:pPr>
                            <w:jc w:val="both"/>
                            <w:rPr>
                              <w:b/>
                              <w:bCs/>
                              <w:szCs w:val="24"/>
                            </w:rPr>
                          </w:pPr>
                          <w:r>
                            <w:rPr>
                              <w:b/>
                              <w:szCs w:val="24"/>
                            </w:rPr>
                            <w:t>Sustiprinti NVO ir viešojo sektoriaus bendradarbiavimą, skatinti įsitraukimą</w:t>
                          </w:r>
                        </w:p>
                      </w:tc>
                    </w:tr>
                  </w:tbl>
                  <w:p>
                    <w:pPr>
                      <w:ind w:firstLine="567"/>
                      <w:jc w:val="both"/>
                      <w:rPr>
                        <w:bCs/>
                        <w:szCs w:val="24"/>
                      </w:rPr>
                    </w:pPr>
                  </w:p>
                  <w:tbl>
                    <w:tblPr>
                      <w:tblW w:w="93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4"/>
                      <w:gridCol w:w="1559"/>
                      <w:gridCol w:w="676"/>
                      <w:gridCol w:w="60"/>
                      <w:gridCol w:w="15"/>
                      <w:gridCol w:w="6960"/>
                      <w:gridCol w:w="86"/>
                    </w:tblGrid>
                    <w:tr>
                      <w:trPr>
                        <w:gridBefore w:val="1"/>
                        <w:wBefore w:w="24" w:type="dxa"/>
                        <w:trHeight w:val="607"/>
                      </w:trPr>
                      <w:tc>
                        <w:tcPr>
                          <w:tcW w:w="2310" w:type="dxa"/>
                          <w:gridSpan w:val="4"/>
                        </w:tcPr>
                        <w:p>
                          <w:pPr>
                            <w:ind w:firstLine="561"/>
                            <w:rPr>
                              <w:b/>
                              <w:szCs w:val="24"/>
                            </w:rPr>
                          </w:pPr>
                          <w:r>
                            <w:rPr>
                              <w:b/>
                              <w:szCs w:val="24"/>
                            </w:rPr>
                            <w:t>2.3.2.1</w:t>
                          </w:r>
                        </w:p>
                        <w:p>
                          <w:pPr>
                            <w:ind w:firstLine="372"/>
                            <w:rPr>
                              <w:b/>
                              <w:szCs w:val="24"/>
                            </w:rPr>
                          </w:pPr>
                          <w:r>
                            <w:rPr>
                              <w:b/>
                              <w:szCs w:val="24"/>
                            </w:rPr>
                            <w:t>priemonė</w:t>
                          </w:r>
                        </w:p>
                      </w:tc>
                      <w:tc>
                        <w:tcPr>
                          <w:tcW w:w="7046" w:type="dxa"/>
                          <w:gridSpan w:val="2"/>
                        </w:tcPr>
                        <w:p>
                          <w:pPr>
                            <w:jc w:val="both"/>
                            <w:rPr>
                              <w:b/>
                              <w:szCs w:val="24"/>
                            </w:rPr>
                          </w:pPr>
                          <w:r>
                            <w:rPr>
                              <w:b/>
                              <w:szCs w:val="24"/>
                            </w:rPr>
                            <w:t>Bendrų veiklų ir projektų tarp NVO ir viešojo sektoriaus įgyvendinimas</w:t>
                          </w:r>
                        </w:p>
                      </w:tc>
                    </w:tr>
                    <w:tr>
                      <w:trPr>
                        <w:gridBefore w:val="1"/>
                        <w:wBefore w:w="24" w:type="dxa"/>
                        <w:trHeight w:val="615"/>
                      </w:trPr>
                      <w:tc>
                        <w:tcPr>
                          <w:tcW w:w="2310" w:type="dxa"/>
                          <w:gridSpan w:val="4"/>
                        </w:tcPr>
                        <w:p>
                          <w:pPr>
                            <w:jc w:val="center"/>
                            <w:rPr>
                              <w:b/>
                              <w:szCs w:val="24"/>
                            </w:rPr>
                          </w:pPr>
                          <w:r>
                            <w:rPr>
                              <w:b/>
                              <w:szCs w:val="24"/>
                            </w:rPr>
                            <w:t>2.3.2.1.1</w:t>
                          </w:r>
                        </w:p>
                        <w:p>
                          <w:pPr>
                            <w:jc w:val="center"/>
                            <w:rPr>
                              <w:b/>
                              <w:szCs w:val="24"/>
                            </w:rPr>
                          </w:pPr>
                          <w:r>
                            <w:rPr>
                              <w:b/>
                              <w:szCs w:val="24"/>
                            </w:rPr>
                            <w:t>ve</w:t>
                          </w:r>
                          <w:r>
                            <w:rPr>
                              <w:szCs w:val="24"/>
                            </w:rPr>
                            <w:t>i</w:t>
                          </w:r>
                          <w:r>
                            <w:rPr>
                              <w:b/>
                              <w:szCs w:val="24"/>
                            </w:rPr>
                            <w:t>kla</w:t>
                          </w:r>
                        </w:p>
                      </w:tc>
                      <w:tc>
                        <w:tcPr>
                          <w:tcW w:w="7046" w:type="dxa"/>
                          <w:gridSpan w:val="2"/>
                        </w:tcPr>
                        <w:p>
                          <w:pPr>
                            <w:jc w:val="both"/>
                            <w:rPr>
                              <w:szCs w:val="24"/>
                            </w:rPr>
                          </w:pPr>
                          <w:r>
                            <w:rPr>
                              <w:b/>
                              <w:szCs w:val="24"/>
                              <w:lang w:eastAsia="lt-LT"/>
                            </w:rPr>
                            <w:t>Socialinių projektų, vykdomų nevyriausybinių ir kitų organizacijų, dalinis finansavimas</w:t>
                          </w:r>
                        </w:p>
                      </w:tc>
                    </w:tr>
                    <w:tr>
                      <w:trPr>
                        <w:gridBefore w:val="1"/>
                        <w:wBefore w:w="24" w:type="dxa"/>
                        <w:trHeight w:val="922"/>
                      </w:trPr>
                      <w:tc>
                        <w:tcPr>
                          <w:tcW w:w="9356" w:type="dxa"/>
                          <w:gridSpan w:val="6"/>
                        </w:tcPr>
                        <w:p>
                          <w:pPr>
                            <w:ind w:firstLine="601"/>
                            <w:jc w:val="both"/>
                            <w:rPr>
                              <w:szCs w:val="24"/>
                            </w:rPr>
                          </w:pPr>
                          <w:r>
                            <w:rPr>
                              <w:szCs w:val="24"/>
                            </w:rPr>
                            <w:t xml:space="preserve">Socialinius projektus teikia nevyriausybinės organizacijos, galinčios teikti socialines, socialinės reabilitacijos paslaugas Neringos savivaldybės gyventojams. </w:t>
                          </w:r>
                          <w:r>
                            <w:rPr>
                              <w:szCs w:val="24"/>
                              <w:lang w:val="pt-BR"/>
                            </w:rPr>
                            <w:t>Projekt</w:t>
                          </w:r>
                          <w:r>
                            <w:rPr>
                              <w:rFonts w:ascii="TimesNewRoman" w:hAnsi="TimesNewRoman" w:cs="TimesNewRoman"/>
                              <w:szCs w:val="24"/>
                              <w:lang w:val="pt-BR"/>
                            </w:rPr>
                            <w:t xml:space="preserve">ų </w:t>
                          </w:r>
                          <w:r>
                            <w:rPr>
                              <w:szCs w:val="24"/>
                              <w:lang w:val="pt-BR"/>
                            </w:rPr>
                            <w:t xml:space="preserve">dalinis finansavimas organizuojamas ir vykdomas </w:t>
                          </w:r>
                          <w:r>
                            <w:rPr>
                              <w:rFonts w:ascii="TimesNewRoman" w:hAnsi="TimesNewRoman" w:cs="TimesNewRoman"/>
                              <w:szCs w:val="24"/>
                              <w:lang w:val="pt-BR"/>
                            </w:rPr>
                            <w:t>į</w:t>
                          </w:r>
                          <w:r>
                            <w:rPr>
                              <w:szCs w:val="24"/>
                              <w:lang w:val="pt-BR"/>
                            </w:rPr>
                            <w:t>vertinus pateiktus projektus.</w:t>
                          </w:r>
                        </w:p>
                      </w:tc>
                    </w:tr>
                    <w:tr>
                      <w:trPr>
                        <w:gridBefore w:val="1"/>
                        <w:wBefore w:w="24" w:type="dxa"/>
                        <w:trHeight w:val="922"/>
                      </w:trPr>
                      <w:tc>
                        <w:tcPr>
                          <w:tcW w:w="2295" w:type="dxa"/>
                          <w:gridSpan w:val="3"/>
                        </w:tcPr>
                        <w:p>
                          <w:pPr>
                            <w:jc w:val="center"/>
                            <w:rPr>
                              <w:b/>
                              <w:szCs w:val="24"/>
                            </w:rPr>
                          </w:pPr>
                          <w:r>
                            <w:rPr>
                              <w:b/>
                              <w:szCs w:val="24"/>
                            </w:rPr>
                            <w:t>2.3.2.1.2</w:t>
                          </w:r>
                        </w:p>
                        <w:p>
                          <w:pPr>
                            <w:jc w:val="center"/>
                            <w:rPr>
                              <w:szCs w:val="24"/>
                            </w:rPr>
                          </w:pPr>
                          <w:r>
                            <w:rPr>
                              <w:b/>
                              <w:szCs w:val="24"/>
                            </w:rPr>
                            <w:t>ve</w:t>
                          </w:r>
                          <w:r>
                            <w:rPr>
                              <w:szCs w:val="24"/>
                            </w:rPr>
                            <w:t>i</w:t>
                          </w:r>
                          <w:r>
                            <w:rPr>
                              <w:b/>
                              <w:szCs w:val="24"/>
                            </w:rPr>
                            <w:t>kla</w:t>
                          </w:r>
                        </w:p>
                      </w:tc>
                      <w:tc>
                        <w:tcPr>
                          <w:tcW w:w="7061" w:type="dxa"/>
                          <w:gridSpan w:val="3"/>
                        </w:tcPr>
                        <w:p>
                          <w:pPr>
                            <w:jc w:val="both"/>
                            <w:rPr>
                              <w:b/>
                              <w:szCs w:val="24"/>
                            </w:rPr>
                          </w:pPr>
                          <w:r>
                            <w:rPr>
                              <w:b/>
                              <w:szCs w:val="24"/>
                            </w:rPr>
                            <w:t>Socialinės reabilitacijos paslaugų neįgaliesiems bendruomenėje projektų finansavimas</w:t>
                          </w:r>
                        </w:p>
                      </w:tc>
                    </w:tr>
                    <w:tr>
                      <w:trPr>
                        <w:gridBefore w:val="1"/>
                        <w:wBefore w:w="24" w:type="dxa"/>
                        <w:trHeight w:val="922"/>
                      </w:trPr>
                      <w:tc>
                        <w:tcPr>
                          <w:tcW w:w="9356" w:type="dxa"/>
                          <w:gridSpan w:val="6"/>
                        </w:tcPr>
                        <w:p>
                          <w:pPr>
                            <w:ind w:firstLine="540"/>
                            <w:jc w:val="both"/>
                            <w:rPr>
                              <w:color w:val="000000"/>
                              <w:szCs w:val="24"/>
                              <w:lang w:eastAsia="lt-LT"/>
                            </w:rPr>
                          </w:pPr>
                          <w:r>
                            <w:rPr>
                              <w:color w:val="000000"/>
                              <w:szCs w:val="24"/>
                              <w:lang w:eastAsia="lt-LT"/>
                            </w:rPr>
                            <w:t xml:space="preserve">Nuo 2012 m. per savivaldybes yra finansuojamos socialinės reabilitacijos paslaugos neįgaliesiems bendruomenėje, kurias teikia nevyriausybinės organizacijos. Lėšos projektams finansuoti skiriamos sutartiniais pagrindais tarp Neįgaliųjų reikalų departamento prie Socialinės apsaugos ir darbo ministerijos ir savivaldybės administracijos. Pagal Socialinės apsaugos ir darbo ministro patvirtintą socialinės reabilitacijos paslaugų neįgaliesiems bendruomenėje projektų finansavimo tvarkos aprašą, savivaldybės administracija skiria papildomai ne mažiau kaip 20 procentų lėšų atrinktiems projektams įgyvendinti. </w:t>
                          </w:r>
                        </w:p>
                      </w:tc>
                    </w:tr>
                    <w:tr>
                      <w:trPr>
                        <w:gridBefore w:val="1"/>
                        <w:wBefore w:w="24" w:type="dxa"/>
                        <w:trHeight w:val="922"/>
                      </w:trPr>
                      <w:tc>
                        <w:tcPr>
                          <w:tcW w:w="2235" w:type="dxa"/>
                          <w:gridSpan w:val="2"/>
                        </w:tcPr>
                        <w:p>
                          <w:pPr>
                            <w:jc w:val="center"/>
                            <w:rPr>
                              <w:b/>
                              <w:szCs w:val="24"/>
                            </w:rPr>
                          </w:pPr>
                          <w:r>
                            <w:rPr>
                              <w:b/>
                              <w:szCs w:val="24"/>
                            </w:rPr>
                            <w:t>2.3.2.1.3</w:t>
                          </w:r>
                        </w:p>
                        <w:p>
                          <w:pPr>
                            <w:jc w:val="center"/>
                            <w:rPr>
                              <w:color w:val="000000"/>
                              <w:szCs w:val="24"/>
                              <w:lang w:eastAsia="lt-LT"/>
                            </w:rPr>
                          </w:pPr>
                          <w:r>
                            <w:rPr>
                              <w:b/>
                              <w:color w:val="000000"/>
                              <w:szCs w:val="24"/>
                              <w:lang w:eastAsia="lt-LT"/>
                            </w:rPr>
                            <w:t>ve</w:t>
                          </w:r>
                          <w:r>
                            <w:rPr>
                              <w:color w:val="000000"/>
                              <w:szCs w:val="24"/>
                              <w:lang w:eastAsia="lt-LT"/>
                            </w:rPr>
                            <w:t>i</w:t>
                          </w:r>
                          <w:r>
                            <w:rPr>
                              <w:b/>
                              <w:color w:val="000000"/>
                              <w:szCs w:val="24"/>
                              <w:lang w:eastAsia="lt-LT"/>
                            </w:rPr>
                            <w:t>kla</w:t>
                          </w:r>
                        </w:p>
                      </w:tc>
                      <w:tc>
                        <w:tcPr>
                          <w:tcW w:w="7121" w:type="dxa"/>
                          <w:gridSpan w:val="4"/>
                        </w:tcPr>
                        <w:p>
                          <w:pPr>
                            <w:jc w:val="both"/>
                            <w:rPr>
                              <w:b/>
                              <w:color w:val="000000"/>
                              <w:szCs w:val="24"/>
                              <w:lang w:eastAsia="lt-LT"/>
                            </w:rPr>
                          </w:pPr>
                          <w:r>
                            <w:rPr>
                              <w:b/>
                              <w:color w:val="000000"/>
                              <w:szCs w:val="24"/>
                              <w:lang w:eastAsia="lt-LT"/>
                            </w:rPr>
                            <w:t>Projektas „Kompleksinės paslaugos šeimai Neringos savivaldybėje“</w:t>
                          </w:r>
                        </w:p>
                      </w:tc>
                    </w:tr>
                    <w:tr>
                      <w:trPr>
                        <w:trHeight w:val="401"/>
                      </w:trPr>
                      <w:tc>
                        <w:tcPr>
                          <w:tcW w:w="9380" w:type="dxa"/>
                          <w:gridSpan w:val="7"/>
                        </w:tcPr>
                        <w:p>
                          <w:pPr>
                            <w:ind w:firstLine="567"/>
                            <w:jc w:val="both"/>
                            <w:rPr>
                              <w:color w:val="000000"/>
                              <w:szCs w:val="24"/>
                              <w:lang w:eastAsia="lt-LT"/>
                            </w:rPr>
                          </w:pPr>
                          <w:r>
                            <w:rPr>
                              <w:bCs/>
                              <w:color w:val="000000"/>
                              <w:szCs w:val="24"/>
                              <w:lang w:eastAsia="lt-LT"/>
                            </w:rPr>
                            <w:t xml:space="preserve">Įgyvendinant </w:t>
                          </w:r>
                          <w:r>
                            <w:rPr>
                              <w:color w:val="000000"/>
                              <w:szCs w:val="24"/>
                              <w:lang w:eastAsia="lt-LT"/>
                            </w:rPr>
                            <w:t xml:space="preserve">2014–2020 metų Europos Sąjungos fondų investicijų veiksmų programos 8 prioriteto „Socialinės įtraukties didinimas ir kova su skurdu“ įgyvendinimo priemonę „Kompleksinės paslaugos šeimai“ Neringos savivaldybės administracija gavo finansavimą projektui „Kompleksinės paslaugos šeimai Neringos savivaldybėje“ (toliau – projektas). </w:t>
                          </w:r>
                        </w:p>
                        <w:p>
                          <w:pPr>
                            <w:ind w:firstLine="567"/>
                            <w:jc w:val="both"/>
                            <w:rPr>
                              <w:color w:val="000000"/>
                              <w:szCs w:val="24"/>
                              <w:lang w:eastAsia="lt-LT"/>
                            </w:rPr>
                          </w:pPr>
                          <w:r>
                            <w:rPr>
                              <w:color w:val="000000"/>
                              <w:szCs w:val="24"/>
                              <w:lang w:eastAsia="lt-LT"/>
                            </w:rPr>
                            <w:t xml:space="preserve">Projekto tikslas – </w:t>
                          </w:r>
                          <w:r>
                            <w:rPr>
                              <w:bCs/>
                              <w:color w:val="000000"/>
                              <w:szCs w:val="24"/>
                              <w:lang w:eastAsia="lt-LT"/>
                            </w:rPr>
                            <w:t xml:space="preserve">sudaryti sąlygas Neringos savivaldybėje gyvenančioms šeimoms gauti kompleksiškai teikiamas paslaugas, užtikrinant paslaugų prieinamumą kuo arčiau šeimos gyvenamosios vietos ir siekiant įgalinti šeimą įveikti iškilusius sunkumus ir krizes bei padėti derinti šeimos ir darbo įsipareigojimus. </w:t>
                          </w:r>
                        </w:p>
                        <w:p>
                          <w:pPr>
                            <w:ind w:firstLine="567"/>
                            <w:jc w:val="both"/>
                            <w:rPr>
                              <w:color w:val="000000"/>
                              <w:szCs w:val="24"/>
                              <w:lang w:eastAsia="lt-LT"/>
                            </w:rPr>
                          </w:pPr>
                          <w:r>
                            <w:rPr>
                              <w:bCs/>
                              <w:color w:val="000000"/>
                              <w:szCs w:val="24"/>
                              <w:lang w:eastAsia="lt-LT"/>
                            </w:rPr>
                            <w:t xml:space="preserve">Projekto įgyvendinimo metu 2017–2022 metais planuojamos teikti šios kompleksinės paslaugos: </w:t>
                          </w:r>
                        </w:p>
                        <w:p>
                          <w:pPr>
                            <w:ind w:left="720" w:hanging="370"/>
                            <w:jc w:val="both"/>
                            <w:rPr>
                              <w:color w:val="000000"/>
                              <w:szCs w:val="24"/>
                              <w:lang w:eastAsia="lt-LT"/>
                            </w:rPr>
                          </w:pPr>
                          <w:r>
                            <w:rPr>
                              <w:rFonts w:ascii="Symbol" w:hAnsi="Symbol"/>
                              <w:color w:val="000000"/>
                              <w:szCs w:val="24"/>
                              <w:lang w:eastAsia="lt-LT"/>
                            </w:rPr>
                            <w:t></w:t>
                            <w:tab/>
                          </w:r>
                          <w:r>
                            <w:rPr>
                              <w:color w:val="000000"/>
                              <w:szCs w:val="24"/>
                              <w:lang w:eastAsia="lt-LT"/>
                            </w:rPr>
                            <w:t xml:space="preserve">paslaugų šeimai teikimo organizavimas ir koordinavimas; </w:t>
                          </w:r>
                        </w:p>
                        <w:p>
                          <w:pPr>
                            <w:tabs>
                              <w:tab w:val="left" w:pos="738"/>
                            </w:tabs>
                            <w:ind w:left="29" w:firstLine="284"/>
                            <w:jc w:val="both"/>
                            <w:rPr>
                              <w:color w:val="000000"/>
                              <w:szCs w:val="24"/>
                              <w:lang w:eastAsia="lt-LT"/>
                            </w:rPr>
                          </w:pPr>
                          <w:r>
                            <w:rPr>
                              <w:rFonts w:ascii="Symbol" w:hAnsi="Symbol"/>
                              <w:color w:val="000000"/>
                              <w:szCs w:val="24"/>
                              <w:lang w:eastAsia="lt-LT"/>
                            </w:rPr>
                            <w:t></w:t>
                            <w:tab/>
                          </w:r>
                          <w:r>
                            <w:rPr>
                              <w:color w:val="000000"/>
                              <w:szCs w:val="24"/>
                              <w:lang w:eastAsia="lt-LT"/>
                            </w:rPr>
                            <w:t xml:space="preserve">potencialios tikslinės grupės informavimas, konsultavimas apie kompleksiškai teikiamas paslaugas šeimai, įtraukimo į paslaugas priemonių vykdymas, tikslinių grupių informavimas apie kitas aktualias savivaldybėje teikiamas paslaugas; </w:t>
                          </w:r>
                        </w:p>
                        <w:p>
                          <w:pPr>
                            <w:tabs>
                              <w:tab w:val="left" w:pos="738"/>
                            </w:tabs>
                            <w:ind w:left="29" w:firstLine="284"/>
                            <w:jc w:val="both"/>
                            <w:rPr>
                              <w:color w:val="000000"/>
                              <w:szCs w:val="24"/>
                              <w:lang w:eastAsia="lt-LT"/>
                            </w:rPr>
                          </w:pPr>
                          <w:r>
                            <w:rPr>
                              <w:rFonts w:ascii="Symbol" w:hAnsi="Symbol"/>
                              <w:color w:val="000000"/>
                              <w:szCs w:val="24"/>
                              <w:lang w:eastAsia="lt-LT"/>
                            </w:rPr>
                            <w:t></w:t>
                            <w:tab/>
                          </w:r>
                          <w:r>
                            <w:rPr>
                              <w:color w:val="000000"/>
                              <w:szCs w:val="24"/>
                              <w:lang w:eastAsia="lt-LT"/>
                            </w:rPr>
                            <w:t>pozityvios tėvystės mokymai;</w:t>
                          </w:r>
                        </w:p>
                        <w:p>
                          <w:pPr>
                            <w:tabs>
                              <w:tab w:val="left" w:pos="738"/>
                            </w:tabs>
                            <w:ind w:left="29" w:firstLine="284"/>
                            <w:jc w:val="both"/>
                            <w:rPr>
                              <w:color w:val="000000"/>
                              <w:szCs w:val="24"/>
                              <w:lang w:eastAsia="lt-LT"/>
                            </w:rPr>
                          </w:pPr>
                          <w:r>
                            <w:rPr>
                              <w:rFonts w:ascii="Symbol" w:hAnsi="Symbol"/>
                              <w:color w:val="000000"/>
                              <w:szCs w:val="24"/>
                              <w:lang w:eastAsia="lt-LT"/>
                            </w:rPr>
                            <w:t></w:t>
                            <w:tab/>
                          </w:r>
                          <w:r>
                            <w:rPr>
                              <w:color w:val="000000"/>
                              <w:szCs w:val="24"/>
                              <w:lang w:eastAsia="lt-LT"/>
                            </w:rPr>
                            <w:t>psichosocialinė pagalba;</w:t>
                          </w:r>
                        </w:p>
                        <w:p>
                          <w:pPr>
                            <w:tabs>
                              <w:tab w:val="left" w:pos="738"/>
                            </w:tabs>
                            <w:ind w:left="29" w:firstLine="284"/>
                            <w:jc w:val="both"/>
                            <w:rPr>
                              <w:color w:val="000000"/>
                              <w:szCs w:val="24"/>
                              <w:lang w:eastAsia="lt-LT"/>
                            </w:rPr>
                          </w:pPr>
                          <w:r>
                            <w:rPr>
                              <w:rFonts w:ascii="Symbol" w:hAnsi="Symbol"/>
                              <w:color w:val="000000"/>
                              <w:szCs w:val="24"/>
                              <w:lang w:eastAsia="lt-LT"/>
                            </w:rPr>
                            <w:t></w:t>
                            <w:tab/>
                          </w:r>
                          <w:r>
                            <w:rPr>
                              <w:rFonts w:eastAsia="Calibri"/>
                              <w:szCs w:val="24"/>
                            </w:rPr>
                            <w:t>šeimos įgūdžių ir sociokultūrinės paslaugos;</w:t>
                          </w:r>
                        </w:p>
                        <w:p>
                          <w:pPr>
                            <w:tabs>
                              <w:tab w:val="left" w:pos="738"/>
                            </w:tabs>
                            <w:ind w:left="29" w:firstLine="284"/>
                            <w:jc w:val="both"/>
                            <w:rPr>
                              <w:color w:val="000000"/>
                              <w:szCs w:val="24"/>
                              <w:lang w:eastAsia="lt-LT"/>
                            </w:rPr>
                          </w:pPr>
                          <w:r>
                            <w:rPr>
                              <w:rFonts w:ascii="Symbol" w:hAnsi="Symbol"/>
                              <w:color w:val="000000"/>
                              <w:szCs w:val="24"/>
                              <w:lang w:eastAsia="lt-LT"/>
                            </w:rPr>
                            <w:t></w:t>
                            <w:tab/>
                          </w:r>
                          <w:r>
                            <w:rPr>
                              <w:color w:val="000000"/>
                              <w:szCs w:val="24"/>
                              <w:lang w:eastAsia="lt-LT"/>
                            </w:rPr>
                            <w:t>vaikų priežiūros paslauga;</w:t>
                          </w:r>
                        </w:p>
                        <w:p>
                          <w:pPr>
                            <w:tabs>
                              <w:tab w:val="left" w:pos="738"/>
                            </w:tabs>
                            <w:ind w:left="29" w:firstLine="284"/>
                            <w:jc w:val="both"/>
                            <w:rPr>
                              <w:color w:val="000000"/>
                              <w:szCs w:val="24"/>
                              <w:lang w:eastAsia="lt-LT"/>
                            </w:rPr>
                          </w:pPr>
                          <w:r>
                            <w:rPr>
                              <w:rFonts w:ascii="Symbol" w:hAnsi="Symbol"/>
                              <w:color w:val="000000"/>
                              <w:szCs w:val="24"/>
                              <w:lang w:eastAsia="lt-LT"/>
                            </w:rPr>
                            <w:t></w:t>
                            <w:tab/>
                          </w:r>
                          <w:r>
                            <w:rPr>
                              <w:color w:val="000000"/>
                              <w:szCs w:val="24"/>
                              <w:lang w:eastAsia="lt-LT"/>
                            </w:rPr>
                            <w:t>transporto paslaugos;</w:t>
                          </w:r>
                        </w:p>
                        <w:p>
                          <w:pPr>
                            <w:tabs>
                              <w:tab w:val="left" w:pos="738"/>
                            </w:tabs>
                            <w:ind w:left="29" w:firstLine="284"/>
                            <w:jc w:val="both"/>
                            <w:rPr>
                              <w:color w:val="000000"/>
                              <w:szCs w:val="24"/>
                              <w:lang w:eastAsia="lt-LT"/>
                            </w:rPr>
                          </w:pPr>
                          <w:r>
                            <w:rPr>
                              <w:rFonts w:ascii="Symbol" w:hAnsi="Symbol"/>
                              <w:color w:val="000000"/>
                              <w:szCs w:val="24"/>
                              <w:lang w:eastAsia="lt-LT"/>
                            </w:rPr>
                            <w:t></w:t>
                            <w:tab/>
                          </w:r>
                          <w:r>
                            <w:rPr>
                              <w:color w:val="000000"/>
                              <w:szCs w:val="24"/>
                              <w:lang w:eastAsia="lt-LT"/>
                            </w:rPr>
                            <w:t>asmeninio asistento paslaugos.</w:t>
                          </w:r>
                        </w:p>
                      </w:tc>
                    </w:tr>
                    <w:tr>
                      <w:trPr>
                        <w:gridBefore w:val="1"/>
                        <w:gridAfter w:val="1"/>
                        <w:wBefore w:w="24" w:type="dxa"/>
                        <w:wAfter w:w="86" w:type="dxa"/>
                        <w:trHeight w:val="537"/>
                      </w:trPr>
                      <w:tc>
                        <w:tcPr>
                          <w:tcW w:w="1559" w:type="dxa"/>
                        </w:tcPr>
                        <w:p>
                          <w:pPr>
                            <w:jc w:val="center"/>
                            <w:rPr>
                              <w:b/>
                              <w:szCs w:val="24"/>
                            </w:rPr>
                          </w:pPr>
                          <w:r>
                            <w:rPr>
                              <w:b/>
                              <w:szCs w:val="24"/>
                            </w:rPr>
                            <w:t>2.3.2.1.4</w:t>
                          </w:r>
                        </w:p>
                        <w:p>
                          <w:pPr>
                            <w:jc w:val="center"/>
                            <w:rPr>
                              <w:b/>
                              <w:szCs w:val="24"/>
                            </w:rPr>
                          </w:pPr>
                          <w:r>
                            <w:rPr>
                              <w:b/>
                              <w:szCs w:val="24"/>
                            </w:rPr>
                            <w:t>veikla</w:t>
                          </w:r>
                        </w:p>
                      </w:tc>
                      <w:tc>
                        <w:tcPr>
                          <w:tcW w:w="7711" w:type="dxa"/>
                          <w:gridSpan w:val="4"/>
                        </w:tcPr>
                        <w:p>
                          <w:pPr>
                            <w:jc w:val="both"/>
                            <w:rPr>
                              <w:b/>
                              <w:szCs w:val="24"/>
                            </w:rPr>
                          </w:pPr>
                          <w:r>
                            <w:rPr>
                              <w:b/>
                              <w:szCs w:val="24"/>
                            </w:rPr>
                            <w:t>Bendruomeninės veiklos rėmimas</w:t>
                          </w:r>
                        </w:p>
                      </w:tc>
                    </w:tr>
                    <w:tr>
                      <w:trPr>
                        <w:gridBefore w:val="1"/>
                        <w:wBefore w:w="24" w:type="dxa"/>
                        <w:trHeight w:val="593"/>
                      </w:trPr>
                      <w:tc>
                        <w:tcPr>
                          <w:tcW w:w="9356" w:type="dxa"/>
                          <w:gridSpan w:val="6"/>
                        </w:tcPr>
                        <w:p>
                          <w:pPr>
                            <w:ind w:firstLine="596"/>
                            <w:jc w:val="both"/>
                            <w:rPr>
                              <w:rFonts w:eastAsia="Calibri"/>
                              <w:szCs w:val="24"/>
                              <w:lang w:eastAsia="lt-LT"/>
                            </w:rPr>
                          </w:pPr>
                          <w:r>
                            <w:rPr>
                              <w:rFonts w:eastAsia="Calibri"/>
                              <w:szCs w:val="24"/>
                              <w:lang w:eastAsia="lt-LT"/>
                            </w:rPr>
                            <w:t>Šiai veiklai S</w:t>
                          </w:r>
                          <w:r>
                            <w:rPr>
                              <w:szCs w:val="24"/>
                            </w:rPr>
                            <w:t xml:space="preserve">ocialinės apsaugos ir darbo ministerija skiria lėšas iš VB lėšų savivaldybių organizuojamiems vietinių bendruomenių, nevyriausybinių organizacijų ir religinių bendruomenių konkursams organizuoti. </w:t>
                          </w:r>
                          <w:r>
                            <w:rPr>
                              <w:rFonts w:eastAsia="Calibri"/>
                              <w:szCs w:val="24"/>
                              <w:lang w:eastAsia="lt-LT"/>
                            </w:rPr>
                            <w:t xml:space="preserve"> </w:t>
                          </w:r>
                        </w:p>
                        <w:p>
                          <w:pPr>
                            <w:ind w:firstLine="596"/>
                            <w:jc w:val="both"/>
                            <w:rPr>
                              <w:rFonts w:eastAsia="Calibri"/>
                              <w:szCs w:val="24"/>
                              <w:lang w:eastAsia="lt-LT"/>
                            </w:rPr>
                          </w:pPr>
                          <w:r>
                            <w:rPr>
                              <w:szCs w:val="24"/>
                            </w:rPr>
                            <w:t>Už šias lėšas konkursus laimėjusios organizacijos gali vykdyti socialinę veiklą socialiai pažeidžiamoms gyventojų grupėms, pavyzdžiui, senjorams ar neįgaliesiems, siekia įtraukti į bendruomenę grįžtančius iš emigracijos piliečius ar atvykstančius užsieniečius, ugdo bendruomenės narių pilietiškumą, populiarina socialinio verslo plėtrą, stiprina bendruomenės gyventojų sutelktumą.</w:t>
                          </w:r>
                          <w:r>
                            <w:rPr>
                              <w:sz w:val="22"/>
                              <w:szCs w:val="22"/>
                            </w:rPr>
                            <w:t> </w:t>
                          </w:r>
                        </w:p>
                      </w:tc>
                    </w:tr>
                  </w:tbl>
                  <w:p>
                    <w:pPr>
                      <w:jc w:val="both"/>
                      <w:rPr>
                        <w:bCs/>
                        <w:szCs w:val="24"/>
                      </w:rPr>
                    </w:pPr>
                  </w:p>
                  <w:tbl>
                    <w:tblPr>
                      <w:tblW w:w="93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442"/>
                      <w:gridCol w:w="6028"/>
                      <w:gridCol w:w="993"/>
                      <w:gridCol w:w="917"/>
                    </w:tblGrid>
                    <w:tr>
                      <w:trPr>
                        <w:trHeight w:val="291"/>
                      </w:trPr>
                      <w:tc>
                        <w:tcPr>
                          <w:tcW w:w="1442" w:type="dxa"/>
                        </w:tcPr>
                        <w:p>
                          <w:pPr>
                            <w:keepNext/>
                            <w:rPr>
                              <w:b/>
                              <w:bCs/>
                              <w:szCs w:val="24"/>
                            </w:rPr>
                          </w:pPr>
                          <w:r>
                            <w:rPr>
                              <w:b/>
                              <w:szCs w:val="24"/>
                            </w:rPr>
                            <w:t>Programos tikslas</w:t>
                          </w:r>
                        </w:p>
                      </w:tc>
                      <w:tc>
                        <w:tcPr>
                          <w:tcW w:w="6028" w:type="dxa"/>
                        </w:tcPr>
                        <w:p>
                          <w:pPr>
                            <w:tabs>
                              <w:tab w:val="left" w:pos="676"/>
                            </w:tabs>
                            <w:spacing w:line="259" w:lineRule="auto"/>
                            <w:jc w:val="both"/>
                            <w:rPr>
                              <w:b/>
                              <w:szCs w:val="24"/>
                            </w:rPr>
                          </w:pPr>
                          <w:r>
                            <w:rPr>
                              <w:b/>
                              <w:szCs w:val="24"/>
                            </w:rPr>
                            <w:t>Viešųjų paslaugų kokybės gerinimas</w:t>
                          </w:r>
                        </w:p>
                      </w:tc>
                      <w:tc>
                        <w:tcPr>
                          <w:tcW w:w="993" w:type="dxa"/>
                        </w:tcPr>
                        <w:p>
                          <w:pPr>
                            <w:keepNext/>
                            <w:jc w:val="center"/>
                            <w:rPr>
                              <w:b/>
                              <w:bCs/>
                              <w:szCs w:val="24"/>
                            </w:rPr>
                          </w:pPr>
                          <w:r>
                            <w:rPr>
                              <w:b/>
                              <w:bCs/>
                              <w:szCs w:val="24"/>
                            </w:rPr>
                            <w:t>Kodai</w:t>
                          </w:r>
                        </w:p>
                      </w:tc>
                      <w:tc>
                        <w:tcPr>
                          <w:tcW w:w="917" w:type="dxa"/>
                        </w:tcPr>
                        <w:p>
                          <w:pPr>
                            <w:jc w:val="center"/>
                            <w:rPr>
                              <w:b/>
                              <w:szCs w:val="24"/>
                            </w:rPr>
                          </w:pPr>
                          <w:r>
                            <w:rPr>
                              <w:b/>
                              <w:szCs w:val="24"/>
                            </w:rPr>
                            <w:t>3.2</w:t>
                          </w:r>
                        </w:p>
                      </w:tc>
                    </w:tr>
                  </w:tbl>
                  <w:p>
                    <w:pPr>
                      <w:rPr>
                        <w:b/>
                        <w:bCs/>
                        <w:szCs w:val="24"/>
                      </w:rPr>
                    </w:pPr>
                    <w:r>
                      <w:rPr>
                        <w:b/>
                        <w:bCs/>
                        <w:szCs w:val="24"/>
                      </w:rPr>
                      <w:t xml:space="preserve">Tikslo įgyvendinimo aprašymas: </w:t>
                    </w:r>
                  </w:p>
                  <w:p>
                    <w:pPr>
                      <w:rPr>
                        <w:bCs/>
                        <w:i/>
                        <w:sz w:val="20"/>
                      </w:rPr>
                    </w:pPr>
                    <w:r>
                      <w:rPr>
                        <w:bCs/>
                        <w:i/>
                        <w:sz w:val="20"/>
                      </w:rPr>
                      <w:t>(aprašomi uždaviniai, priemonės, rezultato kriterijai)</w:t>
                    </w:r>
                  </w:p>
                  <w:p>
                    <w:pPr>
                      <w:ind w:firstLine="567"/>
                      <w:jc w:val="both"/>
                      <w:rPr>
                        <w:bCs/>
                        <w:szCs w:val="24"/>
                      </w:rPr>
                    </w:pPr>
                    <w:r>
                      <w:rPr>
                        <w:szCs w:val="24"/>
                      </w:rPr>
                      <w:t xml:space="preserve">Įgyvendinant šį tikslą, bus siekiama sutvarkyti socialines paslaugas teikiančios įstaigos infrastruktūrą, teikiama piniginė socialinė parama ir kokybiškos socialinės paslaugos Neringos savivaldybės gyventojams, organizuojant socialinių paslaugų teikimą savivaldybės įsteigtoje biudžetinėje įstaigoje, </w:t>
                    </w:r>
                    <w:r>
                      <w:rPr>
                        <w:bCs/>
                        <w:szCs w:val="24"/>
                      </w:rPr>
                      <w:t>sudarant sutartis su socialinę globą teikiančiomis įstaigomis dėl asmeniui teikiamos trumpalaikės ar ilgalaikės socialinės globos išlaidų finansavimo,</w:t>
                    </w:r>
                    <w:r>
                      <w:rPr>
                        <w:szCs w:val="24"/>
                      </w:rPr>
                      <w:t xml:space="preserve"> perkant socialines paslaugas, reikalingas Neringos savivaldybės gyventojams</w:t>
                    </w:r>
                    <w:r>
                      <w:rPr>
                        <w:bCs/>
                        <w:szCs w:val="24"/>
                      </w:rPr>
                      <w:t xml:space="preserve">. </w:t>
                    </w:r>
                    <w:r>
                      <w:rPr>
                        <w:bCs/>
                        <w:szCs w:val="24"/>
                        <w:lang w:val="pt-BR"/>
                      </w:rPr>
                      <w:t>Organizuojamas, koordinuojamas ir kontroliuojamas socialinių išmokų skaičiavimas ir mokėjimas.</w:t>
                    </w:r>
                  </w:p>
                  <w:p>
                    <w:pPr>
                      <w:ind w:firstLine="567"/>
                      <w:jc w:val="both"/>
                      <w:rPr>
                        <w:bCs/>
                        <w:szCs w:val="24"/>
                        <w:lang w:val="pt-BR"/>
                      </w:rPr>
                    </w:pPr>
                    <w:r>
                      <w:rPr>
                        <w:bCs/>
                        <w:szCs w:val="24"/>
                        <w:lang w:val="pt-BR"/>
                      </w:rPr>
                      <w:t xml:space="preserve">Kartu su Neįgaliųjų reikalų departamentu prie Socialinės apsaugos ir darbo ministerijos organizuojami gyvenamosios aplinkos pritaikymo neįgaliesiems darbai bei siekiama užtikrinti </w:t>
                    </w:r>
                    <w:r>
                      <w:rPr>
                        <w:szCs w:val="24"/>
                        <w:lang w:eastAsia="lt-LT"/>
                      </w:rPr>
                      <w:t>viešųjų paslaugų pasiūlos vystymą, viešosios infrastruktūros ir pagerinti jos būklės, specialiųjų poreikių turintiems gyventojams.</w:t>
                    </w:r>
                  </w:p>
                  <w:tbl>
                    <w:tblPr>
                      <w:tblW w:w="93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555"/>
                      <w:gridCol w:w="7825"/>
                    </w:tblGrid>
                    <w:tr>
                      <w:tc>
                        <w:tcPr>
                          <w:tcW w:w="1555" w:type="dxa"/>
                        </w:tcPr>
                        <w:p>
                          <w:pPr>
                            <w:jc w:val="center"/>
                            <w:rPr>
                              <w:szCs w:val="24"/>
                            </w:rPr>
                          </w:pPr>
                          <w:r>
                            <w:rPr>
                              <w:b/>
                              <w:szCs w:val="24"/>
                            </w:rPr>
                            <w:t>3.2.3 uždavinys</w:t>
                          </w:r>
                        </w:p>
                      </w:tc>
                      <w:tc>
                        <w:tcPr>
                          <w:tcW w:w="7825" w:type="dxa"/>
                        </w:tcPr>
                        <w:p>
                          <w:pPr>
                            <w:jc w:val="both"/>
                            <w:rPr>
                              <w:b/>
                              <w:bCs/>
                              <w:szCs w:val="24"/>
                            </w:rPr>
                          </w:pPr>
                          <w:r>
                            <w:rPr>
                              <w:b/>
                              <w:szCs w:val="24"/>
                            </w:rPr>
                            <w:t>Padidinti sveikatos, socialinių paslaugų kokybę ir prieinamumą visų gyvenviečių gyventojams, vykdyti paslaugų plėtrą.</w:t>
                          </w:r>
                        </w:p>
                      </w:tc>
                    </w:tr>
                  </w:tbl>
                  <w:p>
                    <w:pPr>
                      <w:ind w:firstLine="540"/>
                      <w:jc w:val="both"/>
                      <w:rPr>
                        <w:szCs w:val="24"/>
                      </w:rPr>
                    </w:pPr>
                    <w:r>
                      <w:rPr>
                        <w:szCs w:val="24"/>
                      </w:rPr>
                      <w:t>Šiam uždaviniui įgyvendinti numatytos 2 programos priemonės:</w:t>
                    </w:r>
                  </w:p>
                  <w:p>
                    <w:pPr>
                      <w:tabs>
                        <w:tab w:val="left" w:pos="880"/>
                      </w:tabs>
                      <w:ind w:left="29" w:firstLine="511"/>
                      <w:jc w:val="both"/>
                      <w:rPr>
                        <w:szCs w:val="24"/>
                      </w:rPr>
                    </w:pPr>
                    <w:r>
                      <w:rPr>
                        <w:b/>
                        <w:szCs w:val="24"/>
                      </w:rPr>
                      <w:t>1.</w:t>
                      <w:tab/>
                    </w:r>
                    <w:r>
                      <w:rPr>
                        <w:szCs w:val="24"/>
                      </w:rPr>
                      <w:t>Socialines ir sveikatos priežiūros paslaugas teikiančių įstaigų infrastruktūros sutvarkymas / atnaujinimas Socialinių projektų rėmimas.</w:t>
                    </w:r>
                  </w:p>
                  <w:p>
                    <w:pPr>
                      <w:tabs>
                        <w:tab w:val="left" w:pos="880"/>
                      </w:tabs>
                      <w:ind w:left="29" w:firstLine="511"/>
                      <w:jc w:val="both"/>
                      <w:rPr>
                        <w:szCs w:val="24"/>
                      </w:rPr>
                    </w:pPr>
                    <w:r>
                      <w:rPr>
                        <w:b/>
                        <w:szCs w:val="24"/>
                      </w:rPr>
                      <w:t>2.</w:t>
                      <w:tab/>
                    </w:r>
                    <w:r>
                      <w:rPr>
                        <w:szCs w:val="24"/>
                      </w:rPr>
                      <w:t>Esamų teikiamų socialinių paslaugų rūšių (bendrųjų socialinių paslaugų, socialinės priežiūros paslaugų, socialinės globos paslaugų) išlaikymas ir išplėtimas, socialinės paramos užtikrinimas.</w:t>
                    </w:r>
                  </w:p>
                  <w:p>
                    <w:pPr>
                      <w:tabs>
                        <w:tab w:val="left" w:pos="596"/>
                      </w:tabs>
                      <w:spacing w:line="259" w:lineRule="auto"/>
                      <w:ind w:firstLine="360"/>
                      <w:jc w:val="both"/>
                      <w:rPr>
                        <w:sz w:val="22"/>
                        <w:szCs w:val="22"/>
                      </w:rPr>
                    </w:pPr>
                    <w:r>
                      <w:rPr>
                        <w:szCs w:val="24"/>
                      </w:rPr>
                      <w:t>1</w:t>
                      <w:tab/>
                    </w:r>
                    <w:r>
                      <w:rPr>
                        <w:sz w:val="22"/>
                        <w:szCs w:val="22"/>
                      </w:rPr>
                      <w:t>priemonės „Socialines ir sveikatos priežiūros paslaugas teikiančių įstaigų infrastruktūros sutvarkymas / atnaujinimas Socialinių projektų rėmimas“ įgyvendinimui yra numatyta 1 veikla „Neringos socialinių paslaugų centro infrastruktūros sutvarkymas / atnaujinimas“.</w:t>
                    </w:r>
                  </w:p>
                  <w:p>
                    <w:pPr>
                      <w:rPr>
                        <w:sz w:val="14"/>
                        <w:szCs w:val="14"/>
                      </w:rPr>
                    </w:pPr>
                  </w:p>
                  <w:p>
                    <w:pPr>
                      <w:tabs>
                        <w:tab w:val="left" w:pos="596"/>
                      </w:tabs>
                      <w:spacing w:line="259" w:lineRule="auto"/>
                      <w:ind w:firstLine="360"/>
                      <w:jc w:val="both"/>
                      <w:rPr>
                        <w:sz w:val="22"/>
                        <w:szCs w:val="22"/>
                      </w:rPr>
                    </w:pPr>
                    <w:r>
                      <w:rPr>
                        <w:szCs w:val="24"/>
                      </w:rPr>
                      <w:t>2</w:t>
                      <w:tab/>
                    </w:r>
                    <w:r>
                      <w:rPr>
                        <w:sz w:val="22"/>
                        <w:szCs w:val="22"/>
                      </w:rPr>
                      <w:t>priemonė „Viešųjų paslaugų pasiūlos vystymo užtikrinimas, viešosios infrastruktūros ir jos būklės, specialiųjų poreikių turintiems gyventojams, pagerinimas“</w:t>
                    </w:r>
                  </w:p>
                  <w:p>
                    <w:pPr>
                      <w:rPr>
                        <w:sz w:val="14"/>
                        <w:szCs w:val="14"/>
                      </w:rPr>
                    </w:pPr>
                  </w:p>
                  <w:p>
                    <w:pPr>
                      <w:tabs>
                        <w:tab w:val="left" w:pos="596"/>
                      </w:tabs>
                      <w:ind w:left="29" w:firstLine="331"/>
                      <w:jc w:val="both"/>
                      <w:rPr>
                        <w:szCs w:val="24"/>
                      </w:rPr>
                    </w:pPr>
                    <w:r>
                      <w:rPr>
                        <w:szCs w:val="24"/>
                      </w:rPr>
                      <w:t>3</w:t>
                      <w:tab/>
                      <w:t xml:space="preserve">priemonės „Esamų teikiamų socialinių paslaugų rūšių (bendrųjų socialinių paslaugų, socialinės priežiūros paslaugų, socialinės globos paslaugų) išlaikymas ir išplėtimas, socialinės paramos užtikrinimas“ įgyvendinimui yra numatyta 16 veiklų, kuriomis siekiama užtikrinti: </w:t>
                    </w:r>
                  </w:p>
                  <w:p>
                    <w:pPr>
                      <w:ind w:left="720" w:hanging="360"/>
                      <w:jc w:val="both"/>
                      <w:rPr>
                        <w:szCs w:val="24"/>
                      </w:rPr>
                    </w:pPr>
                    <w:r>
                      <w:rPr>
                        <w:szCs w:val="24"/>
                      </w:rPr>
                      <w:t>-</w:t>
                      <w:tab/>
                      <w:t>tikslinių kompensacijų mokėjimą,</w:t>
                    </w:r>
                  </w:p>
                  <w:p>
                    <w:pPr>
                      <w:ind w:left="720" w:hanging="360"/>
                      <w:jc w:val="both"/>
                      <w:rPr>
                        <w:szCs w:val="24"/>
                      </w:rPr>
                    </w:pPr>
                    <w:r>
                      <w:rPr>
                        <w:szCs w:val="24"/>
                      </w:rPr>
                      <w:t>-</w:t>
                      <w:tab/>
                      <w:t>išmokų vaikams mokėjimą,</w:t>
                    </w:r>
                  </w:p>
                  <w:p>
                    <w:pPr>
                      <w:ind w:left="720" w:hanging="360"/>
                      <w:jc w:val="both"/>
                      <w:rPr>
                        <w:szCs w:val="24"/>
                      </w:rPr>
                    </w:pPr>
                    <w:r>
                      <w:rPr>
                        <w:szCs w:val="24"/>
                      </w:rPr>
                      <w:t>-</w:t>
                      <w:tab/>
                      <w:t>visuomeninio transporto kompensacijų mokėjimas;</w:t>
                    </w:r>
                  </w:p>
                  <w:p>
                    <w:pPr>
                      <w:ind w:left="720" w:hanging="360"/>
                      <w:jc w:val="both"/>
                      <w:rPr>
                        <w:szCs w:val="24"/>
                      </w:rPr>
                    </w:pPr>
                    <w:r>
                      <w:rPr>
                        <w:szCs w:val="24"/>
                      </w:rPr>
                      <w:t>-</w:t>
                      <w:tab/>
                      <w:t>piniginės socialinės paramos teikimą nepasiturintiems gyventojams,</w:t>
                    </w:r>
                  </w:p>
                  <w:p>
                    <w:pPr>
                      <w:ind w:left="720" w:hanging="360"/>
                      <w:jc w:val="both"/>
                      <w:rPr>
                        <w:szCs w:val="24"/>
                      </w:rPr>
                    </w:pPr>
                    <w:r>
                      <w:rPr>
                        <w:szCs w:val="24"/>
                      </w:rPr>
                      <w:t>-</w:t>
                      <w:tab/>
                      <w:t xml:space="preserve">socialinės paramos mokiniams mokėjimą, </w:t>
                    </w:r>
                  </w:p>
                  <w:p>
                    <w:pPr>
                      <w:ind w:left="720" w:hanging="360"/>
                      <w:jc w:val="both"/>
                      <w:rPr>
                        <w:szCs w:val="24"/>
                      </w:rPr>
                    </w:pPr>
                    <w:r>
                      <w:rPr>
                        <w:szCs w:val="24"/>
                      </w:rPr>
                      <w:t>-</w:t>
                      <w:tab/>
                      <w:t>paramos mirties atveju mokėjimą,</w:t>
                    </w:r>
                  </w:p>
                  <w:p>
                    <w:pPr>
                      <w:ind w:left="720" w:hanging="360"/>
                      <w:jc w:val="both"/>
                      <w:rPr>
                        <w:szCs w:val="24"/>
                      </w:rPr>
                    </w:pPr>
                    <w:r>
                      <w:rPr>
                        <w:szCs w:val="24"/>
                      </w:rPr>
                      <w:t>-</w:t>
                      <w:tab/>
                      <w:t>vienkartinių, tikslinių, sąlyginių ir periodinių pašalpų mokėjimą,</w:t>
                    </w:r>
                  </w:p>
                  <w:p>
                    <w:pPr>
                      <w:ind w:left="720" w:hanging="360"/>
                      <w:jc w:val="both"/>
                      <w:rPr>
                        <w:szCs w:val="24"/>
                      </w:rPr>
                    </w:pPr>
                    <w:r>
                      <w:rPr>
                        <w:szCs w:val="24"/>
                      </w:rPr>
                      <w:t>-</w:t>
                      <w:tab/>
                      <w:t>subsidijas kainų skirtumams padengti Uždarajai akcinei bendrovei „Neringos vanduo“,</w:t>
                    </w:r>
                  </w:p>
                  <w:p>
                    <w:pPr>
                      <w:ind w:left="720" w:hanging="360"/>
                      <w:jc w:val="both"/>
                      <w:rPr>
                        <w:szCs w:val="24"/>
                      </w:rPr>
                    </w:pPr>
                    <w:r>
                      <w:rPr>
                        <w:szCs w:val="24"/>
                      </w:rPr>
                      <w:t>-</w:t>
                      <w:tab/>
                      <w:t>būsto nuomos ar išperkamosios būsto nuomos mokesčių dalies kompensacijų mokėjimą,</w:t>
                    </w:r>
                  </w:p>
                  <w:p>
                    <w:pPr>
                      <w:ind w:left="720" w:hanging="360"/>
                      <w:jc w:val="both"/>
                      <w:rPr>
                        <w:szCs w:val="24"/>
                      </w:rPr>
                    </w:pPr>
                    <w:r>
                      <w:rPr>
                        <w:szCs w:val="24"/>
                      </w:rPr>
                      <w:t>-</w:t>
                      <w:tab/>
                      <w:t>Neringos socialinių paslaugų centro veiklos užtikrinimą,</w:t>
                    </w:r>
                  </w:p>
                  <w:p>
                    <w:pPr>
                      <w:ind w:left="720" w:hanging="360"/>
                      <w:jc w:val="both"/>
                      <w:rPr>
                        <w:szCs w:val="24"/>
                      </w:rPr>
                    </w:pPr>
                    <w:r>
                      <w:rPr>
                        <w:szCs w:val="24"/>
                      </w:rPr>
                      <w:t>-</w:t>
                      <w:tab/>
                      <w:t>socialinių paslaugų finansavimą ir pirkimą,</w:t>
                    </w:r>
                  </w:p>
                  <w:p>
                    <w:pPr>
                      <w:ind w:left="720" w:hanging="360"/>
                      <w:jc w:val="both"/>
                      <w:rPr>
                        <w:szCs w:val="24"/>
                      </w:rPr>
                    </w:pPr>
                    <w:r>
                      <w:rPr>
                        <w:szCs w:val="24"/>
                      </w:rPr>
                      <w:t>-</w:t>
                      <w:tab/>
                      <w:t>būsto ir gyvenamosios aplinkos pritaikymą žmonėms su negalia,</w:t>
                    </w:r>
                  </w:p>
                  <w:p>
                    <w:pPr>
                      <w:ind w:left="720" w:hanging="360"/>
                      <w:jc w:val="both"/>
                      <w:rPr>
                        <w:szCs w:val="24"/>
                      </w:rPr>
                    </w:pPr>
                    <w:r>
                      <w:rPr>
                        <w:szCs w:val="24"/>
                      </w:rPr>
                      <w:t>-</w:t>
                      <w:tab/>
                      <w:t>socialinių renginių, vykdomų savivaldybės, finansavimą,</w:t>
                    </w:r>
                  </w:p>
                  <w:p>
                    <w:pPr>
                      <w:ind w:left="720" w:hanging="360"/>
                      <w:jc w:val="both"/>
                      <w:rPr>
                        <w:szCs w:val="24"/>
                      </w:rPr>
                    </w:pPr>
                    <w:r>
                      <w:rPr>
                        <w:szCs w:val="24"/>
                      </w:rPr>
                      <w:t>-</w:t>
                      <w:tab/>
                      <w:t>gyventojų užimtumo programos įgyvendinimą,</w:t>
                    </w:r>
                  </w:p>
                  <w:p>
                    <w:pPr>
                      <w:ind w:left="720" w:hanging="360"/>
                      <w:jc w:val="both"/>
                      <w:rPr>
                        <w:szCs w:val="24"/>
                      </w:rPr>
                    </w:pPr>
                    <w:r>
                      <w:rPr>
                        <w:szCs w:val="24"/>
                      </w:rPr>
                      <w:t>-</w:t>
                      <w:tab/>
                      <w:t>projekto „Pagyvenusių žmonių socialinė įtrauktis Latvijos ir Lietuvos pasienio regione, gerinant fizinės ir socialinės veiklos prieinamumą“ įgyvendinimą,</w:t>
                    </w:r>
                  </w:p>
                  <w:p>
                    <w:pPr>
                      <w:ind w:left="720" w:hanging="360"/>
                      <w:jc w:val="both"/>
                      <w:rPr>
                        <w:szCs w:val="24"/>
                      </w:rPr>
                    </w:pPr>
                    <w:r>
                      <w:rPr>
                        <w:szCs w:val="24"/>
                      </w:rPr>
                      <w:t>-</w:t>
                      <w:tab/>
                      <w:t>būsto šildymo kompensaciją, kai daugiabučio namo energijos suvartojimas didesnis nei 27,5 kwh.m</w:t>
                    </w:r>
                    <w:r>
                      <w:rPr>
                        <w:szCs w:val="24"/>
                        <w:vertAlign w:val="superscript"/>
                      </w:rPr>
                      <w:t>2</w:t>
                    </w:r>
                    <w:r>
                      <w:rPr>
                        <w:szCs w:val="24"/>
                      </w:rPr>
                      <w:t xml:space="preserve"> per mėnesį.</w:t>
                    </w:r>
                  </w:p>
                  <w:p>
                    <w:pPr>
                      <w:ind w:firstLine="567"/>
                      <w:jc w:val="both"/>
                      <w:rPr>
                        <w:bCs/>
                        <w:szCs w:val="24"/>
                      </w:rPr>
                    </w:pPr>
                    <w:r>
                      <w:rPr>
                        <w:szCs w:val="24"/>
                      </w:rPr>
                      <w:t>Socialinė parama ir socialinės paslaugos Neringos savivaldybės gyventojams teikiamos iš valstybės biudžeto, specialių tikslinių dotacijų savivaldybių biudžetams skirtų lėšų, Neringos savivaldybės biudžeto lėšų ir Europos sąjungos fondo lėšų.</w:t>
                    </w:r>
                  </w:p>
                </w:tc>
              </w:tr>
              <w:tr>
                <w:tc>
                  <w:tcPr>
                    <w:tcW w:w="1413" w:type="dxa"/>
                  </w:tcPr>
                  <w:p>
                    <w:pPr>
                      <w:jc w:val="center"/>
                      <w:rPr>
                        <w:b/>
                        <w:szCs w:val="24"/>
                      </w:rPr>
                    </w:pPr>
                    <w:r>
                      <w:rPr>
                        <w:b/>
                        <w:szCs w:val="24"/>
                      </w:rPr>
                      <w:t>3.2.3.1</w:t>
                    </w:r>
                  </w:p>
                  <w:p>
                    <w:pPr>
                      <w:jc w:val="center"/>
                      <w:rPr>
                        <w:b/>
                        <w:szCs w:val="24"/>
                      </w:rPr>
                    </w:pPr>
                    <w:r>
                      <w:rPr>
                        <w:b/>
                        <w:szCs w:val="24"/>
                      </w:rPr>
                      <w:t>priemonė</w:t>
                    </w:r>
                  </w:p>
                </w:tc>
                <w:tc>
                  <w:tcPr>
                    <w:tcW w:w="8363" w:type="dxa"/>
                    <w:gridSpan w:val="5"/>
                  </w:tcPr>
                  <w:p>
                    <w:pPr>
                      <w:jc w:val="both"/>
                      <w:rPr>
                        <w:b/>
                        <w:szCs w:val="24"/>
                      </w:rPr>
                    </w:pPr>
                    <w:r>
                      <w:rPr>
                        <w:b/>
                        <w:szCs w:val="24"/>
                      </w:rPr>
                      <w:t>Socialines ir sveikatos priežiūros paslaugas teikiančių įstaigų infrastruktūros sutvarkymas / atnaujinimas</w:t>
                    </w:r>
                  </w:p>
                </w:tc>
              </w:tr>
              <w:tr>
                <w:trPr>
                  <w:trHeight w:val="554"/>
                </w:trPr>
                <w:tc>
                  <w:tcPr>
                    <w:tcW w:w="1413" w:type="dxa"/>
                  </w:tcPr>
                  <w:p>
                    <w:pPr>
                      <w:jc w:val="center"/>
                      <w:rPr>
                        <w:b/>
                        <w:szCs w:val="24"/>
                      </w:rPr>
                    </w:pPr>
                    <w:r>
                      <w:rPr>
                        <w:b/>
                        <w:szCs w:val="24"/>
                      </w:rPr>
                      <w:t xml:space="preserve">3.2.3.1.1 </w:t>
                    </w:r>
                  </w:p>
                  <w:p>
                    <w:pPr>
                      <w:jc w:val="center"/>
                      <w:rPr>
                        <w:b/>
                        <w:szCs w:val="24"/>
                      </w:rPr>
                    </w:pPr>
                    <w:r>
                      <w:rPr>
                        <w:b/>
                        <w:szCs w:val="24"/>
                      </w:rPr>
                      <w:t>veikla</w:t>
                    </w:r>
                  </w:p>
                </w:tc>
                <w:tc>
                  <w:tcPr>
                    <w:tcW w:w="8363" w:type="dxa"/>
                    <w:gridSpan w:val="5"/>
                  </w:tcPr>
                  <w:p>
                    <w:pPr>
                      <w:jc w:val="both"/>
                      <w:rPr>
                        <w:b/>
                        <w:szCs w:val="24"/>
                      </w:rPr>
                    </w:pPr>
                    <w:r>
                      <w:rPr>
                        <w:b/>
                        <w:szCs w:val="24"/>
                      </w:rPr>
                      <w:t>Neringos socialinių paslaugų centro infrastruktūros sutvarkymas / atnaujinimas</w:t>
                    </w:r>
                  </w:p>
                </w:tc>
              </w:tr>
              <w:tr>
                <w:trPr>
                  <w:trHeight w:val="554"/>
                </w:trPr>
                <w:tc>
                  <w:tcPr>
                    <w:tcW w:w="1413" w:type="dxa"/>
                  </w:tcPr>
                  <w:p>
                    <w:pPr>
                      <w:jc w:val="center"/>
                      <w:rPr>
                        <w:b/>
                        <w:szCs w:val="24"/>
                      </w:rPr>
                    </w:pPr>
                    <w:r>
                      <w:rPr>
                        <w:b/>
                        <w:szCs w:val="24"/>
                      </w:rPr>
                      <w:t>3.2.3.2</w:t>
                    </w:r>
                  </w:p>
                  <w:p>
                    <w:pPr>
                      <w:jc w:val="center"/>
                      <w:rPr>
                        <w:b/>
                        <w:szCs w:val="24"/>
                      </w:rPr>
                    </w:pPr>
                    <w:r>
                      <w:rPr>
                        <w:b/>
                        <w:szCs w:val="24"/>
                      </w:rPr>
                      <w:t>priemonė</w:t>
                    </w:r>
                  </w:p>
                </w:tc>
                <w:tc>
                  <w:tcPr>
                    <w:tcW w:w="8363" w:type="dxa"/>
                    <w:gridSpan w:val="5"/>
                  </w:tcPr>
                  <w:p>
                    <w:pPr>
                      <w:jc w:val="both"/>
                      <w:rPr>
                        <w:b/>
                        <w:szCs w:val="24"/>
                      </w:rPr>
                    </w:pPr>
                    <w:r>
                      <w:rPr>
                        <w:b/>
                        <w:szCs w:val="24"/>
                      </w:rPr>
                      <w:t>Viešųjų paslaugų pasiūlos vystymo užtikrinimas, viešosios infrastruktūros ir jos būklės, specialiųjų poreikių turintiems gyventojams, pagerinimas</w:t>
                    </w:r>
                  </w:p>
                </w:tc>
              </w:tr>
              <w:tr>
                <w:trPr>
                  <w:trHeight w:val="554"/>
                </w:trPr>
                <w:tc>
                  <w:tcPr>
                    <w:tcW w:w="1413" w:type="dxa"/>
                  </w:tcPr>
                  <w:p>
                    <w:pPr>
                      <w:jc w:val="center"/>
                      <w:rPr>
                        <w:b/>
                        <w:szCs w:val="24"/>
                      </w:rPr>
                    </w:pPr>
                    <w:r>
                      <w:rPr>
                        <w:b/>
                        <w:szCs w:val="24"/>
                      </w:rPr>
                      <w:t>3.2.3.2.1</w:t>
                    </w:r>
                  </w:p>
                  <w:p>
                    <w:pPr>
                      <w:jc w:val="center"/>
                      <w:rPr>
                        <w:b/>
                        <w:szCs w:val="24"/>
                      </w:rPr>
                    </w:pPr>
                    <w:r>
                      <w:rPr>
                        <w:b/>
                        <w:szCs w:val="24"/>
                      </w:rPr>
                      <w:t>veikla</w:t>
                    </w:r>
                  </w:p>
                </w:tc>
                <w:tc>
                  <w:tcPr>
                    <w:tcW w:w="8363" w:type="dxa"/>
                    <w:gridSpan w:val="5"/>
                  </w:tcPr>
                  <w:p>
                    <w:pPr>
                      <w:jc w:val="both"/>
                      <w:rPr>
                        <w:b/>
                        <w:szCs w:val="24"/>
                      </w:rPr>
                    </w:pPr>
                    <w:r>
                      <w:rPr>
                        <w:b/>
                        <w:szCs w:val="24"/>
                      </w:rPr>
                      <w:t>Viešųjų paslaugų pasiūlos vystymo užtikrinimas, viešosios infrastruktūros ir jos būklės, specialiųjų poreikių turintiems gyventojams, pagerinimas</w:t>
                    </w:r>
                  </w:p>
                </w:tc>
              </w:tr>
              <w:tr>
                <w:trPr>
                  <w:trHeight w:val="656"/>
                </w:trPr>
                <w:tc>
                  <w:tcPr>
                    <w:tcW w:w="1413" w:type="dxa"/>
                  </w:tcPr>
                  <w:p>
                    <w:pPr>
                      <w:jc w:val="center"/>
                      <w:rPr>
                        <w:b/>
                        <w:szCs w:val="24"/>
                      </w:rPr>
                    </w:pPr>
                    <w:r>
                      <w:rPr>
                        <w:b/>
                        <w:bCs/>
                        <w:szCs w:val="24"/>
                      </w:rPr>
                      <w:t xml:space="preserve">3.2.3.3. </w:t>
                    </w:r>
                    <w:r>
                      <w:rPr>
                        <w:b/>
                        <w:szCs w:val="24"/>
                      </w:rPr>
                      <w:t xml:space="preserve">      priemonė</w:t>
                    </w:r>
                  </w:p>
                </w:tc>
                <w:tc>
                  <w:tcPr>
                    <w:tcW w:w="8363" w:type="dxa"/>
                    <w:gridSpan w:val="5"/>
                  </w:tcPr>
                  <w:p>
                    <w:pPr>
                      <w:tabs>
                        <w:tab w:val="left" w:pos="120"/>
                        <w:tab w:val="left" w:pos="270"/>
                      </w:tabs>
                      <w:jc w:val="both"/>
                      <w:rPr>
                        <w:b/>
                        <w:szCs w:val="24"/>
                      </w:rPr>
                    </w:pPr>
                    <w:r>
                      <w:rPr>
                        <w:b/>
                        <w:bCs/>
                        <w:szCs w:val="24"/>
                      </w:rPr>
                      <w:t>Esamų teikiamų socialinių paslaugų rūšių (bendrųjų socialinių paslaugų, socialinės priežiūros paslaugų, socialinės globos paslaugų) išlaikymas ir išplėtimas, socialinės paramos užtikrinimas</w:t>
                    </w:r>
                  </w:p>
                </w:tc>
              </w:tr>
              <w:tr>
                <w:tc>
                  <w:tcPr>
                    <w:tcW w:w="1413" w:type="dxa"/>
                  </w:tcPr>
                  <w:p>
                    <w:pPr>
                      <w:jc w:val="center"/>
                      <w:rPr>
                        <w:b/>
                        <w:bCs/>
                        <w:szCs w:val="24"/>
                      </w:rPr>
                    </w:pPr>
                    <w:r>
                      <w:rPr>
                        <w:b/>
                        <w:szCs w:val="24"/>
                      </w:rPr>
                      <w:t xml:space="preserve">3.2.3.3.1         veikla</w:t>
                    </w:r>
                  </w:p>
                </w:tc>
                <w:tc>
                  <w:tcPr>
                    <w:tcW w:w="8363" w:type="dxa"/>
                    <w:gridSpan w:val="5"/>
                  </w:tcPr>
                  <w:p>
                    <w:pPr>
                      <w:tabs>
                        <w:tab w:val="left" w:pos="120"/>
                        <w:tab w:val="left" w:pos="270"/>
                      </w:tabs>
                      <w:jc w:val="both"/>
                      <w:rPr>
                        <w:b/>
                        <w:bCs/>
                        <w:szCs w:val="24"/>
                      </w:rPr>
                    </w:pPr>
                    <w:r>
                      <w:rPr>
                        <w:b/>
                        <w:bCs/>
                        <w:szCs w:val="24"/>
                      </w:rPr>
                      <w:t>Tikslinių kompensacijų mokėjimas</w:t>
                    </w:r>
                  </w:p>
                </w:tc>
              </w:tr>
              <w:tr>
                <w:trPr>
                  <w:trHeight w:val="784"/>
                </w:trPr>
                <w:tc>
                  <w:tcPr>
                    <w:tcW w:w="9776" w:type="dxa"/>
                    <w:gridSpan w:val="6"/>
                  </w:tcPr>
                  <w:p>
                    <w:pPr>
                      <w:tabs>
                        <w:tab w:val="left" w:pos="120"/>
                        <w:tab w:val="left" w:pos="270"/>
                      </w:tabs>
                      <w:ind w:firstLine="540"/>
                      <w:jc w:val="both"/>
                      <w:rPr>
                        <w:szCs w:val="24"/>
                      </w:rPr>
                    </w:pPr>
                    <w:r>
                      <w:rPr>
                        <w:szCs w:val="24"/>
                      </w:rPr>
                      <w:t xml:space="preserve">Šia veikla įgyvendinamas Lietuvos Respublikos tikslinių kompensacijų įstatymas. </w:t>
                    </w:r>
                  </w:p>
                  <w:p>
                    <w:pPr>
                      <w:tabs>
                        <w:tab w:val="left" w:pos="120"/>
                        <w:tab w:val="left" w:pos="270"/>
                      </w:tabs>
                      <w:ind w:firstLine="540"/>
                      <w:jc w:val="both"/>
                      <w:rPr>
                        <w:szCs w:val="24"/>
                      </w:rPr>
                    </w:pPr>
                    <w:r>
                      <w:rPr>
                        <w:szCs w:val="24"/>
                      </w:rPr>
                      <w:t xml:space="preserve">Vadovaujantis Lietuvos Respublikos tikslinių kompensacijų įstatymu yra mokamos slaugos ir priežiūros (pagalbos) išlaidų tikslinės kompensacijos. Veikla finansuojama iš valstybės biudžeto. </w:t>
                    </w:r>
                  </w:p>
                </w:tc>
              </w:tr>
              <w:tr>
                <w:tc>
                  <w:tcPr>
                    <w:tcW w:w="1413" w:type="dxa"/>
                  </w:tcPr>
                  <w:p>
                    <w:pPr>
                      <w:jc w:val="center"/>
                      <w:rPr>
                        <w:b/>
                        <w:szCs w:val="24"/>
                      </w:rPr>
                    </w:pPr>
                    <w:r>
                      <w:rPr>
                        <w:b/>
                        <w:szCs w:val="24"/>
                      </w:rPr>
                      <w:t>3.2.3.3.2</w:t>
                    </w:r>
                  </w:p>
                  <w:p>
                    <w:pPr>
                      <w:jc w:val="center"/>
                      <w:rPr>
                        <w:szCs w:val="24"/>
                      </w:rPr>
                    </w:pPr>
                    <w:r>
                      <w:rPr>
                        <w:b/>
                        <w:szCs w:val="24"/>
                      </w:rPr>
                      <w:t>veikla</w:t>
                    </w:r>
                  </w:p>
                </w:tc>
                <w:tc>
                  <w:tcPr>
                    <w:tcW w:w="8363" w:type="dxa"/>
                    <w:gridSpan w:val="5"/>
                  </w:tcPr>
                  <w:p>
                    <w:pPr>
                      <w:tabs>
                        <w:tab w:val="left" w:pos="120"/>
                        <w:tab w:val="left" w:pos="270"/>
                      </w:tabs>
                      <w:rPr>
                        <w:b/>
                        <w:szCs w:val="24"/>
                      </w:rPr>
                    </w:pPr>
                    <w:r>
                      <w:rPr>
                        <w:b/>
                        <w:szCs w:val="24"/>
                      </w:rPr>
                      <w:t>Išmokų vaikams mokėjimas</w:t>
                    </w:r>
                  </w:p>
                </w:tc>
              </w:tr>
              <w:tr>
                <w:tc>
                  <w:tcPr>
                    <w:tcW w:w="9776" w:type="dxa"/>
                    <w:gridSpan w:val="6"/>
                  </w:tcPr>
                  <w:p>
                    <w:pPr>
                      <w:tabs>
                        <w:tab w:val="left" w:pos="120"/>
                        <w:tab w:val="left" w:pos="270"/>
                      </w:tabs>
                      <w:ind w:firstLine="540"/>
                      <w:jc w:val="both"/>
                      <w:rPr>
                        <w:szCs w:val="24"/>
                      </w:rPr>
                    </w:pPr>
                    <w:r>
                      <w:rPr>
                        <w:szCs w:val="24"/>
                      </w:rPr>
                      <w:t xml:space="preserve">Šia veikla įgyvendinamas Lietuvos Respublikos išmokų vaikams įstatymas. Veikla finansuojama iš valstybės biudžeto. </w:t>
                    </w:r>
                  </w:p>
                </w:tc>
              </w:tr>
              <w:tr>
                <w:tc>
                  <w:tcPr>
                    <w:tcW w:w="1413" w:type="dxa"/>
                  </w:tcPr>
                  <w:p>
                    <w:pPr>
                      <w:jc w:val="center"/>
                      <w:rPr>
                        <w:b/>
                        <w:szCs w:val="24"/>
                      </w:rPr>
                    </w:pPr>
                    <w:r>
                      <w:rPr>
                        <w:b/>
                        <w:szCs w:val="24"/>
                      </w:rPr>
                      <w:t>3.2.3.3.3</w:t>
                    </w:r>
                  </w:p>
                  <w:p>
                    <w:pPr>
                      <w:jc w:val="center"/>
                      <w:rPr>
                        <w:szCs w:val="24"/>
                      </w:rPr>
                    </w:pPr>
                    <w:r>
                      <w:rPr>
                        <w:b/>
                        <w:szCs w:val="24"/>
                      </w:rPr>
                      <w:t>veikla</w:t>
                    </w:r>
                  </w:p>
                </w:tc>
                <w:tc>
                  <w:tcPr>
                    <w:tcW w:w="8363" w:type="dxa"/>
                    <w:gridSpan w:val="5"/>
                  </w:tcPr>
                  <w:p>
                    <w:pPr>
                      <w:tabs>
                        <w:tab w:val="left" w:pos="210"/>
                      </w:tabs>
                      <w:jc w:val="both"/>
                      <w:rPr>
                        <w:b/>
                        <w:bCs/>
                        <w:szCs w:val="24"/>
                      </w:rPr>
                    </w:pPr>
                    <w:r>
                      <w:rPr>
                        <w:b/>
                        <w:szCs w:val="24"/>
                      </w:rPr>
                      <w:t>Piniginė socialinė parama nepasiturintiems gyventojams</w:t>
                    </w:r>
                    <w:r>
                      <w:rPr>
                        <w:b/>
                        <w:bCs/>
                        <w:szCs w:val="24"/>
                      </w:rPr>
                      <w:t xml:space="preserve"> skyrimas ir mokėjimas</w:t>
                    </w:r>
                  </w:p>
                </w:tc>
              </w:tr>
              <w:tr>
                <w:tc>
                  <w:tcPr>
                    <w:tcW w:w="9776" w:type="dxa"/>
                    <w:gridSpan w:val="6"/>
                  </w:tcPr>
                  <w:p>
                    <w:pPr>
                      <w:ind w:firstLine="540"/>
                      <w:jc w:val="both"/>
                      <w:rPr>
                        <w:iCs/>
                        <w:szCs w:val="24"/>
                        <w:u w:val="single"/>
                      </w:rPr>
                    </w:pPr>
                    <w:r>
                      <w:rPr>
                        <w:szCs w:val="24"/>
                      </w:rPr>
                      <w:t xml:space="preserve">Šia veikla organizuojamos ir mokamos socialinės pašalpos ir skiriamos kompensacijos būsto šildymo, geriamojo ir karšto vandens išlaidos socialiai remtiniems asmenims. Veikla įgyvendinama vadovaujantis Lietuvos Respublikos piniginės paramos nepasiturintiems gyventojams įstatymu ir Neringos savivaldybės tarybos nustatyta tvarka. </w:t>
                    </w:r>
                  </w:p>
                </w:tc>
              </w:tr>
              <w:tr>
                <w:tc>
                  <w:tcPr>
                    <w:tcW w:w="1413" w:type="dxa"/>
                  </w:tcPr>
                  <w:p>
                    <w:pPr>
                      <w:jc w:val="center"/>
                      <w:rPr>
                        <w:b/>
                        <w:szCs w:val="24"/>
                      </w:rPr>
                    </w:pPr>
                    <w:r>
                      <w:rPr>
                        <w:b/>
                        <w:szCs w:val="24"/>
                      </w:rPr>
                      <w:t>3.2.3.3.4</w:t>
                    </w:r>
                  </w:p>
                  <w:p>
                    <w:pPr>
                      <w:jc w:val="center"/>
                      <w:rPr>
                        <w:szCs w:val="24"/>
                      </w:rPr>
                    </w:pPr>
                    <w:r>
                      <w:rPr>
                        <w:b/>
                        <w:szCs w:val="24"/>
                      </w:rPr>
                      <w:t>veikla</w:t>
                    </w:r>
                  </w:p>
                </w:tc>
                <w:tc>
                  <w:tcPr>
                    <w:tcW w:w="8363" w:type="dxa"/>
                    <w:gridSpan w:val="5"/>
                  </w:tcPr>
                  <w:p>
                    <w:pPr>
                      <w:rPr>
                        <w:b/>
                        <w:szCs w:val="24"/>
                      </w:rPr>
                    </w:pPr>
                    <w:r>
                      <w:rPr>
                        <w:b/>
                        <w:szCs w:val="24"/>
                      </w:rPr>
                      <w:t>Paramos mirties atveju skyrimas ir mokėjimas</w:t>
                    </w:r>
                  </w:p>
                </w:tc>
              </w:tr>
              <w:tr>
                <w:tc>
                  <w:tcPr>
                    <w:tcW w:w="9776" w:type="dxa"/>
                    <w:gridSpan w:val="6"/>
                  </w:tcPr>
                  <w:p>
                    <w:pPr>
                      <w:ind w:firstLine="540"/>
                      <w:jc w:val="both"/>
                      <w:rPr>
                        <w:szCs w:val="24"/>
                      </w:rPr>
                    </w:pPr>
                    <w:r>
                      <w:rPr>
                        <w:szCs w:val="24"/>
                      </w:rPr>
                      <w:t xml:space="preserve">Šia priemone įgyvendinamas Lietuvos Respublikos paramos mirties atveju įstatymas. Mokamos šios išmokų rūšys: laidojimo pašalpa ir parama užsienyje mirusių (žuvusių) Lietuvos Respublikos piliečių palaikams parvežti į Lietuvos Respubliką. </w:t>
                    </w:r>
                  </w:p>
                  <w:p>
                    <w:pPr>
                      <w:ind w:firstLine="540"/>
                      <w:jc w:val="both"/>
                      <w:rPr>
                        <w:szCs w:val="24"/>
                      </w:rPr>
                    </w:pPr>
                    <w:r>
                      <w:rPr>
                        <w:szCs w:val="24"/>
                      </w:rPr>
                      <w:t>Parama mirties atveju finansuojama iš valstybės biudžeto specialios tikslinės dotacijos savivaldybių biudžetams.</w:t>
                    </w:r>
                  </w:p>
                </w:tc>
              </w:tr>
              <w:tr>
                <w:tc>
                  <w:tcPr>
                    <w:tcW w:w="1413" w:type="dxa"/>
                  </w:tcPr>
                  <w:p>
                    <w:pPr>
                      <w:jc w:val="center"/>
                      <w:rPr>
                        <w:b/>
                        <w:szCs w:val="24"/>
                      </w:rPr>
                    </w:pPr>
                    <w:r>
                      <w:rPr>
                        <w:b/>
                        <w:szCs w:val="24"/>
                      </w:rPr>
                      <w:t>3.2.3.3.5</w:t>
                    </w:r>
                  </w:p>
                  <w:p>
                    <w:pPr>
                      <w:jc w:val="center"/>
                      <w:rPr>
                        <w:szCs w:val="24"/>
                      </w:rPr>
                    </w:pPr>
                    <w:r>
                      <w:rPr>
                        <w:b/>
                        <w:szCs w:val="24"/>
                      </w:rPr>
                      <w:t>veikla</w:t>
                    </w:r>
                  </w:p>
                </w:tc>
                <w:tc>
                  <w:tcPr>
                    <w:tcW w:w="8363" w:type="dxa"/>
                    <w:gridSpan w:val="5"/>
                  </w:tcPr>
                  <w:p>
                    <w:pPr>
                      <w:tabs>
                        <w:tab w:val="left" w:pos="120"/>
                        <w:tab w:val="left" w:pos="270"/>
                      </w:tabs>
                      <w:jc w:val="both"/>
                      <w:rPr>
                        <w:b/>
                        <w:szCs w:val="24"/>
                      </w:rPr>
                    </w:pPr>
                    <w:r>
                      <w:rPr>
                        <w:b/>
                        <w:szCs w:val="24"/>
                      </w:rPr>
                      <w:t>Vienkartinių, tikslinių, sąlyginių ir periodinių pašalpų mokėjimas.</w:t>
                    </w:r>
                  </w:p>
                </w:tc>
              </w:tr>
              <w:tr>
                <w:tc>
                  <w:tcPr>
                    <w:tcW w:w="9776" w:type="dxa"/>
                    <w:gridSpan w:val="6"/>
                  </w:tcPr>
                  <w:p>
                    <w:pPr>
                      <w:tabs>
                        <w:tab w:val="left" w:pos="120"/>
                        <w:tab w:val="left" w:pos="270"/>
                      </w:tabs>
                      <w:ind w:firstLine="540"/>
                      <w:jc w:val="both"/>
                      <w:rPr>
                        <w:szCs w:val="24"/>
                      </w:rPr>
                    </w:pPr>
                    <w:r>
                      <w:rPr>
                        <w:szCs w:val="24"/>
                      </w:rPr>
                      <w:t xml:space="preserve">Neringos savivaldybės tarybos sprendimu nustatyta tvarka Neringos savivaldybės gyventojams, patekusiems į sunkią materialinę padėtį dėl skurdo, bedarbystės, ligos, nukentėjus nuo stichinių nelaimių ar kitais atvejais, teikiama </w:t>
                    </w:r>
                    <w:r>
                      <w:rPr>
                        <w:iCs/>
                        <w:szCs w:val="24"/>
                      </w:rPr>
                      <w:t>vienkartinė, tikslinė, sąlyginė ar periodinė pašalpa</w:t>
                    </w:r>
                    <w:r>
                      <w:rPr>
                        <w:szCs w:val="24"/>
                      </w:rPr>
                      <w:t>.</w:t>
                    </w:r>
                  </w:p>
                  <w:p>
                    <w:pPr>
                      <w:tabs>
                        <w:tab w:val="left" w:pos="120"/>
                        <w:tab w:val="left" w:pos="270"/>
                      </w:tabs>
                      <w:ind w:firstLine="540"/>
                      <w:jc w:val="both"/>
                      <w:rPr>
                        <w:bCs/>
                        <w:szCs w:val="24"/>
                      </w:rPr>
                    </w:pPr>
                    <w:r>
                      <w:rPr>
                        <w:szCs w:val="24"/>
                      </w:rPr>
                      <w:t xml:space="preserve">Vienkartinių, tikslinių, sąlyginių ir periodinių pašalpų mokėjimas finansuojamas iš Neringos savivaldybės biudžeto lėšų. </w:t>
                    </w:r>
                  </w:p>
                </w:tc>
              </w:tr>
              <w:tr>
                <w:tc>
                  <w:tcPr>
                    <w:tcW w:w="1413" w:type="dxa"/>
                  </w:tcPr>
                  <w:p>
                    <w:pPr>
                      <w:jc w:val="center"/>
                      <w:rPr>
                        <w:b/>
                        <w:szCs w:val="24"/>
                      </w:rPr>
                    </w:pPr>
                    <w:r>
                      <w:rPr>
                        <w:b/>
                        <w:szCs w:val="24"/>
                      </w:rPr>
                      <w:t>3.2.3.3.6</w:t>
                    </w:r>
                  </w:p>
                  <w:p>
                    <w:pPr>
                      <w:jc w:val="center"/>
                      <w:rPr>
                        <w:szCs w:val="24"/>
                      </w:rPr>
                    </w:pPr>
                    <w:r>
                      <w:rPr>
                        <w:b/>
                        <w:szCs w:val="24"/>
                      </w:rPr>
                      <w:t>veikla</w:t>
                    </w:r>
                  </w:p>
                </w:tc>
                <w:tc>
                  <w:tcPr>
                    <w:tcW w:w="8363" w:type="dxa"/>
                    <w:gridSpan w:val="5"/>
                  </w:tcPr>
                  <w:p>
                    <w:pPr>
                      <w:jc w:val="both"/>
                      <w:rPr>
                        <w:rFonts w:ascii="TimesNewRoman" w:hAnsi="TimesNewRoman"/>
                        <w:b/>
                        <w:szCs w:val="24"/>
                      </w:rPr>
                    </w:pPr>
                    <w:r>
                      <w:rPr>
                        <w:b/>
                        <w:szCs w:val="24"/>
                      </w:rPr>
                      <w:t>Paramos mokiniams skyrimas ir mokėjimas</w:t>
                    </w:r>
                  </w:p>
                </w:tc>
              </w:tr>
              <w:tr>
                <w:tc>
                  <w:tcPr>
                    <w:tcW w:w="9776" w:type="dxa"/>
                    <w:gridSpan w:val="6"/>
                  </w:tcPr>
                  <w:p>
                    <w:pPr>
                      <w:ind w:firstLine="540"/>
                      <w:jc w:val="both"/>
                      <w:rPr>
                        <w:szCs w:val="24"/>
                      </w:rPr>
                    </w:pPr>
                    <w:r>
                      <w:rPr>
                        <w:szCs w:val="24"/>
                      </w:rPr>
                      <w:t>Šia veikla įgyvendinamas Lietuvos Respublikos socialinės paramos mokiniams įstatymas ir Neringos savivaldybės tarybos patvirtintas tvarkos aprašas, reglamentuojantis socialinės paramos mokiniams teikimą Neringos savivaldybėje.</w:t>
                    </w:r>
                  </w:p>
                  <w:p>
                    <w:pPr>
                      <w:ind w:firstLine="602"/>
                      <w:jc w:val="both"/>
                      <w:rPr>
                        <w:szCs w:val="24"/>
                      </w:rPr>
                    </w:pPr>
                    <w:r>
                      <w:rPr>
                        <w:szCs w:val="24"/>
                      </w:rPr>
                      <w:t>Vykdant šią veiklą, organizuojamas nemokamas moksleivių maitinimas bei aprūpinimas mokinio reikmenimis iš valstybės biudžeto specialios tikslinės dotacijos savivaldybių biudžetams.</w:t>
                    </w:r>
                  </w:p>
                </w:tc>
              </w:tr>
              <w:tr>
                <w:tc>
                  <w:tcPr>
                    <w:tcW w:w="1413" w:type="dxa"/>
                  </w:tcPr>
                  <w:p>
                    <w:pPr>
                      <w:jc w:val="center"/>
                      <w:rPr>
                        <w:b/>
                        <w:szCs w:val="24"/>
                      </w:rPr>
                    </w:pPr>
                    <w:r>
                      <w:rPr>
                        <w:b/>
                        <w:szCs w:val="24"/>
                      </w:rPr>
                      <w:t>3.2.3.3.7</w:t>
                    </w:r>
                  </w:p>
                  <w:p>
                    <w:pPr>
                      <w:jc w:val="center"/>
                      <w:rPr>
                        <w:b/>
                        <w:szCs w:val="24"/>
                      </w:rPr>
                    </w:pPr>
                    <w:r>
                      <w:rPr>
                        <w:b/>
                        <w:szCs w:val="24"/>
                      </w:rPr>
                      <w:t>veikla</w:t>
                    </w:r>
                  </w:p>
                </w:tc>
                <w:tc>
                  <w:tcPr>
                    <w:tcW w:w="8363" w:type="dxa"/>
                    <w:gridSpan w:val="5"/>
                  </w:tcPr>
                  <w:p>
                    <w:pPr>
                      <w:jc w:val="both"/>
                      <w:rPr>
                        <w:b/>
                        <w:szCs w:val="24"/>
                      </w:rPr>
                    </w:pPr>
                    <w:r>
                      <w:rPr>
                        <w:b/>
                        <w:szCs w:val="24"/>
                      </w:rPr>
                      <w:t>Subsidijos mokėjimas kainų skirtumams padengti Uždarajai akcinei bendrovei „Neringos vanduo“</w:t>
                    </w:r>
                  </w:p>
                </w:tc>
              </w:tr>
              <w:tr>
                <w:tc>
                  <w:tcPr>
                    <w:tcW w:w="9776" w:type="dxa"/>
                    <w:gridSpan w:val="6"/>
                  </w:tcPr>
                  <w:p>
                    <w:pPr>
                      <w:ind w:firstLine="596"/>
                      <w:jc w:val="both"/>
                      <w:rPr>
                        <w:szCs w:val="24"/>
                      </w:rPr>
                    </w:pPr>
                    <w:r>
                      <w:rPr>
                        <w:szCs w:val="24"/>
                      </w:rPr>
                      <w:t>Neringos savivaldybė skiria subsidijas iš Neringos savivaldybės biudžeto Uždarajai akcinei bendrovei „Neringos vanduo“.</w:t>
                    </w:r>
                  </w:p>
                </w:tc>
              </w:tr>
              <w:tr>
                <w:tc>
                  <w:tcPr>
                    <w:tcW w:w="1413" w:type="dxa"/>
                  </w:tcPr>
                  <w:p>
                    <w:pPr>
                      <w:jc w:val="center"/>
                      <w:rPr>
                        <w:b/>
                        <w:szCs w:val="24"/>
                      </w:rPr>
                    </w:pPr>
                    <w:r>
                      <w:rPr>
                        <w:b/>
                        <w:szCs w:val="24"/>
                      </w:rPr>
                      <w:t>3.2.3.3.8</w:t>
                    </w:r>
                  </w:p>
                  <w:p>
                    <w:pPr>
                      <w:jc w:val="center"/>
                      <w:rPr>
                        <w:b/>
                        <w:szCs w:val="24"/>
                      </w:rPr>
                    </w:pPr>
                    <w:r>
                      <w:rPr>
                        <w:b/>
                        <w:szCs w:val="24"/>
                      </w:rPr>
                      <w:t>veikla</w:t>
                    </w:r>
                  </w:p>
                </w:tc>
                <w:tc>
                  <w:tcPr>
                    <w:tcW w:w="8363" w:type="dxa"/>
                    <w:gridSpan w:val="5"/>
                  </w:tcPr>
                  <w:p>
                    <w:pPr>
                      <w:jc w:val="both"/>
                      <w:rPr>
                        <w:b/>
                        <w:szCs w:val="24"/>
                      </w:rPr>
                    </w:pPr>
                    <w:r>
                      <w:rPr>
                        <w:b/>
                        <w:szCs w:val="24"/>
                      </w:rPr>
                      <w:t>Būsto nuomos ar išperkamosios būsto nuomos mokesčių dalies kompensacijų mokėjimas</w:t>
                    </w:r>
                  </w:p>
                </w:tc>
              </w:tr>
              <w:tr>
                <w:tc>
                  <w:tcPr>
                    <w:tcW w:w="9776" w:type="dxa"/>
                    <w:gridSpan w:val="6"/>
                  </w:tcPr>
                  <w:p>
                    <w:pPr>
                      <w:ind w:firstLine="596"/>
                      <w:jc w:val="both"/>
                      <w:rPr>
                        <w:szCs w:val="24"/>
                      </w:rPr>
                    </w:pPr>
                    <w:r>
                      <w:rPr>
                        <w:szCs w:val="24"/>
                      </w:rPr>
                      <w:t>Šia veikla įgyvendinamas Lietuvos Respublikos paramos būstui įsigyti ar išsinuomoti įstatymas ir Neringos savivaldybės tarybos nustatyta tvarka.</w:t>
                    </w:r>
                  </w:p>
                  <w:p>
                    <w:pPr>
                      <w:ind w:firstLine="658"/>
                      <w:jc w:val="both"/>
                      <w:rPr>
                        <w:szCs w:val="24"/>
                      </w:rPr>
                    </w:pPr>
                    <w:r>
                      <w:rPr>
                        <w:szCs w:val="24"/>
                      </w:rPr>
                      <w:t xml:space="preserve">Asmenys ir šeimos, turinčios teisę į paramą būstui išsinuomoti, turės galimybę pasinaudoti būsto nuomos ar išperkamosios būsto nuomos mokesčių dalies kompensacija. </w:t>
                    </w:r>
                  </w:p>
                  <w:p>
                    <w:pPr>
                      <w:ind w:firstLine="596"/>
                      <w:jc w:val="both"/>
                      <w:rPr>
                        <w:szCs w:val="24"/>
                      </w:rPr>
                    </w:pPr>
                    <w:r>
                      <w:rPr>
                        <w:szCs w:val="24"/>
                      </w:rPr>
                      <w:t>Būsto nuomos ar išperkamosios būsto nuomos mokesčių dalies kompensacijų mokėjimas finansuojamas iš</w:t>
                    </w:r>
                    <w:r>
                      <w:rPr>
                        <w:b/>
                        <w:szCs w:val="24"/>
                      </w:rPr>
                      <w:t xml:space="preserve"> </w:t>
                    </w:r>
                    <w:r>
                      <w:rPr>
                        <w:szCs w:val="24"/>
                      </w:rPr>
                      <w:t>valstybės biudžeto specialios tikslinės dotacijos savivaldybių biudžetams.</w:t>
                    </w:r>
                  </w:p>
                </w:tc>
              </w:tr>
              <w:tr>
                <w:tc>
                  <w:tcPr>
                    <w:tcW w:w="1413" w:type="dxa"/>
                  </w:tcPr>
                  <w:p>
                    <w:pPr>
                      <w:jc w:val="center"/>
                      <w:rPr>
                        <w:b/>
                        <w:szCs w:val="24"/>
                      </w:rPr>
                    </w:pPr>
                    <w:r>
                      <w:rPr>
                        <w:b/>
                        <w:szCs w:val="24"/>
                      </w:rPr>
                      <w:t>3.2.3.3.9</w:t>
                    </w:r>
                  </w:p>
                  <w:p>
                    <w:pPr>
                      <w:jc w:val="center"/>
                      <w:rPr>
                        <w:b/>
                        <w:szCs w:val="24"/>
                      </w:rPr>
                    </w:pPr>
                    <w:r>
                      <w:rPr>
                        <w:b/>
                        <w:szCs w:val="24"/>
                      </w:rPr>
                      <w:t>veikla</w:t>
                    </w:r>
                  </w:p>
                </w:tc>
                <w:tc>
                  <w:tcPr>
                    <w:tcW w:w="8363" w:type="dxa"/>
                    <w:gridSpan w:val="5"/>
                  </w:tcPr>
                  <w:p>
                    <w:pPr>
                      <w:jc w:val="both"/>
                      <w:rPr>
                        <w:b/>
                        <w:szCs w:val="24"/>
                      </w:rPr>
                    </w:pPr>
                    <w:r>
                      <w:rPr>
                        <w:b/>
                        <w:szCs w:val="24"/>
                      </w:rPr>
                      <w:t xml:space="preserve">Visuomeninio transporto kompensacijų mokėjimas. </w:t>
                    </w:r>
                  </w:p>
                </w:tc>
              </w:tr>
              <w:tr>
                <w:trPr>
                  <w:trHeight w:val="1245"/>
                </w:trPr>
                <w:tc>
                  <w:tcPr>
                    <w:tcW w:w="9776" w:type="dxa"/>
                    <w:gridSpan w:val="6"/>
                  </w:tcPr>
                  <w:p>
                    <w:pPr>
                      <w:ind w:firstLine="596"/>
                      <w:jc w:val="both"/>
                      <w:rPr>
                        <w:szCs w:val="24"/>
                      </w:rPr>
                    </w:pPr>
                    <w:r>
                      <w:rPr>
                        <w:szCs w:val="24"/>
                      </w:rPr>
                      <w:t>Vadovaudamasi Lietuvos Respublikos transporto lengvatų įstatymu, Neringos savivaldybė kompensuoja vežėjams keleivių, turinčių teisę į važiavimo visuomeniniu transportu vietinio susiekimo transporto maršrutais, vežimo patirtas išlaidas. Kompensacijos mokamos iš Neringos savivaldybės biudžeto lėšų.</w:t>
                    </w:r>
                  </w:p>
                  <w:p>
                    <w:pPr>
                      <w:ind w:firstLine="596"/>
                      <w:jc w:val="both"/>
                      <w:rPr>
                        <w:szCs w:val="24"/>
                      </w:rPr>
                    </w:pPr>
                    <w:r>
                      <w:rPr>
                        <w:szCs w:val="24"/>
                      </w:rPr>
                      <w:t>Taip pat iš šios veiklos yra apmokamos Neringos savivaldybėje esančių formaliojo ir neformaliojo švietimo įstaigų mokytojų, važiuojančių į darbą ir atgal, važiavimo išlaidų jų darbo mokyklose dienomis kompensacijos. Kompensacijos mokamos Neringos savivaldybės tarybos sprendimu iš Neringos savivaldybės biudžeto lėšų.</w:t>
                    </w:r>
                  </w:p>
                </w:tc>
              </w:tr>
              <w:tr>
                <w:trPr>
                  <w:trHeight w:val="347"/>
                </w:trPr>
                <w:tc>
                  <w:tcPr>
                    <w:tcW w:w="1413" w:type="dxa"/>
                  </w:tcPr>
                  <w:p>
                    <w:pPr>
                      <w:jc w:val="center"/>
                      <w:rPr>
                        <w:b/>
                        <w:szCs w:val="24"/>
                      </w:rPr>
                    </w:pPr>
                    <w:r>
                      <w:rPr>
                        <w:b/>
                        <w:szCs w:val="24"/>
                      </w:rPr>
                      <w:t>3.2.3.3.10</w:t>
                    </w:r>
                  </w:p>
                  <w:p>
                    <w:pPr>
                      <w:jc w:val="center"/>
                      <w:rPr>
                        <w:color w:val="0070C0"/>
                        <w:szCs w:val="24"/>
                      </w:rPr>
                    </w:pPr>
                    <w:r>
                      <w:rPr>
                        <w:b/>
                        <w:szCs w:val="24"/>
                      </w:rPr>
                      <w:t>veikla</w:t>
                    </w:r>
                  </w:p>
                </w:tc>
                <w:tc>
                  <w:tcPr>
                    <w:tcW w:w="8363" w:type="dxa"/>
                    <w:gridSpan w:val="5"/>
                  </w:tcPr>
                  <w:p>
                    <w:pPr>
                      <w:jc w:val="both"/>
                      <w:rPr>
                        <w:color w:val="0070C0"/>
                        <w:szCs w:val="24"/>
                      </w:rPr>
                    </w:pPr>
                    <w:r>
                      <w:rPr>
                        <w:b/>
                        <w:szCs w:val="24"/>
                      </w:rPr>
                      <w:t>Neringos socialinių paslaugų centro (toliau – centras) veiklos užtikrinimas</w:t>
                    </w:r>
                  </w:p>
                </w:tc>
              </w:tr>
              <w:tr>
                <w:trPr>
                  <w:trHeight w:val="840"/>
                </w:trPr>
                <w:tc>
                  <w:tcPr>
                    <w:tcW w:w="9776" w:type="dxa"/>
                    <w:gridSpan w:val="6"/>
                  </w:tcPr>
                  <w:p>
                    <w:pPr>
                      <w:ind w:firstLine="772"/>
                      <w:jc w:val="both"/>
                      <w:rPr>
                        <w:szCs w:val="24"/>
                      </w:rPr>
                    </w:pPr>
                    <w:r>
                      <w:rPr>
                        <w:szCs w:val="24"/>
                      </w:rPr>
                      <w:t>Centras yra biudžetinė įstaiga, kuri teikia nestacionarias bendrąsias ir socialinės priežiūros paslaugas, konsultuoja gyventojus socialinių paslaugų klausimais, teikia socialinę pagalbą socialinės rizikos šeimoms, vienišiems, seniems ir neįgaliems Neringos savivaldybės gyventojams, teikia pagalbą į namus, aprūpina savivaldybės neįgaliuosius kompensacine technika, teikia transporto paslaugas; teikia socialinių įgūdžių ugdymo ir palaikymo paslaugas socialinės rizikos šeimoms ir asmenims, teikia paramą maisto produktais, organizuoja dienos užimtumo veiklą, organizuoja Neringos savivaldybėje mirusių asmenų pervežimą. Paslaugas gali gauti senyvo amžiaus, neįgalūs, socialinės rizikos asmenys (šeimos), vaikai ir kiti asmenys.</w:t>
                    </w:r>
                    <w:r>
                      <w:rPr>
                        <w:szCs w:val="24"/>
                        <w:lang w:eastAsia="ar-SA"/>
                      </w:rPr>
                      <w:t xml:space="preserve"> Vykdo atvirą darbą su jaunimu. </w:t>
                    </w:r>
                  </w:p>
                  <w:p>
                    <w:pPr>
                      <w:ind w:firstLine="596"/>
                      <w:jc w:val="both"/>
                      <w:rPr>
                        <w:szCs w:val="24"/>
                      </w:rPr>
                    </w:pPr>
                    <w:r>
                      <w:rPr>
                        <w:szCs w:val="24"/>
                      </w:rPr>
                      <w:t>Centro lėšų šaltiniai – savivaldybės biudžeto lėšos, valstybės specialios tikslinės dotacijos, paramos lėšos, valstybės biudžeto lėšos, ankstesnių metų lėšos, specialiųjų programų lėšos, Europos Sąjungos lėšos.</w:t>
                    </w:r>
                  </w:p>
                </w:tc>
              </w:tr>
              <w:tr>
                <w:trPr>
                  <w:trHeight w:val="360"/>
                </w:trPr>
                <w:tc>
                  <w:tcPr>
                    <w:tcW w:w="1413" w:type="dxa"/>
                  </w:tcPr>
                  <w:p>
                    <w:pPr>
                      <w:jc w:val="center"/>
                      <w:rPr>
                        <w:b/>
                        <w:szCs w:val="24"/>
                      </w:rPr>
                    </w:pPr>
                    <w:r>
                      <w:rPr>
                        <w:b/>
                        <w:szCs w:val="24"/>
                      </w:rPr>
                      <w:t>3.2.3.3.11</w:t>
                    </w:r>
                  </w:p>
                  <w:p>
                    <w:pPr>
                      <w:jc w:val="center"/>
                      <w:rPr>
                        <w:szCs w:val="24"/>
                      </w:rPr>
                    </w:pPr>
                    <w:r>
                      <w:rPr>
                        <w:b/>
                        <w:szCs w:val="24"/>
                      </w:rPr>
                      <w:t>veikla</w:t>
                    </w:r>
                  </w:p>
                </w:tc>
                <w:tc>
                  <w:tcPr>
                    <w:tcW w:w="8363" w:type="dxa"/>
                    <w:gridSpan w:val="5"/>
                  </w:tcPr>
                  <w:p>
                    <w:pPr>
                      <w:jc w:val="both"/>
                      <w:rPr>
                        <w:b/>
                        <w:szCs w:val="24"/>
                      </w:rPr>
                    </w:pPr>
                    <w:r>
                      <w:rPr>
                        <w:b/>
                        <w:szCs w:val="24"/>
                      </w:rPr>
                      <w:t>Socialinių paslaugų finansavimas ir pirkimas</w:t>
                    </w:r>
                  </w:p>
                </w:tc>
              </w:tr>
              <w:tr>
                <w:trPr>
                  <w:trHeight w:val="70"/>
                </w:trPr>
                <w:tc>
                  <w:tcPr>
                    <w:tcW w:w="9776" w:type="dxa"/>
                    <w:gridSpan w:val="6"/>
                  </w:tcPr>
                  <w:p>
                    <w:pPr>
                      <w:ind w:firstLine="602"/>
                      <w:jc w:val="both"/>
                      <w:rPr>
                        <w:szCs w:val="24"/>
                      </w:rPr>
                    </w:pPr>
                    <w:r>
                      <w:rPr>
                        <w:szCs w:val="24"/>
                      </w:rPr>
                      <w:t>Vadovaujantis Lietuvos Respublikos socialinių paslaugų įstatymu, Lietuvos Respublikos vyriausybės nutarimu „Dėl mokėjimo už socialines paslaugas tvarkos aprašo patvirtinimo“, Socialinių paslaugų katalogu, patvirtintu Lietuvos Respublikos socialinės apsaugos ir darbo ministro 2006 m. balandžio 5 d. įsakymu Nr. A1-93 „Dėl Socialinių paslaugų katalogo patvirtinimo“ (toliau – Socialinių paslaugų katalogas) ir Neringos savivaldybės tarybos sprendimais patvirtintais tvarkos aprašais, yra finansuojamos socialinės globos paslaugos</w:t>
                    </w:r>
                    <w:r>
                      <w:rPr>
                        <w:b/>
                        <w:bCs/>
                        <w:szCs w:val="24"/>
                      </w:rPr>
                      <w:t xml:space="preserve"> </w:t>
                    </w:r>
                    <w:r>
                      <w:rPr>
                        <w:bCs/>
                        <w:szCs w:val="24"/>
                      </w:rPr>
                      <w:t>suaugusiems asmenims su negalia,</w:t>
                    </w:r>
                    <w:r>
                      <w:rPr>
                        <w:szCs w:val="24"/>
                      </w:rPr>
                      <w:t xml:space="preserve"> senyvo amžiaus asmenims ar su vidutiniu ar dideliu specialiųjų poreikių lygiu, kuriems dėl senatvės ir negalios reikalinga socialinė globa, nes dėl neįgalumo yra iš dalies ar visiškai netekęs gebėjimų savarankiškai rūpintis asmeniniu (šeimos) gyvenimu ir dalyvauti visuomenės gyvenime. </w:t>
                    </w:r>
                  </w:p>
                  <w:p>
                    <w:pPr>
                      <w:ind w:firstLine="540"/>
                      <w:jc w:val="both"/>
                      <w:rPr>
                        <w:szCs w:val="24"/>
                      </w:rPr>
                    </w:pPr>
                    <w:r>
                      <w:rPr>
                        <w:szCs w:val="24"/>
                      </w:rPr>
                      <w:t xml:space="preserve">Atsiradus poreikiui dėl kitų socialinių paslaugų poreikio yra perkamos socialinės paslaugos iš kitų savivaldybių esančių socialines paslaugas teikiančių institucijų. </w:t>
                    </w:r>
                  </w:p>
                  <w:p>
                    <w:pPr>
                      <w:ind w:firstLine="540"/>
                      <w:jc w:val="both"/>
                      <w:rPr>
                        <w:szCs w:val="24"/>
                      </w:rPr>
                    </w:pPr>
                    <w:r>
                      <w:rPr>
                        <w:szCs w:val="24"/>
                      </w:rPr>
                      <w:t xml:space="preserve">Socialinės paslaugos yra finansuojamos ir perkamos iš Neringos savivaldybės biudžeto lėšų, valstybės specialios tikslinės dotacijos. </w:t>
                    </w:r>
                  </w:p>
                </w:tc>
              </w:tr>
              <w:tr>
                <w:trPr>
                  <w:trHeight w:val="360"/>
                </w:trPr>
                <w:tc>
                  <w:tcPr>
                    <w:tcW w:w="1413" w:type="dxa"/>
                  </w:tcPr>
                  <w:p>
                    <w:pPr>
                      <w:jc w:val="center"/>
                      <w:rPr>
                        <w:b/>
                        <w:szCs w:val="24"/>
                      </w:rPr>
                    </w:pPr>
                    <w:r>
                      <w:rPr>
                        <w:b/>
                        <w:szCs w:val="24"/>
                      </w:rPr>
                      <w:t>3.2.3.3.12</w:t>
                    </w:r>
                  </w:p>
                  <w:p>
                    <w:pPr>
                      <w:ind w:firstLine="62"/>
                      <w:jc w:val="center"/>
                      <w:rPr>
                        <w:szCs w:val="24"/>
                      </w:rPr>
                    </w:pPr>
                    <w:r>
                      <w:rPr>
                        <w:b/>
                        <w:szCs w:val="24"/>
                      </w:rPr>
                      <w:t>veikla</w:t>
                    </w:r>
                  </w:p>
                </w:tc>
                <w:tc>
                  <w:tcPr>
                    <w:tcW w:w="8363" w:type="dxa"/>
                    <w:gridSpan w:val="5"/>
                  </w:tcPr>
                  <w:p>
                    <w:pPr>
                      <w:jc w:val="both"/>
                      <w:rPr>
                        <w:szCs w:val="24"/>
                      </w:rPr>
                    </w:pPr>
                    <w:r>
                      <w:rPr>
                        <w:b/>
                        <w:szCs w:val="24"/>
                        <w:lang w:eastAsia="lt-LT"/>
                      </w:rPr>
                      <w:t>Būsto ir gyvenamosios aplinkos pritaikymas žmonėms su negalia</w:t>
                    </w:r>
                  </w:p>
                </w:tc>
              </w:tr>
              <w:tr>
                <w:trPr>
                  <w:trHeight w:val="638"/>
                </w:trPr>
                <w:tc>
                  <w:tcPr>
                    <w:tcW w:w="9776" w:type="dxa"/>
                    <w:gridSpan w:val="6"/>
                  </w:tcPr>
                  <w:p>
                    <w:pPr>
                      <w:jc w:val="both"/>
                      <w:rPr>
                        <w:szCs w:val="24"/>
                      </w:rPr>
                    </w:pPr>
                    <w:r>
                      <w:rPr>
                        <w:szCs w:val="24"/>
                        <w:lang w:eastAsia="lt-LT"/>
                      </w:rPr>
                      <w:t>Šia veikla siekiama pritaikyti būstą ir gyvenamąją aplinką asmenims su negalia. Priemonei įgyvendinti yra skiriamos lėšos iš valstybės ir savivaldybės biudžeto.</w:t>
                    </w:r>
                  </w:p>
                </w:tc>
              </w:tr>
              <w:tr>
                <w:trPr>
                  <w:trHeight w:val="555"/>
                </w:trPr>
                <w:tc>
                  <w:tcPr>
                    <w:tcW w:w="1413" w:type="dxa"/>
                  </w:tcPr>
                  <w:p>
                    <w:pPr>
                      <w:jc w:val="center"/>
                      <w:rPr>
                        <w:b/>
                        <w:szCs w:val="24"/>
                      </w:rPr>
                    </w:pPr>
                    <w:r>
                      <w:rPr>
                        <w:b/>
                        <w:szCs w:val="24"/>
                      </w:rPr>
                      <w:t>3.2.3.3.13</w:t>
                    </w:r>
                  </w:p>
                  <w:p>
                    <w:pPr>
                      <w:jc w:val="center"/>
                      <w:rPr>
                        <w:b/>
                        <w:szCs w:val="24"/>
                      </w:rPr>
                    </w:pPr>
                    <w:r>
                      <w:rPr>
                        <w:b/>
                        <w:szCs w:val="24"/>
                      </w:rPr>
                      <w:t>ve</w:t>
                    </w:r>
                    <w:r>
                      <w:rPr>
                        <w:szCs w:val="24"/>
                      </w:rPr>
                      <w:t>i</w:t>
                    </w:r>
                    <w:r>
                      <w:rPr>
                        <w:b/>
                        <w:szCs w:val="24"/>
                      </w:rPr>
                      <w:t>kla</w:t>
                    </w:r>
                  </w:p>
                </w:tc>
                <w:tc>
                  <w:tcPr>
                    <w:tcW w:w="8363" w:type="dxa"/>
                    <w:gridSpan w:val="5"/>
                  </w:tcPr>
                  <w:p>
                    <w:pPr>
                      <w:jc w:val="both"/>
                      <w:rPr>
                        <w:b/>
                        <w:szCs w:val="24"/>
                        <w:lang w:eastAsia="lt-LT"/>
                      </w:rPr>
                    </w:pPr>
                    <w:r>
                      <w:rPr>
                        <w:b/>
                        <w:szCs w:val="24"/>
                        <w:lang w:eastAsia="lt-LT"/>
                      </w:rPr>
                      <w:t xml:space="preserve">Socialinių renginių, organizuojamų savivaldybės, finansavimas. </w:t>
                    </w:r>
                  </w:p>
                </w:tc>
              </w:tr>
              <w:tr>
                <w:trPr>
                  <w:trHeight w:val="615"/>
                </w:trPr>
                <w:tc>
                  <w:tcPr>
                    <w:tcW w:w="9776" w:type="dxa"/>
                    <w:gridSpan w:val="6"/>
                  </w:tcPr>
                  <w:p>
                    <w:pPr>
                      <w:ind w:firstLine="540"/>
                      <w:jc w:val="both"/>
                      <w:rPr>
                        <w:szCs w:val="24"/>
                      </w:rPr>
                    </w:pPr>
                    <w:r>
                      <w:rPr>
                        <w:szCs w:val="24"/>
                      </w:rPr>
                      <w:t>Kiekvienais metais Neringos savivaldybės administracija organizuoja Tarptautinės pagyvenusių žmonių dienos paminėjimą ir kt. sociokultūrinius renginius. Šiai veiklai finansuoti yra skiriamos savivaldybės biudžeto lėšos.</w:t>
                    </w:r>
                  </w:p>
                </w:tc>
              </w:tr>
              <w:tr>
                <w:trPr>
                  <w:trHeight w:val="300"/>
                </w:trPr>
                <w:tc>
                  <w:tcPr>
                    <w:tcW w:w="1413" w:type="dxa"/>
                  </w:tcPr>
                  <w:p>
                    <w:pPr>
                      <w:jc w:val="center"/>
                      <w:rPr>
                        <w:b/>
                        <w:szCs w:val="24"/>
                      </w:rPr>
                    </w:pPr>
                    <w:r>
                      <w:rPr>
                        <w:b/>
                        <w:szCs w:val="24"/>
                      </w:rPr>
                      <w:t>3.2.3.3.14</w:t>
                    </w:r>
                  </w:p>
                  <w:p>
                    <w:pPr>
                      <w:jc w:val="center"/>
                      <w:rPr>
                        <w:b/>
                        <w:szCs w:val="24"/>
                      </w:rPr>
                    </w:pPr>
                    <w:r>
                      <w:rPr>
                        <w:b/>
                        <w:szCs w:val="24"/>
                      </w:rPr>
                      <w:t>veikla</w:t>
                    </w:r>
                  </w:p>
                </w:tc>
                <w:tc>
                  <w:tcPr>
                    <w:tcW w:w="8363" w:type="dxa"/>
                    <w:gridSpan w:val="5"/>
                  </w:tcPr>
                  <w:p>
                    <w:pPr>
                      <w:jc w:val="both"/>
                      <w:rPr>
                        <w:b/>
                        <w:bCs/>
                        <w:color w:val="000000"/>
                        <w:szCs w:val="24"/>
                        <w:lang w:eastAsia="lt-LT"/>
                      </w:rPr>
                    </w:pPr>
                    <w:r>
                      <w:rPr>
                        <w:b/>
                        <w:szCs w:val="24"/>
                      </w:rPr>
                      <w:t>Gyventojų užimtumo programa.</w:t>
                    </w:r>
                  </w:p>
                </w:tc>
              </w:tr>
              <w:tr>
                <w:trPr>
                  <w:trHeight w:val="2370"/>
                </w:trPr>
                <w:tc>
                  <w:tcPr>
                    <w:tcW w:w="9776" w:type="dxa"/>
                    <w:gridSpan w:val="6"/>
                  </w:tcPr>
                  <w:p>
                    <w:pPr>
                      <w:ind w:firstLine="567"/>
                      <w:jc w:val="both"/>
                      <w:rPr>
                        <w:szCs w:val="24"/>
                      </w:rPr>
                    </w:pPr>
                    <w:r>
                      <w:rPr>
                        <w:szCs w:val="24"/>
                      </w:rPr>
                      <w:t>Gyventojų užimtumo programa yra viena iš aktyviausių gyventojų užimtumo priemonių, leidžiančių pagerinti vietos socialinę infrastruktūrą, sukurti naujas darbo vietas, įtraukti į programą labiausiai socialiai pažeidžiamų asmenų grupes (ilgalaikiai bedarbiai, bedarbiai, vyresni nei 45 metų amžiaus, moterys, bedarbiai, gaunantys nedarbo socialinio draudimo išmokas, bedarbiai, kuriems gresia ilgalaikis nedarbas, moksleiviai iš socialinės rizikos ir daugiavaikių šeimų, neįgalieji). Dirbantys viešuosius darbus tampa socialiai apsaugoti, jie draudžiami privalomuoju socialiniu draudimu.</w:t>
                    </w:r>
                  </w:p>
                  <w:p>
                    <w:pPr>
                      <w:ind w:firstLine="567"/>
                      <w:jc w:val="both"/>
                      <w:rPr>
                        <w:szCs w:val="24"/>
                      </w:rPr>
                    </w:pPr>
                    <w:r>
                      <w:rPr>
                        <w:szCs w:val="24"/>
                      </w:rPr>
                      <w:t>Veiklai įgyvendinti naudojamos valstybės biudžeto specialiosios tikslinės dotacijos.</w:t>
                    </w:r>
                  </w:p>
                </w:tc>
              </w:tr>
              <w:tr>
                <w:trPr>
                  <w:trHeight w:val="630"/>
                </w:trPr>
                <w:tc>
                  <w:tcPr>
                    <w:tcW w:w="1455" w:type="dxa"/>
                    <w:gridSpan w:val="2"/>
                  </w:tcPr>
                  <w:p>
                    <w:pPr>
                      <w:jc w:val="center"/>
                      <w:rPr>
                        <w:b/>
                        <w:szCs w:val="24"/>
                      </w:rPr>
                    </w:pPr>
                    <w:r>
                      <w:rPr>
                        <w:b/>
                        <w:szCs w:val="24"/>
                      </w:rPr>
                      <w:t>3.2.3.3.15</w:t>
                    </w:r>
                  </w:p>
                  <w:p>
                    <w:pPr>
                      <w:jc w:val="center"/>
                      <w:rPr>
                        <w:rFonts w:ascii="Calibri" w:eastAsia="Calibri" w:hAnsi="Calibri" w:cs="Calibri"/>
                        <w:sz w:val="22"/>
                        <w:szCs w:val="22"/>
                      </w:rPr>
                    </w:pPr>
                    <w:r>
                      <w:rPr>
                        <w:b/>
                        <w:szCs w:val="24"/>
                      </w:rPr>
                      <w:t>veikla</w:t>
                    </w:r>
                  </w:p>
                </w:tc>
                <w:tc>
                  <w:tcPr>
                    <w:tcW w:w="8321" w:type="dxa"/>
                    <w:gridSpan w:val="4"/>
                  </w:tcPr>
                  <w:p>
                    <w:pPr>
                      <w:jc w:val="both"/>
                      <w:rPr>
                        <w:b/>
                        <w:bCs/>
                        <w:szCs w:val="24"/>
                      </w:rPr>
                    </w:pPr>
                    <w:r>
                      <w:rPr>
                        <w:b/>
                        <w:bCs/>
                        <w:szCs w:val="24"/>
                      </w:rPr>
                      <w:t xml:space="preserve">Projekto „Pagyvenusių žmonių socialinė įtrauktis Latvijos ir Lietuvos pasienio regione, gerinant fizinės ir socialinės veiklos prieinamumą“ įgyvendinimas </w:t>
                    </w:r>
                  </w:p>
                </w:tc>
              </w:tr>
              <w:tr>
                <w:trPr>
                  <w:trHeight w:val="2512"/>
                </w:trPr>
                <w:tc>
                  <w:tcPr>
                    <w:tcW w:w="9776" w:type="dxa"/>
                    <w:gridSpan w:val="6"/>
                  </w:tcPr>
                  <w:p>
                    <w:pPr>
                      <w:ind w:firstLine="596"/>
                      <w:jc w:val="both"/>
                      <w:rPr>
                        <w:rFonts w:ascii="Calibri" w:eastAsia="Calibri" w:hAnsi="Calibri" w:cs="Calibri"/>
                        <w:sz w:val="22"/>
                        <w:szCs w:val="22"/>
                      </w:rPr>
                    </w:pPr>
                    <w:r>
                      <w:rPr>
                        <w:rFonts w:eastAsia="Calibri"/>
                        <w:szCs w:val="24"/>
                      </w:rPr>
                      <w:t xml:space="preserve">Neringos socialinių paslaugų centras kartu su partnere, Liepojos (Latvija) savivaldybės administracija, 2020 m. spalio 1 d. pasirašė projektinę bendradarbiavimo sutartį projektui „Pagyvenusių žmonių socialinė įtrauktis Latvijos ir Lietuvos pasienio regione gerinant fizinės ir socialinės veiklos prieinamumą“ (Social inclusion of elderly people in Latvia-Lithuania cross border region by improving accessibility to physical and social activities) Nr. LLI-490, finansuojamą Europos regioninės plėtros fondo lėšomis pagal Interreg V-A Latvijos ir Lietuvos bendradarbiavimo per sieną programą. Bendra finansuojamo projekto suma 250 070,23 Eur, iš kurių 116 327,99 Eur bus panaudota Neringos socialinių paslaugų centro projektinėms veiklos įgyvendinti. Projekto trukmė: 2020-10-01–2022-12-01. </w:t>
                    </w:r>
                  </w:p>
                </w:tc>
              </w:tr>
              <w:tr>
                <w:trPr>
                  <w:trHeight w:val="630"/>
                </w:trPr>
                <w:tc>
                  <w:tcPr>
                    <w:tcW w:w="1455" w:type="dxa"/>
                    <w:gridSpan w:val="2"/>
                  </w:tcPr>
                  <w:p>
                    <w:pPr>
                      <w:jc w:val="center"/>
                      <w:rPr>
                        <w:b/>
                        <w:szCs w:val="24"/>
                      </w:rPr>
                    </w:pPr>
                    <w:r>
                      <w:rPr>
                        <w:b/>
                        <w:szCs w:val="24"/>
                      </w:rPr>
                      <w:t>3.2.3.3.16</w:t>
                    </w:r>
                  </w:p>
                  <w:p>
                    <w:pPr>
                      <w:jc w:val="center"/>
                      <w:rPr>
                        <w:rFonts w:ascii="Calibri" w:eastAsia="Calibri" w:hAnsi="Calibri" w:cs="Calibri"/>
                        <w:sz w:val="22"/>
                        <w:szCs w:val="22"/>
                      </w:rPr>
                    </w:pPr>
                    <w:r>
                      <w:rPr>
                        <w:b/>
                        <w:szCs w:val="24"/>
                      </w:rPr>
                      <w:t>veikla</w:t>
                    </w:r>
                  </w:p>
                </w:tc>
                <w:tc>
                  <w:tcPr>
                    <w:tcW w:w="8321" w:type="dxa"/>
                    <w:gridSpan w:val="4"/>
                  </w:tcPr>
                  <w:p>
                    <w:pPr>
                      <w:jc w:val="both"/>
                      <w:rPr>
                        <w:b/>
                        <w:bCs/>
                        <w:szCs w:val="24"/>
                      </w:rPr>
                    </w:pPr>
                    <w:r>
                      <w:rPr>
                        <w:b/>
                        <w:bCs/>
                        <w:szCs w:val="24"/>
                      </w:rPr>
                      <w:t>Būsto šildymo kompensacija, kai daugiabučio namo energijos suvartojimas didesnis nei 27,5 kwh.m</w:t>
                    </w:r>
                    <w:r>
                      <w:rPr>
                        <w:b/>
                        <w:bCs/>
                        <w:szCs w:val="24"/>
                        <w:vertAlign w:val="superscript"/>
                      </w:rPr>
                      <w:t>2</w:t>
                    </w:r>
                    <w:r>
                      <w:rPr>
                        <w:b/>
                        <w:bCs/>
                        <w:szCs w:val="24"/>
                      </w:rPr>
                      <w:t xml:space="preserve"> per mėnesį</w:t>
                    </w:r>
                  </w:p>
                </w:tc>
              </w:tr>
              <w:tr>
                <w:trPr>
                  <w:trHeight w:val="1172"/>
                </w:trPr>
                <w:tc>
                  <w:tcPr>
                    <w:tcW w:w="9776" w:type="dxa"/>
                    <w:gridSpan w:val="6"/>
                  </w:tcPr>
                  <w:p>
                    <w:pPr>
                      <w:ind w:firstLine="596"/>
                      <w:jc w:val="both"/>
                      <w:rPr>
                        <w:rFonts w:eastAsia="Calibri"/>
                        <w:szCs w:val="24"/>
                      </w:rPr>
                    </w:pPr>
                    <w:r>
                      <w:rPr>
                        <w:rFonts w:eastAsia="Calibri"/>
                        <w:szCs w:val="24"/>
                      </w:rPr>
                      <w:t>2021 m. spalio 28 d. Neringos savivaldybės tarybos sprendimu Nr. T1-176 „Dėl būsto šildymo kompensacijos skyrimo ir mokėjimo Neringos savivaldybės gyventojams, kai daugiabučio namo energijos suvartojimas didesnis nei 27,5 kwh/m</w:t>
                    </w:r>
                    <w:r>
                      <w:rPr>
                        <w:rFonts w:eastAsia="Calibri"/>
                        <w:szCs w:val="24"/>
                        <w:vertAlign w:val="superscript"/>
                      </w:rPr>
                      <w:t>2</w:t>
                    </w:r>
                    <w:r>
                      <w:rPr>
                        <w:rFonts w:eastAsia="Calibri"/>
                        <w:szCs w:val="24"/>
                      </w:rPr>
                      <w:t xml:space="preserve"> per mėnesį“ patvirtinimo naują būsto šildymo kompensaciją.</w:t>
                    </w:r>
                    <w:r>
                      <w:rPr>
                        <w:szCs w:val="24"/>
                        <w:lang w:eastAsia="lt-LT"/>
                      </w:rPr>
                      <w:t xml:space="preserve"> Priemonei įgyvendinti yra skiriamos lėšos iš savivaldybės biudžeto.</w:t>
                    </w:r>
                  </w:p>
                </w:tc>
              </w:tr>
            </w:tbl>
            <w:p>
              <w:pPr>
                <w:tabs>
                  <w:tab w:val="left" w:pos="1905"/>
                </w:tabs>
                <w:rPr>
                  <w:b/>
                  <w:sz w:val="21"/>
                  <w:szCs w:val="21"/>
                </w:rPr>
              </w:pPr>
            </w:p>
          </w:sdtContent>
        </w:sdt>
        <w:sdt>
          <w:sdtPr>
            <w:alias w:val="7 pr. 2.2 pp."/>
            <w:tag w:val="part_56510ca4be564ac98214daab5f66b1d8"/>
            <w:lock w:val="sdtLocked"/>
            <w:richText/>
          </w:sdtPr>
          <w:sdtContent>
            <w:p>
              <w:pPr>
                <w:spacing w:line="259" w:lineRule="auto"/>
                <w:ind w:left="900" w:hanging="360"/>
                <w:jc w:val="center"/>
                <w:rPr>
                  <w:sz w:val="22"/>
                  <w:szCs w:val="22"/>
                </w:rPr>
              </w:pPr>
              <w:sdt>
                <w:sdtPr>
                  <w:alias w:val="Numeris"/>
                  <w:tag w:val="nr_56510ca4be564ac98214daab5f66b1d8"/>
                  <w:lock w:val="sdtLocked"/>
                  <w:richText/>
                </w:sdtPr>
                <w:sdtContent>
                  <w:r>
                    <w:rPr>
                      <w:b/>
                      <w:szCs w:val="24"/>
                    </w:rPr>
                    <w:t>2.2</w:t>
                  </w:r>
                </w:sdtContent>
              </w:sdt>
              <w:r>
                <w:rPr>
                  <w:b/>
                  <w:szCs w:val="24"/>
                </w:rPr>
                <w:t>.</w:t>
                <w:tab/>
              </w:r>
              <w:r>
                <w:rPr>
                  <w:b/>
                  <w:sz w:val="22"/>
                  <w:szCs w:val="22"/>
                </w:rPr>
                <w:t>tikslo rezultato vertinimo kriterijai</w:t>
              </w:r>
            </w:p>
            <w:p>
              <w:pPr>
                <w:rPr>
                  <w:sz w:val="14"/>
                  <w:szCs w:val="14"/>
                </w:rPr>
              </w:pPr>
            </w:p>
            <w:tbl>
              <w:tblPr>
                <w:tblW w:w="97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413"/>
                <w:gridCol w:w="3544"/>
                <w:gridCol w:w="2409"/>
                <w:gridCol w:w="709"/>
                <w:gridCol w:w="709"/>
                <w:gridCol w:w="992"/>
              </w:tblGrid>
              <w:tr>
                <w:trPr>
                  <w:trHeight w:val="645"/>
                </w:trPr>
                <w:tc>
                  <w:tcPr>
                    <w:tcW w:w="1413" w:type="dxa"/>
                    <w:vMerge w:val="restart"/>
                  </w:tcPr>
                  <w:p>
                    <w:pPr>
                      <w:jc w:val="center"/>
                      <w:rPr>
                        <w:sz w:val="22"/>
                        <w:szCs w:val="22"/>
                      </w:rPr>
                    </w:pPr>
                    <w:r>
                      <w:rPr>
                        <w:b/>
                        <w:bCs/>
                        <w:sz w:val="22"/>
                        <w:szCs w:val="22"/>
                      </w:rPr>
                      <w:t>Kodas</w:t>
                    </w:r>
                  </w:p>
                  <w:p>
                    <w:pPr>
                      <w:jc w:val="center"/>
                      <w:rPr>
                        <w:sz w:val="22"/>
                        <w:szCs w:val="22"/>
                      </w:rPr>
                    </w:pPr>
                  </w:p>
                  <w:p>
                    <w:pPr>
                      <w:jc w:val="center"/>
                      <w:rPr>
                        <w:sz w:val="22"/>
                        <w:szCs w:val="22"/>
                      </w:rPr>
                    </w:pPr>
                  </w:p>
                </w:tc>
                <w:tc>
                  <w:tcPr>
                    <w:tcW w:w="3544" w:type="dxa"/>
                    <w:vMerge w:val="restart"/>
                  </w:tcPr>
                  <w:p>
                    <w:pPr>
                      <w:jc w:val="center"/>
                      <w:rPr>
                        <w:sz w:val="22"/>
                        <w:szCs w:val="22"/>
                      </w:rPr>
                    </w:pPr>
                    <w:r>
                      <w:rPr>
                        <w:b/>
                        <w:bCs/>
                        <w:sz w:val="22"/>
                        <w:szCs w:val="22"/>
                      </w:rPr>
                      <w:t>Kriterijaus pavadinimas, mato vnt.</w:t>
                    </w:r>
                  </w:p>
                  <w:p>
                    <w:pPr>
                      <w:jc w:val="center"/>
                      <w:rPr>
                        <w:sz w:val="22"/>
                        <w:szCs w:val="22"/>
                      </w:rPr>
                    </w:pPr>
                  </w:p>
                </w:tc>
                <w:tc>
                  <w:tcPr>
                    <w:tcW w:w="2409" w:type="dxa"/>
                    <w:vMerge w:val="restart"/>
                  </w:tcPr>
                  <w:p>
                    <w:pPr>
                      <w:jc w:val="center"/>
                      <w:rPr>
                        <w:sz w:val="22"/>
                        <w:szCs w:val="22"/>
                      </w:rPr>
                    </w:pPr>
                    <w:r>
                      <w:rPr>
                        <w:b/>
                        <w:bCs/>
                        <w:sz w:val="22"/>
                        <w:szCs w:val="22"/>
                      </w:rPr>
                      <w:t>Savivaldybės skyrius, atsakingas už rodiklio reikšmių pateikimą</w:t>
                    </w:r>
                  </w:p>
                </w:tc>
                <w:tc>
                  <w:tcPr>
                    <w:tcW w:w="2410" w:type="dxa"/>
                    <w:gridSpan w:val="3"/>
                  </w:tcPr>
                  <w:p>
                    <w:pPr>
                      <w:jc w:val="center"/>
                      <w:rPr>
                        <w:sz w:val="22"/>
                        <w:szCs w:val="22"/>
                      </w:rPr>
                    </w:pPr>
                    <w:r>
                      <w:rPr>
                        <w:b/>
                        <w:bCs/>
                        <w:sz w:val="22"/>
                        <w:szCs w:val="22"/>
                      </w:rPr>
                      <w:t>Kriterijaus reikšmė, metais</w:t>
                    </w:r>
                  </w:p>
                </w:tc>
              </w:tr>
              <w:tr>
                <w:trPr>
                  <w:trHeight w:val="226"/>
                </w:trPr>
                <w:tc>
                  <w:tcPr>
                    <w:tcW w:w="1413" w:type="dxa"/>
                    <w:vMerge/>
                  </w:tcPr>
                  <w:p>
                    <w:pPr>
                      <w:jc w:val="center"/>
                      <w:rPr>
                        <w:b/>
                        <w:bCs/>
                        <w:sz w:val="22"/>
                        <w:szCs w:val="22"/>
                      </w:rPr>
                    </w:pPr>
                  </w:p>
                </w:tc>
                <w:tc>
                  <w:tcPr>
                    <w:tcW w:w="3544" w:type="dxa"/>
                    <w:vMerge/>
                  </w:tcPr>
                  <w:p>
                    <w:pPr>
                      <w:jc w:val="center"/>
                      <w:rPr>
                        <w:b/>
                        <w:bCs/>
                        <w:sz w:val="22"/>
                        <w:szCs w:val="22"/>
                      </w:rPr>
                    </w:pPr>
                  </w:p>
                </w:tc>
                <w:tc>
                  <w:tcPr>
                    <w:tcW w:w="2409" w:type="dxa"/>
                    <w:vMerge/>
                  </w:tcPr>
                  <w:p>
                    <w:pPr>
                      <w:jc w:val="center"/>
                      <w:rPr>
                        <w:sz w:val="22"/>
                        <w:szCs w:val="22"/>
                      </w:rPr>
                    </w:pPr>
                  </w:p>
                </w:tc>
                <w:tc>
                  <w:tcPr>
                    <w:tcW w:w="709" w:type="dxa"/>
                  </w:tcPr>
                  <w:p>
                    <w:pPr>
                      <w:jc w:val="center"/>
                      <w:rPr>
                        <w:b/>
                        <w:bCs/>
                        <w:sz w:val="22"/>
                        <w:szCs w:val="22"/>
                      </w:rPr>
                    </w:pPr>
                    <w:r>
                      <w:rPr>
                        <w:b/>
                        <w:bCs/>
                        <w:sz w:val="22"/>
                        <w:szCs w:val="22"/>
                      </w:rPr>
                      <w:t>2022</w:t>
                    </w:r>
                  </w:p>
                </w:tc>
                <w:tc>
                  <w:tcPr>
                    <w:tcW w:w="709" w:type="dxa"/>
                  </w:tcPr>
                  <w:p>
                    <w:pPr>
                      <w:jc w:val="center"/>
                      <w:rPr>
                        <w:b/>
                        <w:bCs/>
                        <w:sz w:val="22"/>
                        <w:szCs w:val="22"/>
                      </w:rPr>
                    </w:pPr>
                    <w:r>
                      <w:rPr>
                        <w:b/>
                        <w:bCs/>
                        <w:sz w:val="22"/>
                        <w:szCs w:val="22"/>
                      </w:rPr>
                      <w:t xml:space="preserve">2023 </w:t>
                    </w:r>
                  </w:p>
                </w:tc>
                <w:tc>
                  <w:tcPr>
                    <w:tcW w:w="992" w:type="dxa"/>
                  </w:tcPr>
                  <w:p>
                    <w:pPr>
                      <w:jc w:val="center"/>
                      <w:rPr>
                        <w:b/>
                        <w:bCs/>
                        <w:sz w:val="22"/>
                        <w:szCs w:val="22"/>
                      </w:rPr>
                    </w:pPr>
                    <w:r>
                      <w:rPr>
                        <w:b/>
                        <w:bCs/>
                        <w:sz w:val="22"/>
                        <w:szCs w:val="22"/>
                      </w:rPr>
                      <w:t>2024</w:t>
                    </w:r>
                  </w:p>
                </w:tc>
              </w:tr>
              <w:tr>
                <w:trPr>
                  <w:trHeight w:val="226"/>
                </w:trPr>
                <w:tc>
                  <w:tcPr>
                    <w:tcW w:w="1413" w:type="dxa"/>
                  </w:tcPr>
                  <w:p>
                    <w:pPr>
                      <w:jc w:val="both"/>
                      <w:rPr>
                        <w:b/>
                        <w:bCs/>
                        <w:sz w:val="22"/>
                        <w:szCs w:val="22"/>
                      </w:rPr>
                    </w:pPr>
                    <w:r>
                      <w:rPr>
                        <w:bCs/>
                        <w:sz w:val="22"/>
                        <w:szCs w:val="22"/>
                      </w:rPr>
                      <w:t>R-02-02-02</w:t>
                    </w:r>
                  </w:p>
                </w:tc>
                <w:tc>
                  <w:tcPr>
                    <w:tcW w:w="3544" w:type="dxa"/>
                  </w:tcPr>
                  <w:p>
                    <w:pPr>
                      <w:jc w:val="center"/>
                      <w:rPr>
                        <w:bCs/>
                        <w:sz w:val="22"/>
                        <w:szCs w:val="22"/>
                        <w:lang w:val="pt-BR"/>
                      </w:rPr>
                    </w:pPr>
                    <w:r>
                      <w:rPr>
                        <w:bCs/>
                        <w:sz w:val="22"/>
                        <w:szCs w:val="22"/>
                        <w:lang w:val="pt-BR"/>
                      </w:rPr>
                      <w:t>Socialinių ir savivaldybės būstų skaičius</w:t>
                    </w:r>
                  </w:p>
                </w:tc>
                <w:tc>
                  <w:tcPr>
                    <w:tcW w:w="2409" w:type="dxa"/>
                  </w:tcPr>
                  <w:p>
                    <w:pPr>
                      <w:jc w:val="center"/>
                      <w:rPr>
                        <w:sz w:val="22"/>
                        <w:szCs w:val="22"/>
                      </w:rPr>
                    </w:pPr>
                    <w:r>
                      <w:rPr>
                        <w:sz w:val="22"/>
                        <w:szCs w:val="22"/>
                      </w:rPr>
                      <w:t>Miesto tvarkymo ir statybos skyrius</w:t>
                    </w:r>
                  </w:p>
                </w:tc>
                <w:tc>
                  <w:tcPr>
                    <w:tcW w:w="709" w:type="dxa"/>
                  </w:tcPr>
                  <w:p>
                    <w:pPr>
                      <w:jc w:val="center"/>
                      <w:rPr>
                        <w:bCs/>
                        <w:sz w:val="22"/>
                        <w:szCs w:val="22"/>
                      </w:rPr>
                    </w:pPr>
                    <w:r>
                      <w:rPr>
                        <w:bCs/>
                        <w:sz w:val="22"/>
                        <w:szCs w:val="22"/>
                      </w:rPr>
                      <w:t>6</w:t>
                    </w:r>
                  </w:p>
                </w:tc>
                <w:tc>
                  <w:tcPr>
                    <w:tcW w:w="709" w:type="dxa"/>
                  </w:tcPr>
                  <w:p>
                    <w:pPr>
                      <w:jc w:val="center"/>
                      <w:rPr>
                        <w:bCs/>
                        <w:sz w:val="22"/>
                        <w:szCs w:val="22"/>
                      </w:rPr>
                    </w:pPr>
                    <w:r>
                      <w:rPr>
                        <w:bCs/>
                        <w:sz w:val="22"/>
                        <w:szCs w:val="22"/>
                      </w:rPr>
                      <w:t>0</w:t>
                    </w:r>
                  </w:p>
                </w:tc>
                <w:tc>
                  <w:tcPr>
                    <w:tcW w:w="992" w:type="dxa"/>
                  </w:tcPr>
                  <w:p>
                    <w:pPr>
                      <w:jc w:val="center"/>
                      <w:rPr>
                        <w:bCs/>
                        <w:sz w:val="22"/>
                        <w:szCs w:val="22"/>
                      </w:rPr>
                    </w:pPr>
                    <w:r>
                      <w:rPr>
                        <w:bCs/>
                        <w:sz w:val="22"/>
                        <w:szCs w:val="22"/>
                      </w:rPr>
                      <w:t>0</w:t>
                    </w:r>
                  </w:p>
                </w:tc>
              </w:tr>
              <w:tr>
                <w:trPr>
                  <w:trHeight w:val="226"/>
                </w:trPr>
                <w:tc>
                  <w:tcPr>
                    <w:tcW w:w="1413" w:type="dxa"/>
                  </w:tcPr>
                  <w:p>
                    <w:pPr>
                      <w:jc w:val="both"/>
                      <w:rPr>
                        <w:bCs/>
                        <w:sz w:val="22"/>
                        <w:szCs w:val="22"/>
                      </w:rPr>
                    </w:pPr>
                    <w:r>
                      <w:rPr>
                        <w:bCs/>
                        <w:sz w:val="22"/>
                        <w:szCs w:val="22"/>
                      </w:rPr>
                      <w:t>R-02-03-02</w:t>
                    </w:r>
                  </w:p>
                </w:tc>
                <w:tc>
                  <w:tcPr>
                    <w:tcW w:w="3544" w:type="dxa"/>
                  </w:tcPr>
                  <w:p>
                    <w:pPr>
                      <w:jc w:val="center"/>
                      <w:rPr>
                        <w:bCs/>
                        <w:sz w:val="22"/>
                        <w:szCs w:val="22"/>
                        <w:lang w:val="pt-BR"/>
                      </w:rPr>
                    </w:pPr>
                    <w:r>
                      <w:rPr>
                        <w:bCs/>
                        <w:sz w:val="22"/>
                        <w:szCs w:val="22"/>
                        <w:lang w:val="pt-BR"/>
                      </w:rPr>
                      <w:t>Įgyvendintų projektų skaičius</w:t>
                    </w:r>
                  </w:p>
                </w:tc>
                <w:tc>
                  <w:tcPr>
                    <w:tcW w:w="2409" w:type="dxa"/>
                  </w:tcPr>
                  <w:p>
                    <w:pPr>
                      <w:jc w:val="center"/>
                      <w:rPr>
                        <w:sz w:val="22"/>
                        <w:szCs w:val="22"/>
                      </w:rPr>
                    </w:pPr>
                    <w:r>
                      <w:rPr>
                        <w:sz w:val="22"/>
                        <w:szCs w:val="22"/>
                      </w:rPr>
                      <w:t>Socialinės paramos skyrius</w:t>
                    </w:r>
                  </w:p>
                </w:tc>
                <w:tc>
                  <w:tcPr>
                    <w:tcW w:w="709" w:type="dxa"/>
                  </w:tcPr>
                  <w:p>
                    <w:pPr>
                      <w:jc w:val="center"/>
                      <w:rPr>
                        <w:bCs/>
                        <w:sz w:val="22"/>
                        <w:szCs w:val="22"/>
                      </w:rPr>
                    </w:pPr>
                    <w:r>
                      <w:rPr>
                        <w:bCs/>
                        <w:sz w:val="22"/>
                        <w:szCs w:val="22"/>
                      </w:rPr>
                      <w:t>4</w:t>
                    </w:r>
                  </w:p>
                </w:tc>
                <w:tc>
                  <w:tcPr>
                    <w:tcW w:w="709" w:type="dxa"/>
                  </w:tcPr>
                  <w:p>
                    <w:pPr>
                      <w:jc w:val="center"/>
                      <w:rPr>
                        <w:bCs/>
                        <w:sz w:val="22"/>
                        <w:szCs w:val="22"/>
                      </w:rPr>
                    </w:pPr>
                    <w:r>
                      <w:rPr>
                        <w:bCs/>
                        <w:sz w:val="22"/>
                        <w:szCs w:val="22"/>
                      </w:rPr>
                      <w:t>3</w:t>
                    </w:r>
                  </w:p>
                </w:tc>
                <w:tc>
                  <w:tcPr>
                    <w:tcW w:w="992" w:type="dxa"/>
                  </w:tcPr>
                  <w:p>
                    <w:pPr>
                      <w:jc w:val="center"/>
                      <w:rPr>
                        <w:bCs/>
                        <w:sz w:val="22"/>
                        <w:szCs w:val="22"/>
                      </w:rPr>
                    </w:pPr>
                    <w:r>
                      <w:rPr>
                        <w:bCs/>
                        <w:sz w:val="22"/>
                        <w:szCs w:val="22"/>
                      </w:rPr>
                      <w:t>4</w:t>
                    </w:r>
                  </w:p>
                </w:tc>
              </w:tr>
            </w:tbl>
            <w:p>
              <w:pPr>
                <w:rPr>
                  <w:b/>
                  <w:szCs w:val="24"/>
                </w:rPr>
              </w:pPr>
            </w:p>
          </w:sdtContent>
        </w:sdt>
        <w:sdt>
          <w:sdtPr>
            <w:alias w:val="7 pr. 3.2 pp."/>
            <w:tag w:val="part_c0a601fc5eef44089d5d3ec9a764e691"/>
            <w:lock w:val="sdtLocked"/>
            <w:richText/>
          </w:sdtPr>
          <w:sdtContent>
            <w:p>
              <w:pPr>
                <w:spacing w:line="259" w:lineRule="auto"/>
                <w:ind w:left="720" w:hanging="360"/>
                <w:jc w:val="center"/>
                <w:rPr>
                  <w:sz w:val="22"/>
                  <w:szCs w:val="22"/>
                </w:rPr>
              </w:pPr>
              <w:sdt>
                <w:sdtPr>
                  <w:alias w:val="Numeris"/>
                  <w:tag w:val="nr_c0a601fc5eef44089d5d3ec9a764e691"/>
                  <w:lock w:val="sdtLocked"/>
                  <w:richText/>
                </w:sdtPr>
                <w:sdtContent>
                  <w:r>
                    <w:rPr>
                      <w:b/>
                      <w:szCs w:val="24"/>
                    </w:rPr>
                    <w:t>3.2</w:t>
                  </w:r>
                </w:sdtContent>
              </w:sdt>
              <w:r>
                <w:rPr>
                  <w:b/>
                  <w:szCs w:val="24"/>
                </w:rPr>
                <w:t>.</w:t>
                <w:tab/>
              </w:r>
              <w:r>
                <w:rPr>
                  <w:b/>
                  <w:sz w:val="22"/>
                  <w:szCs w:val="22"/>
                </w:rPr>
                <w:t>tikslo rezultato vertinimo kriterijai</w:t>
              </w:r>
            </w:p>
            <w:p>
              <w:pPr>
                <w:rPr>
                  <w:sz w:val="14"/>
                  <w:szCs w:val="14"/>
                </w:rPr>
              </w:pPr>
            </w:p>
            <w:tbl>
              <w:tblPr>
                <w:tblW w:w="97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413"/>
                <w:gridCol w:w="3544"/>
                <w:gridCol w:w="2409"/>
                <w:gridCol w:w="709"/>
                <w:gridCol w:w="851"/>
                <w:gridCol w:w="850"/>
              </w:tblGrid>
              <w:tr>
                <w:trPr>
                  <w:trHeight w:val="645"/>
                </w:trPr>
                <w:tc>
                  <w:tcPr>
                    <w:tcW w:w="1413" w:type="dxa"/>
                    <w:vMerge w:val="restart"/>
                  </w:tcPr>
                  <w:p>
                    <w:pPr>
                      <w:jc w:val="center"/>
                      <w:rPr>
                        <w:sz w:val="22"/>
                        <w:szCs w:val="22"/>
                      </w:rPr>
                    </w:pPr>
                    <w:r>
                      <w:rPr>
                        <w:b/>
                        <w:bCs/>
                        <w:sz w:val="22"/>
                        <w:szCs w:val="22"/>
                      </w:rPr>
                      <w:t>Kodas</w:t>
                    </w:r>
                  </w:p>
                  <w:p>
                    <w:pPr>
                      <w:jc w:val="center"/>
                      <w:rPr>
                        <w:sz w:val="22"/>
                        <w:szCs w:val="22"/>
                      </w:rPr>
                    </w:pPr>
                  </w:p>
                  <w:p>
                    <w:pPr>
                      <w:jc w:val="center"/>
                      <w:rPr>
                        <w:sz w:val="22"/>
                        <w:szCs w:val="22"/>
                      </w:rPr>
                    </w:pPr>
                  </w:p>
                </w:tc>
                <w:tc>
                  <w:tcPr>
                    <w:tcW w:w="3544" w:type="dxa"/>
                    <w:vMerge w:val="restart"/>
                  </w:tcPr>
                  <w:p>
                    <w:pPr>
                      <w:jc w:val="center"/>
                      <w:rPr>
                        <w:sz w:val="22"/>
                        <w:szCs w:val="22"/>
                      </w:rPr>
                    </w:pPr>
                    <w:r>
                      <w:rPr>
                        <w:b/>
                        <w:bCs/>
                        <w:sz w:val="22"/>
                        <w:szCs w:val="22"/>
                      </w:rPr>
                      <w:t>Kriterijaus pavadinimas, mato vnt.</w:t>
                    </w:r>
                  </w:p>
                  <w:p>
                    <w:pPr>
                      <w:jc w:val="center"/>
                      <w:rPr>
                        <w:sz w:val="22"/>
                        <w:szCs w:val="22"/>
                      </w:rPr>
                    </w:pPr>
                  </w:p>
                </w:tc>
                <w:tc>
                  <w:tcPr>
                    <w:tcW w:w="2409" w:type="dxa"/>
                    <w:vMerge w:val="restart"/>
                  </w:tcPr>
                  <w:p>
                    <w:pPr>
                      <w:jc w:val="center"/>
                      <w:rPr>
                        <w:sz w:val="22"/>
                        <w:szCs w:val="22"/>
                      </w:rPr>
                    </w:pPr>
                    <w:r>
                      <w:rPr>
                        <w:b/>
                        <w:bCs/>
                        <w:sz w:val="22"/>
                        <w:szCs w:val="22"/>
                      </w:rPr>
                      <w:t>Savivaldybės skyrius, atsakingas už rodiklio reikšmių pateikimą</w:t>
                    </w:r>
                  </w:p>
                </w:tc>
                <w:tc>
                  <w:tcPr>
                    <w:tcW w:w="2410" w:type="dxa"/>
                    <w:gridSpan w:val="3"/>
                  </w:tcPr>
                  <w:p>
                    <w:pPr>
                      <w:jc w:val="center"/>
                      <w:rPr>
                        <w:sz w:val="22"/>
                        <w:szCs w:val="22"/>
                      </w:rPr>
                    </w:pPr>
                    <w:r>
                      <w:rPr>
                        <w:b/>
                        <w:bCs/>
                        <w:sz w:val="22"/>
                        <w:szCs w:val="22"/>
                      </w:rPr>
                      <w:t>Kriterijaus reikšmė, metais</w:t>
                    </w:r>
                  </w:p>
                </w:tc>
              </w:tr>
              <w:tr>
                <w:trPr>
                  <w:trHeight w:val="226"/>
                </w:trPr>
                <w:tc>
                  <w:tcPr>
                    <w:tcW w:w="1413" w:type="dxa"/>
                    <w:vMerge/>
                  </w:tcPr>
                  <w:p>
                    <w:pPr>
                      <w:jc w:val="center"/>
                      <w:rPr>
                        <w:b/>
                        <w:bCs/>
                        <w:sz w:val="22"/>
                        <w:szCs w:val="22"/>
                      </w:rPr>
                    </w:pPr>
                  </w:p>
                </w:tc>
                <w:tc>
                  <w:tcPr>
                    <w:tcW w:w="3544" w:type="dxa"/>
                    <w:vMerge/>
                  </w:tcPr>
                  <w:p>
                    <w:pPr>
                      <w:jc w:val="center"/>
                      <w:rPr>
                        <w:b/>
                        <w:bCs/>
                        <w:sz w:val="22"/>
                        <w:szCs w:val="22"/>
                      </w:rPr>
                    </w:pPr>
                  </w:p>
                </w:tc>
                <w:tc>
                  <w:tcPr>
                    <w:tcW w:w="2409" w:type="dxa"/>
                    <w:vMerge/>
                  </w:tcPr>
                  <w:p>
                    <w:pPr>
                      <w:jc w:val="center"/>
                      <w:rPr>
                        <w:sz w:val="22"/>
                        <w:szCs w:val="22"/>
                      </w:rPr>
                    </w:pPr>
                  </w:p>
                </w:tc>
                <w:tc>
                  <w:tcPr>
                    <w:tcW w:w="709" w:type="dxa"/>
                  </w:tcPr>
                  <w:p>
                    <w:pPr>
                      <w:jc w:val="center"/>
                      <w:rPr>
                        <w:b/>
                        <w:bCs/>
                        <w:sz w:val="22"/>
                        <w:szCs w:val="22"/>
                      </w:rPr>
                    </w:pPr>
                    <w:r>
                      <w:rPr>
                        <w:b/>
                        <w:bCs/>
                        <w:sz w:val="22"/>
                        <w:szCs w:val="22"/>
                      </w:rPr>
                      <w:t>2022</w:t>
                    </w:r>
                  </w:p>
                </w:tc>
                <w:tc>
                  <w:tcPr>
                    <w:tcW w:w="851" w:type="dxa"/>
                  </w:tcPr>
                  <w:p>
                    <w:pPr>
                      <w:jc w:val="center"/>
                      <w:rPr>
                        <w:b/>
                        <w:bCs/>
                        <w:sz w:val="22"/>
                        <w:szCs w:val="22"/>
                      </w:rPr>
                    </w:pPr>
                    <w:r>
                      <w:rPr>
                        <w:b/>
                        <w:bCs/>
                        <w:sz w:val="22"/>
                        <w:szCs w:val="22"/>
                      </w:rPr>
                      <w:t xml:space="preserve">2023 </w:t>
                    </w:r>
                  </w:p>
                </w:tc>
                <w:tc>
                  <w:tcPr>
                    <w:tcW w:w="850" w:type="dxa"/>
                  </w:tcPr>
                  <w:p>
                    <w:pPr>
                      <w:jc w:val="center"/>
                      <w:rPr>
                        <w:b/>
                        <w:bCs/>
                        <w:sz w:val="22"/>
                        <w:szCs w:val="22"/>
                      </w:rPr>
                    </w:pPr>
                    <w:r>
                      <w:rPr>
                        <w:b/>
                        <w:bCs/>
                        <w:sz w:val="22"/>
                        <w:szCs w:val="22"/>
                      </w:rPr>
                      <w:t>2024</w:t>
                    </w:r>
                  </w:p>
                </w:tc>
              </w:tr>
              <w:tr>
                <w:trPr>
                  <w:trHeight w:val="226"/>
                </w:trPr>
                <w:tc>
                  <w:tcPr>
                    <w:tcW w:w="1413" w:type="dxa"/>
                  </w:tcPr>
                  <w:p>
                    <w:pPr>
                      <w:jc w:val="both"/>
                      <w:rPr>
                        <w:sz w:val="22"/>
                        <w:szCs w:val="22"/>
                      </w:rPr>
                    </w:pPr>
                    <w:r>
                      <w:rPr>
                        <w:sz w:val="22"/>
                        <w:szCs w:val="22"/>
                      </w:rPr>
                      <w:t>R-03-02-03</w:t>
                    </w:r>
                  </w:p>
                </w:tc>
                <w:tc>
                  <w:tcPr>
                    <w:tcW w:w="3544" w:type="dxa"/>
                  </w:tcPr>
                  <w:p>
                    <w:pPr>
                      <w:rPr>
                        <w:bCs/>
                        <w:sz w:val="22"/>
                        <w:szCs w:val="22"/>
                        <w:lang w:val="pt-BR"/>
                      </w:rPr>
                    </w:pPr>
                    <w:r>
                      <w:rPr>
                        <w:bCs/>
                        <w:sz w:val="22"/>
                        <w:szCs w:val="22"/>
                        <w:lang w:val="pt-BR"/>
                      </w:rPr>
                      <w:t>Aptaranautas asmenų skaičius Neringos socialinių paslaugų centre</w:t>
                    </w:r>
                  </w:p>
                </w:tc>
                <w:tc>
                  <w:tcPr>
                    <w:tcW w:w="2409" w:type="dxa"/>
                  </w:tcPr>
                  <w:p>
                    <w:pPr>
                      <w:jc w:val="center"/>
                      <w:rPr>
                        <w:sz w:val="22"/>
                        <w:szCs w:val="22"/>
                      </w:rPr>
                    </w:pPr>
                    <w:r>
                      <w:rPr>
                        <w:sz w:val="22"/>
                        <w:szCs w:val="22"/>
                      </w:rPr>
                      <w:t>Socialinės paramos skyrius</w:t>
                    </w:r>
                  </w:p>
                </w:tc>
                <w:tc>
                  <w:tcPr>
                    <w:tcW w:w="709" w:type="dxa"/>
                  </w:tcPr>
                  <w:p>
                    <w:pPr>
                      <w:jc w:val="center"/>
                      <w:rPr>
                        <w:bCs/>
                        <w:sz w:val="22"/>
                        <w:szCs w:val="22"/>
                      </w:rPr>
                    </w:pPr>
                    <w:r>
                      <w:rPr>
                        <w:bCs/>
                        <w:sz w:val="22"/>
                        <w:szCs w:val="22"/>
                      </w:rPr>
                      <w:t>320</w:t>
                    </w:r>
                  </w:p>
                </w:tc>
                <w:tc>
                  <w:tcPr>
                    <w:tcW w:w="851" w:type="dxa"/>
                  </w:tcPr>
                  <w:p>
                    <w:pPr>
                      <w:jc w:val="center"/>
                      <w:rPr>
                        <w:bCs/>
                        <w:sz w:val="22"/>
                        <w:szCs w:val="22"/>
                      </w:rPr>
                    </w:pPr>
                    <w:r>
                      <w:rPr>
                        <w:bCs/>
                        <w:sz w:val="22"/>
                        <w:szCs w:val="22"/>
                      </w:rPr>
                      <w:t>330</w:t>
                    </w:r>
                  </w:p>
                </w:tc>
                <w:tc>
                  <w:tcPr>
                    <w:tcW w:w="850" w:type="dxa"/>
                  </w:tcPr>
                  <w:p>
                    <w:pPr>
                      <w:jc w:val="center"/>
                      <w:rPr>
                        <w:bCs/>
                        <w:sz w:val="22"/>
                        <w:szCs w:val="22"/>
                      </w:rPr>
                    </w:pPr>
                    <w:r>
                      <w:rPr>
                        <w:bCs/>
                        <w:sz w:val="22"/>
                        <w:szCs w:val="22"/>
                      </w:rPr>
                      <w:t>330</w:t>
                    </w:r>
                  </w:p>
                </w:tc>
              </w:tr>
            </w:tbl>
            <w:p>
              <w:pPr>
                <w:jc w:val="center"/>
                <w:rPr>
                  <w:b/>
                  <w:szCs w:val="24"/>
                </w:rPr>
              </w:pPr>
            </w:p>
            <w:p>
              <w:pPr>
                <w:rPr>
                  <w:sz w:val="22"/>
                  <w:szCs w:val="22"/>
                </w:rPr>
              </w:pPr>
            </w:p>
            <w:tbl>
              <w:tblPr>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634"/>
              </w:tblGrid>
              <w:tr>
                <w:tc>
                  <w:tcPr>
                    <w:tcW w:w="9634" w:type="dxa"/>
                  </w:tcPr>
                  <w:p>
                    <w:pPr>
                      <w:rPr>
                        <w:b/>
                        <w:sz w:val="22"/>
                        <w:szCs w:val="22"/>
                      </w:rPr>
                    </w:pPr>
                    <w:r>
                      <w:rPr>
                        <w:b/>
                        <w:sz w:val="22"/>
                        <w:szCs w:val="22"/>
                      </w:rPr>
                      <w:t>Numatomas programos įgyvendinimo rezultatas:</w:t>
                    </w:r>
                  </w:p>
                  <w:p>
                    <w:pPr>
                      <w:widowControl w:val="0"/>
                      <w:tabs>
                        <w:tab w:val="left" w:pos="330"/>
                        <w:tab w:val="left" w:pos="596"/>
                      </w:tabs>
                      <w:suppressAutoHyphens/>
                      <w:ind w:left="29" w:firstLine="451"/>
                      <w:jc w:val="both"/>
                      <w:rPr>
                        <w:sz w:val="22"/>
                        <w:szCs w:val="22"/>
                      </w:rPr>
                    </w:pPr>
                    <w:r>
                      <w:rPr>
                        <w:sz w:val="22"/>
                        <w:szCs w:val="22"/>
                      </w:rPr>
                      <w:t>-</w:t>
                      <w:tab/>
                      <w:t>Vykdant efektyvių socialinės paramos</w:t>
                    </w:r>
                    <w:r>
                      <w:rPr>
                        <w:b/>
                        <w:sz w:val="22"/>
                        <w:szCs w:val="22"/>
                      </w:rPr>
                      <w:t xml:space="preserve"> </w:t>
                    </w:r>
                    <w:r>
                      <w:rPr>
                        <w:sz w:val="22"/>
                        <w:szCs w:val="22"/>
                      </w:rPr>
                      <w:t xml:space="preserve">priemonių programą, įvairioms Neringos savivaldybės gyventojų socialinėms grupėms sudaroma galimybė integruotis į visuomenę, nežeminant žmogiškojo orumo ir užtikrinant normalias gyvenimo sąlygas. Programoje numatytos priemonės mažins socialiai pažeidžiamų gyventojų socialinę atskirtį. </w:t>
                    </w:r>
                  </w:p>
                  <w:p>
                    <w:pPr>
                      <w:widowControl w:val="0"/>
                      <w:tabs>
                        <w:tab w:val="left" w:pos="330"/>
                        <w:tab w:val="left" w:pos="596"/>
                      </w:tabs>
                      <w:suppressAutoHyphens/>
                      <w:ind w:left="29" w:firstLine="451"/>
                      <w:jc w:val="both"/>
                      <w:rPr>
                        <w:sz w:val="22"/>
                        <w:szCs w:val="22"/>
                      </w:rPr>
                    </w:pPr>
                    <w:r>
                      <w:rPr>
                        <w:sz w:val="22"/>
                        <w:szCs w:val="22"/>
                      </w:rPr>
                      <w:t>-</w:t>
                      <w:tab/>
                      <w:t>Teikiant socialinę paramą labiausiai šito stokojantiems savivaldybės gyventojams, įgyvendinami socialinio teisingumo, žmogaus teisių užtikrinimo, lygiateisiškumo ir nediskriminacijos principai.</w:t>
                    </w:r>
                  </w:p>
                  <w:p>
                    <w:pPr>
                      <w:widowControl w:val="0"/>
                      <w:tabs>
                        <w:tab w:val="left" w:pos="330"/>
                        <w:tab w:val="left" w:pos="596"/>
                      </w:tabs>
                      <w:suppressAutoHyphens/>
                      <w:ind w:left="29" w:firstLine="451"/>
                      <w:jc w:val="both"/>
                      <w:rPr>
                        <w:sz w:val="22"/>
                        <w:szCs w:val="22"/>
                      </w:rPr>
                    </w:pPr>
                    <w:r>
                      <w:rPr>
                        <w:sz w:val="22"/>
                        <w:szCs w:val="22"/>
                      </w:rPr>
                      <w:t>-</w:t>
                      <w:tab/>
                      <w:t>Teikiant paslaugas pagyvenusiems asmenims bei asmenims, turintiems negalią, organizuojant reabilitaciją, užtikrinama jų integracija į visuomenę, bendruomenės poreikių tenkinimas naujomis, palankesnėmis specialiųjų paslaugų teikimo formomis, ugdomas visuomenės daugialypiškumas ir santalka.</w:t>
                    </w:r>
                  </w:p>
                  <w:p>
                    <w:pPr>
                      <w:widowControl w:val="0"/>
                      <w:tabs>
                        <w:tab w:val="left" w:pos="330"/>
                        <w:tab w:val="left" w:pos="596"/>
                      </w:tabs>
                      <w:suppressAutoHyphens/>
                      <w:ind w:left="29" w:firstLine="451"/>
                      <w:jc w:val="both"/>
                      <w:rPr>
                        <w:sz w:val="22"/>
                        <w:szCs w:val="22"/>
                      </w:rPr>
                    </w:pPr>
                    <w:r>
                      <w:rPr>
                        <w:sz w:val="22"/>
                        <w:szCs w:val="22"/>
                      </w:rPr>
                      <w:t>-</w:t>
                      <w:tab/>
                      <w:t>Savivaldybė pagal įstatymų nustatytą sprendimų priėmimo laisvę įgyvendins valstybės deleguotas funkcijas, atsižvelgdama į gyventojų interesus.</w:t>
                    </w:r>
                  </w:p>
                  <w:p>
                    <w:pPr>
                      <w:widowControl w:val="0"/>
                      <w:tabs>
                        <w:tab w:val="left" w:pos="330"/>
                        <w:tab w:val="left" w:pos="596"/>
                      </w:tabs>
                      <w:suppressAutoHyphens/>
                      <w:ind w:left="29" w:firstLine="451"/>
                      <w:jc w:val="both"/>
                      <w:rPr>
                        <w:sz w:val="22"/>
                        <w:szCs w:val="22"/>
                      </w:rPr>
                    </w:pPr>
                    <w:r>
                      <w:rPr>
                        <w:sz w:val="22"/>
                        <w:szCs w:val="22"/>
                      </w:rPr>
                      <w:t>-</w:t>
                      <w:tab/>
                      <w:t>Įgyvendinant NVO iniciatyvas, plėtojant socialines paslaugas, neįgalūs savivaldybės gyventojai gaus daugiau ir įvairesnių socialinių paslaugų, kurios teikiamos, atsižvelgiant į jų konkrečius poreikius.</w:t>
                    </w:r>
                  </w:p>
                  <w:p>
                    <w:pPr>
                      <w:widowControl w:val="0"/>
                      <w:tabs>
                        <w:tab w:val="left" w:pos="330"/>
                        <w:tab w:val="left" w:pos="596"/>
                      </w:tabs>
                      <w:suppressAutoHyphens/>
                      <w:ind w:left="29" w:firstLine="451"/>
                      <w:jc w:val="both"/>
                      <w:rPr>
                        <w:sz w:val="22"/>
                        <w:szCs w:val="22"/>
                      </w:rPr>
                    </w:pPr>
                    <w:r>
                      <w:rPr>
                        <w:sz w:val="22"/>
                        <w:szCs w:val="22"/>
                      </w:rPr>
                      <w:t>-</w:t>
                      <w:tab/>
                      <w:t xml:space="preserve">Išplėtotas socialinių paslaugų tinklas tenkins visų bendruomenės narių poreikius, sumažės savipagalbos, socialinės atskirties ir užimtumo problemos. </w:t>
                    </w:r>
                  </w:p>
                </w:tc>
              </w:tr>
            </w:tbl>
            <w:p>
              <w:pPr>
                <w:rPr>
                  <w:b/>
                  <w:bCs/>
                  <w:sz w:val="22"/>
                  <w:szCs w:val="22"/>
                </w:rPr>
              </w:pPr>
            </w:p>
            <w:tbl>
              <w:tblPr>
                <w:tblW w:w="97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776"/>
              </w:tblGrid>
              <w:tr>
                <w:tc>
                  <w:tcPr>
                    <w:tcW w:w="9776" w:type="dxa"/>
                  </w:tcPr>
                  <w:p>
                    <w:pPr>
                      <w:snapToGrid w:val="0"/>
                      <w:rPr>
                        <w:b/>
                        <w:bCs/>
                        <w:sz w:val="22"/>
                        <w:szCs w:val="22"/>
                      </w:rPr>
                    </w:pPr>
                    <w:r>
                      <w:rPr>
                        <w:b/>
                        <w:bCs/>
                        <w:sz w:val="22"/>
                        <w:szCs w:val="22"/>
                      </w:rPr>
                      <w:t>Galimi programos vykdymo ir finansavimo variantai</w:t>
                    </w:r>
                  </w:p>
                  <w:p>
                    <w:pPr>
                      <w:snapToGrid w:val="0"/>
                      <w:jc w:val="both"/>
                      <w:rPr>
                        <w:bCs/>
                        <w:szCs w:val="24"/>
                      </w:rPr>
                    </w:pPr>
                    <w:r>
                      <w:rPr>
                        <w:bCs/>
                        <w:sz w:val="22"/>
                        <w:szCs w:val="22"/>
                      </w:rPr>
                      <w:t>Savivaldybės biudžeto lėšos, Valstybės biudžeto lėšos, Valstybės biudžeto specialioji tikslinė dotacija, Europos Sąjungos lėšos ir kt. lėšos.</w:t>
                    </w:r>
                    <w:r>
                      <w:rPr>
                        <w:bCs/>
                        <w:szCs w:val="24"/>
                      </w:rPr>
                      <w:t xml:space="preserve"> </w:t>
                    </w:r>
                  </w:p>
                </w:tc>
              </w:tr>
            </w:tbl>
            <w:p>
              <w:pPr>
                <w:rPr>
                  <w:szCs w:val="24"/>
                </w:rPr>
              </w:pPr>
            </w:p>
            <w:tbl>
              <w:tblPr>
                <w:tblW w:w="97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776"/>
              </w:tblGrid>
              <w:tr>
                <w:tc>
                  <w:tcPr>
                    <w:tcW w:w="9776" w:type="dxa"/>
                  </w:tcPr>
                  <w:p>
                    <w:pPr>
                      <w:rPr>
                        <w:b/>
                        <w:bCs/>
                        <w:sz w:val="22"/>
                        <w:szCs w:val="22"/>
                      </w:rPr>
                    </w:pPr>
                    <w:r>
                      <w:rPr>
                        <w:b/>
                        <w:sz w:val="22"/>
                        <w:szCs w:val="22"/>
                      </w:rPr>
                      <w:t>Neringos savivaldybės 2022–2024 metų strateginio plėtros plano dalys, susijusios su vykdoma programa:</w:t>
                    </w:r>
                  </w:p>
                  <w:p>
                    <w:pPr>
                      <w:jc w:val="both"/>
                      <w:rPr>
                        <w:bCs/>
                        <w:color w:val="000000"/>
                        <w:sz w:val="22"/>
                        <w:szCs w:val="22"/>
                        <w:lang w:eastAsia="lt-LT"/>
                      </w:rPr>
                    </w:pPr>
                    <w:r>
                      <w:rPr>
                        <w:bCs/>
                        <w:sz w:val="22"/>
                        <w:szCs w:val="22"/>
                        <w:lang w:eastAsia="lt-LT"/>
                      </w:rPr>
                      <w:t xml:space="preserve">2.2.2. Uždavinys. </w:t>
                    </w:r>
                    <w:r>
                      <w:rPr>
                        <w:bCs/>
                        <w:color w:val="000000"/>
                        <w:sz w:val="22"/>
                        <w:szCs w:val="22"/>
                        <w:lang w:eastAsia="lt-LT"/>
                      </w:rPr>
                      <w:t>Padidinti nuolat gyvenančių ir dirbančių gyventojų skaičių savivaldybėje</w:t>
                    </w:r>
                  </w:p>
                  <w:p>
                    <w:pPr>
                      <w:jc w:val="both"/>
                      <w:rPr>
                        <w:bCs/>
                        <w:color w:val="000000"/>
                        <w:sz w:val="22"/>
                        <w:szCs w:val="22"/>
                        <w:lang w:eastAsia="lt-LT"/>
                      </w:rPr>
                    </w:pPr>
                    <w:r>
                      <w:rPr>
                        <w:bCs/>
                        <w:color w:val="000000"/>
                        <w:sz w:val="22"/>
                        <w:szCs w:val="22"/>
                        <w:lang w:eastAsia="lt-LT"/>
                      </w:rPr>
                      <w:t>2.2.2.2. Priemonė: Savivaldybės gyvenamojo būsto fondo plėtra</w:t>
                    </w:r>
                  </w:p>
                  <w:p>
                    <w:pPr>
                      <w:jc w:val="both"/>
                      <w:rPr>
                        <w:bCs/>
                        <w:color w:val="000000"/>
                        <w:sz w:val="22"/>
                        <w:szCs w:val="22"/>
                        <w:lang w:eastAsia="lt-LT"/>
                      </w:rPr>
                    </w:pPr>
                    <w:r>
                      <w:rPr>
                        <w:bCs/>
                        <w:color w:val="000000"/>
                        <w:sz w:val="22"/>
                        <w:szCs w:val="22"/>
                        <w:lang w:eastAsia="lt-LT"/>
                      </w:rPr>
                      <w:t>2.3.2. Uždavinys: Sustiprinti NVO ir viešojo sektoriaus bendradarbiavimą, skatinti įsitraukimą</w:t>
                    </w:r>
                  </w:p>
                  <w:p>
                    <w:pPr>
                      <w:jc w:val="both"/>
                      <w:rPr>
                        <w:bCs/>
                        <w:color w:val="000000"/>
                        <w:sz w:val="22"/>
                        <w:szCs w:val="22"/>
                        <w:lang w:eastAsia="lt-LT"/>
                      </w:rPr>
                    </w:pPr>
                    <w:r>
                      <w:rPr>
                        <w:bCs/>
                        <w:color w:val="000000"/>
                        <w:sz w:val="22"/>
                        <w:szCs w:val="22"/>
                        <w:lang w:eastAsia="lt-LT"/>
                      </w:rPr>
                      <w:t>2.3.2.1. Priemonė: Bendrų veiklų ir projektų tarp NVO ir viešojo sektoriaus įgyvendinimas</w:t>
                    </w:r>
                  </w:p>
                  <w:p>
                    <w:pPr>
                      <w:jc w:val="both"/>
                      <w:rPr>
                        <w:sz w:val="22"/>
                        <w:szCs w:val="22"/>
                      </w:rPr>
                    </w:pPr>
                    <w:r>
                      <w:rPr>
                        <w:sz w:val="22"/>
                        <w:szCs w:val="22"/>
                      </w:rPr>
                      <w:t xml:space="preserve">3.2.3. </w:t>
                    </w:r>
                    <w:r>
                      <w:rPr>
                        <w:bCs/>
                        <w:sz w:val="22"/>
                        <w:szCs w:val="22"/>
                        <w:lang w:eastAsia="lt-LT"/>
                      </w:rPr>
                      <w:t xml:space="preserve">Uždavinys: </w:t>
                    </w:r>
                    <w:r>
                      <w:rPr>
                        <w:sz w:val="22"/>
                        <w:szCs w:val="22"/>
                      </w:rPr>
                      <w:t>Padidinti sveikatos, socialinių paslaugų kokybę ir prieinamumą visų gyvenviečių gyventojams, vykdyti paslaugų plėtrą.</w:t>
                    </w:r>
                  </w:p>
                  <w:p>
                    <w:pPr>
                      <w:jc w:val="both"/>
                      <w:rPr>
                        <w:sz w:val="22"/>
                        <w:szCs w:val="22"/>
                      </w:rPr>
                    </w:pPr>
                    <w:r>
                      <w:rPr>
                        <w:sz w:val="22"/>
                        <w:szCs w:val="22"/>
                      </w:rPr>
                      <w:t>3.2.3.1. Priemonė: Socialines ir sveikatos priežiūros paslaugas teikiančių įstaigų infrastruktūros sutvarkymas / atnaujinimas.</w:t>
                    </w:r>
                  </w:p>
                  <w:p>
                    <w:pPr>
                      <w:jc w:val="both"/>
                      <w:rPr>
                        <w:sz w:val="22"/>
                        <w:szCs w:val="22"/>
                      </w:rPr>
                    </w:pPr>
                    <w:r>
                      <w:rPr>
                        <w:sz w:val="22"/>
                        <w:szCs w:val="22"/>
                      </w:rPr>
                      <w:t>3.2.3.2. Priemonė. Viešųjų paslaugų pasiūlos vystymo užtikrinimas, viešosios infrastruktūros ir jos būklės, specialiųjų poreikių turintiems gyventojams, pagerinimas</w:t>
                    </w:r>
                  </w:p>
                  <w:p>
                    <w:pPr>
                      <w:jc w:val="both"/>
                      <w:rPr>
                        <w:bCs/>
                        <w:color w:val="000000"/>
                        <w:szCs w:val="24"/>
                        <w:lang w:eastAsia="lt-LT"/>
                      </w:rPr>
                    </w:pPr>
                    <w:r>
                      <w:rPr>
                        <w:sz w:val="22"/>
                        <w:szCs w:val="22"/>
                      </w:rPr>
                      <w:t xml:space="preserve">3.2.3.3 </w:t>
                    </w:r>
                    <w:r>
                      <w:rPr>
                        <w:bCs/>
                        <w:color w:val="000000"/>
                        <w:sz w:val="22"/>
                        <w:szCs w:val="22"/>
                        <w:lang w:eastAsia="lt-LT"/>
                      </w:rPr>
                      <w:t xml:space="preserve">Priemonė: </w:t>
                    </w:r>
                    <w:r>
                      <w:rPr>
                        <w:sz w:val="22"/>
                        <w:szCs w:val="22"/>
                      </w:rPr>
                      <w:t>Esamų teikiamų socialinių paslaugų rūšių (bendrųjų socialinių paslaugų, socialinės priežiūros paslaugų, socialinės globos paslaugų) išlaikymas ir išplėtimas, socialinės paramos užtikrinimas</w:t>
                    </w:r>
                  </w:p>
                </w:tc>
              </w:tr>
            </w:tbl>
            <w:p>
              <w:pPr>
                <w:rPr>
                  <w:b/>
                  <w:szCs w:val="24"/>
                </w:rPr>
              </w:pPr>
            </w:p>
            <w:tbl>
              <w:tblPr>
                <w:tblW w:w="97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776"/>
              </w:tblGrid>
              <w:tr>
                <w:tc>
                  <w:tcPr>
                    <w:tcW w:w="9776" w:type="dxa"/>
                  </w:tcPr>
                  <w:p>
                    <w:pPr>
                      <w:rPr>
                        <w:b/>
                        <w:szCs w:val="24"/>
                      </w:rPr>
                    </w:pPr>
                    <w:r>
                      <w:rPr>
                        <w:b/>
                        <w:szCs w:val="24"/>
                      </w:rPr>
                      <w:t xml:space="preserve">Susiję Lietuvos Respublikos </w:t>
                    </w:r>
                    <w:r>
                      <w:rPr>
                        <w:b/>
                        <w:szCs w:val="22"/>
                      </w:rPr>
                      <w:t xml:space="preserve">ir Savivaldybės </w:t>
                    </w:r>
                    <w:r>
                      <w:rPr>
                        <w:b/>
                        <w:szCs w:val="24"/>
                      </w:rPr>
                      <w:t>teisės aktai:</w:t>
                    </w:r>
                  </w:p>
                  <w:p>
                    <w:pPr>
                      <w:jc w:val="both"/>
                      <w:rPr>
                        <w:color w:val="000000"/>
                        <w:sz w:val="22"/>
                        <w:szCs w:val="22"/>
                        <w:lang w:eastAsia="lt-LT"/>
                      </w:rPr>
                    </w:pPr>
                    <w:r>
                      <w:rPr>
                        <w:color w:val="000000"/>
                        <w:sz w:val="22"/>
                        <w:szCs w:val="22"/>
                        <w:lang w:eastAsia="lt-LT"/>
                      </w:rPr>
                      <w:t xml:space="preserve">Lietuvos Respublikos Konstitucija, Civilinis kodeksas, Lietuvos Respublikos vietos savivaldos įstatymas, Lietuvos Respublikos biudžeto sandaros įstatymas; Lietuvos Respublikos valstybės biudžeto ir savivaldybių biudžetų finansinių rodiklių patvirtinimo įstatymas, Valstybinėms (perduotoms savivaldybėms) funkcijoms atlikti skirtų lėšų apskaičiavimo metodika, Lietuvos Respublikos piniginės socialinės paramos nepasiturintiems gyventojams įstatymas, Lietuvos Respublikos paramos mirties atveju įstatymas, Lietuvos Respublikos išmokų vaikams įstatymas, Lietuvos Respublikos socialinės paramos mokiniams įstatymas, Lietuvos Respublikos švietimo įstatymas, Lietuvos Respublikos Transporto lengvatų įstatymas, Lietuvos Respublikos tikslinių kompensacijų įstatymas, Lietuvos Respublikos socialinių paslaugų įstatymas, Lietuvos Respublikos neįgaliųjų socialinės integracijos įstatymas, Lietuvos Respublikos Paramos būstui įsigyti ir išsinuomoti įstatymu; Lietuvos Respublikos Vyriausybės 2012-11-21 nutarimas Nr. 1408 „Dėl nacionalinės neįgaliųjų socialinės integracijos 2013–2019 metų programos patvirtinimo“, Lietuvos Respublikos Vyriausybės 2006-06-14 nutarimas Nr. 583 „Dėl mokėjimo už socialines paslaugas tvarkos aprašo patvirtinimo“, Lietuvos Respublikos Vyriausybės 2006-10-10 nutarimas Nr. 978 „Dėl socialinių paslaugų </w:t>
                    </w:r>
                    <w:r>
                      <w:rPr>
                        <w:sz w:val="22"/>
                        <w:szCs w:val="22"/>
                        <w:lang w:eastAsia="lt-LT"/>
                      </w:rPr>
                      <w:t xml:space="preserve">finansavimo ir lėšų apskaičiavimo metodikos patvirtinimo“, Lietuvos Respublikos socialinės apsaugos ir darbo ministro 2006 m. balandžio 5 d. įsakymas Nr. A1-93 „Dėl socialinių paslaugų katalogo patvirtinimo“, Lietuvos Respublikos socialinės apsaugos ir darbo ministro 2006-11-30 įsakymas Nr. A1-317 „Dėl socialinę globą teikiančių darbuotojų darbo laiko sąnaudų normatyvų patvirtinimo“, 2007 m. liepos 4 d. įsakymas Nr. A1-185 „Dėl socialinių paslaugų išvystymo normatyvų patvirtinimo“, Socialinės apsaugos ir darbo ministro 2019 m. vasario 19 d. įsakymas Nr. A1-103 „Dėl būsto pritaikymo neįgaliesiems tvarkos aprašo patvirtinimo“, Socialinės apsaugos ir darbo ministro 2020 m. rugsėjo 30 d. įsakymas Nr. A1-906 „Dėl </w:t>
                    </w:r>
                    <w:r>
                      <w:rPr>
                        <w:sz w:val="22"/>
                        <w:szCs w:val="22"/>
                      </w:rPr>
                      <w:t xml:space="preserve">Socialinės reabilitacijos paslaugų neįgaliesiems bendruomenėje 2021 metų projektų atrankos konkurso organizavimo nuostatų patvirtinimo“, </w:t>
                    </w:r>
                    <w:r>
                      <w:rPr>
                        <w:sz w:val="22"/>
                        <w:szCs w:val="22"/>
                        <w:lang w:eastAsia="ar-SA"/>
                      </w:rPr>
                      <w:t xml:space="preserve">2014-2020 m. ES fondų investicijų veiksmų programos 8 prioritetu </w:t>
                    </w:r>
                    <w:r>
                      <w:rPr>
                        <w:sz w:val="22"/>
                        <w:szCs w:val="22"/>
                        <w:lang w:eastAsia="hi-IN" w:bidi="hi-IN"/>
                      </w:rPr>
                      <w:t xml:space="preserve">„Socialinės įtraukties didinimas ir kova su skurdu“ įgyvendinimo priemone Nr. 08.4.1-ESFA-V-416 „Kompleksinės paslaugos šeimai“ projektų finansavimo sąlygų aprašu patvirtintu Lietuvos Respublikos socialinės apsaugos ir darbo ministro 2016 m. liepos 15 d. įsakymu Nr. A1-364 „Dėl  2014–2020 metų Europos Sąjungos fondų investicijų veiksmų programos 8 prioriteto „Socialinės įtraukties didinimas ir kova su skurdu“ įgyvendinimo priemonės Nr. 08.4.1-ESFA-V-416 „Kompleksinės paslaugos šeimai“ projektų finansavimo sąlygų aprašo patvirtinimo“.</w:t>
                    </w:r>
                  </w:p>
                  <w:p>
                    <w:pPr>
                      <w:widowControl w:val="0"/>
                      <w:ind w:firstLine="596"/>
                      <w:jc w:val="both"/>
                      <w:rPr>
                        <w:bCs/>
                        <w:szCs w:val="24"/>
                      </w:rPr>
                    </w:pPr>
                    <w:r>
                      <w:rPr>
                        <w:sz w:val="22"/>
                        <w:szCs w:val="22"/>
                      </w:rPr>
                      <w:t xml:space="preserve">Neringos savivaldybės tarybos 2021 m. </w:t>
                    </w:r>
                    <w:r>
                      <w:rPr>
                        <w:bCs/>
                        <w:sz w:val="22"/>
                        <w:szCs w:val="22"/>
                      </w:rPr>
                      <w:t xml:space="preserve">lapkričio 25 d. </w:t>
                    </w:r>
                    <w:r>
                      <w:rPr>
                        <w:sz w:val="22"/>
                        <w:szCs w:val="22"/>
                      </w:rPr>
                      <w:t xml:space="preserve">sprendimas Nr. </w:t>
                    </w:r>
                    <w:r>
                      <w:rPr>
                        <w:bCs/>
                        <w:sz w:val="22"/>
                        <w:szCs w:val="22"/>
                      </w:rPr>
                      <w:t xml:space="preserve">T1-228 </w:t>
                    </w:r>
                    <w:r>
                      <w:rPr>
                        <w:sz w:val="22"/>
                        <w:szCs w:val="22"/>
                      </w:rPr>
                      <w:t>„Dėl Socialinių paslaugų organizavimo ir mokėjimo už socialines paslaugas Neringos savivaldybėje tvarkos aprašo patvirtinimo“, Neringos savivaldybės tarybos 201</w:t>
                    </w:r>
                    <w:r>
                      <w:rPr>
                        <w:sz w:val="22"/>
                        <w:szCs w:val="22"/>
                        <w:lang w:val="pt-BR"/>
                      </w:rPr>
                      <w:t>8</w:t>
                    </w:r>
                    <w:r>
                      <w:rPr>
                        <w:sz w:val="22"/>
                        <w:szCs w:val="22"/>
                      </w:rPr>
                      <w:t xml:space="preserve"> m. sausio 25 d. Nr. T</w:t>
                    </w:r>
                    <w:r>
                      <w:rPr>
                        <w:bCs/>
                        <w:sz w:val="22"/>
                        <w:szCs w:val="22"/>
                      </w:rPr>
                      <w:t>1-</w:t>
                    </w:r>
                    <w:r>
                      <w:rPr>
                        <w:sz w:val="22"/>
                        <w:szCs w:val="22"/>
                      </w:rPr>
                      <w:t>7</w:t>
                    </w:r>
                    <w:r>
                      <w:rPr>
                        <w:bCs/>
                        <w:sz w:val="22"/>
                        <w:szCs w:val="22"/>
                      </w:rPr>
                      <w:t xml:space="preserve"> „Dėl </w:t>
                    </w:r>
                    <w:r>
                      <w:rPr>
                        <w:sz w:val="22"/>
                        <w:szCs w:val="22"/>
                      </w:rPr>
                      <w:t>piniginės socialinės paramos teikimo nepasiturintiems Neringos savivaldybės gyventojams</w:t>
                    </w:r>
                    <w:r>
                      <w:rPr>
                        <w:bCs/>
                        <w:sz w:val="22"/>
                        <w:szCs w:val="22"/>
                      </w:rPr>
                      <w:t xml:space="preserve"> tvarkos aprašo patvirtinimo“, </w:t>
                    </w:r>
                    <w:r>
                      <w:rPr>
                        <w:sz w:val="22"/>
                        <w:szCs w:val="22"/>
                      </w:rPr>
                      <w:t>Neringos savivaldybės tarybos 2019 m. gruodžio 19</w:t>
                    </w:r>
                    <w:r>
                      <w:rPr>
                        <w:bCs/>
                        <w:sz w:val="22"/>
                        <w:szCs w:val="22"/>
                      </w:rPr>
                      <w:t xml:space="preserve"> d.</w:t>
                    </w:r>
                    <w:r>
                      <w:rPr>
                        <w:sz w:val="22"/>
                        <w:szCs w:val="22"/>
                      </w:rPr>
                      <w:t xml:space="preserve"> Nr. T</w:t>
                    </w:r>
                    <w:r>
                      <w:rPr>
                        <w:bCs/>
                        <w:sz w:val="22"/>
                        <w:szCs w:val="22"/>
                      </w:rPr>
                      <w:t xml:space="preserve">1-232 „Dėl </w:t>
                    </w:r>
                    <w:r>
                      <w:rPr>
                        <w:sz w:val="22"/>
                        <w:szCs w:val="22"/>
                      </w:rPr>
                      <w:t>vienkartinių, tikslinių, sąlyginių ir periodinių pašalpų iš Neringos savivaldybės biudžeto skyrimo ir mokėjimo tvarkos aprašo</w:t>
                    </w:r>
                    <w:r>
                      <w:rPr>
                        <w:bCs/>
                        <w:sz w:val="22"/>
                        <w:szCs w:val="22"/>
                      </w:rPr>
                      <w:t xml:space="preserve"> patvirtinimo“, </w:t>
                    </w:r>
                    <w:r>
                      <w:rPr>
                        <w:sz w:val="22"/>
                        <w:szCs w:val="22"/>
                      </w:rPr>
                      <w:t>Neringos savivaldybės tarybos</w:t>
                    </w:r>
                    <w:r>
                      <w:rPr>
                        <w:bCs/>
                        <w:sz w:val="22"/>
                        <w:szCs w:val="22"/>
                      </w:rPr>
                      <w:t xml:space="preserve"> </w:t>
                    </w:r>
                    <w:r>
                      <w:rPr>
                        <w:sz w:val="22"/>
                        <w:szCs w:val="22"/>
                      </w:rPr>
                      <w:t xml:space="preserve">2019 m. sausio 31 d. sprendimas Nr. T1-11 „Dėl </w:t>
                    </w:r>
                    <w:r>
                      <w:rPr>
                        <w:sz w:val="22"/>
                        <w:szCs w:val="22"/>
                        <w:lang w:eastAsia="lt-LT"/>
                      </w:rPr>
                      <w:t xml:space="preserve">Socialinės paramos mokiniams teikimo Neringos savivaldybėje tvarkos aprašo patvirtinimo“, </w:t>
                    </w:r>
                    <w:r>
                      <w:rPr>
                        <w:rFonts w:eastAsia="Calibri"/>
                        <w:sz w:val="22"/>
                        <w:szCs w:val="22"/>
                      </w:rPr>
                      <w:t>Neringos savivaldybės tarybos 2021 m. spalio 28 d. sprendimas Nr. T1-176 „Dėl būsto šildymo kompensacijos skyrimo ir mokėjimo Neringos savivaldybės gyventojams, kai daugiabučio namo energijos suvartojimas didesnis nei 27,5 kwh/m</w:t>
                    </w:r>
                    <w:r>
                      <w:rPr>
                        <w:rFonts w:eastAsia="Calibri"/>
                        <w:sz w:val="22"/>
                        <w:szCs w:val="22"/>
                        <w:vertAlign w:val="superscript"/>
                      </w:rPr>
                      <w:t>2</w:t>
                    </w:r>
                    <w:r>
                      <w:rPr>
                        <w:rFonts w:eastAsia="Calibri"/>
                        <w:sz w:val="22"/>
                        <w:szCs w:val="22"/>
                      </w:rPr>
                      <w:t xml:space="preserve"> per mėnesį“, </w:t>
                    </w:r>
                    <w:r>
                      <w:rPr>
                        <w:sz w:val="22"/>
                        <w:szCs w:val="22"/>
                      </w:rPr>
                      <w:t>Neringos savivaldybės administracijos</w:t>
                    </w:r>
                    <w:r>
                      <w:rPr>
                        <w:bCs/>
                        <w:sz w:val="22"/>
                        <w:szCs w:val="22"/>
                      </w:rPr>
                      <w:t xml:space="preserve"> direktoriaus </w:t>
                    </w:r>
                    <w:r>
                      <w:rPr>
                        <w:sz w:val="22"/>
                        <w:szCs w:val="22"/>
                      </w:rPr>
                      <w:t xml:space="preserve">2019 m. vasario 13 d. įsakymas Nr.V13-60 „Dėl Socialinės paramos mokiniams skyrimo Neringos savivaldybėje tvarkos aprašo patvirtinimo“, Neringos savivaldybės tarybos </w:t>
                    </w:r>
                    <w:r>
                      <w:rPr>
                        <w:sz w:val="22"/>
                        <w:szCs w:val="22"/>
                        <w:lang w:eastAsia="lt-LT"/>
                      </w:rPr>
                      <w:t>2020 m. lapkričio 26 d.</w:t>
                    </w:r>
                    <w:r>
                      <w:rPr>
                        <w:sz w:val="22"/>
                        <w:szCs w:val="22"/>
                      </w:rPr>
                      <w:t xml:space="preserve"> sprendimas Nr. T1-224 „Dėl </w:t>
                    </w:r>
                    <w:r>
                      <w:rPr>
                        <w:bCs/>
                        <w:szCs w:val="24"/>
                        <w:lang w:eastAsia="ar-SA"/>
                      </w:rPr>
                      <w:t>Piniginės socialinės paramos teikimo asmenims, patiriantiems socialinę riziką, tvarkos</w:t>
                    </w:r>
                    <w:r>
                      <w:rPr>
                        <w:sz w:val="22"/>
                        <w:szCs w:val="22"/>
                      </w:rPr>
                      <w:t xml:space="preserve"> aprašo patvirtinimo“, Neringos savivaldybės tarybos </w:t>
                    </w:r>
                    <w:r>
                      <w:rPr>
                        <w:sz w:val="22"/>
                        <w:szCs w:val="22"/>
                        <w:lang w:eastAsia="lt-LT"/>
                      </w:rPr>
                      <w:t>20</w:t>
                    </w:r>
                    <w:r>
                      <w:rPr>
                        <w:sz w:val="22"/>
                        <w:szCs w:val="22"/>
                        <w:lang w:val="pt-BR" w:eastAsia="lt-LT"/>
                      </w:rPr>
                      <w:t xml:space="preserve">21 </w:t>
                    </w:r>
                    <w:r>
                      <w:rPr>
                        <w:sz w:val="22"/>
                        <w:szCs w:val="22"/>
                        <w:lang w:eastAsia="lt-LT"/>
                      </w:rPr>
                      <w:t>m. spalio 28 d.</w:t>
                    </w:r>
                    <w:r>
                      <w:rPr>
                        <w:sz w:val="22"/>
                        <w:szCs w:val="22"/>
                      </w:rPr>
                      <w:t xml:space="preserve"> sprendimas Nr. T1-175 „Dėl vidutinės kuro įsigijimo kainos patvirtinimo“, Neringos savivaldybės tarybos 2021 m. kovo 25 d. sprendimas Nr. T1-51 „Dėl </w:t>
                    </w:r>
                    <w:r>
                      <w:rPr>
                        <w:sz w:val="22"/>
                        <w:szCs w:val="22"/>
                        <w:lang w:eastAsia="lt-LT"/>
                      </w:rPr>
                      <w:t xml:space="preserve">Neringos savivaldybės 2021 metų socialinių paslaugų plano patvirtinimo“, </w:t>
                    </w:r>
                    <w:r>
                      <w:rPr>
                        <w:sz w:val="22"/>
                        <w:szCs w:val="22"/>
                      </w:rPr>
                      <w:t>Neringos savivaldybės tarybos 2019 m. gruodžio 19</w:t>
                    </w:r>
                    <w:r>
                      <w:rPr>
                        <w:bCs/>
                        <w:sz w:val="22"/>
                        <w:szCs w:val="22"/>
                      </w:rPr>
                      <w:t xml:space="preserve"> d.</w:t>
                    </w:r>
                    <w:r>
                      <w:rPr>
                        <w:sz w:val="22"/>
                        <w:szCs w:val="22"/>
                      </w:rPr>
                      <w:t xml:space="preserve"> sprendimas Nr. </w:t>
                    </w:r>
                    <w:r>
                      <w:rPr>
                        <w:bCs/>
                        <w:sz w:val="22"/>
                        <w:szCs w:val="22"/>
                      </w:rPr>
                      <w:t xml:space="preserve">T1-234 </w:t>
                    </w:r>
                    <w:r>
                      <w:rPr>
                        <w:sz w:val="22"/>
                        <w:szCs w:val="22"/>
                      </w:rPr>
                      <w:t>„Dėl Neringos savivaldybės būsto ir socialinio būsto nuomos tvarkos aprašo patvirtinimo“, Neringos savivaldybės tarybos 2019 m. gruodžio 19</w:t>
                    </w:r>
                    <w:r>
                      <w:rPr>
                        <w:bCs/>
                        <w:sz w:val="22"/>
                        <w:szCs w:val="22"/>
                      </w:rPr>
                      <w:t xml:space="preserve"> d.</w:t>
                    </w:r>
                    <w:r>
                      <w:rPr>
                        <w:sz w:val="22"/>
                        <w:szCs w:val="22"/>
                      </w:rPr>
                      <w:t xml:space="preserve"> sprendimas Nr. T1-233 „Dėl </w:t>
                    </w:r>
                    <w:r>
                      <w:rPr>
                        <w:szCs w:val="24"/>
                        <w:lang w:eastAsia="lt-LT"/>
                      </w:rPr>
                      <w:t>Neringos savivaldybės būsto nuomos ar išperkamosios būsto nuomos mokesčio dalies kompensacijų mokėjimo ir permokėtų kompensacijų grąžinimo tvarkos aprašo patvirtinimo“</w:t>
                    </w:r>
                    <w:r>
                      <w:rPr>
                        <w:sz w:val="22"/>
                        <w:szCs w:val="22"/>
                        <w:lang w:eastAsia="lt-LT"/>
                      </w:rPr>
                      <w:t xml:space="preserve"> ir kt. teisės aktai reglamentuojančiais socialinių išmokų, socialinių paslaugų teikimą ir skyrimą bei programų vykdymą. </w:t>
                    </w:r>
                  </w:p>
                </w:tc>
              </w:tr>
            </w:tbl>
            <w:p/>
            <w:p>
              <w:pPr>
                <w:spacing w:after="160" w:line="259" w:lineRule="auto"/>
                <w:jc w:val="center"/>
                <w:rPr>
                  <w:sz w:val="22"/>
                  <w:szCs w:val="22"/>
                </w:rPr>
              </w:pPr>
              <w:r>
                <w:rPr>
                  <w:sz w:val="22"/>
                  <w:szCs w:val="22"/>
                </w:rPr>
                <w:t>___________________________</w:t>
              </w:r>
            </w:p>
            <w:p>
              <w:pPr>
                <w:rPr>
                  <w:sz w:val="14"/>
                  <w:szCs w:val="14"/>
                </w:rPr>
              </w:pPr>
            </w:p>
            <w:p>
              <w:pPr>
                <w:spacing w:line="259" w:lineRule="auto"/>
                <w:rPr>
                  <w:szCs w:val="24"/>
                </w:rPr>
              </w:pPr>
            </w:p>
          </w:sdtContent>
        </w:sdt>
      </w:sdtContent>
    </w:sdt>
    <w:sectPr>
      <w:pgSz w:w="11906" w:h="16838"/>
      <w:pgMar w:top="1701" w:right="567" w:bottom="1134" w:left="1701" w:header="567" w:footer="567" w:gutter="0"/>
      <w:cols w:space="1296"/>
      <w:docGrid w:linePitch="360"/>
    </w:sectPr>
  </w:body>
</w:document>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000247B" w:usb2="00000009" w:usb3="00000000" w:csb0="000001FF" w:csb1="00000000"/>
  </w:font>
  <w:font w:name="TimesNewRoman">
    <w:altName w:val="Times New Roman"/>
    <w:panose1 w:val="00000000000000000000"/>
    <w:charset w:val="EE"/>
    <w:family w:val="auto"/>
    <w:notTrueType/>
    <w:pitch w:val="default"/>
    <w:sig w:usb0="00000005" w:usb1="00000000" w:usb2="00000000" w:usb3="00000000" w:csb0="00000002"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BA"/>
    <w:family w:val="swiss"/>
    <w:pitch w:val="variable"/>
    <w:sig w:usb0="E4002EFF" w:usb1="C000247B" w:usb2="00000009" w:usb3="00000000" w:csb0="000001FF" w:csb1="00000000"/>
  </w:font>
</w:font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C3BD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B6EDE9F8-B55A-4390-A0EA-F175C7EC8A86}"/>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ntTable" Target="fontTable.xml"/>
  <Relationship Id="rId5" Type="http://schemas.openxmlformats.org/officeDocument/2006/relationships/theme" Target="theme/theme1.xml"/>
  <Relationship Id="rId6" Type="http://schemas.openxmlformats.org/officeDocument/2006/relationships/customXml" Target="../customXml/item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riedas" Nr="7" Abbr="7 pr." Title="SOCIALINĖS PARAMOS PROGRAMOS (Nr. 04)" DocPartId="4d362adba0c6400aa045f55383d78bf0" PartId="36abd66f98be4ce09851eb7302eb41b4">
    <Part Type="lentele" Title="APRAŠYMAS" DocPartId="6dc34efc0989496aa549b5e75ffd6e88" PartId="229b7f4bca104ac0a8e9f9cb22d232e1"/>
    <Part Type="lentele" DocPartId="9e375cce145b4eaf9b267f8e6b13e7f3" PartId="00ad2897f4d94f10bc6f4079b3e372c6"/>
    <Part Type="lentele" DocPartId="209246b7f9ab4a71bf7b1afa420f9ac1" PartId="714ffafa09a644f4b82a9090ac143d38"/>
    <Part Type="papunktis" Nr="2.2" Abbr="7 pr. 2.2 pp." DocPartId="2eaf7788c76b4c7297d03b3a7b8294a8" PartId="56510ca4be564ac98214daab5f66b1d8"/>
    <Part Type="papunktis" Nr="3.2" Abbr="7 pr. 3.2 pp." Notes="Numeris ne iš eilės. Trūksta dalių? [DocDalys]" DocPartId="293d52e6fcae4f52b8316cd520ed42b6" PartId="c0a601fc5eef44089d5d3ec9a764e691"/>
  </Part>
</Parts>
</file>

<file path=customXml/itemProps1.xml><?xml version="1.0" encoding="utf-8"?>
<ds:datastoreItem xmlns:ds="http://schemas.openxmlformats.org/officeDocument/2006/customXml" ds:itemID="{32A70427-3974-4363-8749-0B719619A997}">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14</Pages>
  <Words>3214</Words>
  <Characters>25270</Characters>
  <Application>Microsoft Office Word</Application>
  <DocSecurity>4</DocSecurity>
  <Lines>549</Lines>
  <Paragraphs>306</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28178</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2022-02-09T11:58:00Z</dcterms:created>
  <dc:creator>Vilma Kavaliova</dc:creator>
  <lastModifiedBy>adlibuser</lastModifiedBy>
  <dcterms:modified xsi:type="dcterms:W3CDTF">2022-02-09T11:58:00Z</dcterms:modified>
  <revision>2</revision>
</coreProperties>
</file>