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306a09568674dd9b05857a727359153"/>
        <w:lock w:val="sdtLocked"/>
        <w:richText/>
      </w:sdtPr>
      <w:sdtContent>
        <w:tbl>
          <w:tblPr>
            <w:tblW w:w="5218" w:type="pct"/>
            <w:tblLayout w:type="fixed"/>
            <w:tblLook w:val="04A0" w:firstRow="1" w:lastRow="0" w:firstColumn="1" w:lastColumn="0" w:noHBand="0" w:noVBand="1"/>
          </w:tblPr>
          <w:tblGrid>
            <w:gridCol w:w="1839"/>
            <w:gridCol w:w="2421"/>
            <w:gridCol w:w="1666"/>
            <w:gridCol w:w="1274"/>
            <w:gridCol w:w="376"/>
            <w:gridCol w:w="884"/>
            <w:gridCol w:w="92"/>
            <w:gridCol w:w="320"/>
            <w:gridCol w:w="1098"/>
            <w:gridCol w:w="23"/>
            <w:gridCol w:w="214"/>
          </w:tblGrid>
          <w:tr>
            <w:trPr>
              <w:gridAfter w:val="2"/>
              <w:wAfter w:w="116" w:type="pct"/>
              <w:trHeight w:val="288"/>
            </w:trPr>
            <w:tc>
              <w:tcPr>
                <w:tcW w:w="4884" w:type="pct"/>
                <w:gridSpan w:val="9"/>
                <w:tcBorders>
                  <w:top w:val="nil"/>
                  <w:left w:val="nil"/>
                  <w:bottom w:val="nil"/>
                  <w:right w:val="nil"/>
                </w:tcBorders>
                <w:shd w:val="clear" w:color="auto" w:fill="auto"/>
                <w:noWrap/>
                <w:vAlign w:val="bottom"/>
                <w:hideMark/>
              </w:tcPr>
              <w:p>
                <w:pPr>
                  <w:rPr>
                    <w:szCs w:val="24"/>
                    <w:lang w:eastAsia="lt-LT"/>
                  </w:rPr>
                </w:pPr>
              </w:p>
              <w:p>
                <w:pPr>
                  <w:tabs>
                    <w:tab w:val="center" w:pos="4819"/>
                    <w:tab w:val="right" w:pos="9638"/>
                  </w:tabs>
                  <w:spacing w:line="240" w:lineRule="atLeast"/>
                  <w:ind w:left="5184"/>
                  <w:rPr>
                    <w:szCs w:val="24"/>
                    <w:lang w:eastAsia="lt-LT"/>
                  </w:rPr>
                </w:pPr>
                <w:r>
                  <w:rPr>
                    <w:szCs w:val="24"/>
                    <w:lang w:eastAsia="lt-LT"/>
                  </w:rPr>
                  <w:t>Neringos savivaldybės</w:t>
                </w:r>
              </w:p>
              <w:p>
                <w:pPr>
                  <w:tabs>
                    <w:tab w:val="center" w:pos="4819"/>
                    <w:tab w:val="right" w:pos="9638"/>
                  </w:tabs>
                  <w:spacing w:line="240" w:lineRule="atLeast"/>
                  <w:ind w:left="5184"/>
                  <w:rPr>
                    <w:szCs w:val="24"/>
                    <w:lang w:eastAsia="lt-LT"/>
                  </w:rPr>
                </w:pPr>
                <w:r>
                  <w:rPr>
                    <w:szCs w:val="24"/>
                    <w:lang w:eastAsia="lt-LT"/>
                  </w:rPr>
                  <w:t>2022–2024 metų strateginio veiklos plano</w:t>
                </w:r>
              </w:p>
              <w:p>
                <w:pPr>
                  <w:tabs>
                    <w:tab w:val="center" w:pos="4819"/>
                    <w:tab w:val="right" w:pos="9638"/>
                  </w:tabs>
                  <w:spacing w:line="240" w:lineRule="atLeast"/>
                  <w:ind w:left="5184"/>
                  <w:rPr>
                    <w:szCs w:val="24"/>
                    <w:lang w:eastAsia="lt-LT"/>
                  </w:rPr>
                </w:pPr>
                <w:r>
                  <w:rPr>
                    <w:szCs w:val="24"/>
                    <w:lang w:eastAsia="lt-LT"/>
                  </w:rPr>
                  <w:t>3 priedas</w:t>
                </w:r>
              </w:p>
              <w:p>
                <w:pPr>
                  <w:jc w:val="center"/>
                  <w:rPr>
                    <w:b/>
                    <w:bCs/>
                    <w:color w:val="000000"/>
                    <w:sz w:val="28"/>
                    <w:szCs w:val="28"/>
                    <w:lang w:eastAsia="lt-LT"/>
                  </w:rPr>
                </w:pPr>
              </w:p>
              <w:p>
                <w:pPr>
                  <w:jc w:val="center"/>
                  <w:rPr>
                    <w:b/>
                    <w:bCs/>
                    <w:sz w:val="22"/>
                    <w:szCs w:val="22"/>
                    <w:lang w:eastAsia="lt-LT"/>
                  </w:rPr>
                </w:pPr>
                <w:r>
                  <w:rPr>
                    <w:b/>
                    <w:bCs/>
                    <w:color w:val="000000"/>
                    <w:sz w:val="28"/>
                    <w:szCs w:val="28"/>
                    <w:lang w:eastAsia="lt-LT"/>
                  </w:rPr>
                  <w:t xml:space="preserve">UGDYMO IR SPORTO VEIKLOS </w:t>
                </w:r>
                <w:r>
                  <w:rPr>
                    <w:b/>
                    <w:bCs/>
                    <w:sz w:val="28"/>
                    <w:szCs w:val="28"/>
                    <w:lang w:eastAsia="lt-LT"/>
                  </w:rPr>
                  <w:t>PROGRAMOS</w:t>
                </w:r>
              </w:p>
              <w:p>
                <w:pPr>
                  <w:pBdr>
                    <w:bottom w:val="single" w:sz="12" w:space="1" w:color="auto"/>
                  </w:pBdr>
                  <w:tabs>
                    <w:tab w:val="center" w:pos="4819"/>
                    <w:tab w:val="right" w:pos="9638"/>
                  </w:tabs>
                  <w:jc w:val="center"/>
                  <w:rPr>
                    <w:sz w:val="22"/>
                    <w:szCs w:val="22"/>
                    <w:lang w:eastAsia="lt-LT"/>
                  </w:rPr>
                </w:pPr>
                <w:r>
                  <w:rPr>
                    <w:b/>
                    <w:bCs/>
                    <w:sz w:val="22"/>
                    <w:szCs w:val="22"/>
                    <w:lang w:eastAsia="lt-LT"/>
                  </w:rPr>
                  <w:t>(Nr. 02)</w:t>
                </w:r>
                <w:r>
                  <w:rPr>
                    <w:sz w:val="22"/>
                    <w:szCs w:val="22"/>
                    <w:lang w:eastAsia="lt-LT"/>
                  </w:rPr>
                  <w:t xml:space="preserve"> </w:t>
                </w:r>
              </w:p>
              <w:p>
                <w:pPr>
                  <w:tabs>
                    <w:tab w:val="center" w:pos="4819"/>
                    <w:tab w:val="right" w:pos="9638"/>
                  </w:tabs>
                  <w:jc w:val="center"/>
                  <w:rPr>
                    <w:b/>
                    <w:bCs/>
                    <w:sz w:val="22"/>
                    <w:szCs w:val="22"/>
                    <w:lang w:eastAsia="lt-LT"/>
                  </w:rPr>
                </w:pPr>
                <w:r>
                  <w:rPr>
                    <w:sz w:val="22"/>
                    <w:szCs w:val="22"/>
                    <w:lang w:eastAsia="lt-LT"/>
                  </w:rPr>
                  <w:t>(Programos pavadinimas, kodas)</w:t>
                  <w:br/>
                </w:r>
                <w:r>
                  <w:rPr>
                    <w:b/>
                    <w:bCs/>
                    <w:szCs w:val="24"/>
                    <w:lang w:eastAsia="lt-LT"/>
                  </w:rPr>
                  <w:t>APRAŠYMAS</w:t>
                </w:r>
              </w:p>
              <w:p>
                <w:pPr>
                  <w:rPr>
                    <w:sz w:val="22"/>
                    <w:szCs w:val="22"/>
                    <w:lang w:eastAsia="lt-LT"/>
                  </w:rPr>
                </w:pPr>
              </w:p>
            </w:tc>
          </w:tr>
          <w:tr>
            <w:trPr>
              <w:gridAfter w:val="2"/>
              <w:wAfter w:w="116" w:type="pct"/>
              <w:trHeight w:val="303"/>
            </w:trPr>
            <w:tc>
              <w:tcPr>
                <w:tcW w:w="901" w:type="pct"/>
                <w:tcBorders>
                  <w:top w:val="single" w:sz="8" w:space="0" w:color="auto"/>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Biudžetiniai metai</w:t>
                </w:r>
              </w:p>
            </w:tc>
            <w:tc>
              <w:tcPr>
                <w:tcW w:w="3983" w:type="pct"/>
                <w:gridSpan w:val="8"/>
                <w:tcBorders>
                  <w:top w:val="single" w:sz="4" w:space="0" w:color="auto"/>
                  <w:left w:val="single" w:sz="4" w:space="0" w:color="auto"/>
                  <w:bottom w:val="single" w:sz="4" w:space="0" w:color="auto"/>
                  <w:right w:val="single" w:sz="4" w:space="0" w:color="000000"/>
                </w:tcBorders>
                <w:shd w:val="clear" w:color="auto" w:fill="auto"/>
                <w:hideMark/>
              </w:tcPr>
              <w:p>
                <w:pPr>
                  <w:rPr>
                    <w:szCs w:val="22"/>
                    <w:lang w:eastAsia="lt-LT"/>
                  </w:rPr>
                </w:pPr>
                <w:r>
                  <w:rPr>
                    <w:szCs w:val="22"/>
                    <w:lang w:eastAsia="lt-LT"/>
                  </w:rPr>
                  <w:t>2022</w:t>
                </w:r>
              </w:p>
            </w:tc>
          </w:tr>
          <w:tr>
            <w:trPr>
              <w:gridAfter w:val="2"/>
              <w:wAfter w:w="116" w:type="pct"/>
              <w:trHeight w:val="651"/>
            </w:trPr>
            <w:tc>
              <w:tcPr>
                <w:tcW w:w="901" w:type="pct"/>
                <w:tcBorders>
                  <w:top w:val="nil"/>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Programos vykdymo laikotarpis</w:t>
                </w:r>
              </w:p>
            </w:tc>
            <w:tc>
              <w:tcPr>
                <w:tcW w:w="3983" w:type="pct"/>
                <w:gridSpan w:val="8"/>
                <w:tcBorders>
                  <w:top w:val="single" w:sz="4" w:space="0" w:color="auto"/>
                  <w:left w:val="single" w:sz="4" w:space="0" w:color="auto"/>
                  <w:bottom w:val="single" w:sz="4" w:space="0" w:color="auto"/>
                  <w:right w:val="single" w:sz="4" w:space="0" w:color="auto"/>
                </w:tcBorders>
                <w:shd w:val="clear" w:color="auto" w:fill="auto"/>
                <w:hideMark/>
              </w:tcPr>
              <w:p>
                <w:pPr>
                  <w:rPr>
                    <w:szCs w:val="22"/>
                    <w:lang w:eastAsia="lt-LT"/>
                  </w:rPr>
                </w:pPr>
                <w:r>
                  <w:rPr>
                    <w:szCs w:val="22"/>
                    <w:lang w:eastAsia="lt-LT"/>
                  </w:rPr>
                  <w:t>Tęstinė</w:t>
                </w:r>
              </w:p>
            </w:tc>
          </w:tr>
          <w:tr>
            <w:trPr>
              <w:gridAfter w:val="2"/>
              <w:wAfter w:w="116" w:type="pct"/>
              <w:trHeight w:val="718"/>
            </w:trPr>
            <w:tc>
              <w:tcPr>
                <w:tcW w:w="901" w:type="pct"/>
                <w:tcBorders>
                  <w:top w:val="nil"/>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 xml:space="preserve">Asignavimų valdytojai, kodas </w:t>
                </w:r>
              </w:p>
            </w:tc>
            <w:tc>
              <w:tcPr>
                <w:tcW w:w="3983" w:type="pct"/>
                <w:gridSpan w:val="8"/>
                <w:tcBorders>
                  <w:top w:val="single" w:sz="4" w:space="0" w:color="auto"/>
                  <w:left w:val="single" w:sz="4" w:space="0" w:color="auto"/>
                  <w:bottom w:val="single" w:sz="4" w:space="0" w:color="auto"/>
                  <w:right w:val="single" w:sz="4" w:space="0" w:color="000000"/>
                </w:tcBorders>
                <w:shd w:val="clear" w:color="auto" w:fill="auto"/>
                <w:hideMark/>
              </w:tcPr>
              <w:p>
                <w:pPr>
                  <w:rPr>
                    <w:szCs w:val="22"/>
                    <w:lang w:eastAsia="lt-LT"/>
                  </w:rPr>
                </w:pPr>
                <w:r>
                  <w:rPr>
                    <w:szCs w:val="22"/>
                    <w:lang w:eastAsia="lt-LT"/>
                  </w:rPr>
                  <w:t>Neringos savivaldybės administracija (188754378)</w:t>
                </w:r>
              </w:p>
              <w:p>
                <w:pPr>
                  <w:rPr>
                    <w:color w:val="000000"/>
                    <w:szCs w:val="24"/>
                    <w:lang w:eastAsia="lt-LT"/>
                  </w:rPr>
                </w:pPr>
                <w:r>
                  <w:rPr>
                    <w:color w:val="000000"/>
                    <w:szCs w:val="24"/>
                    <w:lang w:eastAsia="lt-LT"/>
                  </w:rPr>
                  <w:t>Neringos gimnazija (190893381)</w:t>
                </w:r>
              </w:p>
              <w:p>
                <w:pPr>
                  <w:rPr>
                    <w:color w:val="000000"/>
                    <w:szCs w:val="24"/>
                    <w:lang w:eastAsia="lt-LT"/>
                  </w:rPr>
                </w:pPr>
                <w:r>
                  <w:rPr>
                    <w:color w:val="000000"/>
                    <w:szCs w:val="24"/>
                    <w:lang w:eastAsia="lt-LT"/>
                  </w:rPr>
                  <w:t>Neringos meno mokykla (190894483)</w:t>
                </w:r>
              </w:p>
              <w:p>
                <w:pPr>
                  <w:rPr>
                    <w:color w:val="000000"/>
                    <w:szCs w:val="24"/>
                    <w:lang w:eastAsia="lt-LT"/>
                  </w:rPr>
                </w:pPr>
                <w:r>
                  <w:rPr>
                    <w:color w:val="000000"/>
                    <w:szCs w:val="24"/>
                    <w:lang w:eastAsia="lt-LT"/>
                  </w:rPr>
                  <w:t>Neringos sporto mokykla (191716537)</w:t>
                </w:r>
              </w:p>
              <w:p>
                <w:pPr>
                  <w:rPr>
                    <w:color w:val="000000"/>
                    <w:szCs w:val="24"/>
                    <w:lang w:eastAsia="lt-LT"/>
                  </w:rPr>
                </w:pPr>
                <w:r>
                  <w:rPr>
                    <w:color w:val="000000"/>
                    <w:szCs w:val="24"/>
                    <w:lang w:eastAsia="lt-LT"/>
                  </w:rPr>
                  <w:t>Nidos lopšelis-darželis „Ąžuoliukas“ (190893043)</w:t>
                </w:r>
              </w:p>
              <w:p>
                <w:pPr>
                  <w:rPr>
                    <w:szCs w:val="22"/>
                    <w:lang w:eastAsia="lt-LT"/>
                  </w:rPr>
                </w:pPr>
              </w:p>
            </w:tc>
          </w:tr>
          <w:tr>
            <w:trPr>
              <w:gridAfter w:val="2"/>
              <w:wAfter w:w="116" w:type="pct"/>
              <w:trHeight w:val="1168"/>
            </w:trPr>
            <w:tc>
              <w:tcPr>
                <w:tcW w:w="901" w:type="pct"/>
                <w:tcBorders>
                  <w:top w:val="nil"/>
                  <w:left w:val="single" w:sz="8" w:space="0" w:color="auto"/>
                  <w:bottom w:val="single" w:sz="4" w:space="0" w:color="auto"/>
                  <w:right w:val="nil"/>
                </w:tcBorders>
                <w:shd w:val="clear" w:color="auto" w:fill="F2DBDB" w:themeFill="accent2" w:themeFillTint="33"/>
                <w:hideMark/>
              </w:tcPr>
              <w:p>
                <w:pPr>
                  <w:rPr>
                    <w:b/>
                    <w:bCs/>
                    <w:sz w:val="22"/>
                    <w:szCs w:val="22"/>
                    <w:lang w:eastAsia="lt-LT"/>
                  </w:rPr>
                </w:pPr>
                <w:r>
                  <w:rPr>
                    <w:b/>
                    <w:bCs/>
                    <w:sz w:val="22"/>
                    <w:szCs w:val="22"/>
                    <w:lang w:eastAsia="lt-LT"/>
                  </w:rPr>
                  <w:t>Programos vykdytojai</w:t>
                </w:r>
              </w:p>
            </w:tc>
            <w:tc>
              <w:tcPr>
                <w:tcW w:w="3983" w:type="pct"/>
                <w:gridSpan w:val="8"/>
                <w:tcBorders>
                  <w:top w:val="single" w:sz="4" w:space="0" w:color="auto"/>
                  <w:left w:val="single" w:sz="4" w:space="0" w:color="auto"/>
                  <w:bottom w:val="single" w:sz="4" w:space="0" w:color="auto"/>
                  <w:right w:val="single" w:sz="4" w:space="0" w:color="000000"/>
                </w:tcBorders>
                <w:shd w:val="clear" w:color="auto" w:fill="auto"/>
                <w:hideMark/>
              </w:tcPr>
              <w:p>
                <w:pPr>
                  <w:rPr>
                    <w:color w:val="000000"/>
                    <w:szCs w:val="24"/>
                    <w:lang w:eastAsia="lt-LT"/>
                  </w:rPr>
                </w:pPr>
                <w:r>
                  <w:rPr>
                    <w:color w:val="000000"/>
                    <w:szCs w:val="24"/>
                    <w:lang w:eastAsia="lt-LT"/>
                  </w:rPr>
                  <w:t xml:space="preserve">Švietimo skyrius </w:t>
                </w:r>
              </w:p>
              <w:p>
                <w:pPr>
                  <w:rPr>
                    <w:color w:val="000000"/>
                    <w:szCs w:val="24"/>
                    <w:lang w:eastAsia="lt-LT"/>
                  </w:rPr>
                </w:pPr>
                <w:r>
                  <w:rPr>
                    <w:color w:val="000000"/>
                    <w:szCs w:val="24"/>
                    <w:lang w:eastAsia="lt-LT"/>
                  </w:rPr>
                  <w:t xml:space="preserve">Miesto tvarkymo ir statybos skyrius </w:t>
                </w:r>
              </w:p>
              <w:p>
                <w:pPr>
                  <w:rPr>
                    <w:color w:val="000000"/>
                    <w:szCs w:val="24"/>
                    <w:lang w:eastAsia="lt-LT"/>
                  </w:rPr>
                </w:pPr>
                <w:r>
                  <w:rPr>
                    <w:color w:val="000000"/>
                    <w:szCs w:val="24"/>
                    <w:lang w:eastAsia="lt-LT"/>
                  </w:rPr>
                  <w:t xml:space="preserve">Architektūros ir teritorijų planavimo skyrius </w:t>
                </w:r>
              </w:p>
              <w:p>
                <w:pPr>
                  <w:rPr>
                    <w:color w:val="000000"/>
                    <w:szCs w:val="24"/>
                    <w:lang w:eastAsia="lt-LT"/>
                  </w:rPr>
                </w:pPr>
                <w:r>
                  <w:rPr>
                    <w:color w:val="000000"/>
                    <w:szCs w:val="24"/>
                    <w:lang w:eastAsia="lt-LT"/>
                  </w:rPr>
                  <w:t>Biudžeto ir turto valdymo skyrius</w:t>
                </w:r>
              </w:p>
              <w:p>
                <w:pPr>
                  <w:rPr>
                    <w:color w:val="000000"/>
                    <w:szCs w:val="24"/>
                    <w:lang w:eastAsia="lt-LT"/>
                  </w:rPr>
                </w:pPr>
                <w:r>
                  <w:rPr>
                    <w:color w:val="000000"/>
                    <w:szCs w:val="24"/>
                    <w:lang w:eastAsia="lt-LT"/>
                  </w:rPr>
                  <w:t xml:space="preserve">Neringos gimnazija </w:t>
                </w:r>
              </w:p>
              <w:p>
                <w:pPr>
                  <w:rPr>
                    <w:color w:val="000000"/>
                    <w:szCs w:val="24"/>
                    <w:lang w:eastAsia="lt-LT"/>
                  </w:rPr>
                </w:pPr>
                <w:r>
                  <w:rPr>
                    <w:color w:val="000000"/>
                    <w:szCs w:val="24"/>
                    <w:lang w:eastAsia="lt-LT"/>
                  </w:rPr>
                  <w:t xml:space="preserve">Neringos meno mokykla </w:t>
                </w:r>
              </w:p>
              <w:p>
                <w:pPr>
                  <w:rPr>
                    <w:color w:val="000000"/>
                    <w:szCs w:val="24"/>
                    <w:lang w:eastAsia="lt-LT"/>
                  </w:rPr>
                </w:pPr>
                <w:r>
                  <w:rPr>
                    <w:color w:val="000000"/>
                    <w:szCs w:val="24"/>
                    <w:lang w:eastAsia="lt-LT"/>
                  </w:rPr>
                  <w:t xml:space="preserve">Neringos sporto mokykla </w:t>
                </w:r>
              </w:p>
              <w:p>
                <w:pPr>
                  <w:rPr>
                    <w:color w:val="000000"/>
                    <w:szCs w:val="24"/>
                    <w:lang w:eastAsia="lt-LT"/>
                  </w:rPr>
                </w:pPr>
                <w:r>
                  <w:rPr>
                    <w:color w:val="000000"/>
                    <w:szCs w:val="24"/>
                    <w:lang w:eastAsia="lt-LT"/>
                  </w:rPr>
                  <w:t>Nidos lopšelis-darželis „Ąžuoliukas“</w:t>
                </w:r>
              </w:p>
              <w:p>
                <w:pPr>
                  <w:rPr>
                    <w:szCs w:val="22"/>
                    <w:lang w:eastAsia="lt-LT"/>
                  </w:rPr>
                </w:pPr>
              </w:p>
            </w:tc>
          </w:tr>
          <w:tr>
            <w:trPr>
              <w:gridAfter w:val="2"/>
              <w:wAfter w:w="116" w:type="pct"/>
              <w:trHeight w:val="3338"/>
            </w:trPr>
            <w:tc>
              <w:tcPr>
                <w:tcW w:w="901" w:type="pct"/>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rPr>
                    <w:b/>
                    <w:bCs/>
                    <w:sz w:val="22"/>
                    <w:szCs w:val="22"/>
                    <w:lang w:eastAsia="lt-LT"/>
                  </w:rPr>
                </w:pPr>
                <w:r>
                  <w:rPr>
                    <w:b/>
                    <w:bCs/>
                    <w:sz w:val="22"/>
                    <w:szCs w:val="22"/>
                    <w:lang w:eastAsia="lt-LT"/>
                  </w:rPr>
                  <w:t>Programos parengimo argumentai</w:t>
                </w:r>
              </w:p>
            </w:tc>
            <w:tc>
              <w:tcPr>
                <w:tcW w:w="3983" w:type="pct"/>
                <w:gridSpan w:val="8"/>
                <w:tcBorders>
                  <w:top w:val="single" w:sz="4" w:space="0" w:color="auto"/>
                  <w:left w:val="single" w:sz="4" w:space="0" w:color="auto"/>
                  <w:bottom w:val="single" w:sz="4" w:space="0" w:color="auto"/>
                  <w:right w:val="single" w:sz="4" w:space="0" w:color="auto"/>
                </w:tcBorders>
                <w:shd w:val="clear" w:color="auto" w:fill="auto"/>
                <w:hideMark/>
              </w:tcPr>
              <w:p>
                <w:pPr>
                  <w:jc w:val="both"/>
                  <w:rPr>
                    <w:color w:val="000000"/>
                    <w:szCs w:val="24"/>
                    <w:lang w:eastAsia="lt-LT"/>
                  </w:rPr>
                </w:pPr>
                <w:r>
                  <w:rPr>
                    <w:color w:val="000000"/>
                    <w:szCs w:val="24"/>
                    <w:lang w:eastAsia="lt-LT"/>
                  </w:rPr>
                  <w:t>Programa yra tęstinė, įgyvendinanti dvi veiklos kryptis: švietimo ir sporto.</w:t>
                </w:r>
              </w:p>
              <w:p>
                <w:pPr>
                  <w:jc w:val="both"/>
                  <w:rPr>
                    <w:color w:val="000000"/>
                    <w:szCs w:val="24"/>
                    <w:lang w:eastAsia="lt-LT"/>
                  </w:rPr>
                </w:pPr>
                <w:r>
                  <w:rPr>
                    <w:color w:val="000000"/>
                    <w:szCs w:val="24"/>
                    <w:lang w:eastAsia="lt-LT"/>
                  </w:rPr>
                  <w:t xml:space="preserve">Lietuvos Respublikos švietimo įstatyme numatyta, kad </w:t>
                </w:r>
                <w:r>
                  <w:rPr>
                    <w:color w:val="000000"/>
                    <w:szCs w:val="24"/>
                    <w:shd w:val="clear" w:color="auto" w:fill="FFFFFF"/>
                    <w:lang w:eastAsia="lt-LT"/>
                  </w:rPr>
                  <w:t>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 Savivaldybė į</w:t>
                </w:r>
                <w:r>
                  <w:rPr>
                    <w:szCs w:val="24"/>
                    <w:lang w:eastAsia="lt-LT"/>
                  </w:rPr>
                  <w:t>gyvendina valstybinę švietimo politiką savivaldybėje, suplanuoja priemones ir projektus švietimo politikos pažangos uždaviniams įgyvendinti</w:t>
                </w:r>
                <w:r>
                  <w:rPr>
                    <w:color w:val="000000"/>
                    <w:szCs w:val="24"/>
                    <w:shd w:val="clear" w:color="auto" w:fill="FFFFFF"/>
                    <w:lang w:eastAsia="lt-LT"/>
                  </w:rPr>
                  <w:t>.</w:t>
                </w:r>
                <w:r>
                  <w:rPr>
                    <w:color w:val="000000"/>
                    <w:szCs w:val="24"/>
                    <w:lang w:eastAsia="lt-LT"/>
                  </w:rPr>
                  <w:t xml:space="preserve"> </w:t>
                </w:r>
              </w:p>
              <w:p>
                <w:pPr>
                  <w:jc w:val="both"/>
                  <w:rPr>
                    <w:color w:val="000000"/>
                    <w:szCs w:val="24"/>
                    <w:lang w:eastAsia="lt-LT"/>
                  </w:rPr>
                </w:pPr>
                <w:r>
                  <w:rPr>
                    <w:color w:val="000000"/>
                    <w:szCs w:val="24"/>
                    <w:lang w:eastAsia="lt-LT"/>
                  </w:rPr>
                  <w:t>2022–2024 metų Strateginėje ugdymo ir sporto veiklos programoje numatomi įgyvendinti šie pagrindiniai švietimo plėtotės siekiai:</w:t>
                </w:r>
              </w:p>
              <w:p>
                <w:pPr>
                  <w:jc w:val="both"/>
                  <w:rPr>
                    <w:szCs w:val="24"/>
                    <w:lang w:eastAsia="lt-LT"/>
                  </w:rPr>
                </w:pPr>
                <w:r>
                  <w:rPr>
                    <w:szCs w:val="24"/>
                    <w:lang w:eastAsia="lt-LT"/>
                  </w:rPr>
                  <w:t>1. Profesinis pedagogų skaitmeninio raštingumo tobulinimas (gilinimas), naudojant informacines komunikacines technologijas ir jas integruojant į ugdymo procesą, taikant virtualias ir nuotoliniam mokymui(si) skirtas platformas. IT bazės ir skaitmeninio turininio bei priemonių stiprinimas ir nuolatinis atnaujinimas.</w:t>
                </w:r>
              </w:p>
              <w:p>
                <w:pPr>
                  <w:jc w:val="both"/>
                  <w:rPr>
                    <w:szCs w:val="24"/>
                    <w:lang w:eastAsia="lt-LT"/>
                  </w:rPr>
                </w:pPr>
                <w:r>
                  <w:rPr>
                    <w:szCs w:val="24"/>
                    <w:lang w:eastAsia="lt-LT"/>
                  </w:rPr>
                  <w:t xml:space="preserve">2. Mokinių pasiekimų ir veiksmingos švietimo pagalbos įvairių gebėjimų mokiniams (vaikams) teikimo gerinimas, taikant mokinio (vaiko) pažangos matavimo sistemą. Mokinių motyvacijos ir mokymosi kompetencijos stiprinimas, taikant įvairias priemones ir strategijas. </w:t>
                </w:r>
              </w:p>
              <w:p>
                <w:pPr>
                  <w:jc w:val="both"/>
                  <w:rPr>
                    <w:szCs w:val="24"/>
                    <w:lang w:eastAsia="lt-LT"/>
                  </w:rPr>
                </w:pPr>
                <w:r>
                  <w:rPr>
                    <w:szCs w:val="24"/>
                    <w:lang w:eastAsia="lt-LT"/>
                  </w:rPr>
                  <w:t>3. Lyderystės ugdymui ir mokymuisi stiprinimas. Gebėjimų priimti sprendimus, grįstus duomenimis, stiprinimas. Skatinimas mokytojų iniciatyvų, taikant inovacijas ugdyme.</w:t>
                </w:r>
              </w:p>
              <w:p>
                <w:pPr>
                  <w:jc w:val="both"/>
                  <w:rPr>
                    <w:color w:val="000000"/>
                    <w:szCs w:val="24"/>
                    <w:lang w:eastAsia="lt-LT"/>
                  </w:rPr>
                </w:pPr>
                <w:r>
                  <w:rPr>
                    <w:szCs w:val="24"/>
                    <w:lang w:eastAsia="lt-LT"/>
                  </w:rPr>
                  <w:t>4. Mokyklos bendruomenės telkimas įgyvendinant įtraukties principą švietime.</w:t>
                </w:r>
                <w:r>
                  <w:rPr>
                    <w:color w:val="000000"/>
                    <w:szCs w:val="24"/>
                    <w:lang w:eastAsia="lt-LT"/>
                  </w:rPr>
                  <w:t> Visavertės pagalbos teikimas spec. poreikių vaikams ir mokiniams, išnaudojant tarpinstitucinę komunikaciją.</w:t>
                </w:r>
              </w:p>
              <w:p>
                <w:pPr>
                  <w:jc w:val="both"/>
                  <w:rPr>
                    <w:color w:val="000000"/>
                    <w:szCs w:val="24"/>
                    <w:lang w:eastAsia="lt-LT"/>
                  </w:rPr>
                </w:pPr>
                <w:r>
                  <w:rPr>
                    <w:color w:val="000000"/>
                    <w:szCs w:val="24"/>
                    <w:lang w:eastAsia="lt-LT"/>
                  </w:rPr>
                  <w:t>5. Tinklaveikos principų ir programų įveiklinimas žmogiškųjų išteklių, patyriminio ugdymo srityse.</w:t>
                </w:r>
              </w:p>
              <w:p>
                <w:pPr>
                  <w:jc w:val="both"/>
                  <w:rPr>
                    <w:color w:val="000000"/>
                    <w:szCs w:val="24"/>
                    <w:lang w:eastAsia="lt-LT"/>
                  </w:rPr>
                </w:pPr>
                <w:r>
                  <w:rPr>
                    <w:color w:val="000000"/>
                    <w:szCs w:val="24"/>
                    <w:lang w:eastAsia="lt-LT"/>
                  </w:rPr>
                  <w:t xml:space="preserve">Lietuvos Respublikos sporto įstatymas numato, kad savivaldybės taryba </w:t>
                </w:r>
                <w:r>
                  <w:rPr>
                    <w:szCs w:val="24"/>
                    <w:lang w:eastAsia="lt-LT"/>
                  </w:rPr>
                  <w:t>atsižvelgdama į Nacionaliniame pažangos plane nustatytus sporto politikos strateginius tikslus ir (arba) pažangos uždavinius, švietimo, mokslo ir sporto ministro patvirtintą strateginių sporto šakų sąrašą, vietos bendruomenės poreikius, suplanuoja savivaldybės sporto plėtros priemones ir projektus, nustato savivaldybės biudžeto lėšomis finansuotinas sporto sritis, skatina viešą ir privačią partnerystę sporto srityje</w:t>
                </w:r>
                <w:r>
                  <w:rPr>
                    <w:color w:val="000000"/>
                    <w:szCs w:val="24"/>
                    <w:lang w:eastAsia="lt-LT"/>
                  </w:rPr>
                  <w:t xml:space="preserve">. </w:t>
                </w:r>
              </w:p>
              <w:p>
                <w:pPr>
                  <w:jc w:val="both"/>
                  <w:rPr>
                    <w:color w:val="000000"/>
                    <w:szCs w:val="24"/>
                    <w:lang w:eastAsia="lt-LT"/>
                  </w:rPr>
                </w:pPr>
                <w:r>
                  <w:rPr>
                    <w:color w:val="000000"/>
                    <w:szCs w:val="24"/>
                    <w:lang w:eastAsia="lt-LT"/>
                  </w:rPr>
                  <w:t xml:space="preserve">Pagrindinė sporto ir fizinio aktyvumo misija – ugdyti sveiką ir fiziškai aktyvią visuomenę, kuo daugiau gyventojų įtraukiant į organizuotas ir savarankiškas sporto pratybas, skatinant jų visapusišką tobulėjimą. Ugdant talentingus sportininkus, tikimasi rezultatyvaus atstovavimo miestui ir šaliai svarbiausiuose  sporto renginiuose.</w:t>
                </w:r>
              </w:p>
              <w:p>
                <w:pPr>
                  <w:jc w:val="both"/>
                  <w:rPr>
                    <w:color w:val="000000"/>
                    <w:szCs w:val="24"/>
                    <w:lang w:eastAsia="lt-LT"/>
                  </w:rPr>
                </w:pPr>
                <w:r>
                  <w:rPr>
                    <w:color w:val="000000"/>
                    <w:szCs w:val="24"/>
                    <w:lang w:eastAsia="lt-LT"/>
                  </w:rPr>
                  <w:t xml:space="preserve">Vadovaujantis šiomis nuostatomis parengta kompleksinė programa – vienas iš veiksmingiausių įrankių, užtikrinančių kryptingą valstybės bei savivaldybės švietimo ir sporto politikos įgyvendinimą. </w:t>
                </w:r>
              </w:p>
              <w:p>
                <w:pPr>
                  <w:jc w:val="both"/>
                  <w:rPr>
                    <w:color w:val="000000"/>
                    <w:szCs w:val="24"/>
                    <w:lang w:eastAsia="lt-LT"/>
                  </w:rPr>
                </w:pPr>
                <w:r>
                  <w:rPr>
                    <w:color w:val="000000"/>
                    <w:szCs w:val="24"/>
                    <w:lang w:eastAsia="lt-LT"/>
                  </w:rPr>
                  <w:t xml:space="preserve">Įgyvendinamos Lietuvos Respublikos vietos savivaldos įstatymu numatytos savarankiškosios savivaldybių funkcijos: savivaldybės teritorijoje gyvenančių vaikų iki 16 metų mokymosi pagal privalomojo švietimo programas užtikrinimas; švietimo pagalbos teikimo mokiniui, mokytojui, šeimai, mokyklai organizavimas ir koordinavimas; bendrojo ugdymo mokyklų mokinių,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ugdymo programas; kūno kultūros ir sporto plėtojimas, gyventojų poilsio organizavimas. </w:t>
                </w:r>
              </w:p>
              <w:p>
                <w:pPr>
                  <w:jc w:val="both"/>
                  <w:rPr>
                    <w:szCs w:val="24"/>
                    <w:lang w:eastAsia="lt-LT"/>
                  </w:rPr>
                </w:pPr>
              </w:p>
            </w:tc>
          </w:tr>
          <w:tr>
            <w:trPr>
              <w:trHeight w:val="556"/>
            </w:trPr>
            <w:tc>
              <w:tcPr>
                <w:tcW w:w="901" w:type="pct"/>
                <w:vMerge w:val="restart"/>
                <w:tcBorders>
                  <w:top w:val="single" w:sz="4" w:space="0" w:color="auto"/>
                  <w:left w:val="single" w:sz="8"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Ilgalaikis prioritetas (pagal SPP 2021–2030 m.)</w:t>
                </w:r>
              </w:p>
              <w:p>
                <w:pPr>
                  <w:rPr>
                    <w:b/>
                    <w:bCs/>
                    <w:sz w:val="22"/>
                    <w:szCs w:val="22"/>
                    <w:lang w:eastAsia="lt-LT"/>
                  </w:rPr>
                </w:pPr>
              </w:p>
            </w:tc>
            <w:tc>
              <w:tcPr>
                <w:tcW w:w="2810" w:type="pct"/>
                <w:gridSpan w:val="4"/>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EFEKTYVUS NERINGOS SAVIVALDYBĖS VALDYMAS</w:t>
                </w:r>
              </w:p>
            </w:tc>
            <w:tc>
              <w:tcPr>
                <w:tcW w:w="635" w:type="pct"/>
                <w:gridSpan w:val="3"/>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Kodas</w:t>
                </w:r>
              </w:p>
            </w:tc>
            <w:tc>
              <w:tcPr>
                <w:tcW w:w="537" w:type="pct"/>
                <w:tcBorders>
                  <w:left w:val="single" w:sz="4" w:space="0" w:color="auto"/>
                  <w:bottom w:val="single" w:sz="4" w:space="0" w:color="auto"/>
                  <w:right w:val="single" w:sz="4" w:space="0" w:color="auto"/>
                </w:tcBorders>
                <w:shd w:val="clear" w:color="auto" w:fill="auto"/>
                <w:hideMark/>
              </w:tcPr>
              <w:p>
                <w:pPr>
                  <w:jc w:val="center"/>
                  <w:rPr>
                    <w:szCs w:val="22"/>
                    <w:lang w:eastAsia="lt-LT"/>
                  </w:rPr>
                </w:pPr>
                <w:r>
                  <w:rPr>
                    <w:szCs w:val="22"/>
                    <w:lang w:eastAsia="lt-LT"/>
                  </w:rPr>
                  <w:t>3</w:t>
                </w:r>
              </w:p>
              <w:p>
                <w:pPr>
                  <w:jc w:val="center"/>
                  <w:rPr>
                    <w:szCs w:val="22"/>
                    <w:lang w:eastAsia="lt-LT"/>
                  </w:rPr>
                </w:pPr>
              </w:p>
            </w:tc>
            <w:tc>
              <w:tcPr>
                <w:tcW w:w="116" w:type="pct"/>
                <w:gridSpan w:val="2"/>
                <w:tcBorders>
                  <w:left w:val="single" w:sz="4" w:space="0" w:color="auto"/>
                </w:tcBorders>
                <w:shd w:val="clear" w:color="auto" w:fill="auto"/>
              </w:tcPr>
              <w:p>
                <w:pPr>
                  <w:spacing w:line="276" w:lineRule="auto"/>
                  <w:rPr>
                    <w:sz w:val="22"/>
                    <w:szCs w:val="22"/>
                    <w:lang w:eastAsia="lt-LT"/>
                  </w:rPr>
                </w:pPr>
              </w:p>
              <w:p>
                <w:pPr>
                  <w:rPr>
                    <w:sz w:val="18"/>
                    <w:szCs w:val="18"/>
                  </w:rPr>
                </w:pPr>
              </w:p>
              <w:p>
                <w:pPr>
                  <w:rPr>
                    <w:sz w:val="22"/>
                    <w:szCs w:val="22"/>
                    <w:lang w:eastAsia="lt-LT"/>
                  </w:rPr>
                </w:pPr>
              </w:p>
            </w:tc>
          </w:tr>
          <w:tr>
            <w:trPr>
              <w:trHeight w:val="576"/>
            </w:trPr>
            <w:tc>
              <w:tcPr>
                <w:tcW w:w="901" w:type="pct"/>
                <w:vMerge/>
                <w:tcBorders>
                  <w:top w:val="single" w:sz="4" w:space="0" w:color="auto"/>
                  <w:left w:val="single" w:sz="8" w:space="0" w:color="auto"/>
                  <w:right w:val="single" w:sz="4" w:space="0" w:color="auto"/>
                </w:tcBorders>
                <w:shd w:val="clear" w:color="auto" w:fill="F2DBDB" w:themeFill="accent2" w:themeFillTint="33"/>
                <w:vAlign w:val="center"/>
              </w:tcPr>
              <w:p>
                <w:pPr>
                  <w:rPr>
                    <w:b/>
                    <w:bCs/>
                    <w:sz w:val="22"/>
                    <w:szCs w:val="22"/>
                    <w:lang w:eastAsia="lt-LT"/>
                  </w:rPr>
                </w:pPr>
              </w:p>
            </w:tc>
            <w:tc>
              <w:tcPr>
                <w:tcW w:w="2810" w:type="pct"/>
                <w:gridSpan w:val="4"/>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PATRAUKLIOS APLINKOS GYVENIMUI IR POILSIUI KŪRIMAS</w:t>
                </w:r>
              </w:p>
            </w:tc>
            <w:tc>
              <w:tcPr>
                <w:tcW w:w="635" w:type="pct"/>
                <w:gridSpan w:val="3"/>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Kodas</w:t>
                </w:r>
              </w:p>
            </w:tc>
            <w:tc>
              <w:tcPr>
                <w:tcW w:w="537" w:type="pct"/>
                <w:tcBorders>
                  <w:left w:val="single" w:sz="4" w:space="0" w:color="auto"/>
                  <w:bottom w:val="single" w:sz="4" w:space="0" w:color="auto"/>
                  <w:right w:val="single" w:sz="4" w:space="0" w:color="auto"/>
                </w:tcBorders>
                <w:shd w:val="clear" w:color="auto" w:fill="auto"/>
              </w:tcPr>
              <w:p>
                <w:pPr>
                  <w:jc w:val="center"/>
                  <w:rPr>
                    <w:szCs w:val="22"/>
                    <w:lang w:eastAsia="lt-LT"/>
                  </w:rPr>
                </w:pPr>
                <w:r>
                  <w:rPr>
                    <w:szCs w:val="22"/>
                    <w:lang w:eastAsia="lt-LT"/>
                  </w:rPr>
                  <w:t>2</w:t>
                </w:r>
              </w:p>
            </w:tc>
            <w:tc>
              <w:tcPr>
                <w:tcW w:w="116" w:type="pct"/>
                <w:gridSpan w:val="2"/>
                <w:tcBorders>
                  <w:left w:val="single" w:sz="4" w:space="0" w:color="auto"/>
                </w:tcBorders>
                <w:shd w:val="clear" w:color="auto" w:fill="auto"/>
              </w:tcPr>
              <w:p>
                <w:pPr>
                  <w:spacing w:line="276" w:lineRule="auto"/>
                  <w:rPr>
                    <w:sz w:val="22"/>
                    <w:szCs w:val="22"/>
                    <w:lang w:eastAsia="lt-LT"/>
                  </w:rPr>
                </w:pPr>
              </w:p>
            </w:tc>
          </w:tr>
          <w:tr>
            <w:trPr>
              <w:gridAfter w:val="2"/>
              <w:wAfter w:w="116" w:type="pct"/>
              <w:trHeight w:val="607"/>
            </w:trPr>
            <w:tc>
              <w:tcPr>
                <w:tcW w:w="901" w:type="pct"/>
                <w:vMerge w:val="restart"/>
                <w:tcBorders>
                  <w:top w:val="single" w:sz="4" w:space="0" w:color="auto"/>
                  <w:left w:val="single" w:sz="8"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 xml:space="preserve">Šia programa įgyvendinami savivaldybės  strateginiai tikslai</w:t>
                </w:r>
              </w:p>
              <w:p>
                <w:pPr>
                  <w:rPr>
                    <w:b/>
                    <w:bCs/>
                    <w:sz w:val="22"/>
                    <w:szCs w:val="22"/>
                    <w:lang w:eastAsia="lt-LT"/>
                  </w:rPr>
                </w:pPr>
              </w:p>
            </w:tc>
            <w:tc>
              <w:tcPr>
                <w:tcW w:w="2810" w:type="pct"/>
                <w:gridSpan w:val="4"/>
                <w:tcBorders>
                  <w:top w:val="single" w:sz="4" w:space="0" w:color="auto"/>
                  <w:left w:val="nil"/>
                  <w:bottom w:val="single" w:sz="4" w:space="0" w:color="auto"/>
                  <w:right w:val="single" w:sz="4" w:space="0" w:color="auto"/>
                </w:tcBorders>
                <w:shd w:val="clear" w:color="auto" w:fill="auto"/>
                <w:vAlign w:val="center"/>
              </w:tcPr>
              <w:p>
                <w:pPr>
                  <w:rPr>
                    <w:szCs w:val="22"/>
                    <w:lang w:eastAsia="lt-LT"/>
                  </w:rPr>
                </w:pPr>
                <w:r>
                  <w:rPr>
                    <w:szCs w:val="22"/>
                    <w:lang w:eastAsia="lt-LT"/>
                  </w:rPr>
                  <w:t>Viešųjų paslaugų kokybės gerinimas</w:t>
                </w:r>
              </w:p>
            </w:tc>
            <w:tc>
              <w:tcPr>
                <w:tcW w:w="635" w:type="pct"/>
                <w:gridSpan w:val="3"/>
                <w:tcBorders>
                  <w:top w:val="single" w:sz="4" w:space="0" w:color="auto"/>
                  <w:left w:val="nil"/>
                  <w:bottom w:val="single" w:sz="4" w:space="0" w:color="auto"/>
                  <w:right w:val="single" w:sz="4" w:space="0" w:color="auto"/>
                </w:tcBorders>
                <w:shd w:val="clear" w:color="auto" w:fill="auto"/>
              </w:tcPr>
              <w:p>
                <w:pPr>
                  <w:spacing w:line="276" w:lineRule="auto"/>
                  <w:rPr>
                    <w:szCs w:val="22"/>
                    <w:lang w:eastAsia="lt-LT"/>
                  </w:rPr>
                </w:pPr>
                <w:r>
                  <w:rPr>
                    <w:szCs w:val="22"/>
                    <w:lang w:eastAsia="lt-LT"/>
                  </w:rPr>
                  <w:t>Kodas</w:t>
                </w:r>
              </w:p>
            </w:tc>
            <w:tc>
              <w:tcPr>
                <w:tcW w:w="537" w:type="pct"/>
                <w:tcBorders>
                  <w:top w:val="single" w:sz="4" w:space="0" w:color="auto"/>
                  <w:bottom w:val="single" w:sz="4" w:space="0" w:color="auto"/>
                  <w:right w:val="single" w:sz="4" w:space="0" w:color="auto"/>
                </w:tcBorders>
                <w:shd w:val="clear" w:color="auto" w:fill="auto"/>
              </w:tcPr>
              <w:p>
                <w:pPr>
                  <w:spacing w:line="276" w:lineRule="auto"/>
                  <w:jc w:val="center"/>
                  <w:rPr>
                    <w:szCs w:val="22"/>
                    <w:lang w:eastAsia="lt-LT"/>
                  </w:rPr>
                </w:pPr>
                <w:r>
                  <w:rPr>
                    <w:szCs w:val="22"/>
                    <w:lang w:eastAsia="lt-LT"/>
                  </w:rPr>
                  <w:t>3.2</w:t>
                </w:r>
              </w:p>
            </w:tc>
          </w:tr>
          <w:tr>
            <w:trPr>
              <w:gridAfter w:val="2"/>
              <w:wAfter w:w="116" w:type="pct"/>
              <w:trHeight w:val="513"/>
            </w:trPr>
            <w:tc>
              <w:tcPr>
                <w:tcW w:w="901" w:type="pct"/>
                <w:vMerge/>
                <w:tcBorders>
                  <w:left w:val="single" w:sz="8" w:space="0" w:color="auto"/>
                  <w:right w:val="single" w:sz="4" w:space="0" w:color="auto"/>
                </w:tcBorders>
                <w:shd w:val="clear" w:color="auto" w:fill="F2DBDB" w:themeFill="accent2" w:themeFillTint="33"/>
                <w:vAlign w:val="center"/>
              </w:tcPr>
              <w:p>
                <w:pPr>
                  <w:rPr>
                    <w:b/>
                    <w:bCs/>
                    <w:sz w:val="22"/>
                    <w:szCs w:val="22"/>
                    <w:lang w:eastAsia="lt-LT"/>
                  </w:rPr>
                </w:pPr>
              </w:p>
            </w:tc>
            <w:tc>
              <w:tcPr>
                <w:tcW w:w="2810" w:type="pct"/>
                <w:gridSpan w:val="4"/>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Užtikrinti kultūrai, sportui ir gyvenimui patrauklios aplinkos kūrimą</w:t>
                </w:r>
              </w:p>
            </w:tc>
            <w:tc>
              <w:tcPr>
                <w:tcW w:w="635" w:type="pct"/>
                <w:gridSpan w:val="3"/>
                <w:tcBorders>
                  <w:top w:val="single" w:sz="4" w:space="0" w:color="auto"/>
                  <w:left w:val="nil"/>
                  <w:bottom w:val="single" w:sz="4" w:space="0" w:color="auto"/>
                  <w:right w:val="single" w:sz="4" w:space="0" w:color="auto"/>
                </w:tcBorders>
                <w:shd w:val="clear" w:color="auto" w:fill="auto"/>
              </w:tcPr>
              <w:p>
                <w:pPr>
                  <w:spacing w:line="276" w:lineRule="auto"/>
                  <w:rPr>
                    <w:szCs w:val="22"/>
                    <w:lang w:eastAsia="lt-LT"/>
                  </w:rPr>
                </w:pPr>
                <w:r>
                  <w:rPr>
                    <w:szCs w:val="22"/>
                    <w:lang w:eastAsia="lt-LT"/>
                  </w:rPr>
                  <w:t>Kodas</w:t>
                </w:r>
              </w:p>
            </w:tc>
            <w:tc>
              <w:tcPr>
                <w:tcW w:w="537" w:type="pct"/>
                <w:tcBorders>
                  <w:bottom w:val="single" w:sz="4" w:space="0" w:color="auto"/>
                  <w:right w:val="single" w:sz="4" w:space="0" w:color="auto"/>
                </w:tcBorders>
                <w:shd w:val="clear" w:color="auto" w:fill="auto"/>
              </w:tcPr>
              <w:p>
                <w:pPr>
                  <w:spacing w:line="276" w:lineRule="auto"/>
                  <w:jc w:val="center"/>
                  <w:rPr>
                    <w:szCs w:val="22"/>
                    <w:lang w:eastAsia="lt-LT"/>
                  </w:rPr>
                </w:pPr>
                <w:r>
                  <w:rPr>
                    <w:szCs w:val="22"/>
                    <w:lang w:eastAsia="lt-LT"/>
                  </w:rPr>
                  <w:t>2.2</w:t>
                </w:r>
              </w:p>
            </w:tc>
          </w:tr>
          <w:tr>
            <w:trPr>
              <w:gridAfter w:val="2"/>
              <w:wAfter w:w="116" w:type="pct"/>
              <w:trHeight w:val="636"/>
            </w:trPr>
            <w:tc>
              <w:tcPr>
                <w:tcW w:w="901" w:type="pct"/>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rPr>
                    <w:b/>
                    <w:bCs/>
                    <w:szCs w:val="22"/>
                    <w:lang w:eastAsia="lt-LT"/>
                  </w:rPr>
                </w:pPr>
                <w:r>
                  <w:rPr>
                    <w:b/>
                    <w:bCs/>
                    <w:sz w:val="22"/>
                    <w:szCs w:val="22"/>
                    <w:lang w:eastAsia="lt-LT"/>
                  </w:rPr>
                  <w:t xml:space="preserve">3.2. </w:t>
                </w:r>
                <w:r>
                  <w:rPr>
                    <w:sz w:val="22"/>
                    <w:szCs w:val="22"/>
                    <w:lang w:eastAsia="lt-LT"/>
                  </w:rPr>
                  <w:t xml:space="preserve"> </w:t>
                </w:r>
                <w:r>
                  <w:rPr>
                    <w:b/>
                    <w:sz w:val="22"/>
                    <w:szCs w:val="22"/>
                    <w:lang w:eastAsia="lt-LT"/>
                  </w:rPr>
                  <w:t>p</w:t>
                </w:r>
                <w:r>
                  <w:rPr>
                    <w:b/>
                    <w:bCs/>
                    <w:sz w:val="22"/>
                    <w:szCs w:val="22"/>
                    <w:lang w:eastAsia="lt-LT"/>
                  </w:rPr>
                  <w:t>rogramos tikslas</w:t>
                </w:r>
              </w:p>
            </w:tc>
            <w:tc>
              <w:tcPr>
                <w:tcW w:w="3983" w:type="pct"/>
                <w:gridSpan w:val="8"/>
                <w:tcBorders>
                  <w:top w:val="single" w:sz="8" w:space="0" w:color="auto"/>
                  <w:left w:val="nil"/>
                  <w:bottom w:val="single" w:sz="8" w:space="0" w:color="auto"/>
                  <w:right w:val="single" w:sz="8" w:space="0" w:color="000000"/>
                </w:tcBorders>
                <w:shd w:val="clear" w:color="000000" w:fill="F2DDDC"/>
                <w:vAlign w:val="center"/>
                <w:hideMark/>
              </w:tcPr>
              <w:p>
                <w:pPr>
                  <w:jc w:val="center"/>
                  <w:rPr>
                    <w:b/>
                    <w:bCs/>
                    <w:szCs w:val="22"/>
                    <w:lang w:eastAsia="lt-LT"/>
                  </w:rPr>
                </w:pPr>
                <w:r>
                  <w:rPr>
                    <w:b/>
                    <w:bCs/>
                    <w:szCs w:val="22"/>
                    <w:lang w:eastAsia="lt-LT"/>
                  </w:rPr>
                  <w:t>Viešųjų paslaugų kokybės gerinimas</w:t>
                </w:r>
              </w:p>
            </w:tc>
          </w:tr>
          <w:tr>
            <w:trPr>
              <w:gridAfter w:val="2"/>
              <w:wAfter w:w="116" w:type="pct"/>
              <w:trHeight w:val="1253"/>
            </w:trPr>
            <w:tc>
              <w:tcPr>
                <w:tcW w:w="4884" w:type="pct"/>
                <w:gridSpan w:val="9"/>
                <w:tcBorders>
                  <w:top w:val="nil"/>
                  <w:left w:val="single" w:sz="8" w:space="0" w:color="auto"/>
                  <w:bottom w:val="single" w:sz="4" w:space="0" w:color="auto"/>
                  <w:right w:val="single" w:sz="8" w:space="0" w:color="000000"/>
                </w:tcBorders>
                <w:shd w:val="clear" w:color="auto" w:fill="auto"/>
                <w:hideMark/>
              </w:tcPr>
              <w:p>
                <w:pPr>
                  <w:jc w:val="both"/>
                  <w:rPr>
                    <w:szCs w:val="24"/>
                    <w:lang w:eastAsia="lt-LT"/>
                  </w:rPr>
                </w:pPr>
                <w:r>
                  <w:rPr>
                    <w:szCs w:val="24"/>
                    <w:lang w:eastAsia="lt-LT"/>
                  </w:rPr>
                  <w:t>Šiuo programos tikslu siekiama gerinti Neringos švietimo įstaigų teikiamų viešųjų paslaugų kokybę.</w:t>
                </w:r>
              </w:p>
              <w:p>
                <w:pPr>
                  <w:jc w:val="both"/>
                  <w:rPr>
                    <w:szCs w:val="22"/>
                    <w:lang w:eastAsia="lt-LT"/>
                  </w:rPr>
                </w:pPr>
                <w:r>
                  <w:rPr>
                    <w:color w:val="000000"/>
                    <w:szCs w:val="24"/>
                    <w:lang w:eastAsia="lt-LT"/>
                  </w:rPr>
                  <w:t xml:space="preserve">Siekiant šio tikslo, svarbu užtikrinti švietimo įstaigų veiklą, prieinamumą, tenkinti gyventojų poreikius ugdyti vaikus ikimokyklinėse įstaigose ir bendrojo ugdymo mokyklose bei sudaryti sąlygas vaikų ir suaugusių saviraiškai ir užimtumui neformaliojo ugdymo įstaigose. Švietimo dokumentuose akcentuojama, kad vaikas (mokinys) augtų ir ugdytųsi saugus ir sveikas bei gautų kvalifikuotą pedagogų ir kitų specialistų pagalbą, todėl Neringos savivaldybėje veikiančioms švietimo įstaigoms būtina sudaryti  tinkamas veiklos organizavimo sąlygas.</w:t>
                </w:r>
              </w:p>
            </w:tc>
          </w:tr>
          <w:tr>
            <w:trPr>
              <w:gridAfter w:val="2"/>
              <w:wAfter w:w="116" w:type="pct"/>
              <w:trHeight w:val="861"/>
            </w:trPr>
            <w:tc>
              <w:tcPr>
                <w:tcW w:w="90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3.2.1. uždavinys</w:t>
                </w:r>
              </w:p>
            </w:tc>
            <w:tc>
              <w:tcPr>
                <w:tcW w:w="3983" w:type="pct"/>
                <w:gridSpan w:val="8"/>
                <w:tcBorders>
                  <w:top w:val="single" w:sz="4" w:space="0" w:color="auto"/>
                  <w:left w:val="nil"/>
                  <w:bottom w:val="single" w:sz="4" w:space="0" w:color="auto"/>
                  <w:right w:val="single" w:sz="4" w:space="0" w:color="auto"/>
                </w:tcBorders>
                <w:shd w:val="clear" w:color="auto" w:fill="F2DBDB" w:themeFill="accent2" w:themeFillTint="33"/>
                <w:vAlign w:val="center"/>
                <w:hideMark/>
              </w:tcPr>
              <w:p>
                <w:pPr>
                  <w:jc w:val="center"/>
                  <w:rPr>
                    <w:b/>
                    <w:bCs/>
                    <w:szCs w:val="22"/>
                    <w:lang w:eastAsia="lt-LT"/>
                  </w:rPr>
                </w:pPr>
                <w:r>
                  <w:rPr>
                    <w:b/>
                    <w:bCs/>
                    <w:szCs w:val="22"/>
                    <w:lang w:eastAsia="lt-LT"/>
                  </w:rPr>
                  <w:t>Užtikrinti kokybišką švietimo paslaugų teikimą</w:t>
                </w:r>
              </w:p>
            </w:tc>
          </w:tr>
          <w:tr>
            <w:trPr>
              <w:gridAfter w:val="2"/>
              <w:wAfter w:w="116" w:type="pct"/>
              <w:trHeight w:val="2621"/>
            </w:trPr>
            <w:tc>
              <w:tcPr>
                <w:tcW w:w="4884" w:type="pct"/>
                <w:gridSpan w:val="9"/>
                <w:tcBorders>
                  <w:top w:val="single" w:sz="4" w:space="0" w:color="auto"/>
                  <w:left w:val="single" w:sz="4" w:space="0" w:color="auto"/>
                  <w:bottom w:val="single" w:sz="4" w:space="0" w:color="auto"/>
                  <w:right w:val="single" w:sz="4" w:space="0" w:color="auto"/>
                </w:tcBorders>
                <w:shd w:val="clear" w:color="auto" w:fill="auto"/>
              </w:tcPr>
              <w:p>
                <w:pPr>
                  <w:ind w:firstLine="318"/>
                  <w:jc w:val="both"/>
                  <w:rPr>
                    <w:color w:val="000000"/>
                    <w:szCs w:val="24"/>
                    <w:lang w:eastAsia="lt-LT"/>
                  </w:rPr>
                </w:pPr>
                <w:r>
                  <w:rPr>
                    <w:color w:val="000000"/>
                    <w:szCs w:val="24"/>
                    <w:lang w:eastAsia="lt-LT"/>
                  </w:rPr>
                  <w:t xml:space="preserve">Ikimokyklinis ugdymas vyksta šeimoje, o tėvų (globėjų) pageidavimu – pagal ikimokyklinio ugdymo programą švietimo įstaigoje. Priešmokyklinis ugdymas yra privalomas visiems vaikams, vykdomas pagal vienų metų programą ir pradedamas teikti tais kalendoriniais metais, kai vaikui sueina 6 metai. Pagal Švietimo įstatymą priešmokyklinis ugdymas gali būti organizuojamas šeimoje, o </w:t>
                </w:r>
                <w:r>
                  <w:rPr>
                    <w:color w:val="000000"/>
                    <w:szCs w:val="24"/>
                    <w:shd w:val="clear" w:color="auto" w:fill="FFFFFF"/>
                    <w:lang w:eastAsia="lt-LT"/>
                  </w:rPr>
                  <w:t xml:space="preserve"> mokykla, padedančia tėvams (globėjams, rūpintojams) organizuoti vaikų ugdymą (ugdymąsi) šeimoje pagal priešmokyklinio</w:t>
                </w:r>
                <w:r>
                  <w:rPr>
                    <w:color w:val="000000"/>
                    <w:szCs w:val="24"/>
                    <w:lang w:eastAsia="lt-LT"/>
                  </w:rPr>
                  <w:t xml:space="preserve"> ugdymo programą, yra paskirta ikimokyklinio ugdymo įstaiga – Nidos lopšelis-darželis „Ąžuoliukas“. Siekiant užtikrinti ikimokyklinio ir priešmokyklinio ugdymo programų vykdymą, būtina samdyti aukštos kvalifikacijos pedagogus bei išlaikyti įstaigų aplinką. Gerindama ikimokyklinių ir priešmokyklinių paslaugų teikimą, valstybė tikslingai skiria mokymo lėšų 4 ugdymo valandoms finansuoti. </w:t>
                </w:r>
              </w:p>
              <w:p>
                <w:pPr>
                  <w:ind w:firstLine="318"/>
                  <w:jc w:val="both"/>
                  <w:rPr>
                    <w:color w:val="000000"/>
                    <w:szCs w:val="24"/>
                    <w:lang w:eastAsia="lt-LT"/>
                  </w:rPr>
                </w:pPr>
                <w:r>
                  <w:rPr>
                    <w:color w:val="000000"/>
                    <w:szCs w:val="24"/>
                    <w:lang w:eastAsia="lt-LT"/>
                  </w:rPr>
                  <w:t xml:space="preserve">Įgyvendinant šio uždavinio priemones, bus finansuojama 2-jų ikimokyklinio ugdymo įstaigų, suteikiančių ikimokyklinio ugdymo paslaugas 66 vaikams bei priešmokyklinio ugdymo paslaugas 15 vaikų iki 7 metų, veikla. </w:t>
                </w:r>
              </w:p>
              <w:p>
                <w:pPr>
                  <w:ind w:firstLine="318"/>
                  <w:jc w:val="both"/>
                  <w:rPr>
                    <w:color w:val="000000"/>
                    <w:szCs w:val="24"/>
                    <w:lang w:eastAsia="lt-LT"/>
                  </w:rPr>
                </w:pPr>
                <w:r>
                  <w:rPr>
                    <w:color w:val="000000"/>
                    <w:szCs w:val="24"/>
                    <w:lang w:eastAsia="lt-LT"/>
                  </w:rPr>
                  <w:t xml:space="preserve">Numatoma Nidos l. d. „Ąžuoliukas“ atlikti patalpų remontą ir modernizavimą pagal mokyklos SVP (įrengti vidaus baseinėlį, lauko aikštelę, atlikti pastato lauko sienos remontą) bei parengti pastato palėpės pritaikymo darbuotojų poilsio patalpoms įrengimo projektą. </w:t>
                </w:r>
              </w:p>
              <w:p>
                <w:pPr>
                  <w:ind w:firstLine="318"/>
                  <w:jc w:val="both"/>
                  <w:rPr>
                    <w:szCs w:val="24"/>
                    <w:lang w:eastAsia="lt-LT"/>
                  </w:rPr>
                </w:pPr>
                <w:r>
                  <w:rPr>
                    <w:color w:val="000000"/>
                    <w:szCs w:val="24"/>
                    <w:lang w:eastAsia="lt-LT"/>
                  </w:rPr>
                  <w:t>Numatoma Neringos gimnazijos Juodkrantės pradinio ir ikimokyklinio ugdymo skyriaus ikimokykliniam ir priešmokykliniam ugdymui skirtame pastate atlikti patalpų remontą ir modernizavimą pagal mokyklos SVP (</w:t>
                </w:r>
                <w:r>
                  <w:rPr>
                    <w:szCs w:val="24"/>
                    <w:lang w:eastAsia="lt-LT"/>
                  </w:rPr>
                  <w:t>įrengti saulės fotovoltinę elektrinę, futbolo aikštyną, atlikti baseino renovaciją ir langų pakeitimą).</w:t>
                </w:r>
              </w:p>
              <w:p>
                <w:pPr>
                  <w:ind w:firstLine="318"/>
                  <w:jc w:val="both"/>
                  <w:rPr>
                    <w:color w:val="000000"/>
                    <w:szCs w:val="24"/>
                    <w:lang w:eastAsia="lt-LT"/>
                  </w:rPr>
                </w:pPr>
                <w:r>
                  <w:rPr>
                    <w:color w:val="000000"/>
                    <w:szCs w:val="24"/>
                    <w:lang w:eastAsia="lt-LT"/>
                  </w:rPr>
                  <w:t>Užtikrinant bendrąjį šiuolaikinį išsilavinimą, Neringos gimnazijoje yra įgyvendinamos pradinio, pagrindinio ir vidurinio ugdymo programos, finansuojamos skiriamomis lėšomis – mokymo lėšomis (mokytojų darbo užmokesčiui, vadovėliams, mokymo priemonėms įsigyti ir kt.). Iš savivaldybės biudžeto lėšų užtikrinamas įstaigų funkcionavimas (ugdymo aplinka) ir trūkstama dalis mokymo lėšų, nes dėl mažo mokinių skaičiaus jų nepakanka ugdymo plano įgyvendinimui finansuoti. Vykdant šią priemonę, bus užtikrinamas ugdymo proceso ir aplinkos išlaikymas 1 gimnazijoje, kurioje pagal pradinio, pagrindinio ir vidurinio ugdymo programas mokomi 124 mokiniai. Neringos gimnazijoje pagal įstaigos SVP numatoma atlikti pastato remontą: WC remontą; gimnazijos pastato II korpuso langų keitimą; klasių vėdinimo sistemos įrengimą; sporto ir aktų salių grindų dažymą. Numatoma atnaujinti ilgalaikį turtą – virtuvės maisto gamybos įrangą, mokyklinius bei gyvenamųjų patalpų baldus.</w:t>
                </w:r>
              </w:p>
              <w:p>
                <w:pPr>
                  <w:ind w:firstLine="318"/>
                  <w:jc w:val="both"/>
                  <w:rPr>
                    <w:color w:val="000000"/>
                    <w:szCs w:val="24"/>
                    <w:lang w:eastAsia="lt-LT"/>
                  </w:rPr>
                </w:pPr>
                <w:r>
                  <w:rPr>
                    <w:color w:val="000000"/>
                    <w:szCs w:val="24"/>
                    <w:lang w:eastAsia="lt-LT"/>
                  </w:rPr>
                  <w:t>Neformaliojo švietimo įstaigų paskirtis – tenkinti mokinių (vaikų ir suaugusiųjų) pažinimo, lavinimosi, saviraiškos ir ugdymosi visą gyvenimą poreikius, padėti jiems tapti aktyviais visuomenės nariais, vykdant kryptingas užimtumo, edukacines ir socializacijos programas. Įgyvendinant šią priemonę ir atsižvelgiant į visuomenės poreikį, siekiama vykdyti paklausius šiuolaikiškus užsiėmimus vaikams, taikant veiklos formų įvairovę, didinant vaikų ir suaugusiųjų neformaliojo švietimo galimybes. Įgyvendinant šią priemonę, siekiama užtikrinti 2 neformaliojo švietimo įstaigų veiklą, kurias lankytų apie 150 ugdytinių.</w:t>
                </w:r>
              </w:p>
              <w:p>
                <w:pPr>
                  <w:ind w:firstLine="318"/>
                  <w:jc w:val="both"/>
                  <w:rPr>
                    <w:color w:val="000000"/>
                    <w:szCs w:val="24"/>
                    <w:lang w:eastAsia="lt-LT"/>
                  </w:rPr>
                </w:pPr>
                <w:r>
                  <w:rPr>
                    <w:color w:val="000000"/>
                    <w:szCs w:val="24"/>
                    <w:lang w:eastAsia="lt-LT"/>
                  </w:rPr>
                  <w:t xml:space="preserve">Neringos meno mokykla įgyvendina tarptautinį projektą „Tarpkultūrinė bendrystė“, kurio finansavimui savivaldybė yra numačiusi prisidėti 10 proc. savivaldybės biudžeto lėšų. Projekto trukmė – 18 mėn. nuo š. m. balandžio, todėl lėšų poreikis ir įgyvendinimas pasiskirsto per du metus po 50 proc. Projekto nauda: fortepijono ir lauko instrumentų įsigijimas, muzikos terapijos užsiėmimai, tarpkultūriniai plenerai. </w:t>
                </w:r>
              </w:p>
              <w:p>
                <w:pPr>
                  <w:ind w:firstLine="318"/>
                  <w:jc w:val="both"/>
                  <w:rPr>
                    <w:color w:val="000000"/>
                    <w:szCs w:val="24"/>
                    <w:lang w:eastAsia="lt-LT"/>
                  </w:rPr>
                </w:pPr>
                <w:r>
                  <w:rPr>
                    <w:color w:val="000000"/>
                    <w:szCs w:val="24"/>
                    <w:lang w:eastAsia="lt-LT"/>
                  </w:rPr>
                  <w:t xml:space="preserve">Neringos sporto mokykla planuoja iš surenkamų lėšų įsigyti naujos įrangos mokinių sportiniam ugdymui. </w:t>
                </w:r>
              </w:p>
              <w:p>
                <w:pPr>
                  <w:ind w:firstLine="318"/>
                  <w:jc w:val="both"/>
                  <w:rPr>
                    <w:color w:val="000000"/>
                    <w:szCs w:val="24"/>
                    <w:lang w:eastAsia="lt-LT"/>
                  </w:rPr>
                </w:pPr>
                <w:r>
                  <w:rPr>
                    <w:color w:val="000000"/>
                    <w:szCs w:val="24"/>
                    <w:lang w:eastAsia="lt-LT"/>
                  </w:rPr>
                  <w:t>Ugdymo programų rėmimo priemonėje yra numatoma toliau finansuoti mokinių ir mokytojų dalyvavimą miesto ar respublikos olimpiadose ir konkursuose, neformaliojo vaikų švietimo programas, plečiant švietimo teikėjų tinklą; organizuoti tinkamą Neringos savivaldybės mokinių dalyvavimą Lietuvos moksleivių dainų šventėje, Dainų dainelės konkurse; Mokymo lėšomis finansuoti FŠPU programas meno ir sporto mokyklose.</w:t>
                </w:r>
              </w:p>
              <w:p>
                <w:pPr>
                  <w:ind w:firstLine="318"/>
                  <w:jc w:val="both"/>
                  <w:rPr>
                    <w:color w:val="000000"/>
                    <w:szCs w:val="24"/>
                    <w:lang w:eastAsia="lt-LT"/>
                  </w:rPr>
                </w:pPr>
                <w:r>
                  <w:rPr>
                    <w:color w:val="000000"/>
                    <w:szCs w:val="24"/>
                    <w:lang w:eastAsia="lt-LT"/>
                  </w:rPr>
                  <w:t xml:space="preserve">Programa numatoma užtikrinti specialiosios pedagoginės ir psichologinės pagalbos teikimą specialiųjų ugdymosi poreikių turintiems mokiniams ir vaikams. Numatoma parengti </w:t>
                </w:r>
                <w:r>
                  <w:rPr>
                    <w:sz w:val="22"/>
                    <w:szCs w:val="22"/>
                    <w:lang w:eastAsia="lt-LT"/>
                  </w:rPr>
                  <w:t xml:space="preserve"> </w:t>
                </w:r>
                <w:r>
                  <w:rPr>
                    <w:color w:val="000000"/>
                    <w:szCs w:val="24"/>
                    <w:lang w:eastAsia="lt-LT"/>
                  </w:rPr>
                  <w:t>spec. poreikių vaikų (mokinių) įtraukties bendrojo ugdymo mokykloje programą, kurios tikslas – sudaryti sąlygas mokinių, turinčių specialiuosius ugdymosi poreikius, individualiems gebėjimams ugdytis ir vystytis.</w:t>
                </w:r>
              </w:p>
              <w:p>
                <w:pPr>
                  <w:rPr>
                    <w:sz w:val="4"/>
                    <w:szCs w:val="4"/>
                  </w:rPr>
                </w:pPr>
              </w:p>
              <w:p>
                <w:pPr>
                  <w:ind w:firstLine="318"/>
                  <w:jc w:val="both"/>
                  <w:rPr>
                    <w:color w:val="000000"/>
                    <w:szCs w:val="24"/>
                    <w:lang w:eastAsia="lt-LT"/>
                  </w:rPr>
                </w:pPr>
                <w:r>
                  <w:rPr>
                    <w:color w:val="000000"/>
                    <w:szCs w:val="24"/>
                    <w:lang w:eastAsia="lt-LT"/>
                  </w:rPr>
                  <w:t>Profesinei pedagogų kompetencijai plėtoti numatyta organizuoti tradicinius renginius pedagogams, o tęsiant „Lyderių laiko 3“ projekto veiklas – savivaldybės pokyčio projekto tvarumo plano įgyvendinimą – mokymus pedagogams bei stažuotes kitose savivaldybėse, pedagogų iniciatyvų skatinimą ugdant mokytojų lyderystę ir inovacijas, kurti bei įgyvendinti tinklaveikos programas (hibridinio mokymo modelius).</w:t>
                </w:r>
              </w:p>
              <w:p>
                <w:pPr>
                  <w:rPr>
                    <w:sz w:val="4"/>
                    <w:szCs w:val="4"/>
                  </w:rPr>
                </w:pPr>
              </w:p>
              <w:p>
                <w:pPr>
                  <w:ind w:firstLine="318"/>
                  <w:jc w:val="both"/>
                  <w:rPr>
                    <w:color w:val="000000"/>
                    <w:szCs w:val="24"/>
                    <w:lang w:eastAsia="lt-LT"/>
                  </w:rPr>
                </w:pPr>
                <w:r>
                  <w:rPr>
                    <w:color w:val="000000"/>
                    <w:szCs w:val="24"/>
                    <w:lang w:eastAsia="lt-LT"/>
                  </w:rPr>
                  <w:t>Vykdant Lietuvos Respublikos neformaliojo suaugusiųjų švietimo įstatymo savivaldybei priskirtą funkciją, siekiama užtikrinti suaugusių asmenų poreikį mokytis visą gyvenimą ir tenkinti savo pažinimo bei saviraiškos poreikius. Numatoma veikla suaugusiųjų neformaliųjų edukacinių programų įgyvendinimui, planuojant įvairių suaugusiųjų bendrųjų kompetencijų ugdymą.</w:t>
                </w:r>
              </w:p>
              <w:p>
                <w:pPr>
                  <w:rPr>
                    <w:sz w:val="4"/>
                    <w:szCs w:val="4"/>
                  </w:rPr>
                </w:pPr>
              </w:p>
              <w:p>
                <w:pPr>
                  <w:ind w:firstLine="318"/>
                  <w:jc w:val="both"/>
                  <w:rPr>
                    <w:szCs w:val="24"/>
                    <w:lang w:eastAsia="lt-LT"/>
                  </w:rPr>
                </w:pPr>
                <w:r>
                  <w:rPr>
                    <w:color w:val="000000"/>
                    <w:szCs w:val="24"/>
                    <w:lang w:eastAsia="lt-LT"/>
                  </w:rPr>
                  <w:t>Programoje numatoma priemonė mokinių motyvacijai stiprinti, skatinant mokinius siekti geresnių mokymosi rezultatų. Programoje numatoma veikla, siekianti kompensuoti dalį išlaidų mokiniams, kurie dėl savivaldybės sprendimo vidurinio ugdymo programą tęsia kitoje savivaldybėje. Taip pat programoje numatoma nauja veikla – Švietimo sistemos Pažangos plano parengimas, – kuri būtų reikalinga, atlikus savivaldybės situacijos analizę, siekiant dalyvauti šalies Tūkstantmečio mokyklų programoje.</w:t>
                </w:r>
              </w:p>
            </w:tc>
          </w:tr>
          <w:tr>
            <w:trPr>
              <w:gridAfter w:val="2"/>
              <w:wAfter w:w="116" w:type="pct"/>
              <w:trHeight w:val="354"/>
            </w:trPr>
            <w:tc>
              <w:tcPr>
                <w:tcW w:w="901" w:type="pc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2"/>
                    <w:lang w:eastAsia="lt-LT"/>
                  </w:rPr>
                </w:pPr>
                <w:r>
                  <w:rPr>
                    <w:szCs w:val="22"/>
                    <w:lang w:eastAsia="lt-LT"/>
                  </w:rPr>
                  <w:t>1</w:t>
                </w:r>
              </w:p>
            </w:tc>
            <w:tc>
              <w:tcPr>
                <w:tcW w:w="3983" w:type="pct"/>
                <w:gridSpan w:val="8"/>
                <w:tcBorders>
                  <w:top w:val="single" w:sz="4" w:space="0" w:color="auto"/>
                  <w:left w:val="nil"/>
                  <w:bottom w:val="single" w:sz="4" w:space="0" w:color="auto"/>
                  <w:right w:val="single" w:sz="4" w:space="0" w:color="auto"/>
                </w:tcBorders>
                <w:shd w:val="clear" w:color="auto" w:fill="auto"/>
                <w:vAlign w:val="center"/>
                <w:hideMark/>
              </w:tcPr>
              <w:p>
                <w:pPr>
                  <w:rPr>
                    <w:szCs w:val="22"/>
                    <w:lang w:eastAsia="lt-LT"/>
                  </w:rPr>
                </w:pPr>
                <w:r>
                  <w:rPr>
                    <w:szCs w:val="22"/>
                    <w:lang w:eastAsia="lt-LT"/>
                  </w:rPr>
                  <w:t>Šiuolaikinius poreikius atitinkančios ikimokyklinio ir bendrojo ugdymo įstaigų veiklos užtikrinimas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hideMark/>
              </w:tcPr>
              <w:p>
                <w:pPr>
                  <w:jc w:val="center"/>
                  <w:rPr>
                    <w:szCs w:val="22"/>
                    <w:lang w:eastAsia="lt-LT"/>
                  </w:rPr>
                </w:pPr>
                <w:r>
                  <w:rPr>
                    <w:szCs w:val="22"/>
                    <w:lang w:eastAsia="lt-LT"/>
                  </w:rPr>
                  <w:t>2</w:t>
                </w:r>
              </w:p>
            </w:tc>
            <w:tc>
              <w:tcPr>
                <w:tcW w:w="3983" w:type="pct"/>
                <w:gridSpan w:val="8"/>
                <w:tcBorders>
                  <w:top w:val="single" w:sz="4" w:space="0" w:color="auto"/>
                  <w:left w:val="nil"/>
                  <w:bottom w:val="single" w:sz="4" w:space="0" w:color="auto"/>
                  <w:right w:val="single" w:sz="4" w:space="0" w:color="auto"/>
                </w:tcBorders>
                <w:shd w:val="clear" w:color="auto" w:fill="auto"/>
                <w:vAlign w:val="center"/>
                <w:hideMark/>
              </w:tcPr>
              <w:p>
                <w:pPr>
                  <w:rPr>
                    <w:szCs w:val="22"/>
                    <w:lang w:eastAsia="lt-LT"/>
                  </w:rPr>
                </w:pPr>
                <w:r>
                  <w:rPr>
                    <w:szCs w:val="22"/>
                    <w:lang w:eastAsia="lt-LT"/>
                  </w:rPr>
                  <w:t xml:space="preserve">Šiuolaikinius poreikius atitinkančios neformaliojo ugdymo įstaigų veiklos  užtikrinimas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tcPr>
              <w:p>
                <w:pPr>
                  <w:jc w:val="center"/>
                  <w:rPr>
                    <w:szCs w:val="22"/>
                    <w:lang w:eastAsia="lt-LT"/>
                  </w:rPr>
                </w:pPr>
                <w:r>
                  <w:rPr>
                    <w:szCs w:val="22"/>
                    <w:lang w:eastAsia="lt-LT"/>
                  </w:rPr>
                  <w:t>3</w:t>
                </w:r>
              </w:p>
            </w:tc>
            <w:tc>
              <w:tcPr>
                <w:tcW w:w="3983" w:type="pct"/>
                <w:gridSpan w:val="8"/>
                <w:tcBorders>
                  <w:top w:val="single" w:sz="4" w:space="0" w:color="auto"/>
                  <w:left w:val="nil"/>
                  <w:bottom w:val="single" w:sz="4" w:space="0" w:color="auto"/>
                  <w:right w:val="single" w:sz="4" w:space="0" w:color="auto"/>
                </w:tcBorders>
                <w:shd w:val="clear" w:color="auto" w:fill="auto"/>
                <w:vAlign w:val="center"/>
              </w:tcPr>
              <w:p>
                <w:pPr>
                  <w:rPr>
                    <w:szCs w:val="22"/>
                    <w:lang w:eastAsia="lt-LT"/>
                  </w:rPr>
                </w:pPr>
                <w:r>
                  <w:rPr>
                    <w:szCs w:val="22"/>
                    <w:lang w:eastAsia="lt-LT"/>
                  </w:rPr>
                  <w:t>Ugdymo programų rėmimo įgyvendinimas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tcPr>
              <w:p>
                <w:pPr>
                  <w:jc w:val="center"/>
                  <w:rPr>
                    <w:szCs w:val="22"/>
                    <w:lang w:eastAsia="lt-LT"/>
                  </w:rPr>
                </w:pPr>
                <w:r>
                  <w:rPr>
                    <w:szCs w:val="22"/>
                    <w:lang w:eastAsia="lt-LT"/>
                  </w:rPr>
                  <w:t>4</w:t>
                </w:r>
              </w:p>
            </w:tc>
            <w:tc>
              <w:tcPr>
                <w:tcW w:w="3983" w:type="pct"/>
                <w:gridSpan w:val="8"/>
                <w:tcBorders>
                  <w:top w:val="single" w:sz="4" w:space="0" w:color="auto"/>
                  <w:left w:val="nil"/>
                  <w:bottom w:val="single" w:sz="4" w:space="0" w:color="auto"/>
                  <w:right w:val="single" w:sz="4" w:space="0" w:color="auto"/>
                </w:tcBorders>
                <w:shd w:val="clear" w:color="auto" w:fill="auto"/>
                <w:vAlign w:val="center"/>
              </w:tcPr>
              <w:p>
                <w:pPr>
                  <w:rPr>
                    <w:szCs w:val="22"/>
                    <w:lang w:eastAsia="lt-LT"/>
                  </w:rPr>
                </w:pPr>
                <w:r>
                  <w:rPr>
                    <w:szCs w:val="22"/>
                    <w:lang w:eastAsia="lt-LT"/>
                  </w:rPr>
                  <w:t>Pedagogų kompetencijų tobulinimo organizavimas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tcPr>
              <w:p>
                <w:pPr>
                  <w:jc w:val="center"/>
                  <w:rPr>
                    <w:szCs w:val="22"/>
                    <w:lang w:eastAsia="lt-LT"/>
                  </w:rPr>
                </w:pPr>
                <w:r>
                  <w:rPr>
                    <w:szCs w:val="22"/>
                    <w:lang w:eastAsia="lt-LT"/>
                  </w:rPr>
                  <w:t>5</w:t>
                </w:r>
              </w:p>
            </w:tc>
            <w:tc>
              <w:tcPr>
                <w:tcW w:w="3983" w:type="pct"/>
                <w:gridSpan w:val="8"/>
                <w:tcBorders>
                  <w:top w:val="single" w:sz="4" w:space="0" w:color="auto"/>
                  <w:left w:val="nil"/>
                  <w:bottom w:val="single" w:sz="4" w:space="0" w:color="auto"/>
                  <w:right w:val="single" w:sz="4" w:space="0" w:color="auto"/>
                </w:tcBorders>
                <w:shd w:val="clear" w:color="auto" w:fill="auto"/>
                <w:vAlign w:val="center"/>
              </w:tcPr>
              <w:p>
                <w:pPr>
                  <w:rPr>
                    <w:szCs w:val="22"/>
                    <w:lang w:eastAsia="lt-LT"/>
                  </w:rPr>
                </w:pPr>
                <w:r>
                  <w:rPr>
                    <w:szCs w:val="22"/>
                    <w:lang w:eastAsia="lt-LT"/>
                  </w:rPr>
                  <w:t>Neformaliųjų ugdymo programų suaugusiesiems parengimas ir įgyvendinimas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tcPr>
              <w:p>
                <w:pPr>
                  <w:jc w:val="center"/>
                  <w:rPr>
                    <w:szCs w:val="22"/>
                    <w:lang w:eastAsia="lt-LT"/>
                  </w:rPr>
                </w:pPr>
                <w:r>
                  <w:rPr>
                    <w:szCs w:val="22"/>
                    <w:lang w:eastAsia="lt-LT"/>
                  </w:rPr>
                  <w:t>6</w:t>
                </w:r>
              </w:p>
            </w:tc>
            <w:tc>
              <w:tcPr>
                <w:tcW w:w="3983" w:type="pct"/>
                <w:gridSpan w:val="8"/>
                <w:tcBorders>
                  <w:top w:val="single" w:sz="4" w:space="0" w:color="auto"/>
                  <w:left w:val="nil"/>
                  <w:bottom w:val="single" w:sz="4" w:space="0" w:color="auto"/>
                  <w:right w:val="single" w:sz="4" w:space="0" w:color="auto"/>
                </w:tcBorders>
                <w:shd w:val="clear" w:color="auto" w:fill="auto"/>
                <w:vAlign w:val="center"/>
              </w:tcPr>
              <w:p>
                <w:pPr>
                  <w:rPr>
                    <w:szCs w:val="22"/>
                    <w:lang w:eastAsia="lt-LT"/>
                  </w:rPr>
                </w:pPr>
                <w:r>
                  <w:rPr>
                    <w:szCs w:val="22"/>
                    <w:lang w:eastAsia="lt-LT"/>
                  </w:rPr>
                  <w:t>Motyvavimo ugdymui(si) sistemų sukūrimas bei tobulinimas</w:t>
                </w:r>
              </w:p>
            </w:tc>
          </w:tr>
          <w:tr>
            <w:trPr>
              <w:gridAfter w:val="2"/>
              <w:wAfter w:w="116" w:type="pct"/>
              <w:trHeight w:val="439"/>
            </w:trPr>
            <w:tc>
              <w:tcPr>
                <w:tcW w:w="4884" w:type="pct"/>
                <w:gridSpan w:val="9"/>
                <w:tcBorders>
                  <w:top w:val="nil"/>
                  <w:left w:val="single" w:sz="8" w:space="0" w:color="auto"/>
                  <w:bottom w:val="single" w:sz="8" w:space="0" w:color="auto"/>
                  <w:right w:val="single" w:sz="4" w:space="0" w:color="auto"/>
                </w:tcBorders>
                <w:shd w:val="clear" w:color="auto" w:fill="D9D9D9" w:themeFill="background1" w:themeFillShade="D9"/>
                <w:vAlign w:val="center"/>
                <w:hideMark/>
              </w:tcPr>
              <w:p>
                <w:pPr>
                  <w:jc w:val="center"/>
                  <w:rPr>
                    <w:b/>
                    <w:bCs/>
                    <w:szCs w:val="22"/>
                    <w:lang w:eastAsia="lt-LT"/>
                  </w:rPr>
                </w:pPr>
                <w:r>
                  <w:rPr>
                    <w:b/>
                    <w:bCs/>
                    <w:szCs w:val="22"/>
                    <w:lang w:eastAsia="lt-LT"/>
                  </w:rPr>
                  <w:t>3.2. tikslo rezultato vertinimo kriterijai</w:t>
                </w:r>
              </w:p>
              <w:p>
                <w:pPr>
                  <w:jc w:val="center"/>
                  <w:rPr>
                    <w:b/>
                    <w:bCs/>
                    <w:szCs w:val="22"/>
                    <w:lang w:eastAsia="lt-LT"/>
                  </w:rPr>
                </w:pPr>
              </w:p>
            </w:tc>
          </w:tr>
          <w:tr>
            <w:trPr>
              <w:gridAfter w:val="2"/>
              <w:wAfter w:w="116" w:type="pct"/>
              <w:trHeight w:val="697"/>
            </w:trPr>
            <w:tc>
              <w:tcPr>
                <w:tcW w:w="901" w:type="pct"/>
                <w:vMerge w:val="restart"/>
                <w:tcBorders>
                  <w:top w:val="nil"/>
                  <w:left w:val="single" w:sz="8" w:space="0" w:color="auto"/>
                  <w:bottom w:val="nil"/>
                  <w:right w:val="single" w:sz="8" w:space="0" w:color="auto"/>
                </w:tcBorders>
                <w:shd w:val="clear" w:color="auto" w:fill="auto"/>
                <w:hideMark/>
              </w:tcPr>
              <w:p>
                <w:pPr>
                  <w:jc w:val="both"/>
                  <w:rPr>
                    <w:b/>
                    <w:szCs w:val="22"/>
                    <w:lang w:eastAsia="lt-LT"/>
                  </w:rPr>
                </w:pPr>
                <w:r>
                  <w:rPr>
                    <w:b/>
                    <w:szCs w:val="22"/>
                    <w:lang w:eastAsia="lt-LT"/>
                  </w:rPr>
                  <w:t>Kodas</w:t>
                </w:r>
              </w:p>
            </w:tc>
            <w:tc>
              <w:tcPr>
                <w:tcW w:w="1186" w:type="pct"/>
                <w:vMerge w:val="restart"/>
                <w:tcBorders>
                  <w:top w:val="single" w:sz="8" w:space="0" w:color="auto"/>
                  <w:left w:val="single" w:sz="8" w:space="0" w:color="auto"/>
                  <w:bottom w:val="nil"/>
                  <w:right w:val="single" w:sz="8" w:space="0" w:color="000000"/>
                </w:tcBorders>
                <w:shd w:val="clear" w:color="auto" w:fill="auto"/>
                <w:hideMark/>
              </w:tcPr>
              <w:p>
                <w:pPr>
                  <w:jc w:val="both"/>
                  <w:rPr>
                    <w:b/>
                    <w:szCs w:val="22"/>
                    <w:lang w:eastAsia="lt-LT"/>
                  </w:rPr>
                </w:pPr>
                <w:r>
                  <w:rPr>
                    <w:b/>
                    <w:szCs w:val="22"/>
                    <w:lang w:eastAsia="lt-LT"/>
                  </w:rPr>
                  <w:t>Kriterijaus pavadinimas, mato vnt.</w:t>
                </w:r>
              </w:p>
            </w:tc>
            <w:tc>
              <w:tcPr>
                <w:tcW w:w="816" w:type="pct"/>
                <w:vMerge w:val="restart"/>
                <w:tcBorders>
                  <w:top w:val="nil"/>
                  <w:left w:val="single" w:sz="8" w:space="0" w:color="auto"/>
                  <w:bottom w:val="nil"/>
                  <w:right w:val="single" w:sz="8" w:space="0" w:color="auto"/>
                </w:tcBorders>
                <w:shd w:val="clear" w:color="auto" w:fill="auto"/>
                <w:hideMark/>
              </w:tcPr>
              <w:p>
                <w:pPr>
                  <w:jc w:val="center"/>
                  <w:rPr>
                    <w:b/>
                    <w:szCs w:val="22"/>
                    <w:lang w:eastAsia="lt-LT"/>
                  </w:rPr>
                </w:pPr>
                <w:r>
                  <w:rPr>
                    <w:b/>
                    <w:szCs w:val="22"/>
                    <w:lang w:eastAsia="lt-LT"/>
                  </w:rPr>
                  <w:t>Savivaldybės skyrius, atsakingas už rodiklio reikšmių pateikimą</w:t>
                </w:r>
              </w:p>
            </w:tc>
            <w:tc>
              <w:tcPr>
                <w:tcW w:w="1981" w:type="pct"/>
                <w:gridSpan w:val="6"/>
                <w:tcBorders>
                  <w:top w:val="single" w:sz="8" w:space="0" w:color="auto"/>
                  <w:left w:val="nil"/>
                  <w:bottom w:val="single" w:sz="8" w:space="0" w:color="auto"/>
                  <w:right w:val="single" w:sz="4" w:space="0" w:color="auto"/>
                </w:tcBorders>
                <w:shd w:val="clear" w:color="auto" w:fill="auto"/>
                <w:hideMark/>
              </w:tcPr>
              <w:p>
                <w:pPr>
                  <w:jc w:val="center"/>
                  <w:rPr>
                    <w:b/>
                    <w:szCs w:val="22"/>
                    <w:lang w:eastAsia="lt-LT"/>
                  </w:rPr>
                </w:pPr>
                <w:r>
                  <w:rPr>
                    <w:b/>
                    <w:szCs w:val="22"/>
                    <w:lang w:eastAsia="lt-LT"/>
                  </w:rPr>
                  <w:t>Kriterijaus reikšmė, metais</w:t>
                </w:r>
              </w:p>
            </w:tc>
          </w:tr>
          <w:tr>
            <w:trPr>
              <w:gridAfter w:val="1"/>
              <w:wAfter w:w="106" w:type="pct"/>
              <w:trHeight w:val="394"/>
            </w:trPr>
            <w:tc>
              <w:tcPr>
                <w:tcW w:w="901" w:type="pct"/>
                <w:vMerge/>
                <w:tcBorders>
                  <w:top w:val="nil"/>
                  <w:left w:val="single" w:sz="8" w:space="0" w:color="auto"/>
                  <w:bottom w:val="nil"/>
                  <w:right w:val="single" w:sz="8" w:space="0" w:color="auto"/>
                </w:tcBorders>
                <w:shd w:val="clear" w:color="auto" w:fill="auto"/>
                <w:vAlign w:val="center"/>
                <w:hideMark/>
              </w:tcPr>
              <w:p>
                <w:pPr>
                  <w:rPr>
                    <w:b/>
                    <w:szCs w:val="22"/>
                    <w:lang w:eastAsia="lt-LT"/>
                  </w:rPr>
                </w:pPr>
              </w:p>
            </w:tc>
            <w:tc>
              <w:tcPr>
                <w:tcW w:w="1186" w:type="pct"/>
                <w:vMerge/>
                <w:tcBorders>
                  <w:top w:val="single" w:sz="8" w:space="0" w:color="auto"/>
                  <w:left w:val="single" w:sz="8" w:space="0" w:color="auto"/>
                  <w:bottom w:val="nil"/>
                  <w:right w:val="single" w:sz="8" w:space="0" w:color="000000"/>
                </w:tcBorders>
                <w:vAlign w:val="center"/>
                <w:hideMark/>
              </w:tcPr>
              <w:p>
                <w:pPr>
                  <w:rPr>
                    <w:b/>
                    <w:szCs w:val="22"/>
                    <w:lang w:eastAsia="lt-LT"/>
                  </w:rPr>
                </w:pPr>
              </w:p>
            </w:tc>
            <w:tc>
              <w:tcPr>
                <w:tcW w:w="816" w:type="pct"/>
                <w:vMerge/>
                <w:tcBorders>
                  <w:top w:val="nil"/>
                  <w:left w:val="single" w:sz="8" w:space="0" w:color="auto"/>
                  <w:bottom w:val="nil"/>
                  <w:right w:val="single" w:sz="8" w:space="0" w:color="auto"/>
                </w:tcBorders>
                <w:vAlign w:val="center"/>
                <w:hideMark/>
              </w:tcPr>
              <w:p>
                <w:pPr>
                  <w:rPr>
                    <w:b/>
                    <w:szCs w:val="22"/>
                    <w:lang w:eastAsia="lt-LT"/>
                  </w:rPr>
                </w:pPr>
              </w:p>
            </w:tc>
            <w:tc>
              <w:tcPr>
                <w:tcW w:w="622" w:type="pct"/>
                <w:tcBorders>
                  <w:top w:val="nil"/>
                  <w:left w:val="single" w:sz="8" w:space="0" w:color="auto"/>
                  <w:bottom w:val="nil"/>
                  <w:right w:val="single" w:sz="8" w:space="0" w:color="auto"/>
                </w:tcBorders>
                <w:shd w:val="clear" w:color="auto" w:fill="auto"/>
                <w:hideMark/>
              </w:tcPr>
              <w:p>
                <w:pPr>
                  <w:jc w:val="center"/>
                  <w:rPr>
                    <w:b/>
                    <w:szCs w:val="22"/>
                    <w:lang w:eastAsia="lt-LT"/>
                  </w:rPr>
                </w:pPr>
                <w:r>
                  <w:rPr>
                    <w:b/>
                    <w:szCs w:val="22"/>
                    <w:lang w:eastAsia="lt-LT"/>
                  </w:rPr>
                  <w:t>2022</w:t>
                </w:r>
              </w:p>
            </w:tc>
            <w:tc>
              <w:tcPr>
                <w:tcW w:w="662" w:type="pct"/>
                <w:gridSpan w:val="3"/>
                <w:vMerge w:val="restart"/>
                <w:tcBorders>
                  <w:top w:val="single" w:sz="8" w:space="0" w:color="auto"/>
                  <w:left w:val="single" w:sz="8" w:space="0" w:color="auto"/>
                  <w:right w:val="single" w:sz="8" w:space="0" w:color="000000"/>
                </w:tcBorders>
                <w:shd w:val="clear" w:color="auto" w:fill="auto"/>
                <w:hideMark/>
              </w:tcPr>
              <w:p>
                <w:pPr>
                  <w:jc w:val="center"/>
                  <w:rPr>
                    <w:b/>
                    <w:szCs w:val="22"/>
                    <w:lang w:eastAsia="lt-LT"/>
                  </w:rPr>
                </w:pPr>
                <w:r>
                  <w:rPr>
                    <w:b/>
                    <w:szCs w:val="22"/>
                    <w:lang w:eastAsia="lt-LT"/>
                  </w:rPr>
                  <w:t>2023</w:t>
                </w:r>
              </w:p>
            </w:tc>
            <w:tc>
              <w:tcPr>
                <w:tcW w:w="706" w:type="pct"/>
                <w:gridSpan w:val="3"/>
                <w:vMerge w:val="restart"/>
                <w:tcBorders>
                  <w:top w:val="single" w:sz="8" w:space="0" w:color="auto"/>
                  <w:left w:val="single" w:sz="8" w:space="0" w:color="auto"/>
                  <w:right w:val="single" w:sz="4" w:space="0" w:color="auto"/>
                </w:tcBorders>
                <w:shd w:val="clear" w:color="auto" w:fill="auto"/>
                <w:hideMark/>
              </w:tcPr>
              <w:p>
                <w:pPr>
                  <w:jc w:val="center"/>
                  <w:rPr>
                    <w:b/>
                    <w:szCs w:val="22"/>
                    <w:lang w:eastAsia="lt-LT"/>
                  </w:rPr>
                </w:pPr>
                <w:r>
                  <w:rPr>
                    <w:b/>
                    <w:szCs w:val="22"/>
                    <w:lang w:eastAsia="lt-LT"/>
                  </w:rPr>
                  <w:t>2024</w:t>
                </w:r>
              </w:p>
            </w:tc>
          </w:tr>
          <w:tr>
            <w:trPr>
              <w:gridAfter w:val="1"/>
              <w:wAfter w:w="106" w:type="pct"/>
              <w:trHeight w:val="379"/>
            </w:trPr>
            <w:tc>
              <w:tcPr>
                <w:tcW w:w="901" w:type="pct"/>
                <w:vMerge/>
                <w:tcBorders>
                  <w:top w:val="nil"/>
                  <w:left w:val="single" w:sz="8" w:space="0" w:color="auto"/>
                  <w:bottom w:val="nil"/>
                  <w:right w:val="single" w:sz="8" w:space="0" w:color="auto"/>
                </w:tcBorders>
                <w:shd w:val="clear" w:color="auto" w:fill="auto"/>
                <w:vAlign w:val="center"/>
                <w:hideMark/>
              </w:tcPr>
              <w:p>
                <w:pPr>
                  <w:rPr>
                    <w:szCs w:val="22"/>
                    <w:lang w:eastAsia="lt-LT"/>
                  </w:rPr>
                </w:pPr>
              </w:p>
            </w:tc>
            <w:tc>
              <w:tcPr>
                <w:tcW w:w="1186" w:type="pct"/>
                <w:vMerge/>
                <w:tcBorders>
                  <w:top w:val="single" w:sz="8" w:space="0" w:color="auto"/>
                  <w:left w:val="single" w:sz="8" w:space="0" w:color="auto"/>
                  <w:bottom w:val="nil"/>
                  <w:right w:val="single" w:sz="8" w:space="0" w:color="000000"/>
                </w:tcBorders>
                <w:vAlign w:val="center"/>
                <w:hideMark/>
              </w:tcPr>
              <w:p>
                <w:pPr>
                  <w:rPr>
                    <w:szCs w:val="22"/>
                    <w:lang w:eastAsia="lt-LT"/>
                  </w:rPr>
                </w:pPr>
              </w:p>
            </w:tc>
            <w:tc>
              <w:tcPr>
                <w:tcW w:w="816" w:type="pct"/>
                <w:vMerge/>
                <w:tcBorders>
                  <w:top w:val="nil"/>
                  <w:left w:val="single" w:sz="8" w:space="0" w:color="auto"/>
                  <w:bottom w:val="nil"/>
                  <w:right w:val="single" w:sz="8" w:space="0" w:color="auto"/>
                </w:tcBorders>
                <w:vAlign w:val="center"/>
                <w:hideMark/>
              </w:tcPr>
              <w:p>
                <w:pPr>
                  <w:rPr>
                    <w:szCs w:val="22"/>
                    <w:lang w:eastAsia="lt-LT"/>
                  </w:rPr>
                </w:pPr>
              </w:p>
            </w:tc>
            <w:tc>
              <w:tcPr>
                <w:tcW w:w="622" w:type="pct"/>
                <w:tcBorders>
                  <w:top w:val="nil"/>
                  <w:left w:val="single" w:sz="8" w:space="0" w:color="auto"/>
                  <w:bottom w:val="nil"/>
                  <w:right w:val="single" w:sz="8" w:space="0" w:color="auto"/>
                </w:tcBorders>
                <w:vAlign w:val="center"/>
                <w:hideMark/>
              </w:tcPr>
              <w:p>
                <w:pPr>
                  <w:rPr>
                    <w:szCs w:val="22"/>
                    <w:lang w:eastAsia="lt-LT"/>
                  </w:rPr>
                </w:pPr>
              </w:p>
            </w:tc>
            <w:tc>
              <w:tcPr>
                <w:tcW w:w="662" w:type="pct"/>
                <w:gridSpan w:val="3"/>
                <w:vMerge/>
                <w:tcBorders>
                  <w:left w:val="single" w:sz="8" w:space="0" w:color="auto"/>
                  <w:bottom w:val="nil"/>
                  <w:right w:val="single" w:sz="8" w:space="0" w:color="000000"/>
                </w:tcBorders>
                <w:vAlign w:val="center"/>
                <w:hideMark/>
              </w:tcPr>
              <w:p>
                <w:pPr>
                  <w:rPr>
                    <w:szCs w:val="22"/>
                    <w:lang w:eastAsia="lt-LT"/>
                  </w:rPr>
                </w:pPr>
              </w:p>
            </w:tc>
            <w:tc>
              <w:tcPr>
                <w:tcW w:w="706" w:type="pct"/>
                <w:gridSpan w:val="3"/>
                <w:vMerge/>
                <w:tcBorders>
                  <w:left w:val="single" w:sz="8" w:space="0" w:color="auto"/>
                  <w:bottom w:val="single" w:sz="8" w:space="0" w:color="000000"/>
                  <w:right w:val="single" w:sz="4" w:space="0" w:color="auto"/>
                </w:tcBorders>
                <w:vAlign w:val="center"/>
                <w:hideMark/>
              </w:tcPr>
              <w:p>
                <w:pPr>
                  <w:rPr>
                    <w:szCs w:val="22"/>
                    <w:lang w:eastAsia="lt-LT"/>
                  </w:rPr>
                </w:pPr>
              </w:p>
            </w:tc>
          </w:tr>
          <w:tr>
            <w:trPr>
              <w:gridAfter w:val="1"/>
              <w:wAfter w:w="106" w:type="pct"/>
              <w:trHeight w:val="788"/>
            </w:trPr>
            <w:tc>
              <w:tcPr>
                <w:tcW w:w="901" w:type="pct"/>
                <w:tcBorders>
                  <w:top w:val="single" w:sz="4" w:space="0" w:color="auto"/>
                  <w:left w:val="single" w:sz="4" w:space="0" w:color="auto"/>
                  <w:bottom w:val="single" w:sz="4" w:space="0" w:color="auto"/>
                  <w:right w:val="single" w:sz="4" w:space="0" w:color="auto"/>
                </w:tcBorders>
                <w:shd w:val="clear" w:color="auto" w:fill="auto"/>
                <w:hideMark/>
              </w:tcPr>
              <w:p>
                <w:pPr>
                  <w:jc w:val="both"/>
                  <w:rPr>
                    <w:szCs w:val="22"/>
                    <w:lang w:eastAsia="lt-LT"/>
                  </w:rPr>
                </w:pPr>
                <w:r>
                  <w:rPr>
                    <w:szCs w:val="22"/>
                    <w:lang w:eastAsia="lt-LT"/>
                  </w:rPr>
                  <w:t>R-03-02-01</w:t>
                </w:r>
              </w:p>
            </w:tc>
            <w:tc>
              <w:tcPr>
                <w:tcW w:w="1186" w:type="pct"/>
                <w:tcBorders>
                  <w:top w:val="single" w:sz="4" w:space="0" w:color="auto"/>
                  <w:left w:val="nil"/>
                  <w:bottom w:val="single" w:sz="4" w:space="0" w:color="auto"/>
                  <w:right w:val="single" w:sz="4" w:space="0" w:color="000000"/>
                </w:tcBorders>
                <w:shd w:val="clear" w:color="auto" w:fill="auto"/>
              </w:tcPr>
              <w:p>
                <w:pPr>
                  <w:rPr>
                    <w:szCs w:val="22"/>
                    <w:lang w:eastAsia="lt-LT"/>
                  </w:rPr>
                </w:pPr>
                <w:r>
                  <w:rPr>
                    <w:szCs w:val="22"/>
                    <w:lang w:eastAsia="lt-LT"/>
                  </w:rPr>
                  <w:t>Aukštos kvalifikacijos mokytojų dalis, proc.</w:t>
                </w:r>
              </w:p>
              <w:p>
                <w:pPr>
                  <w:rPr>
                    <w:szCs w:val="22"/>
                    <w:lang w:eastAsia="lt-LT"/>
                  </w:rPr>
                </w:pPr>
              </w:p>
            </w:tc>
            <w:tc>
              <w:tcPr>
                <w:tcW w:w="816" w:type="pc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Cs w:val="22"/>
                    <w:lang w:eastAsia="lt-LT"/>
                  </w:rPr>
                </w:pPr>
                <w:r>
                  <w:rPr>
                    <w:szCs w:val="22"/>
                    <w:lang w:eastAsia="lt-LT"/>
                  </w:rPr>
                  <w:t>Švietimo valdymo informacinė sistema</w:t>
                </w:r>
              </w:p>
              <w:p>
                <w:pPr>
                  <w:ind w:firstLine="62"/>
                  <w:jc w:val="center"/>
                  <w:rPr>
                    <w:szCs w:val="22"/>
                    <w:lang w:eastAsia="lt-LT"/>
                  </w:rPr>
                </w:pPr>
                <w:r>
                  <w:rPr>
                    <w:szCs w:val="22"/>
                    <w:lang w:eastAsia="lt-LT"/>
                  </w:rPr>
                  <w:t>(ŠVIS) (statistinės lentelės pagal temas)</w:t>
                </w:r>
              </w:p>
            </w:tc>
            <w:tc>
              <w:tcPr>
                <w:tcW w:w="622" w:type="pct"/>
                <w:tcBorders>
                  <w:top w:val="single" w:sz="4" w:space="0" w:color="auto"/>
                  <w:left w:val="nil"/>
                  <w:bottom w:val="single" w:sz="4" w:space="0" w:color="auto"/>
                  <w:right w:val="single" w:sz="4" w:space="0" w:color="auto"/>
                </w:tcBorders>
                <w:shd w:val="clear" w:color="auto" w:fill="auto"/>
              </w:tcPr>
              <w:p>
                <w:pPr>
                  <w:jc w:val="center"/>
                  <w:rPr>
                    <w:szCs w:val="22"/>
                    <w:lang w:val="en-US" w:eastAsia="lt-LT"/>
                  </w:rPr>
                </w:pPr>
                <w:r>
                  <w:rPr>
                    <w:szCs w:val="22"/>
                    <w:lang w:eastAsia="lt-LT"/>
                  </w:rPr>
                  <w:t xml:space="preserve">52 </w:t>
                </w:r>
                <w:r>
                  <w:rPr>
                    <w:szCs w:val="22"/>
                    <w:lang w:val="en-US" w:eastAsia="lt-LT"/>
                  </w:rPr>
                  <w:t>%</w:t>
                </w:r>
              </w:p>
            </w:tc>
            <w:tc>
              <w:tcPr>
                <w:tcW w:w="662" w:type="pct"/>
                <w:gridSpan w:val="3"/>
                <w:tcBorders>
                  <w:top w:val="single" w:sz="4" w:space="0" w:color="auto"/>
                  <w:left w:val="nil"/>
                  <w:bottom w:val="single" w:sz="4" w:space="0" w:color="auto"/>
                  <w:right w:val="single" w:sz="4" w:space="0" w:color="000000"/>
                </w:tcBorders>
                <w:shd w:val="clear" w:color="auto" w:fill="auto"/>
              </w:tcPr>
              <w:p>
                <w:pPr>
                  <w:jc w:val="center"/>
                  <w:rPr>
                    <w:szCs w:val="22"/>
                    <w:lang w:eastAsia="lt-LT"/>
                  </w:rPr>
                </w:pPr>
                <w:r>
                  <w:rPr>
                    <w:szCs w:val="22"/>
                    <w:lang w:eastAsia="lt-LT"/>
                  </w:rPr>
                  <w:t>54 %</w:t>
                </w:r>
              </w:p>
            </w:tc>
            <w:tc>
              <w:tcPr>
                <w:tcW w:w="706" w:type="pct"/>
                <w:gridSpan w:val="3"/>
                <w:tcBorders>
                  <w:top w:val="single" w:sz="4" w:space="0" w:color="auto"/>
                  <w:left w:val="nil"/>
                  <w:bottom w:val="single" w:sz="4" w:space="0" w:color="auto"/>
                  <w:right w:val="single" w:sz="4" w:space="0" w:color="000000"/>
                </w:tcBorders>
                <w:shd w:val="clear" w:color="auto" w:fill="auto"/>
              </w:tcPr>
              <w:p>
                <w:pPr>
                  <w:jc w:val="center"/>
                  <w:rPr>
                    <w:szCs w:val="22"/>
                    <w:lang w:eastAsia="lt-LT"/>
                  </w:rPr>
                </w:pPr>
                <w:r>
                  <w:rPr>
                    <w:szCs w:val="22"/>
                    <w:lang w:eastAsia="lt-LT"/>
                  </w:rPr>
                  <w:t>56 %</w:t>
                </w:r>
              </w:p>
            </w:tc>
          </w:tr>
          <w:tr>
            <w:trPr>
              <w:gridAfter w:val="1"/>
              <w:wAfter w:w="106" w:type="pct"/>
              <w:trHeight w:val="991"/>
            </w:trPr>
            <w:tc>
              <w:tcPr>
                <w:tcW w:w="901" w:type="pct"/>
                <w:tcBorders>
                  <w:top w:val="nil"/>
                  <w:left w:val="single" w:sz="4" w:space="0" w:color="auto"/>
                  <w:bottom w:val="single" w:sz="4" w:space="0" w:color="auto"/>
                  <w:right w:val="single" w:sz="4" w:space="0" w:color="auto"/>
                </w:tcBorders>
                <w:shd w:val="clear" w:color="auto" w:fill="auto"/>
                <w:hideMark/>
              </w:tcPr>
              <w:p>
                <w:pPr>
                  <w:rPr>
                    <w:szCs w:val="22"/>
                    <w:lang w:eastAsia="lt-LT"/>
                  </w:rPr>
                </w:pPr>
                <w:r>
                  <w:rPr>
                    <w:szCs w:val="22"/>
                    <w:lang w:eastAsia="lt-LT"/>
                  </w:rPr>
                  <w:t>R-03-02-02</w:t>
                </w:r>
              </w:p>
            </w:tc>
            <w:tc>
              <w:tcPr>
                <w:tcW w:w="1186" w:type="pct"/>
                <w:tcBorders>
                  <w:top w:val="single" w:sz="4" w:space="0" w:color="auto"/>
                  <w:left w:val="nil"/>
                  <w:bottom w:val="single" w:sz="4" w:space="0" w:color="auto"/>
                  <w:right w:val="single" w:sz="4" w:space="0" w:color="auto"/>
                </w:tcBorders>
                <w:shd w:val="clear" w:color="auto" w:fill="auto"/>
                <w:vAlign w:val="center"/>
              </w:tcPr>
              <w:p>
                <w:pPr>
                  <w:rPr>
                    <w:szCs w:val="24"/>
                    <w:lang w:eastAsia="lt-LT"/>
                  </w:rPr>
                </w:pPr>
                <w:r>
                  <w:rPr>
                    <w:szCs w:val="24"/>
                    <w:bdr w:val="none" w:sz="0" w:space="0" w:color="auto" w:frame="1"/>
                    <w:shd w:val="clear" w:color="auto" w:fill="FFFFFF"/>
                    <w:lang w:eastAsia="lt-LT"/>
                  </w:rPr>
                  <w:t>Neformaliojo švietimo galimybėmis mokykloje ir kitur besinaudojančių mokinių dalis, proc.</w:t>
                </w:r>
              </w:p>
            </w:tc>
            <w:tc>
              <w:tcPr>
                <w:tcW w:w="816" w:type="pc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Cs w:val="22"/>
                    <w:lang w:eastAsia="lt-LT"/>
                  </w:rPr>
                </w:pPr>
                <w:r>
                  <w:rPr>
                    <w:szCs w:val="22"/>
                    <w:lang w:eastAsia="lt-LT"/>
                  </w:rPr>
                  <w:t>ŠVIS (statistinės lentelės pagal temas)</w:t>
                </w:r>
              </w:p>
            </w:tc>
            <w:tc>
              <w:tcPr>
                <w:tcW w:w="622" w:type="pct"/>
                <w:tcBorders>
                  <w:top w:val="nil"/>
                  <w:left w:val="nil"/>
                  <w:bottom w:val="single" w:sz="4" w:space="0" w:color="auto"/>
                  <w:right w:val="single" w:sz="4" w:space="0" w:color="auto"/>
                </w:tcBorders>
                <w:shd w:val="clear" w:color="auto" w:fill="auto"/>
              </w:tcPr>
              <w:p>
                <w:pPr>
                  <w:jc w:val="center"/>
                  <w:rPr>
                    <w:szCs w:val="22"/>
                    <w:lang w:eastAsia="lt-LT"/>
                  </w:rPr>
                </w:pPr>
                <w:r>
                  <w:rPr>
                    <w:szCs w:val="22"/>
                    <w:lang w:eastAsia="lt-LT"/>
                  </w:rPr>
                  <w:t>75 %</w:t>
                </w:r>
              </w:p>
            </w:tc>
            <w:tc>
              <w:tcPr>
                <w:tcW w:w="662" w:type="pct"/>
                <w:gridSpan w:val="3"/>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80 %</w:t>
                </w:r>
              </w:p>
            </w:tc>
            <w:tc>
              <w:tcPr>
                <w:tcW w:w="706" w:type="pct"/>
                <w:gridSpan w:val="3"/>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85 %</w:t>
                </w:r>
              </w:p>
            </w:tc>
          </w:tr>
          <w:tr>
            <w:trPr>
              <w:gridAfter w:val="1"/>
              <w:wAfter w:w="106" w:type="pct"/>
              <w:trHeight w:val="991"/>
            </w:trPr>
            <w:tc>
              <w:tcPr>
                <w:tcW w:w="901" w:type="pct"/>
                <w:tcBorders>
                  <w:top w:val="nil"/>
                  <w:left w:val="single" w:sz="4" w:space="0" w:color="auto"/>
                  <w:bottom w:val="single" w:sz="4" w:space="0" w:color="auto"/>
                  <w:right w:val="single" w:sz="4" w:space="0" w:color="auto"/>
                </w:tcBorders>
                <w:shd w:val="clear" w:color="auto" w:fill="auto"/>
              </w:tcPr>
              <w:p>
                <w:pPr>
                  <w:rPr>
                    <w:szCs w:val="22"/>
                    <w:lang w:eastAsia="lt-LT"/>
                  </w:rPr>
                </w:pPr>
                <w:r>
                  <w:rPr>
                    <w:szCs w:val="22"/>
                    <w:lang w:eastAsia="lt-LT"/>
                  </w:rPr>
                  <w:t>R-03-02-03</w:t>
                </w:r>
              </w:p>
            </w:tc>
            <w:tc>
              <w:tcPr>
                <w:tcW w:w="1186" w:type="pct"/>
                <w:tcBorders>
                  <w:top w:val="single" w:sz="4" w:space="0" w:color="auto"/>
                  <w:left w:val="nil"/>
                  <w:bottom w:val="single" w:sz="4" w:space="0" w:color="auto"/>
                  <w:right w:val="single" w:sz="4" w:space="0" w:color="auto"/>
                </w:tcBorders>
                <w:shd w:val="clear" w:color="auto" w:fill="auto"/>
                <w:vAlign w:val="center"/>
              </w:tcPr>
              <w:p>
                <w:pPr>
                  <w:rPr>
                    <w:szCs w:val="24"/>
                    <w:lang w:eastAsia="lt-LT"/>
                  </w:rPr>
                </w:pPr>
                <w:r>
                  <w:rPr>
                    <w:szCs w:val="24"/>
                    <w:bdr w:val="none" w:sz="0" w:space="0" w:color="auto" w:frame="1"/>
                    <w:shd w:val="clear" w:color="auto" w:fill="FFFFFF"/>
                    <w:lang w:eastAsia="lt-LT"/>
                  </w:rPr>
                  <w:t>Mokymui skirtų modernių kompiuterių, tenkančių 100-ui mokinių, skaičius</w:t>
                </w:r>
              </w:p>
            </w:tc>
            <w:tc>
              <w:tcPr>
                <w:tcW w:w="816" w:type="pct"/>
                <w:tcBorders>
                  <w:top w:val="single" w:sz="4" w:space="0" w:color="auto"/>
                  <w:left w:val="single" w:sz="4" w:space="0" w:color="auto"/>
                  <w:bottom w:val="single" w:sz="4" w:space="0" w:color="000000"/>
                  <w:right w:val="single" w:sz="4" w:space="0" w:color="auto"/>
                </w:tcBorders>
                <w:shd w:val="clear" w:color="auto" w:fill="auto"/>
                <w:vAlign w:val="center"/>
              </w:tcPr>
              <w:p>
                <w:pPr>
                  <w:jc w:val="center"/>
                  <w:rPr>
                    <w:szCs w:val="22"/>
                    <w:lang w:eastAsia="lt-LT"/>
                  </w:rPr>
                </w:pPr>
                <w:r>
                  <w:rPr>
                    <w:szCs w:val="22"/>
                    <w:lang w:eastAsia="lt-LT"/>
                  </w:rPr>
                  <w:t>ŠVIS (statistinės lentelės pagal temas)</w:t>
                </w:r>
              </w:p>
              <w:p>
                <w:pPr>
                  <w:jc w:val="center"/>
                  <w:rPr>
                    <w:szCs w:val="22"/>
                    <w:lang w:eastAsia="lt-LT"/>
                  </w:rPr>
                </w:pPr>
              </w:p>
            </w:tc>
            <w:tc>
              <w:tcPr>
                <w:tcW w:w="622" w:type="pct"/>
                <w:tcBorders>
                  <w:top w:val="nil"/>
                  <w:left w:val="nil"/>
                  <w:bottom w:val="single" w:sz="4" w:space="0" w:color="auto"/>
                  <w:right w:val="single" w:sz="4" w:space="0" w:color="auto"/>
                </w:tcBorders>
                <w:shd w:val="clear" w:color="auto" w:fill="auto"/>
              </w:tcPr>
              <w:p>
                <w:pPr>
                  <w:jc w:val="center"/>
                  <w:rPr>
                    <w:szCs w:val="22"/>
                    <w:lang w:eastAsia="lt-LT"/>
                  </w:rPr>
                </w:pPr>
                <w:r>
                  <w:rPr>
                    <w:szCs w:val="22"/>
                    <w:lang w:eastAsia="lt-LT"/>
                  </w:rPr>
                  <w:t>45,0</w:t>
                </w:r>
              </w:p>
            </w:tc>
            <w:tc>
              <w:tcPr>
                <w:tcW w:w="662" w:type="pct"/>
                <w:gridSpan w:val="3"/>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50,0</w:t>
                </w:r>
              </w:p>
            </w:tc>
            <w:tc>
              <w:tcPr>
                <w:tcW w:w="706" w:type="pct"/>
                <w:gridSpan w:val="3"/>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55,0</w:t>
                </w:r>
              </w:p>
            </w:tc>
          </w:tr>
          <w:tr>
            <w:trPr>
              <w:gridAfter w:val="2"/>
              <w:wAfter w:w="116" w:type="pct"/>
              <w:trHeight w:val="636"/>
            </w:trPr>
            <w:tc>
              <w:tcPr>
                <w:tcW w:w="901" w:type="pct"/>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rPr>
                    <w:b/>
                    <w:bCs/>
                    <w:szCs w:val="22"/>
                    <w:lang w:eastAsia="lt-LT"/>
                  </w:rPr>
                </w:pPr>
                <w:r>
                  <w:rPr>
                    <w:b/>
                    <w:bCs/>
                    <w:sz w:val="22"/>
                    <w:szCs w:val="22"/>
                    <w:lang w:eastAsia="lt-LT"/>
                  </w:rPr>
                  <w:t xml:space="preserve">2.2. </w:t>
                </w:r>
                <w:r>
                  <w:rPr>
                    <w:sz w:val="22"/>
                    <w:szCs w:val="22"/>
                    <w:lang w:eastAsia="lt-LT"/>
                  </w:rPr>
                  <w:t xml:space="preserve"> </w:t>
                </w:r>
                <w:r>
                  <w:rPr>
                    <w:b/>
                    <w:sz w:val="22"/>
                    <w:szCs w:val="22"/>
                    <w:lang w:eastAsia="lt-LT"/>
                  </w:rPr>
                  <w:t>p</w:t>
                </w:r>
                <w:r>
                  <w:rPr>
                    <w:b/>
                    <w:bCs/>
                    <w:sz w:val="22"/>
                    <w:szCs w:val="22"/>
                    <w:lang w:eastAsia="lt-LT"/>
                  </w:rPr>
                  <w:t>rogramos tikslas</w:t>
                </w:r>
              </w:p>
            </w:tc>
            <w:tc>
              <w:tcPr>
                <w:tcW w:w="3983" w:type="pct"/>
                <w:gridSpan w:val="8"/>
                <w:tcBorders>
                  <w:top w:val="single" w:sz="8" w:space="0" w:color="auto"/>
                  <w:left w:val="nil"/>
                  <w:bottom w:val="single" w:sz="4" w:space="0" w:color="auto"/>
                  <w:right w:val="single" w:sz="8" w:space="0" w:color="000000"/>
                </w:tcBorders>
                <w:shd w:val="clear" w:color="000000" w:fill="F2DDDC"/>
                <w:vAlign w:val="center"/>
                <w:hideMark/>
              </w:tcPr>
              <w:p>
                <w:pPr>
                  <w:jc w:val="center"/>
                  <w:rPr>
                    <w:b/>
                    <w:bCs/>
                    <w:szCs w:val="22"/>
                    <w:lang w:eastAsia="lt-LT"/>
                  </w:rPr>
                </w:pPr>
                <w:r>
                  <w:rPr>
                    <w:b/>
                    <w:bCs/>
                    <w:szCs w:val="22"/>
                    <w:lang w:eastAsia="lt-LT"/>
                  </w:rPr>
                  <w:t>Užtikrinti kultūrai, sportui ir gyvenimui patrauklios aplinkos kūrimą</w:t>
                </w:r>
              </w:p>
            </w:tc>
          </w:tr>
          <w:tr>
            <w:trPr>
              <w:gridAfter w:val="2"/>
              <w:wAfter w:w="116" w:type="pct"/>
              <w:trHeight w:val="1253"/>
            </w:trPr>
            <w:tc>
              <w:tcPr>
                <w:tcW w:w="4884" w:type="pct"/>
                <w:gridSpan w:val="9"/>
                <w:tcBorders>
                  <w:top w:val="single" w:sz="4" w:space="0" w:color="auto"/>
                  <w:left w:val="single" w:sz="8" w:space="0" w:color="auto"/>
                  <w:bottom w:val="single" w:sz="4" w:space="0" w:color="auto"/>
                  <w:right w:val="single" w:sz="8" w:space="0" w:color="000000"/>
                </w:tcBorders>
                <w:shd w:val="clear" w:color="auto" w:fill="auto"/>
                <w:hideMark/>
              </w:tcPr>
              <w:p>
                <w:pPr>
                  <w:ind w:firstLine="318"/>
                  <w:jc w:val="both"/>
                  <w:rPr>
                    <w:color w:val="000000"/>
                    <w:szCs w:val="24"/>
                    <w:lang w:eastAsia="lt-LT"/>
                  </w:rPr>
                </w:pPr>
                <w:r>
                  <w:rPr>
                    <w:szCs w:val="24"/>
                    <w:lang w:eastAsia="lt-LT"/>
                  </w:rPr>
                  <w:t xml:space="preserve">Šiuo programos tikslu siekiama </w:t>
                </w:r>
                <w:r>
                  <w:rPr>
                    <w:color w:val="000000"/>
                    <w:szCs w:val="24"/>
                    <w:lang w:eastAsia="lt-LT"/>
                  </w:rPr>
                  <w:t>savivaldybės gyventojus skatinti užsiimti įvairiomis fizinio aktyvumo formomis ir sportine veikla, finansuojant ir organizuojant įvairius sporto renginius, didinant kūno kultūros ir sporto paslaugų prieinamumą savivaldybės gyventojams, statant ir modernizuojant sporto infrastruktūros objektus, įrengiant aktyvaus poilsio, laisvalaikio ir sporto zonas.</w:t>
                </w:r>
              </w:p>
              <w:p>
                <w:pPr>
                  <w:rPr>
                    <w:sz w:val="10"/>
                    <w:szCs w:val="10"/>
                  </w:rPr>
                </w:pPr>
              </w:p>
              <w:p>
                <w:pPr>
                  <w:ind w:firstLine="318"/>
                  <w:jc w:val="both"/>
                  <w:rPr>
                    <w:color w:val="000000"/>
                    <w:szCs w:val="24"/>
                    <w:lang w:eastAsia="lt-LT"/>
                  </w:rPr>
                </w:pPr>
                <w:r>
                  <w:rPr>
                    <w:color w:val="000000"/>
                    <w:szCs w:val="24"/>
                    <w:lang w:eastAsia="lt-LT"/>
                  </w:rPr>
                  <w:t>Įvairiomis veiklomis aktyviai propaguojant savivaldybės sportinę veiklą bus sudaromos sąlygos turistų pritraukimui ir aktyvaus turistinio sezono ilginimui.</w:t>
                </w:r>
              </w:p>
            </w:tc>
          </w:tr>
          <w:tr>
            <w:trPr>
              <w:gridAfter w:val="2"/>
              <w:wAfter w:w="116" w:type="pct"/>
              <w:trHeight w:val="861"/>
            </w:trPr>
            <w:tc>
              <w:tcPr>
                <w:tcW w:w="901"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2.2.1. uždavinys</w:t>
                </w:r>
              </w:p>
            </w:tc>
            <w:tc>
              <w:tcPr>
                <w:tcW w:w="3983" w:type="pct"/>
                <w:gridSpan w:val="8"/>
                <w:tcBorders>
                  <w:top w:val="single" w:sz="4" w:space="0" w:color="auto"/>
                  <w:left w:val="nil"/>
                  <w:bottom w:val="single" w:sz="4" w:space="0" w:color="auto"/>
                  <w:right w:val="single" w:sz="4" w:space="0" w:color="auto"/>
                </w:tcBorders>
                <w:shd w:val="clear" w:color="auto" w:fill="F2DBDB" w:themeFill="accent2" w:themeFillTint="33"/>
                <w:vAlign w:val="center"/>
                <w:hideMark/>
              </w:tcPr>
              <w:p>
                <w:pPr>
                  <w:jc w:val="center"/>
                  <w:rPr>
                    <w:b/>
                    <w:bCs/>
                    <w:szCs w:val="22"/>
                    <w:lang w:eastAsia="lt-LT"/>
                  </w:rPr>
                </w:pPr>
                <w:r>
                  <w:rPr>
                    <w:b/>
                    <w:bCs/>
                    <w:szCs w:val="22"/>
                    <w:lang w:eastAsia="lt-LT"/>
                  </w:rPr>
                  <w:t xml:space="preserve">Išvystyti gyventojų  ir svečių poreikius atitinkančias sporto, fizinio aktyvumo ir poilsio paslaugas bei infrastruktūrą</w:t>
                </w:r>
              </w:p>
            </w:tc>
          </w:tr>
          <w:tr>
            <w:trPr>
              <w:gridAfter w:val="2"/>
              <w:wAfter w:w="116" w:type="pct"/>
              <w:trHeight w:val="1266"/>
            </w:trPr>
            <w:tc>
              <w:tcPr>
                <w:tcW w:w="4884" w:type="pct"/>
                <w:gridSpan w:val="9"/>
                <w:tcBorders>
                  <w:top w:val="single" w:sz="4" w:space="0" w:color="auto"/>
                  <w:left w:val="single" w:sz="4" w:space="0" w:color="auto"/>
                  <w:bottom w:val="single" w:sz="4" w:space="0" w:color="auto"/>
                  <w:right w:val="single" w:sz="4" w:space="0" w:color="auto"/>
                </w:tcBorders>
                <w:shd w:val="clear" w:color="auto" w:fill="auto"/>
              </w:tcPr>
              <w:p>
                <w:pPr>
                  <w:ind w:firstLine="318"/>
                  <w:jc w:val="both"/>
                  <w:rPr>
                    <w:szCs w:val="24"/>
                    <w:lang w:eastAsia="lt-LT"/>
                  </w:rPr>
                </w:pPr>
                <w:r>
                  <w:rPr>
                    <w:szCs w:val="24"/>
                    <w:lang w:eastAsia="lt-LT"/>
                  </w:rPr>
                  <w:t>Įgyvendinant veiklą „Aktyvaus poilsio, laisvalaikio, sporto infrastruktūros atnaujinimas ir įrengimas“ numatyta pagal sporto aikštyno (Žaliasis Kelias 2, Neringa) projektą įrengti krepšinio aikštelę. Pagal Šaškių, šachmatų ir petankės projektą ketinama įrengti šaškių, šachmatų ir petankės žaidimų aikšteles prie mini golfo aikštyno Juodkrantėje. Planuojamas finansavimo poreikis Preilos, Juodkrantės sporto aikštelių valymui, Juodkrantės futbolo aikštelės volavimui.</w:t>
                </w:r>
              </w:p>
              <w:p>
                <w:pPr>
                  <w:rPr>
                    <w:sz w:val="4"/>
                    <w:szCs w:val="4"/>
                  </w:rPr>
                </w:pPr>
              </w:p>
              <w:p>
                <w:pPr>
                  <w:ind w:firstLine="318"/>
                  <w:jc w:val="both"/>
                  <w:rPr>
                    <w:szCs w:val="24"/>
                    <w:lang w:eastAsia="lt-LT"/>
                  </w:rPr>
                </w:pPr>
                <w:r>
                  <w:rPr>
                    <w:szCs w:val="24"/>
                    <w:lang w:eastAsia="lt-LT"/>
                  </w:rPr>
                  <w:t>Įgyvendinant veiklą „Sporto zonų atnaujinimas ir įrengimas“ siekiama atlikti kasmetinį</w:t>
                </w:r>
                <w:r>
                  <w:rPr>
                    <w:sz w:val="22"/>
                    <w:szCs w:val="22"/>
                    <w:lang w:eastAsia="lt-LT"/>
                  </w:rPr>
                  <w:t xml:space="preserve"> </w:t>
                </w:r>
                <w:r>
                  <w:rPr>
                    <w:szCs w:val="24"/>
                    <w:lang w:eastAsia="lt-LT"/>
                  </w:rPr>
                  <w:t xml:space="preserve">lauko treniruoklių kompleksų smulkųjį remontą (atnaujinti rankenas, naudojimosi užrašus, atlikti būtinus perdažymus). </w:t>
                </w:r>
              </w:p>
              <w:p>
                <w:pPr>
                  <w:rPr>
                    <w:sz w:val="4"/>
                    <w:szCs w:val="4"/>
                  </w:rPr>
                </w:pPr>
              </w:p>
              <w:p>
                <w:pPr>
                  <w:ind w:firstLine="318"/>
                  <w:jc w:val="both"/>
                  <w:rPr>
                    <w:szCs w:val="24"/>
                    <w:lang w:eastAsia="lt-LT"/>
                  </w:rPr>
                </w:pPr>
                <w:r>
                  <w:rPr>
                    <w:szCs w:val="24"/>
                    <w:lang w:eastAsia="lt-LT"/>
                  </w:rPr>
                  <w:t>Įgyvendinant veiklą „Sporto renginių savivaldybėje ar partnerio teisėmis organizavimas“ numatyta iš dalies finansuoti 12 kūno kultūros ir sporto projektų pagal Neringos savivaldybės tarybos nustatytą tvarką, įsteigti savivaldybės apdovanojimus 4-iems partnerio teisėmis organizuojamiems renginiams. Šiai veiklai siekiama pritraukti valstybės lėšų, pateikiant paraišką ŠMSM Sporto ir laisvalaikio festivalio „Sveika, Neringa!“ finansavimui gauti (projekto būsena – vertinama).</w:t>
                </w:r>
              </w:p>
              <w:p>
                <w:pPr>
                  <w:rPr>
                    <w:sz w:val="4"/>
                    <w:szCs w:val="4"/>
                  </w:rPr>
                </w:pPr>
              </w:p>
              <w:p>
                <w:pPr>
                  <w:ind w:firstLine="318"/>
                  <w:jc w:val="both"/>
                  <w:rPr>
                    <w:szCs w:val="24"/>
                    <w:lang w:eastAsia="lt-LT"/>
                  </w:rPr>
                </w:pPr>
                <w:r>
                  <w:rPr>
                    <w:szCs w:val="24"/>
                    <w:lang w:eastAsia="lt-LT"/>
                  </w:rPr>
                  <w:t>Įgyvendinant veiklą „Geriausiųjų sportininkų skatinimas“ numatyta skatinti sportininkus, pasiekusius aukštus sportinius rezultatus sporto varžybose pagal Neringos savivaldybės tarybos nustatytą tvarką.</w:t>
                </w:r>
              </w:p>
            </w:tc>
          </w:tr>
          <w:tr>
            <w:trPr>
              <w:gridAfter w:val="2"/>
              <w:wAfter w:w="116" w:type="pct"/>
              <w:trHeight w:val="354"/>
            </w:trPr>
            <w:tc>
              <w:tcPr>
                <w:tcW w:w="901" w:type="pc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2"/>
                    <w:lang w:eastAsia="lt-LT"/>
                  </w:rPr>
                </w:pPr>
                <w:r>
                  <w:rPr>
                    <w:szCs w:val="22"/>
                    <w:lang w:eastAsia="lt-LT"/>
                  </w:rPr>
                  <w:t>1</w:t>
                </w:r>
              </w:p>
            </w:tc>
            <w:tc>
              <w:tcPr>
                <w:tcW w:w="3983" w:type="pct"/>
                <w:gridSpan w:val="8"/>
                <w:tcBorders>
                  <w:top w:val="single" w:sz="4" w:space="0" w:color="auto"/>
                  <w:left w:val="nil"/>
                  <w:bottom w:val="single" w:sz="4" w:space="0" w:color="auto"/>
                  <w:right w:val="single" w:sz="4" w:space="0" w:color="auto"/>
                </w:tcBorders>
                <w:shd w:val="clear" w:color="auto" w:fill="auto"/>
                <w:vAlign w:val="center"/>
                <w:hideMark/>
              </w:tcPr>
              <w:p>
                <w:pPr>
                  <w:rPr>
                    <w:szCs w:val="22"/>
                    <w:lang w:eastAsia="lt-LT"/>
                  </w:rPr>
                </w:pPr>
                <w:r>
                  <w:rPr>
                    <w:szCs w:val="22"/>
                    <w:lang w:eastAsia="lt-LT"/>
                  </w:rPr>
                  <w:t>Fiziniam aktyvumui skirtos infrastruktūros ir erdvių sukūrimas, atnaujinimas ir pritaikymas</w:t>
                </w:r>
              </w:p>
            </w:tc>
          </w:tr>
          <w:tr>
            <w:trPr>
              <w:gridAfter w:val="2"/>
              <w:wAfter w:w="116" w:type="pct"/>
              <w:trHeight w:val="318"/>
            </w:trPr>
            <w:tc>
              <w:tcPr>
                <w:tcW w:w="901" w:type="pct"/>
                <w:tcBorders>
                  <w:top w:val="nil"/>
                  <w:left w:val="single" w:sz="4" w:space="0" w:color="auto"/>
                  <w:bottom w:val="single" w:sz="4" w:space="0" w:color="auto"/>
                  <w:right w:val="single" w:sz="4" w:space="0" w:color="auto"/>
                </w:tcBorders>
                <w:shd w:val="clear" w:color="auto" w:fill="auto"/>
                <w:hideMark/>
              </w:tcPr>
              <w:p>
                <w:pPr>
                  <w:jc w:val="center"/>
                  <w:rPr>
                    <w:szCs w:val="22"/>
                    <w:lang w:eastAsia="lt-LT"/>
                  </w:rPr>
                </w:pPr>
                <w:r>
                  <w:rPr>
                    <w:szCs w:val="22"/>
                    <w:lang w:eastAsia="lt-LT"/>
                  </w:rPr>
                  <w:t>2</w:t>
                </w:r>
              </w:p>
            </w:tc>
            <w:tc>
              <w:tcPr>
                <w:tcW w:w="3983" w:type="pct"/>
                <w:gridSpan w:val="8"/>
                <w:tcBorders>
                  <w:top w:val="single" w:sz="4" w:space="0" w:color="auto"/>
                  <w:left w:val="nil"/>
                  <w:bottom w:val="single" w:sz="4" w:space="0" w:color="auto"/>
                  <w:right w:val="single" w:sz="4" w:space="0" w:color="auto"/>
                </w:tcBorders>
                <w:shd w:val="clear" w:color="auto" w:fill="auto"/>
                <w:vAlign w:val="center"/>
                <w:hideMark/>
              </w:tcPr>
              <w:p>
                <w:pPr>
                  <w:rPr>
                    <w:szCs w:val="22"/>
                    <w:lang w:eastAsia="lt-LT"/>
                  </w:rPr>
                </w:pPr>
                <w:r>
                  <w:rPr>
                    <w:szCs w:val="22"/>
                    <w:lang w:eastAsia="lt-LT"/>
                  </w:rPr>
                  <w:t>Sporto renginių organizavimas ir sporto propagavimas</w:t>
                </w:r>
              </w:p>
            </w:tc>
          </w:tr>
          <w:tr>
            <w:trPr>
              <w:gridAfter w:val="2"/>
              <w:wAfter w:w="116" w:type="pct"/>
              <w:trHeight w:val="439"/>
            </w:trPr>
            <w:tc>
              <w:tcPr>
                <w:tcW w:w="4884" w:type="pct"/>
                <w:gridSpan w:val="9"/>
                <w:tcBorders>
                  <w:top w:val="nil"/>
                  <w:left w:val="single" w:sz="8" w:space="0" w:color="auto"/>
                  <w:bottom w:val="single" w:sz="8" w:space="0" w:color="auto"/>
                  <w:right w:val="single" w:sz="4" w:space="0" w:color="auto"/>
                </w:tcBorders>
                <w:shd w:val="clear" w:color="auto" w:fill="D9D9D9" w:themeFill="background1" w:themeFillShade="D9"/>
                <w:vAlign w:val="center"/>
                <w:hideMark/>
              </w:tcPr>
              <w:p>
                <w:pPr>
                  <w:jc w:val="center"/>
                  <w:rPr>
                    <w:b/>
                    <w:bCs/>
                    <w:szCs w:val="22"/>
                    <w:lang w:eastAsia="lt-LT"/>
                  </w:rPr>
                </w:pPr>
                <w:r>
                  <w:rPr>
                    <w:b/>
                    <w:bCs/>
                    <w:szCs w:val="22"/>
                    <w:lang w:eastAsia="lt-LT"/>
                  </w:rPr>
                  <w:t>2.2. tikslo rezultato vertinimo kriterijai</w:t>
                </w:r>
              </w:p>
              <w:p>
                <w:pPr>
                  <w:jc w:val="center"/>
                  <w:rPr>
                    <w:b/>
                    <w:bCs/>
                    <w:szCs w:val="22"/>
                    <w:lang w:eastAsia="lt-LT"/>
                  </w:rPr>
                </w:pPr>
              </w:p>
            </w:tc>
          </w:tr>
          <w:tr>
            <w:trPr>
              <w:gridAfter w:val="2"/>
              <w:wAfter w:w="116" w:type="pct"/>
              <w:trHeight w:val="697"/>
            </w:trPr>
            <w:tc>
              <w:tcPr>
                <w:tcW w:w="901" w:type="pct"/>
                <w:vMerge w:val="restart"/>
                <w:tcBorders>
                  <w:top w:val="nil"/>
                  <w:left w:val="single" w:sz="8" w:space="0" w:color="auto"/>
                  <w:bottom w:val="nil"/>
                  <w:right w:val="single" w:sz="8" w:space="0" w:color="auto"/>
                </w:tcBorders>
                <w:shd w:val="clear" w:color="auto" w:fill="auto"/>
                <w:hideMark/>
              </w:tcPr>
              <w:p>
                <w:pPr>
                  <w:jc w:val="both"/>
                  <w:rPr>
                    <w:b/>
                    <w:szCs w:val="22"/>
                    <w:lang w:eastAsia="lt-LT"/>
                  </w:rPr>
                </w:pPr>
                <w:r>
                  <w:rPr>
                    <w:b/>
                    <w:szCs w:val="22"/>
                    <w:lang w:eastAsia="lt-LT"/>
                  </w:rPr>
                  <w:t>Kodas</w:t>
                </w:r>
              </w:p>
            </w:tc>
            <w:tc>
              <w:tcPr>
                <w:tcW w:w="1186" w:type="pct"/>
                <w:vMerge w:val="restart"/>
                <w:tcBorders>
                  <w:top w:val="single" w:sz="8" w:space="0" w:color="auto"/>
                  <w:left w:val="single" w:sz="8" w:space="0" w:color="auto"/>
                  <w:bottom w:val="nil"/>
                  <w:right w:val="single" w:sz="8" w:space="0" w:color="000000"/>
                </w:tcBorders>
                <w:shd w:val="clear" w:color="auto" w:fill="auto"/>
                <w:hideMark/>
              </w:tcPr>
              <w:p>
                <w:pPr>
                  <w:jc w:val="both"/>
                  <w:rPr>
                    <w:b/>
                    <w:szCs w:val="22"/>
                    <w:lang w:eastAsia="lt-LT"/>
                  </w:rPr>
                </w:pPr>
                <w:r>
                  <w:rPr>
                    <w:b/>
                    <w:szCs w:val="22"/>
                    <w:lang w:eastAsia="lt-LT"/>
                  </w:rPr>
                  <w:t>Kriterijaus pavadinimas, mato vnt.</w:t>
                </w:r>
              </w:p>
            </w:tc>
            <w:tc>
              <w:tcPr>
                <w:tcW w:w="816" w:type="pct"/>
                <w:vMerge w:val="restart"/>
                <w:tcBorders>
                  <w:top w:val="nil"/>
                  <w:left w:val="single" w:sz="8" w:space="0" w:color="auto"/>
                  <w:bottom w:val="nil"/>
                  <w:right w:val="single" w:sz="8" w:space="0" w:color="auto"/>
                </w:tcBorders>
                <w:shd w:val="clear" w:color="auto" w:fill="auto"/>
                <w:hideMark/>
              </w:tcPr>
              <w:p>
                <w:pPr>
                  <w:jc w:val="center"/>
                  <w:rPr>
                    <w:b/>
                    <w:szCs w:val="22"/>
                    <w:lang w:eastAsia="lt-LT"/>
                  </w:rPr>
                </w:pPr>
                <w:r>
                  <w:rPr>
                    <w:b/>
                    <w:szCs w:val="22"/>
                    <w:lang w:eastAsia="lt-LT"/>
                  </w:rPr>
                  <w:t>Savivaldybės skyrius, atsakingas už rodiklio reikšmių pateikimą</w:t>
                </w:r>
              </w:p>
            </w:tc>
            <w:tc>
              <w:tcPr>
                <w:tcW w:w="1981" w:type="pct"/>
                <w:gridSpan w:val="6"/>
                <w:tcBorders>
                  <w:top w:val="single" w:sz="8" w:space="0" w:color="auto"/>
                  <w:left w:val="nil"/>
                  <w:bottom w:val="single" w:sz="8" w:space="0" w:color="auto"/>
                  <w:right w:val="single" w:sz="4" w:space="0" w:color="auto"/>
                </w:tcBorders>
                <w:shd w:val="clear" w:color="auto" w:fill="auto"/>
                <w:hideMark/>
              </w:tcPr>
              <w:p>
                <w:pPr>
                  <w:jc w:val="center"/>
                  <w:rPr>
                    <w:b/>
                    <w:szCs w:val="22"/>
                    <w:lang w:eastAsia="lt-LT"/>
                  </w:rPr>
                </w:pPr>
                <w:r>
                  <w:rPr>
                    <w:b/>
                    <w:szCs w:val="22"/>
                    <w:lang w:eastAsia="lt-LT"/>
                  </w:rPr>
                  <w:t>Kriterijaus reikšmė, metais</w:t>
                </w:r>
              </w:p>
            </w:tc>
          </w:tr>
          <w:tr>
            <w:trPr>
              <w:gridAfter w:val="1"/>
              <w:wAfter w:w="106" w:type="pct"/>
              <w:trHeight w:val="509"/>
            </w:trPr>
            <w:tc>
              <w:tcPr>
                <w:tcW w:w="901" w:type="pct"/>
                <w:vMerge/>
                <w:tcBorders>
                  <w:top w:val="nil"/>
                  <w:left w:val="single" w:sz="8" w:space="0" w:color="auto"/>
                  <w:bottom w:val="nil"/>
                  <w:right w:val="single" w:sz="8" w:space="0" w:color="auto"/>
                </w:tcBorders>
                <w:shd w:val="clear" w:color="auto" w:fill="auto"/>
                <w:vAlign w:val="center"/>
                <w:hideMark/>
              </w:tcPr>
              <w:p>
                <w:pPr>
                  <w:rPr>
                    <w:b/>
                    <w:szCs w:val="22"/>
                    <w:lang w:eastAsia="lt-LT"/>
                  </w:rPr>
                </w:pPr>
              </w:p>
            </w:tc>
            <w:tc>
              <w:tcPr>
                <w:tcW w:w="1186" w:type="pct"/>
                <w:vMerge/>
                <w:tcBorders>
                  <w:top w:val="single" w:sz="8" w:space="0" w:color="auto"/>
                  <w:left w:val="single" w:sz="8" w:space="0" w:color="auto"/>
                  <w:bottom w:val="nil"/>
                  <w:right w:val="single" w:sz="8" w:space="0" w:color="000000"/>
                </w:tcBorders>
                <w:vAlign w:val="center"/>
                <w:hideMark/>
              </w:tcPr>
              <w:p>
                <w:pPr>
                  <w:rPr>
                    <w:b/>
                    <w:szCs w:val="22"/>
                    <w:lang w:eastAsia="lt-LT"/>
                  </w:rPr>
                </w:pPr>
              </w:p>
            </w:tc>
            <w:tc>
              <w:tcPr>
                <w:tcW w:w="816" w:type="pct"/>
                <w:vMerge/>
                <w:tcBorders>
                  <w:top w:val="nil"/>
                  <w:left w:val="single" w:sz="8" w:space="0" w:color="auto"/>
                  <w:bottom w:val="nil"/>
                  <w:right w:val="single" w:sz="8" w:space="0" w:color="auto"/>
                </w:tcBorders>
                <w:vAlign w:val="center"/>
                <w:hideMark/>
              </w:tcPr>
              <w:p>
                <w:pPr>
                  <w:rPr>
                    <w:b/>
                    <w:szCs w:val="22"/>
                    <w:lang w:eastAsia="lt-LT"/>
                  </w:rPr>
                </w:pPr>
              </w:p>
            </w:tc>
            <w:tc>
              <w:tcPr>
                <w:tcW w:w="624" w:type="pct"/>
                <w:vMerge w:val="restart"/>
                <w:tcBorders>
                  <w:top w:val="nil"/>
                  <w:left w:val="single" w:sz="8" w:space="0" w:color="auto"/>
                  <w:bottom w:val="nil"/>
                  <w:right w:val="single" w:sz="8" w:space="0" w:color="auto"/>
                </w:tcBorders>
                <w:shd w:val="clear" w:color="auto" w:fill="auto"/>
                <w:hideMark/>
              </w:tcPr>
              <w:p>
                <w:pPr>
                  <w:jc w:val="center"/>
                  <w:rPr>
                    <w:b/>
                    <w:szCs w:val="22"/>
                    <w:lang w:eastAsia="lt-LT"/>
                  </w:rPr>
                </w:pPr>
                <w:r>
                  <w:rPr>
                    <w:b/>
                    <w:szCs w:val="22"/>
                    <w:lang w:eastAsia="lt-LT"/>
                  </w:rPr>
                  <w:t>2022</w:t>
                </w:r>
              </w:p>
            </w:tc>
            <w:tc>
              <w:tcPr>
                <w:tcW w:w="617" w:type="pct"/>
                <w:gridSpan w:val="2"/>
                <w:vMerge w:val="restart"/>
                <w:tcBorders>
                  <w:top w:val="single" w:sz="8" w:space="0" w:color="auto"/>
                  <w:left w:val="single" w:sz="8" w:space="0" w:color="auto"/>
                  <w:bottom w:val="nil"/>
                  <w:right w:val="single" w:sz="8" w:space="0" w:color="000000"/>
                </w:tcBorders>
                <w:shd w:val="clear" w:color="auto" w:fill="auto"/>
                <w:hideMark/>
              </w:tcPr>
              <w:p>
                <w:pPr>
                  <w:jc w:val="center"/>
                  <w:rPr>
                    <w:b/>
                    <w:szCs w:val="22"/>
                    <w:lang w:eastAsia="lt-LT"/>
                  </w:rPr>
                </w:pPr>
                <w:r>
                  <w:rPr>
                    <w:b/>
                    <w:szCs w:val="22"/>
                    <w:lang w:eastAsia="lt-LT"/>
                  </w:rPr>
                  <w:t>2023</w:t>
                </w:r>
              </w:p>
            </w:tc>
            <w:tc>
              <w:tcPr>
                <w:tcW w:w="750" w:type="pct"/>
                <w:gridSpan w:val="4"/>
                <w:vMerge w:val="restart"/>
                <w:tcBorders>
                  <w:top w:val="single" w:sz="8" w:space="0" w:color="auto"/>
                  <w:left w:val="single" w:sz="8" w:space="0" w:color="auto"/>
                  <w:bottom w:val="single" w:sz="8" w:space="0" w:color="000000"/>
                  <w:right w:val="single" w:sz="4" w:space="0" w:color="auto"/>
                </w:tcBorders>
                <w:shd w:val="clear" w:color="auto" w:fill="auto"/>
                <w:hideMark/>
              </w:tcPr>
              <w:p>
                <w:pPr>
                  <w:jc w:val="center"/>
                  <w:rPr>
                    <w:b/>
                    <w:szCs w:val="22"/>
                    <w:lang w:eastAsia="lt-LT"/>
                  </w:rPr>
                </w:pPr>
                <w:r>
                  <w:rPr>
                    <w:b/>
                    <w:szCs w:val="22"/>
                    <w:lang w:eastAsia="lt-LT"/>
                  </w:rPr>
                  <w:t>2024</w:t>
                </w:r>
              </w:p>
            </w:tc>
          </w:tr>
          <w:tr>
            <w:trPr>
              <w:gridAfter w:val="1"/>
              <w:wAfter w:w="106" w:type="pct"/>
              <w:trHeight w:val="509"/>
            </w:trPr>
            <w:tc>
              <w:tcPr>
                <w:tcW w:w="901" w:type="pct"/>
                <w:vMerge/>
                <w:tcBorders>
                  <w:top w:val="nil"/>
                  <w:left w:val="single" w:sz="8" w:space="0" w:color="auto"/>
                  <w:bottom w:val="nil"/>
                  <w:right w:val="single" w:sz="8" w:space="0" w:color="auto"/>
                </w:tcBorders>
                <w:shd w:val="clear" w:color="auto" w:fill="auto"/>
                <w:vAlign w:val="center"/>
                <w:hideMark/>
              </w:tcPr>
              <w:p>
                <w:pPr>
                  <w:rPr>
                    <w:szCs w:val="22"/>
                    <w:lang w:eastAsia="lt-LT"/>
                  </w:rPr>
                </w:pPr>
              </w:p>
            </w:tc>
            <w:tc>
              <w:tcPr>
                <w:tcW w:w="1186" w:type="pct"/>
                <w:vMerge/>
                <w:tcBorders>
                  <w:top w:val="single" w:sz="8" w:space="0" w:color="auto"/>
                  <w:left w:val="single" w:sz="8" w:space="0" w:color="auto"/>
                  <w:bottom w:val="nil"/>
                  <w:right w:val="single" w:sz="8" w:space="0" w:color="000000"/>
                </w:tcBorders>
                <w:vAlign w:val="center"/>
                <w:hideMark/>
              </w:tcPr>
              <w:p>
                <w:pPr>
                  <w:rPr>
                    <w:szCs w:val="22"/>
                    <w:lang w:eastAsia="lt-LT"/>
                  </w:rPr>
                </w:pPr>
              </w:p>
            </w:tc>
            <w:tc>
              <w:tcPr>
                <w:tcW w:w="816" w:type="pct"/>
                <w:vMerge/>
                <w:tcBorders>
                  <w:top w:val="nil"/>
                  <w:left w:val="single" w:sz="8" w:space="0" w:color="auto"/>
                  <w:bottom w:val="single" w:sz="4" w:space="0" w:color="auto"/>
                  <w:right w:val="single" w:sz="8" w:space="0" w:color="auto"/>
                </w:tcBorders>
                <w:vAlign w:val="center"/>
                <w:hideMark/>
              </w:tcPr>
              <w:p>
                <w:pPr>
                  <w:rPr>
                    <w:szCs w:val="22"/>
                    <w:lang w:eastAsia="lt-LT"/>
                  </w:rPr>
                </w:pPr>
              </w:p>
            </w:tc>
            <w:tc>
              <w:tcPr>
                <w:tcW w:w="624" w:type="pct"/>
                <w:vMerge/>
                <w:tcBorders>
                  <w:top w:val="nil"/>
                  <w:left w:val="single" w:sz="8" w:space="0" w:color="auto"/>
                  <w:bottom w:val="nil"/>
                  <w:right w:val="single" w:sz="8" w:space="0" w:color="auto"/>
                </w:tcBorders>
                <w:vAlign w:val="center"/>
                <w:hideMark/>
              </w:tcPr>
              <w:p>
                <w:pPr>
                  <w:rPr>
                    <w:szCs w:val="22"/>
                    <w:lang w:eastAsia="lt-LT"/>
                  </w:rPr>
                </w:pPr>
              </w:p>
            </w:tc>
            <w:tc>
              <w:tcPr>
                <w:tcW w:w="617" w:type="pct"/>
                <w:gridSpan w:val="2"/>
                <w:vMerge/>
                <w:tcBorders>
                  <w:top w:val="single" w:sz="8" w:space="0" w:color="auto"/>
                  <w:left w:val="single" w:sz="8" w:space="0" w:color="auto"/>
                  <w:bottom w:val="nil"/>
                  <w:right w:val="single" w:sz="8" w:space="0" w:color="000000"/>
                </w:tcBorders>
                <w:vAlign w:val="center"/>
                <w:hideMark/>
              </w:tcPr>
              <w:p>
                <w:pPr>
                  <w:rPr>
                    <w:szCs w:val="22"/>
                    <w:lang w:eastAsia="lt-LT"/>
                  </w:rPr>
                </w:pPr>
              </w:p>
            </w:tc>
            <w:tc>
              <w:tcPr>
                <w:tcW w:w="750" w:type="pct"/>
                <w:gridSpan w:val="4"/>
                <w:vMerge/>
                <w:tcBorders>
                  <w:top w:val="single" w:sz="8" w:space="0" w:color="auto"/>
                  <w:left w:val="single" w:sz="8" w:space="0" w:color="auto"/>
                  <w:bottom w:val="single" w:sz="8" w:space="0" w:color="000000"/>
                  <w:right w:val="single" w:sz="4" w:space="0" w:color="auto"/>
                </w:tcBorders>
                <w:vAlign w:val="center"/>
                <w:hideMark/>
              </w:tcPr>
              <w:p>
                <w:pPr>
                  <w:rPr>
                    <w:szCs w:val="22"/>
                    <w:lang w:eastAsia="lt-LT"/>
                  </w:rPr>
                </w:pPr>
              </w:p>
            </w:tc>
          </w:tr>
          <w:tr>
            <w:trPr>
              <w:gridAfter w:val="1"/>
              <w:wAfter w:w="106" w:type="pct"/>
              <w:trHeight w:val="788"/>
            </w:trPr>
            <w:tc>
              <w:tcPr>
                <w:tcW w:w="901" w:type="pct"/>
                <w:tcBorders>
                  <w:top w:val="single" w:sz="4" w:space="0" w:color="auto"/>
                  <w:left w:val="single" w:sz="4" w:space="0" w:color="auto"/>
                  <w:bottom w:val="single" w:sz="4" w:space="0" w:color="auto"/>
                  <w:right w:val="single" w:sz="4" w:space="0" w:color="auto"/>
                </w:tcBorders>
                <w:shd w:val="clear" w:color="auto" w:fill="auto"/>
                <w:hideMark/>
              </w:tcPr>
              <w:p>
                <w:pPr>
                  <w:jc w:val="both"/>
                  <w:rPr>
                    <w:szCs w:val="22"/>
                    <w:lang w:eastAsia="lt-LT"/>
                  </w:rPr>
                </w:pPr>
                <w:r>
                  <w:rPr>
                    <w:szCs w:val="22"/>
                    <w:lang w:eastAsia="lt-LT"/>
                  </w:rPr>
                  <w:t>R-02-02-01</w:t>
                </w:r>
              </w:p>
            </w:tc>
            <w:tc>
              <w:tcPr>
                <w:tcW w:w="1186" w:type="pct"/>
                <w:tcBorders>
                  <w:top w:val="single" w:sz="4" w:space="0" w:color="auto"/>
                  <w:left w:val="nil"/>
                  <w:bottom w:val="single" w:sz="4" w:space="0" w:color="auto"/>
                  <w:right w:val="single" w:sz="4" w:space="0" w:color="auto"/>
                </w:tcBorders>
                <w:shd w:val="clear" w:color="auto" w:fill="auto"/>
              </w:tcPr>
              <w:p>
                <w:pPr>
                  <w:spacing w:line="276" w:lineRule="auto"/>
                  <w:rPr>
                    <w:szCs w:val="24"/>
                    <w:lang w:eastAsia="lt-LT"/>
                  </w:rPr>
                </w:pPr>
                <w:r>
                  <w:rPr>
                    <w:rFonts w:eastAsia="Calibri"/>
                    <w:szCs w:val="24"/>
                    <w:lang w:eastAsia="lt-LT"/>
                  </w:rPr>
                  <w:t xml:space="preserve">Sporto renginiuose dalyvavusių dalyvių pasitenkinimo lygis, proc. </w:t>
                </w:r>
                <w:r>
                  <w:rPr>
                    <w:szCs w:val="24"/>
                    <w:lang w:eastAsia="lt-LT"/>
                  </w:rPr>
                  <w:t xml:space="preserve"> </w:t>
                </w:r>
              </w:p>
              <w:p>
                <w:pPr>
                  <w:spacing w:line="276" w:lineRule="auto"/>
                  <w:rPr>
                    <w:rFonts w:eastAsia="Calibri"/>
                    <w:szCs w:val="24"/>
                    <w:lang w:eastAsia="lt-LT"/>
                  </w:rPr>
                </w:pPr>
              </w:p>
            </w:tc>
            <w:tc>
              <w:tcPr>
                <w:tcW w:w="816" w:type="pc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2"/>
                    <w:lang w:eastAsia="lt-LT"/>
                  </w:rPr>
                </w:pPr>
                <w:r>
                  <w:rPr>
                    <w:szCs w:val="22"/>
                    <w:lang w:eastAsia="lt-LT"/>
                  </w:rPr>
                  <w:t>Švietimo skyrius</w:t>
                </w:r>
              </w:p>
            </w:tc>
            <w:tc>
              <w:tcPr>
                <w:tcW w:w="624" w:type="pct"/>
                <w:tcBorders>
                  <w:top w:val="single" w:sz="4" w:space="0" w:color="auto"/>
                  <w:left w:val="nil"/>
                  <w:bottom w:val="single" w:sz="4" w:space="0" w:color="auto"/>
                  <w:right w:val="single" w:sz="4" w:space="0" w:color="auto"/>
                </w:tcBorders>
                <w:shd w:val="clear" w:color="auto" w:fill="auto"/>
              </w:tcPr>
              <w:p>
                <w:pPr>
                  <w:jc w:val="center"/>
                  <w:rPr>
                    <w:szCs w:val="22"/>
                    <w:lang w:val="en-US" w:eastAsia="lt-LT"/>
                  </w:rPr>
                </w:pPr>
                <w:r>
                  <w:rPr>
                    <w:szCs w:val="22"/>
                    <w:lang w:eastAsia="lt-LT"/>
                  </w:rPr>
                  <w:t xml:space="preserve">80 </w:t>
                </w:r>
                <w:r>
                  <w:rPr>
                    <w:szCs w:val="22"/>
                    <w:lang w:val="en-US" w:eastAsia="lt-LT"/>
                  </w:rPr>
                  <w:t>%</w:t>
                </w:r>
              </w:p>
            </w:tc>
            <w:tc>
              <w:tcPr>
                <w:tcW w:w="617" w:type="pct"/>
                <w:gridSpan w:val="2"/>
                <w:tcBorders>
                  <w:top w:val="single" w:sz="4" w:space="0" w:color="auto"/>
                  <w:left w:val="nil"/>
                  <w:bottom w:val="single" w:sz="4" w:space="0" w:color="auto"/>
                  <w:right w:val="single" w:sz="4" w:space="0" w:color="000000"/>
                </w:tcBorders>
                <w:shd w:val="clear" w:color="auto" w:fill="auto"/>
              </w:tcPr>
              <w:p>
                <w:pPr>
                  <w:jc w:val="center"/>
                  <w:rPr>
                    <w:szCs w:val="22"/>
                    <w:lang w:eastAsia="lt-LT"/>
                  </w:rPr>
                </w:pPr>
                <w:r>
                  <w:rPr>
                    <w:szCs w:val="22"/>
                    <w:lang w:eastAsia="lt-LT"/>
                  </w:rPr>
                  <w:t>80 %</w:t>
                </w:r>
              </w:p>
            </w:tc>
            <w:tc>
              <w:tcPr>
                <w:tcW w:w="750" w:type="pct"/>
                <w:gridSpan w:val="4"/>
                <w:tcBorders>
                  <w:top w:val="single" w:sz="4" w:space="0" w:color="auto"/>
                  <w:left w:val="nil"/>
                  <w:bottom w:val="single" w:sz="4" w:space="0" w:color="auto"/>
                  <w:right w:val="single" w:sz="4" w:space="0" w:color="000000"/>
                </w:tcBorders>
                <w:shd w:val="clear" w:color="auto" w:fill="auto"/>
              </w:tcPr>
              <w:p>
                <w:pPr>
                  <w:jc w:val="center"/>
                  <w:rPr>
                    <w:szCs w:val="22"/>
                    <w:lang w:eastAsia="lt-LT"/>
                  </w:rPr>
                </w:pPr>
                <w:r>
                  <w:rPr>
                    <w:szCs w:val="22"/>
                    <w:lang w:eastAsia="lt-LT"/>
                  </w:rPr>
                  <w:t>80 %</w:t>
                </w:r>
              </w:p>
            </w:tc>
          </w:tr>
          <w:tr>
            <w:trPr>
              <w:gridAfter w:val="1"/>
              <w:wAfter w:w="106" w:type="pct"/>
              <w:trHeight w:val="991"/>
            </w:trPr>
            <w:tc>
              <w:tcPr>
                <w:tcW w:w="901" w:type="pct"/>
                <w:tcBorders>
                  <w:top w:val="nil"/>
                  <w:left w:val="single" w:sz="4" w:space="0" w:color="auto"/>
                  <w:bottom w:val="single" w:sz="4" w:space="0" w:color="auto"/>
                  <w:right w:val="single" w:sz="4" w:space="0" w:color="auto"/>
                </w:tcBorders>
                <w:shd w:val="clear" w:color="auto" w:fill="auto"/>
                <w:hideMark/>
              </w:tcPr>
              <w:p>
                <w:pPr>
                  <w:rPr>
                    <w:szCs w:val="22"/>
                    <w:lang w:eastAsia="lt-LT"/>
                  </w:rPr>
                </w:pPr>
                <w:r>
                  <w:rPr>
                    <w:szCs w:val="22"/>
                    <w:lang w:eastAsia="lt-LT"/>
                  </w:rPr>
                  <w:t>R-02-02-02</w:t>
                </w:r>
              </w:p>
            </w:tc>
            <w:tc>
              <w:tcPr>
                <w:tcW w:w="1186" w:type="pct"/>
                <w:tcBorders>
                  <w:top w:val="single" w:sz="4" w:space="0" w:color="auto"/>
                  <w:left w:val="nil"/>
                  <w:bottom w:val="single" w:sz="4" w:space="0" w:color="auto"/>
                  <w:right w:val="single" w:sz="4" w:space="0" w:color="auto"/>
                </w:tcBorders>
                <w:shd w:val="clear" w:color="auto" w:fill="auto"/>
                <w:vAlign w:val="center"/>
              </w:tcPr>
              <w:p>
                <w:pPr>
                  <w:rPr>
                    <w:rFonts w:eastAsia="Calibri"/>
                    <w:szCs w:val="24"/>
                    <w:lang w:eastAsia="lt-LT"/>
                  </w:rPr>
                </w:pPr>
                <w:r>
                  <w:rPr>
                    <w:rFonts w:eastAsia="Calibri"/>
                    <w:szCs w:val="24"/>
                    <w:lang w:eastAsia="lt-LT"/>
                  </w:rPr>
                  <w:t>Atnaujintos ir įrengtos sporto zonos ir infrastruktūra, skaič.</w:t>
                </w:r>
              </w:p>
              <w:p>
                <w:pPr>
                  <w:rPr>
                    <w:rFonts w:eastAsia="Calibri"/>
                    <w:szCs w:val="24"/>
                    <w:lang w:eastAsia="lt-LT"/>
                  </w:rPr>
                </w:pPr>
              </w:p>
              <w:p>
                <w:pPr>
                  <w:rPr>
                    <w:szCs w:val="24"/>
                    <w:lang w:eastAsia="lt-LT"/>
                  </w:rPr>
                </w:pPr>
              </w:p>
            </w:tc>
            <w:tc>
              <w:tcPr>
                <w:tcW w:w="816" w:type="pct"/>
                <w:tcBorders>
                  <w:top w:val="single" w:sz="4" w:space="0" w:color="auto"/>
                  <w:left w:val="single" w:sz="4" w:space="0" w:color="auto"/>
                  <w:bottom w:val="single" w:sz="4" w:space="0" w:color="000000"/>
                  <w:right w:val="single" w:sz="4" w:space="0" w:color="auto"/>
                </w:tcBorders>
                <w:shd w:val="clear" w:color="auto" w:fill="auto"/>
                <w:vAlign w:val="center"/>
              </w:tcPr>
              <w:p>
                <w:pPr>
                  <w:rPr>
                    <w:szCs w:val="22"/>
                    <w:lang w:eastAsia="lt-LT"/>
                  </w:rPr>
                </w:pPr>
                <w:r>
                  <w:rPr>
                    <w:szCs w:val="22"/>
                    <w:lang w:eastAsia="lt-LT"/>
                  </w:rPr>
                  <w:t>Švietimo skyrius</w:t>
                </w:r>
              </w:p>
            </w:tc>
            <w:tc>
              <w:tcPr>
                <w:tcW w:w="624" w:type="pct"/>
                <w:tcBorders>
                  <w:top w:val="nil"/>
                  <w:left w:val="nil"/>
                  <w:bottom w:val="single" w:sz="4" w:space="0" w:color="auto"/>
                  <w:right w:val="single" w:sz="4" w:space="0" w:color="auto"/>
                </w:tcBorders>
                <w:shd w:val="clear" w:color="auto" w:fill="auto"/>
              </w:tcPr>
              <w:p>
                <w:pPr>
                  <w:jc w:val="center"/>
                  <w:rPr>
                    <w:szCs w:val="22"/>
                    <w:lang w:eastAsia="lt-LT"/>
                  </w:rPr>
                </w:pPr>
                <w:r>
                  <w:rPr>
                    <w:szCs w:val="22"/>
                    <w:lang w:eastAsia="lt-LT"/>
                  </w:rPr>
                  <w:t>11</w:t>
                </w:r>
              </w:p>
            </w:tc>
            <w:tc>
              <w:tcPr>
                <w:tcW w:w="617" w:type="pct"/>
                <w:gridSpan w:val="2"/>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12</w:t>
                </w:r>
              </w:p>
            </w:tc>
            <w:tc>
              <w:tcPr>
                <w:tcW w:w="750" w:type="pct"/>
                <w:gridSpan w:val="4"/>
                <w:tcBorders>
                  <w:top w:val="single" w:sz="4" w:space="0" w:color="auto"/>
                  <w:left w:val="nil"/>
                  <w:bottom w:val="single" w:sz="4" w:space="0" w:color="auto"/>
                  <w:right w:val="single" w:sz="4" w:space="0" w:color="auto"/>
                </w:tcBorders>
                <w:shd w:val="clear" w:color="auto" w:fill="auto"/>
              </w:tcPr>
              <w:p>
                <w:pPr>
                  <w:jc w:val="center"/>
                  <w:rPr>
                    <w:szCs w:val="22"/>
                    <w:lang w:eastAsia="lt-LT"/>
                  </w:rPr>
                </w:pPr>
                <w:r>
                  <w:rPr>
                    <w:szCs w:val="22"/>
                    <w:lang w:eastAsia="lt-LT"/>
                  </w:rPr>
                  <w:t>12</w:t>
                </w:r>
              </w:p>
            </w:tc>
          </w:tr>
          <w:tr>
            <w:trPr>
              <w:gridAfter w:val="2"/>
              <w:wAfter w:w="116" w:type="pct"/>
              <w:trHeight w:val="509"/>
            </w:trPr>
            <w:tc>
              <w:tcPr>
                <w:tcW w:w="901" w:type="pct"/>
                <w:vMerge w:val="restart"/>
                <w:tcBorders>
                  <w:top w:val="single" w:sz="4"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r>
                  <w:rPr>
                    <w:b/>
                    <w:bCs/>
                    <w:szCs w:val="24"/>
                    <w:lang w:eastAsia="lt-LT"/>
                  </w:rPr>
                  <w:t>Galimi programos finansavimo variantai</w:t>
                </w:r>
              </w:p>
            </w:tc>
            <w:tc>
              <w:tcPr>
                <w:tcW w:w="3983" w:type="pct"/>
                <w:gridSpan w:val="8"/>
                <w:vMerge w:val="restart"/>
                <w:tcBorders>
                  <w:top w:val="single" w:sz="4" w:space="0" w:color="auto"/>
                  <w:left w:val="single" w:sz="4" w:space="0" w:color="auto"/>
                  <w:bottom w:val="single" w:sz="4" w:space="0" w:color="000000"/>
                  <w:right w:val="single" w:sz="4" w:space="0" w:color="000000"/>
                </w:tcBorders>
                <w:shd w:val="clear" w:color="auto" w:fill="auto"/>
                <w:noWrap/>
                <w:hideMark/>
              </w:tcPr>
              <w:p>
                <w:pPr>
                  <w:jc w:val="both"/>
                  <w:rPr>
                    <w:szCs w:val="24"/>
                    <w:highlight w:val="yellow"/>
                    <w:lang w:eastAsia="lt-LT"/>
                  </w:rPr>
                </w:pPr>
                <w:r>
                  <w:rPr>
                    <w:color w:val="000000"/>
                    <w:szCs w:val="24"/>
                    <w:lang w:eastAsia="lt-LT"/>
                  </w:rPr>
                  <w:t>Savivaldybės biudžeto lėšos, valstybės specialioji tikslinė mokymo lėšų dotacija, Sporto rėmimo fondo lėšos, įstaigų pajamos iš turto nuomos ir teikiamų paslaugų, dalinės rėmėjų lėšos, Europos Sąjungos struktūrinių fondų lėšos.</w:t>
                </w:r>
                <w:r>
                  <w:rPr>
                    <w:szCs w:val="24"/>
                    <w:highlight w:val="yellow"/>
                    <w:lang w:eastAsia="lt-LT"/>
                  </w:rPr>
                  <w:t xml:space="preserve"> </w:t>
                </w:r>
              </w:p>
            </w:tc>
          </w:tr>
          <w:tr>
            <w:trPr>
              <w:gridAfter w:val="2"/>
              <w:wAfter w:w="116" w:type="pct"/>
              <w:trHeight w:val="509"/>
            </w:trPr>
            <w:tc>
              <w:tcPr>
                <w:tcW w:w="901" w:type="pct"/>
                <w:vMerge/>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p>
            </w:tc>
            <w:tc>
              <w:tcPr>
                <w:tcW w:w="3983" w:type="pct"/>
                <w:gridSpan w:val="8"/>
                <w:vMerge/>
                <w:tcBorders>
                  <w:top w:val="single" w:sz="4" w:space="0" w:color="auto"/>
                  <w:left w:val="single" w:sz="4" w:space="0" w:color="auto"/>
                  <w:bottom w:val="single" w:sz="4" w:space="0" w:color="000000"/>
                  <w:right w:val="single" w:sz="4" w:space="0" w:color="000000"/>
                </w:tcBorders>
                <w:vAlign w:val="center"/>
                <w:hideMark/>
              </w:tcPr>
              <w:p>
                <w:pPr>
                  <w:rPr>
                    <w:szCs w:val="24"/>
                    <w:highlight w:val="yellow"/>
                    <w:lang w:eastAsia="lt-LT"/>
                  </w:rPr>
                </w:pPr>
              </w:p>
            </w:tc>
          </w:tr>
          <w:tr>
            <w:trPr>
              <w:gridAfter w:val="2"/>
              <w:wAfter w:w="116" w:type="pct"/>
              <w:trHeight w:val="2385"/>
            </w:trPr>
            <w:tc>
              <w:tcPr>
                <w:tcW w:w="901" w:type="pct"/>
                <w:vMerge w:val="restart"/>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r>
                  <w:rPr>
                    <w:b/>
                    <w:bCs/>
                    <w:szCs w:val="24"/>
                    <w:lang w:eastAsia="lt-LT"/>
                  </w:rPr>
                  <w:t>Neringos savivaldybės 2021–2030 metų strateginio plėtros plano dalys, susijusios su vykdoma programa</w:t>
                </w:r>
              </w:p>
            </w:tc>
            <w:tc>
              <w:tcPr>
                <w:tcW w:w="3983" w:type="pct"/>
                <w:gridSpan w:val="8"/>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pPr>
                  <w:jc w:val="both"/>
                  <w:rPr>
                    <w:szCs w:val="24"/>
                    <w:lang w:eastAsia="lt-LT"/>
                  </w:rPr>
                </w:pPr>
                <w:r>
                  <w:rPr>
                    <w:szCs w:val="24"/>
                    <w:lang w:eastAsia="lt-LT"/>
                  </w:rPr>
                  <w:t xml:space="preserve">2 prioritetas. </w:t>
                </w:r>
                <w:r>
                  <w:rPr>
                    <w:szCs w:val="22"/>
                    <w:lang w:eastAsia="lt-LT"/>
                  </w:rPr>
                  <w:t>Patrauklios aplinkos gyvenimui ir poilsiui kūrimas</w:t>
                </w:r>
              </w:p>
              <w:p>
                <w:pPr>
                  <w:jc w:val="both"/>
                  <w:rPr>
                    <w:szCs w:val="24"/>
                    <w:lang w:eastAsia="lt-LT"/>
                  </w:rPr>
                </w:pPr>
                <w:r>
                  <w:rPr>
                    <w:szCs w:val="24"/>
                    <w:lang w:eastAsia="lt-LT"/>
                  </w:rPr>
                  <w:t xml:space="preserve">2.2. tikslas. </w:t>
                </w:r>
                <w:r>
                  <w:rPr>
                    <w:szCs w:val="22"/>
                    <w:lang w:eastAsia="lt-LT"/>
                  </w:rPr>
                  <w:t>Užtikrinti kultūrai, sportui ir gyvenimui patrauklios aplinkos kūrimą</w:t>
                </w:r>
              </w:p>
              <w:p>
                <w:pPr>
                  <w:jc w:val="both"/>
                  <w:rPr>
                    <w:szCs w:val="24"/>
                    <w:lang w:eastAsia="lt-LT"/>
                  </w:rPr>
                </w:pPr>
                <w:r>
                  <w:rPr>
                    <w:szCs w:val="24"/>
                    <w:lang w:eastAsia="lt-LT"/>
                  </w:rPr>
                  <w:t xml:space="preserve">2.2.3. uždavinys. Išvystyti gyventojų ir svečių poreikius atitinkančias sporto, fizinio aktyvumo ir poilsio paslaugas bei infrastruktūrą </w:t>
                </w:r>
              </w:p>
              <w:p>
                <w:pPr>
                  <w:jc w:val="both"/>
                  <w:rPr>
                    <w:szCs w:val="24"/>
                    <w:lang w:eastAsia="lt-LT"/>
                  </w:rPr>
                </w:pPr>
              </w:p>
              <w:p>
                <w:pPr>
                  <w:jc w:val="both"/>
                  <w:rPr>
                    <w:b/>
                    <w:bCs/>
                    <w:szCs w:val="24"/>
                    <w:lang w:eastAsia="lt-LT"/>
                  </w:rPr>
                </w:pPr>
                <w:r>
                  <w:rPr>
                    <w:szCs w:val="24"/>
                    <w:lang w:eastAsia="lt-LT"/>
                  </w:rPr>
                  <w:t xml:space="preserve">3 prioritetas. </w:t>
                </w:r>
                <w:r>
                  <w:rPr>
                    <w:szCs w:val="22"/>
                    <w:lang w:eastAsia="lt-LT"/>
                  </w:rPr>
                  <w:t>Efektyvus Neringos savivaldybės valdymas</w:t>
                </w:r>
              </w:p>
              <w:p>
                <w:pPr>
                  <w:jc w:val="both"/>
                  <w:rPr>
                    <w:bCs/>
                    <w:szCs w:val="24"/>
                    <w:lang w:eastAsia="lt-LT"/>
                  </w:rPr>
                </w:pPr>
                <w:r>
                  <w:rPr>
                    <w:szCs w:val="24"/>
                    <w:lang w:eastAsia="lt-LT"/>
                  </w:rPr>
                  <w:t xml:space="preserve">3.2. tikslas. </w:t>
                </w:r>
                <w:r>
                  <w:rPr>
                    <w:szCs w:val="22"/>
                    <w:lang w:eastAsia="lt-LT"/>
                  </w:rPr>
                  <w:t>Viešųjų paslaugų kokybės gerinimas</w:t>
                </w:r>
              </w:p>
              <w:p>
                <w:pPr>
                  <w:jc w:val="both"/>
                  <w:rPr>
                    <w:szCs w:val="24"/>
                    <w:highlight w:val="yellow"/>
                    <w:lang w:eastAsia="lt-LT"/>
                  </w:rPr>
                </w:pPr>
                <w:r>
                  <w:rPr>
                    <w:bCs/>
                    <w:szCs w:val="24"/>
                    <w:lang w:eastAsia="lt-LT"/>
                  </w:rPr>
                  <w:t xml:space="preserve">3.2.1. uždavinys. Užtikrinti kokybišką švietimo paslaugų teikimą  </w:t>
                </w:r>
              </w:p>
            </w:tc>
          </w:tr>
          <w:tr>
            <w:trPr>
              <w:gridAfter w:val="2"/>
              <w:wAfter w:w="116" w:type="pct"/>
              <w:trHeight w:val="509"/>
            </w:trPr>
            <w:tc>
              <w:tcPr>
                <w:tcW w:w="901" w:type="pct"/>
                <w:vMerge/>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p>
            </w:tc>
            <w:tc>
              <w:tcPr>
                <w:tcW w:w="3983" w:type="pct"/>
                <w:gridSpan w:val="8"/>
                <w:vMerge/>
                <w:tcBorders>
                  <w:top w:val="single" w:sz="4" w:space="0" w:color="auto"/>
                  <w:left w:val="single" w:sz="4" w:space="0" w:color="auto"/>
                  <w:bottom w:val="single" w:sz="4" w:space="0" w:color="000000"/>
                  <w:right w:val="single" w:sz="4" w:space="0" w:color="000000"/>
                </w:tcBorders>
                <w:vAlign w:val="center"/>
                <w:hideMark/>
              </w:tcPr>
              <w:p>
                <w:pPr>
                  <w:rPr>
                    <w:szCs w:val="24"/>
                    <w:highlight w:val="yellow"/>
                    <w:lang w:eastAsia="lt-LT"/>
                  </w:rPr>
                </w:pPr>
              </w:p>
            </w:tc>
          </w:tr>
          <w:tr>
            <w:trPr>
              <w:gridAfter w:val="2"/>
              <w:wAfter w:w="116" w:type="pct"/>
              <w:trHeight w:val="232"/>
            </w:trPr>
            <w:tc>
              <w:tcPr>
                <w:tcW w:w="901" w:type="pct"/>
                <w:tcBorders>
                  <w:top w:val="single" w:sz="8" w:space="0" w:color="auto"/>
                  <w:left w:val="single" w:sz="8" w:space="0" w:color="auto"/>
                  <w:bottom w:val="single" w:sz="8" w:space="0" w:color="auto"/>
                  <w:right w:val="single" w:sz="4" w:space="0" w:color="auto"/>
                </w:tcBorders>
                <w:shd w:val="clear" w:color="auto" w:fill="F2DBDB" w:themeFill="accent2" w:themeFillTint="33"/>
                <w:vAlign w:val="center"/>
                <w:hideMark/>
              </w:tcPr>
              <w:p>
                <w:pPr>
                  <w:jc w:val="center"/>
                  <w:rPr>
                    <w:b/>
                    <w:bCs/>
                    <w:szCs w:val="24"/>
                    <w:lang w:eastAsia="lt-LT"/>
                  </w:rPr>
                </w:pPr>
                <w:r>
                  <w:rPr>
                    <w:b/>
                    <w:bCs/>
                    <w:szCs w:val="24"/>
                    <w:lang w:eastAsia="lt-LT"/>
                  </w:rPr>
                  <w:t>Susiję Lietuvos Respublikos ir Savivaldybės teisės aktai</w:t>
                </w:r>
              </w:p>
            </w:tc>
            <w:tc>
              <w:tcPr>
                <w:tcW w:w="3983" w:type="pct"/>
                <w:gridSpan w:val="8"/>
                <w:tcBorders>
                  <w:left w:val="single" w:sz="4" w:space="0" w:color="auto"/>
                  <w:bottom w:val="single" w:sz="8" w:space="0" w:color="auto"/>
                  <w:right w:val="single" w:sz="4" w:space="0" w:color="auto"/>
                </w:tcBorders>
                <w:shd w:val="clear" w:color="auto" w:fill="auto"/>
              </w:tcPr>
              <w:p>
                <w:pPr>
                  <w:rPr>
                    <w:color w:val="000000"/>
                    <w:szCs w:val="24"/>
                    <w:lang w:eastAsia="lt-LT"/>
                  </w:rPr>
                </w:pPr>
                <w:r>
                  <w:rPr>
                    <w:color w:val="000000"/>
                    <w:szCs w:val="24"/>
                    <w:lang w:eastAsia="lt-LT"/>
                  </w:rPr>
                  <w:t>Lietuvos Respublikos švietimo įstatymas;</w:t>
                </w:r>
              </w:p>
              <w:p>
                <w:pPr>
                  <w:rPr>
                    <w:color w:val="000000"/>
                    <w:szCs w:val="24"/>
                    <w:lang w:eastAsia="lt-LT"/>
                  </w:rPr>
                </w:pPr>
                <w:r>
                  <w:rPr>
                    <w:color w:val="000000"/>
                    <w:szCs w:val="24"/>
                    <w:lang w:eastAsia="lt-LT"/>
                  </w:rPr>
                  <w:t>Lietuvos Respublikos sporto įstatymas;</w:t>
                </w:r>
              </w:p>
              <w:p>
                <w:pPr>
                  <w:rPr>
                    <w:color w:val="000000"/>
                    <w:szCs w:val="24"/>
                    <w:lang w:eastAsia="lt-LT"/>
                  </w:rPr>
                </w:pPr>
                <w:r>
                  <w:rPr>
                    <w:color w:val="000000"/>
                    <w:szCs w:val="24"/>
                    <w:lang w:eastAsia="lt-LT"/>
                  </w:rPr>
                  <w:t>Lietuvos Respublikos vietos savivaldos įstatymas;</w:t>
                </w:r>
              </w:p>
              <w:p>
                <w:pPr>
                  <w:rPr>
                    <w:color w:val="000000"/>
                    <w:szCs w:val="24"/>
                    <w:lang w:eastAsia="lt-LT"/>
                  </w:rPr>
                </w:pPr>
                <w:r>
                  <w:rPr>
                    <w:color w:val="000000"/>
                    <w:szCs w:val="24"/>
                    <w:lang w:eastAsia="lt-LT"/>
                  </w:rPr>
                  <w:t>Lietuvos Respublikos biudžetinių įstaigų įstatymas;</w:t>
                </w:r>
              </w:p>
              <w:p>
                <w:pPr>
                  <w:rPr>
                    <w:color w:val="000000"/>
                    <w:szCs w:val="24"/>
                    <w:lang w:eastAsia="lt-LT"/>
                  </w:rPr>
                </w:pPr>
                <w:r>
                  <w:rPr>
                    <w:color w:val="000000"/>
                    <w:szCs w:val="24"/>
                    <w:lang w:eastAsia="lt-LT"/>
                  </w:rPr>
                  <w:t>Lietuvos Respublikos švietimo koncepcija;</w:t>
                </w:r>
              </w:p>
              <w:p>
                <w:pPr>
                  <w:rPr>
                    <w:color w:val="000000"/>
                    <w:szCs w:val="24"/>
                    <w:lang w:eastAsia="lt-LT"/>
                  </w:rPr>
                </w:pPr>
                <w:r>
                  <w:rPr>
                    <w:color w:val="000000"/>
                    <w:szCs w:val="24"/>
                    <w:lang w:eastAsia="lt-LT"/>
                  </w:rPr>
                  <w:t>Lietuvos Respublikos neformaliojo suaugusiųjų švietimo įstatymas;</w:t>
                </w:r>
              </w:p>
              <w:p>
                <w:pPr>
                  <w:jc w:val="both"/>
                  <w:rPr>
                    <w:color w:val="000000"/>
                    <w:szCs w:val="24"/>
                    <w:lang w:eastAsia="lt-LT"/>
                  </w:rPr>
                </w:pPr>
                <w:r>
                  <w:rPr>
                    <w:color w:val="000000"/>
                    <w:szCs w:val="24"/>
                    <w:lang w:eastAsia="lt-LT"/>
                  </w:rPr>
                  <w:t xml:space="preserve">Lietuvos higienos normos HN 21: 2017 „Mokykla, vykdanti bendrojo ugdymo programas. Bendrieji sveikatos saugos reikalavimai“; HN 75:2016 „Ikimokyklinio ir priešmokyklinio ugdymo programų vykdymo bendrieji sveikatos saugos reikalavimai“;  HN 20: 2018 „Neformaliojo vaikų švietimo programų vykdymo bendrieji sveikatos saugos reikalavimai“;</w:t>
                </w:r>
              </w:p>
              <w:p>
                <w:pPr>
                  <w:rPr>
                    <w:color w:val="000000"/>
                    <w:szCs w:val="24"/>
                    <w:lang w:eastAsia="lt-LT"/>
                  </w:rPr>
                </w:pPr>
                <w:r>
                  <w:rPr>
                    <w:color w:val="000000"/>
                    <w:szCs w:val="24"/>
                    <w:lang w:eastAsia="lt-LT"/>
                  </w:rPr>
                  <w:t>Mokyklų aprūpinimo standartai;</w:t>
                </w:r>
              </w:p>
              <w:p>
                <w:pPr>
                  <w:rPr>
                    <w:color w:val="000000"/>
                    <w:szCs w:val="24"/>
                    <w:lang w:eastAsia="lt-LT"/>
                  </w:rPr>
                </w:pPr>
                <w:r>
                  <w:rPr>
                    <w:color w:val="000000"/>
                    <w:szCs w:val="24"/>
                    <w:lang w:eastAsia="lt-LT"/>
                  </w:rPr>
                  <w:t>Mokymo lėšų apskaičiavimo ir paskirstymo metodika;</w:t>
                </w:r>
              </w:p>
              <w:p>
                <w:pPr>
                  <w:jc w:val="both"/>
                  <w:rPr>
                    <w:color w:val="000000"/>
                    <w:szCs w:val="24"/>
                    <w:lang w:eastAsia="lt-LT"/>
                  </w:rPr>
                </w:pPr>
                <w:r>
                  <w:rPr>
                    <w:color w:val="000000"/>
                    <w:szCs w:val="24"/>
                    <w:lang w:eastAsia="lt-LT"/>
                  </w:rPr>
                  <w:t>Neringos savivaldybės strateginio planavimo dokumentai;</w:t>
                </w:r>
              </w:p>
              <w:p>
                <w:pPr>
                  <w:jc w:val="both"/>
                  <w:rPr>
                    <w:color w:val="000000"/>
                    <w:szCs w:val="24"/>
                    <w:lang w:eastAsia="lt-LT"/>
                  </w:rPr>
                </w:pPr>
                <w:r>
                  <w:rPr>
                    <w:color w:val="000000"/>
                    <w:szCs w:val="24"/>
                    <w:lang w:eastAsia="lt-LT"/>
                  </w:rPr>
                  <w:t>Neringos savivaldybės švietimo įstaigų 2022–2024 metų strateginiai planai.</w:t>
                </w:r>
              </w:p>
              <w:p>
                <w:pPr>
                  <w:jc w:val="both"/>
                  <w:rPr>
                    <w:szCs w:val="24"/>
                    <w:highlight w:val="yellow"/>
                    <w:lang w:eastAsia="lt-LT"/>
                  </w:rPr>
                </w:pPr>
              </w:p>
            </w:tc>
          </w:tr>
        </w:tbl>
        <w:p>
          <w:pPr>
            <w:spacing w:line="276" w:lineRule="auto"/>
            <w:jc w:val="center"/>
            <w:rPr>
              <w:szCs w:val="24"/>
              <w:lang w:eastAsia="lt-LT"/>
            </w:rPr>
          </w:pPr>
        </w:p>
        <w:p>
          <w:pPr>
            <w:rPr>
              <w:sz w:val="18"/>
              <w:szCs w:val="18"/>
            </w:rPr>
          </w:pPr>
        </w:p>
        <w:sdt>
          <w:sdtPr>
            <w:alias w:val="signatura"/>
            <w:tag w:val="part_612be3067b00487eb66252e9b8a18816"/>
            <w:lock w:val="sdtLocked"/>
            <w:richText/>
          </w:sdtPr>
          <w:sdtContent>
            <w:p>
              <w:pPr>
                <w:spacing w:line="276" w:lineRule="auto"/>
                <w:jc w:val="center"/>
                <w:rPr>
                  <w:sz w:val="22"/>
                  <w:szCs w:val="22"/>
                  <w:lang w:val="en-US" w:eastAsia="lt-LT"/>
                </w:rPr>
              </w:pPr>
              <w:r>
                <w:rPr>
                  <w:sz w:val="22"/>
                  <w:szCs w:val="22"/>
                  <w:lang w:val="en-US" w:eastAsia="lt-LT"/>
                </w:rPr>
                <w:t>______________________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99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eastAsia="lt-LT"/>
        </w:rPr>
      </w:pPr>
      <w:r>
        <w:rPr>
          <w:sz w:val="22"/>
          <w:szCs w:val="22"/>
          <w:lang w:eastAsia="lt-LT"/>
        </w:rPr>
        <w:separator/>
      </w:r>
    </w:p>
  </w:endnote>
  <w:endnote w:type="continuationSeparator" w:id="0">
    <w:p>
      <w:pPr>
        <w:rPr>
          <w:sz w:val="22"/>
          <w:szCs w:val="22"/>
          <w:lang w:eastAsia="lt-LT"/>
        </w:rPr>
      </w:pPr>
      <w:r>
        <w:rPr>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eastAsia="lt-LT"/>
        </w:rPr>
      </w:pPr>
      <w:r>
        <w:rPr>
          <w:sz w:val="22"/>
          <w:szCs w:val="22"/>
          <w:lang w:eastAsia="lt-LT"/>
        </w:rPr>
        <w:separator/>
      </w:r>
    </w:p>
  </w:footnote>
  <w:footnote w:type="continuationSeparator" w:id="0">
    <w:p>
      <w:pPr>
        <w:rPr>
          <w:sz w:val="22"/>
          <w:szCs w:val="22"/>
          <w:lang w:eastAsia="lt-LT"/>
        </w:rPr>
      </w:pPr>
      <w:r>
        <w:rPr>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819"/>
        <w:tab w:val="right" w:pos="9638"/>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A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5A0D5F8-BDE8-4671-8E9C-55859A6A06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6900908">
      <w:bodyDiv w:val="1"/>
      <w:marLeft w:val="0"/>
      <w:marRight w:val="0"/>
      <w:marTop w:val="0"/>
      <w:marBottom w:val="0"/>
      <w:divBdr>
        <w:top w:val="none" w:sz="0" w:space="0" w:color="auto"/>
        <w:left w:val="none" w:sz="0" w:space="0" w:color="auto"/>
        <w:bottom w:val="none" w:sz="0" w:space="0" w:color="auto"/>
        <w:right w:val="none" w:sz="0" w:space="0" w:color="auto"/>
      </w:divBdr>
    </w:div>
    <w:div w:id="794173894">
      <w:bodyDiv w:val="1"/>
      <w:marLeft w:val="0"/>
      <w:marRight w:val="0"/>
      <w:marTop w:val="0"/>
      <w:marBottom w:val="0"/>
      <w:divBdr>
        <w:top w:val="none" w:sz="0" w:space="0" w:color="auto"/>
        <w:left w:val="none" w:sz="0" w:space="0" w:color="auto"/>
        <w:bottom w:val="none" w:sz="0" w:space="0" w:color="auto"/>
        <w:right w:val="none" w:sz="0" w:space="0" w:color="auto"/>
      </w:divBdr>
    </w:div>
    <w:div w:id="1485779575">
      <w:bodyDiv w:val="1"/>
      <w:marLeft w:val="0"/>
      <w:marRight w:val="0"/>
      <w:marTop w:val="0"/>
      <w:marBottom w:val="0"/>
      <w:divBdr>
        <w:top w:val="none" w:sz="0" w:space="0" w:color="auto"/>
        <w:left w:val="none" w:sz="0" w:space="0" w:color="auto"/>
        <w:bottom w:val="none" w:sz="0" w:space="0" w:color="auto"/>
        <w:right w:val="none" w:sz="0" w:space="0" w:color="auto"/>
      </w:divBdr>
    </w:div>
    <w:div w:id="1564875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f1906fe85db34ba98940538a010ae6c0" PartId="8306a09568674dd9b05857a727359153">
    <Part Type="signatura" DocPartId="16d892b0cede48c6856577ffd97174a9" PartId="612be3067b00487eb66252e9b8a18816"/>
  </Part>
</Parts>
</file>

<file path=customXml/itemProps1.xml><?xml version="1.0" encoding="utf-8"?>
<ds:datastoreItem xmlns:ds="http://schemas.openxmlformats.org/officeDocument/2006/customXml" ds:itemID="{6B58976C-5D6E-49E9-B56C-B8A3EFA30C9C}">
  <ds:schemaRefs>
    <ds:schemaRef ds:uri="http://schemas.openxmlformats.org/officeDocument/2006/bibliography"/>
  </ds:schemaRefs>
</ds:datastoreItem>
</file>

<file path=customXml/itemProps2.xml><?xml version="1.0" encoding="utf-8"?>
<ds:datastoreItem xmlns:ds="http://schemas.openxmlformats.org/officeDocument/2006/customXml" ds:itemID="{9FA0EAFA-EB92-408C-9CA4-7891F4634A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1992</Words>
  <Characters>15426</Characters>
  <Application>Microsoft Office Word</Application>
  <DocSecurity>4</DocSecurity>
  <Lines>440</Lines>
  <Paragraphs>193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17225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Asta Baškeviciene</dc:creator>
  <lastModifiedBy>adlibuser</lastModifiedBy>
  <lastPrinted>2020-01-06T06:17:00Z</lastPrinted>
  <dcterms:modified xsi:type="dcterms:W3CDTF">2022-02-09T11:58:00Z</dcterms:modified>
  <revision>2</revision>
</coreProperties>
</file>