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intelligence2.xml" ContentType="application/vnd.ms-office.intelligence2+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86ab3fb5b7d42ce90be080530ee8eb4"/>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hemeColor="text1"/>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r>
                  <w:rPr>
                    <w:rFonts w:eastAsia="Andale Sans UI" w:cs="Tahoma"/>
                    <w:szCs w:val="24"/>
                    <w:lang w:bidi="en-US"/>
                  </w:rPr>
                  <w:t>2024-</w:t>
                </w: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szCs w:val="24"/>
                    <w:lang w:eastAsia="lt-LT" w:bidi="en-US"/>
                  </w:rPr>
                </w:pPr>
                <w:r>
                  <w:rPr>
                    <w:rFonts w:eastAsia="Andale Sans UI" w:cs="Tahoma"/>
                    <w:b/>
                    <w:caps/>
                    <w:szCs w:val="24"/>
                    <w:lang w:bidi="en-US"/>
                  </w:rPr>
                  <w:t xml:space="preserve">DĖL </w:t>
                </w:r>
                <w:r>
                  <w:rPr>
                    <w:rFonts w:eastAsia="Andale Sans UI" w:cs="Tahoma"/>
                    <w:b/>
                    <w:szCs w:val="24"/>
                    <w:lang w:eastAsia="lt-LT" w:bidi="en-US"/>
                  </w:rPr>
                  <w:t>APLINKOS MINISTRO ĮSAKYMO PROJEKTO</w:t>
                </w:r>
              </w:p>
              <w:p>
                <w:pPr>
                  <w:suppressLineNumbers/>
                  <w:spacing w:line="276" w:lineRule="auto"/>
                  <w:jc w:val="both"/>
                  <w:rPr>
                    <w:rFonts w:eastAsia="Andale Sans UI" w:cs="Tahoma"/>
                    <w:b/>
                    <w:bCs/>
                    <w:szCs w:val="24"/>
                    <w:lang w:bidi="en-US"/>
                  </w:rPr>
                </w:pPr>
              </w:p>
            </w:tc>
          </w:tr>
        </w:tbl>
        <w:p>
          <w:pPr>
            <w:rPr>
              <w:sz w:val="20"/>
            </w:rPr>
          </w:pPr>
        </w:p>
      </w:sdtContent>
    </w:sdt>
    <w:sdt>
      <w:sdtPr>
        <w:alias w:val="pastraipa"/>
        <w:tag w:val="part_aab9240895454549b45655f4a386b176"/>
        <w:lock w:val="sdtLocked"/>
        <w:richText/>
      </w:sdtPr>
      <w:sdtContent>
        <w:p>
          <w:pPr>
            <w:shd w:val="clear" w:color="auto" w:fill="FFFFFF"/>
            <w:ind w:firstLine="629"/>
            <w:jc w:val="both"/>
            <w:rPr>
              <w:szCs w:val="24"/>
              <w:lang w:bidi="en-US"/>
            </w:rPr>
          </w:pPr>
          <w:r>
            <w:rPr>
              <w:color w:val="000000"/>
              <w:szCs w:val="24"/>
              <w:lang w:bidi="en-US"/>
            </w:rPr>
            <w:t>Aplinkos ministerija teikia derinti Lietuvos Respublikos aplinkos ministro įsakymo „Dėl Lietuvos Respublikos aplinkos ministro 2007 m. gruodžio 21 d. įsakymo Nr. D1-694 „Dėl Viešųjų atskirųjų želdynų plotų normų ir Priklausomųjų želdynų plotų normų apskaičiavimo tvarkos aprašo patvirtinimo“ pakeitimo“ projektą (toliau – Projektas).</w:t>
          </w:r>
        </w:p>
        <w:sdt>
          <w:sdtPr>
            <w:alias w:val="1 p."/>
            <w:tag w:val="part_d182a3347014450dadf1d55f1b79c59f"/>
            <w:lock w:val="sdtLocked"/>
            <w:richText/>
          </w:sdtPr>
          <w:sdtContent>
            <w:p>
              <w:pPr>
                <w:spacing w:line="259" w:lineRule="auto"/>
                <w:ind w:firstLine="567"/>
                <w:jc w:val="both"/>
                <w:rPr>
                  <w:rFonts w:eastAsia="Andale Sans UI"/>
                  <w:szCs w:val="24"/>
                  <w:lang w:bidi="en-US"/>
                </w:rPr>
              </w:pPr>
              <w:sdt>
                <w:sdtPr>
                  <w:alias w:val="Numeris"/>
                  <w:tag w:val="nr_d182a3347014450dadf1d55f1b79c59f"/>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spacing w:line="259" w:lineRule="auto"/>
                <w:ind w:firstLine="567"/>
                <w:jc w:val="both"/>
                <w:rPr>
                  <w:color w:val="000000"/>
                  <w:szCs w:val="24"/>
                  <w:lang w:bidi="en-US"/>
                </w:rPr>
              </w:pPr>
              <w:r>
                <w:rPr>
                  <w:color w:val="000000"/>
                  <w:szCs w:val="24"/>
                  <w:lang w:bidi="en-US"/>
                </w:rPr>
                <w:t>2024 m. liepos 11 d. priimtas Lietuvos Respublikos želdynų įstatymo Nr. X-1241 2, 5, 7, 8, 12, 13, 14, 15, 16, 22 ir 24 straipsnių pakeitimo įstatymas XIV-2877, kurio 4 straipsniu pakeistas Lietuvos Respublikos želdynų įstatymo 8 straipsnis. Šio straipsnio 3 dalyje pakeistos priklausomųjų želdynų reglamentavimo nuostatos, atsisakant priklausomųjų želdynų plotų normų kompensavimo vertikaliuoju pastatų apželdinimu.</w:t>
              </w:r>
            </w:p>
            <w:p>
              <w:pPr>
                <w:spacing w:line="259" w:lineRule="auto"/>
                <w:ind w:firstLine="567"/>
                <w:jc w:val="both"/>
                <w:rPr>
                  <w:rFonts w:eastAsia="Andale Sans UI"/>
                  <w:szCs w:val="24"/>
                  <w:lang w:bidi="en-US"/>
                </w:rPr>
              </w:pPr>
              <w:r>
                <w:rPr>
                  <w:color w:val="000000"/>
                  <w:szCs w:val="24"/>
                  <w:lang w:bidi="en-US"/>
                </w:rPr>
                <w:t>Projektas rengiamas siekiant suderinti Priklausomųjų želdynų plotų normų apskaičiavimo tvarkos aprašo, patvirtinto Lietuvos Respublikos aplinkos ministro 2007 m. gruodžio 21 d. įsakymu Nr. D1-694 „Dėl Viešųjų atskirųjų želdynų plotų normų ir Priklausomųjų želdynų plotų normų apskaičiavimo tvarkos aprašo patvirtinimo“ (toliau – Aprašas) nuostatas su Želdynų įstatymu.</w:t>
              </w:r>
            </w:p>
          </w:sdtContent>
        </w:sdt>
        <w:sdt>
          <w:sdtPr>
            <w:alias w:val="2 p."/>
            <w:tag w:val="part_6ba0317a81704a638dfee9ca9f24aa1c"/>
            <w:lock w:val="sdtLocked"/>
            <w:richText/>
          </w:sdtPr>
          <w:sdtContent>
            <w:p>
              <w:pPr>
                <w:spacing w:line="259" w:lineRule="auto"/>
                <w:ind w:firstLine="567"/>
                <w:jc w:val="both"/>
                <w:rPr>
                  <w:rFonts w:eastAsia="Andale Sans UI"/>
                  <w:szCs w:val="24"/>
                  <w:lang w:bidi="en-US"/>
                </w:rPr>
              </w:pPr>
              <w:sdt>
                <w:sdtPr>
                  <w:alias w:val="Numeris"/>
                  <w:tag w:val="nr_6ba0317a81704a638dfee9ca9f24aa1c"/>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ind w:firstLine="567"/>
                <w:jc w:val="both"/>
                <w:rPr>
                  <w:color w:val="000000"/>
                  <w:szCs w:val="24"/>
                  <w:lang w:bidi="en-US"/>
                </w:rPr>
              </w:pPr>
              <w:r>
                <w:rPr>
                  <w:color w:val="000000"/>
                  <w:szCs w:val="24"/>
                  <w:lang w:bidi="en-US"/>
                </w:rPr>
                <w:t>Projekte, atsižvelgiant į Želdynų įstatymo pakeitimus, siūloma pakeisti šiuo metu galiojančio Aprašo nuostatas, atsisakant priklausomųjų želdynų plotų normų kompensavimo Aprašo 9.1 papunktyje nurodytu vertikaliojo apželdinimo būdu, taip pat numatyti papildomus kompensavimo mechanizmus.</w:t>
              </w:r>
            </w:p>
          </w:sdtContent>
        </w:sdt>
        <w:sdt>
          <w:sdtPr>
            <w:alias w:val="3 p."/>
            <w:tag w:val="part_ffc3a2987d8645488072efe26b7d1109"/>
            <w:lock w:val="sdtLocked"/>
            <w:richText/>
          </w:sdtPr>
          <w:sdtContent>
            <w:p>
              <w:pPr>
                <w:ind w:firstLine="567"/>
                <w:jc w:val="both"/>
                <w:rPr>
                  <w:rFonts w:eastAsia="Andale Sans UI"/>
                  <w:b/>
                  <w:bCs/>
                  <w:szCs w:val="24"/>
                  <w:lang w:bidi="en-US"/>
                </w:rPr>
              </w:pPr>
              <w:sdt>
                <w:sdtPr>
                  <w:alias w:val="Numeris"/>
                  <w:tag w:val="nr_ffc3a2987d8645488072efe26b7d1109"/>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ind w:firstLine="567"/>
                <w:jc w:val="both"/>
                <w:rPr>
                  <w:color w:val="000000"/>
                  <w:szCs w:val="24"/>
                  <w:lang w:bidi="en-US"/>
                </w:rPr>
              </w:pPr>
              <w:r>
                <w:rPr>
                  <w:color w:val="000000"/>
                  <w:szCs w:val="24"/>
                  <w:lang w:bidi="en-US"/>
                </w:rPr>
                <w:t>Atsižvelgiant į pakeitimus, atsiradusius pakeitus Ž</w:t>
              </w:r>
              <w:r>
                <w:rPr>
                  <w:rFonts w:eastAsia="Andale Sans UI" w:cs="Tahoma"/>
                  <w:szCs w:val="24"/>
                  <w:lang w:bidi="en-US"/>
                </w:rPr>
                <w:t xml:space="preserve">eldynų įstatymą atsisakant vertikaliojo želdinimo, atsirado poreikis pakeisti ir susijusius teisės aktus, įskaitant </w:t>
              </w:r>
              <w:r>
                <w:rPr>
                  <w:color w:val="000000"/>
                  <w:szCs w:val="24"/>
                  <w:lang w:bidi="en-US"/>
                </w:rPr>
                <w:t xml:space="preserve">Viešųjų atskirųjų želdynų plotų normas ir Priklausomųjų želdynų plotų normų apskaičiavimo tvarkos aprašą. </w:t>
              </w:r>
            </w:p>
            <w:p>
              <w:pPr>
                <w:ind w:firstLine="567"/>
                <w:jc w:val="both"/>
                <w:rPr>
                  <w:color w:val="000000"/>
                  <w:szCs w:val="24"/>
                  <w:lang w:bidi="en-US"/>
                </w:rPr>
              </w:pPr>
              <w:r>
                <w:rPr>
                  <w:color w:val="000000"/>
                  <w:szCs w:val="24"/>
                  <w:lang w:bidi="en-US"/>
                </w:rPr>
                <w:t xml:space="preserve">Siekiant stabdyti statytojų manipuliavimą ir neteisingą interpretavimą statomų pastatų paskirtimi, pagal kurią atitinkamai privaloma taikyti želdynų normas, koreguojamas kompensavimo mechanizmas, sudaromos sąlygos kompensuoti želdynus tose miesto dalyse, kuriose išpildyti taikyti želdynų normas sunkiausia, taip užtikrinamas teisingas pastatų paskirčių nurodymas ir priklausomųjų želdynų normų taikymas  šių pastatų žemės sklypams.</w:t>
              </w:r>
            </w:p>
            <w:p>
              <w:pPr>
                <w:ind w:firstLine="567"/>
                <w:jc w:val="both"/>
                <w:rPr>
                  <w:color w:val="000000"/>
                  <w:szCs w:val="24"/>
                  <w:lang w:bidi="en-US"/>
                </w:rPr>
              </w:pPr>
              <w:r>
                <w:rPr>
                  <w:color w:val="000000"/>
                  <w:szCs w:val="24"/>
                  <w:lang w:bidi="en-US"/>
                </w:rPr>
                <w:t>Tai pat atliekami punktų pakeitimai, kurie leis aiškiai ir nedviprasmiškai reglamentuoti želdynų normos kompensavimo principus. Numatoma šalinti dalį punktų, nuostatas perkeliant į priedo lentelę.</w:t>
              </w:r>
            </w:p>
            <w:p>
              <w:pPr>
                <w:ind w:firstLine="567"/>
                <w:jc w:val="both"/>
                <w:rPr>
                  <w:color w:val="000000"/>
                  <w:szCs w:val="24"/>
                  <w:lang w:bidi="en-US"/>
                </w:rPr>
              </w:pPr>
              <w:r>
                <w:rPr>
                  <w:color w:val="000000"/>
                  <w:szCs w:val="24"/>
                  <w:lang w:bidi="en-US"/>
                </w:rPr>
                <w:t xml:space="preserve">Iki Želdyno įstatymo pakeitimų, pagal kuriuos tikslinamas Aprašas, įsigaliojimo dienos pradėti rengti teritorijų planavimo dokumentai ir (ar) statinių projektai baigiami rengti pagal iki Želdynų  įstatymo įsigaliojimo dienos galiojusius teisės aktus.</w:t>
              </w:r>
            </w:p>
          </w:sdtContent>
        </w:sdt>
        <w:sdt>
          <w:sdtPr>
            <w:alias w:val="4 p."/>
            <w:tag w:val="part_bb44d568729d497a96aff513cbc719e8"/>
            <w:lock w:val="sdtLocked"/>
            <w:richText/>
          </w:sdtPr>
          <w:sdtContent>
            <w:p>
              <w:pPr>
                <w:ind w:firstLine="567"/>
                <w:jc w:val="both"/>
                <w:rPr>
                  <w:b/>
                  <w:bCs/>
                  <w:szCs w:val="24"/>
                  <w:lang w:eastAsia="lt-LT" w:bidi="en-US"/>
                </w:rPr>
              </w:pPr>
              <w:sdt>
                <w:sdtPr>
                  <w:alias w:val="Numeris"/>
                  <w:tag w:val="nr_bb44d568729d497a96aff513cbc719e8"/>
                  <w:lock w:val="sdtLocked"/>
                  <w:richText/>
                </w:sdtPr>
                <w:sdtContent>
                  <w:r>
                    <w:rPr>
                      <w:b/>
                      <w:bCs/>
                      <w:szCs w:val="24"/>
                      <w:lang w:eastAsia="lt-LT" w:bidi="en-US"/>
                    </w:rPr>
                    <w:t>4</w:t>
                  </w:r>
                </w:sdtContent>
              </w:sdt>
              <w:r>
                <w:rPr>
                  <w:b/>
                  <w:bCs/>
                  <w:szCs w:val="24"/>
                  <w:lang w:eastAsia="lt-LT" w:bidi="en-US"/>
                </w:rPr>
                <w:t>. Lietuvos Respublikos Vyriausybės programos</w:t>
              </w:r>
              <w:r>
                <w:rPr>
                  <w:b/>
                  <w:bCs/>
                  <w:szCs w:val="24"/>
                  <w:vertAlign w:val="superscript"/>
                  <w:lang w:eastAsia="lt-LT" w:bidi="en-US"/>
                </w:rPr>
                <w:footnoteReference w:id="2"/>
              </w:r>
              <w:r>
                <w:rPr>
                  <w:b/>
                  <w:bCs/>
                  <w:szCs w:val="24"/>
                  <w:lang w:eastAsia="lt-LT" w:bidi="en-US"/>
                </w:rPr>
                <w:t xml:space="preserve"> nuostatų įgyvendinimas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įgyvendinamos šios Lietuvos Respublikos Vyriausybės programos nuostatos: </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neprieštarauja Aštuonioliktosios Lietuvos Respublikos Vyriausybės programai.</w:t>
              </w:r>
            </w:p>
          </w:sdtContent>
        </w:sdt>
        <w:sdt>
          <w:sdtPr>
            <w:alias w:val="5 p."/>
            <w:tag w:val="part_2f6aaa4eeb0a4055a2176dadde1a85af"/>
            <w:lock w:val="sdtLocked"/>
            <w:richText/>
          </w:sdtPr>
          <w:sdtContent>
            <w:p>
              <w:pPr>
                <w:ind w:firstLine="567"/>
                <w:jc w:val="both"/>
                <w:rPr>
                  <w:szCs w:val="24"/>
                  <w:lang w:eastAsia="lt-LT" w:bidi="en-US"/>
                </w:rPr>
              </w:pPr>
              <w:sdt>
                <w:sdtPr>
                  <w:alias w:val="Numeris"/>
                  <w:tag w:val="nr_2f6aaa4eeb0a4055a2176dadde1a85af"/>
                  <w:lock w:val="sdtLocked"/>
                  <w:richText/>
                </w:sdtPr>
                <w:sdtContent>
                  <w:r>
                    <w:rPr>
                      <w:rFonts w:eastAsia="Andale Sans UI"/>
                      <w:b/>
                      <w:bCs/>
                      <w:szCs w:val="24"/>
                      <w:lang w:bidi="en-US"/>
                    </w:rPr>
                    <w:t>5</w:t>
                  </w:r>
                </w:sdtContent>
              </w:sdt>
              <w:r>
                <w:rPr>
                  <w:rFonts w:eastAsia="Andale Sans UI"/>
                  <w:b/>
                  <w:bCs/>
                  <w:szCs w:val="24"/>
                  <w:lang w:bidi="en-US"/>
                </w:rPr>
                <w:t>.</w:t>
              </w:r>
              <w:r>
                <w:rPr>
                  <w:rFonts w:eastAsia="Andale Sans UI"/>
                  <w:szCs w:val="24"/>
                  <w:lang w:bidi="en-US"/>
                </w:rPr>
                <w:t xml:space="preserve"> </w:t>
              </w:r>
              <w:r>
                <w:rPr>
                  <w:rFonts w:eastAsia="Andale Sans UI"/>
                  <w:b/>
                  <w:bCs/>
                  <w:szCs w:val="24"/>
                  <w:lang w:bidi="en-US"/>
                </w:rPr>
                <w:t>Numatomo teisinio reguliavimo poveikio vertinimas</w:t>
              </w:r>
              <w:r>
                <w:rPr>
                  <w:rFonts w:eastAsia="Andale Sans UI"/>
                  <w:b/>
                  <w:bCs/>
                  <w:szCs w:val="24"/>
                  <w:vertAlign w:val="superscript"/>
                  <w:lang w:bidi="en-US"/>
                </w:rPr>
                <w:footnoteReference w:id="3"/>
              </w:r>
              <w:r>
                <w:rPr>
                  <w:rFonts w:eastAsia="Andale Sans UI"/>
                  <w:b/>
                  <w:bCs/>
                  <w:szCs w:val="24"/>
                  <w:lang w:bidi="en-US"/>
                </w:rPr>
                <w:t xml:space="preserve"> </w:t>
              </w:r>
              <w:r>
                <w:rPr>
                  <w:szCs w:val="24"/>
                  <w:lang w:eastAsia="lt-LT" w:bidi="en-US"/>
                </w:rPr>
                <w:t>(pažymimas tinkamas variantas)</w:t>
              </w:r>
            </w:p>
            <w:p>
              <w:pPr>
                <w:widowControl w:val="0"/>
                <w:ind w:firstLine="567"/>
                <w:jc w:val="both"/>
                <w:rPr>
                  <w:b/>
                  <w:bCs/>
                  <w:i/>
                  <w:iCs/>
                  <w:szCs w:val="24"/>
                  <w:lang w:eastAsia="lt-LT"/>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Projekto numatomo teisinio reguliavimo poveikio vertinimas neatliekamas.</w:t>
              </w:r>
            </w:p>
          </w:sdtContent>
        </w:sdt>
        <w:sdt>
          <w:sdtPr>
            <w:alias w:val="6 p."/>
            <w:tag w:val="part_d7892cf57b57407daa965793c1fe184c"/>
            <w:lock w:val="sdtLocked"/>
            <w:richText/>
          </w:sdtPr>
          <w:sdtContent>
            <w:p>
              <w:pPr>
                <w:ind w:firstLine="567"/>
                <w:jc w:val="both"/>
                <w:rPr>
                  <w:szCs w:val="24"/>
                  <w:lang w:eastAsia="lt-LT" w:bidi="en-US"/>
                </w:rPr>
              </w:pPr>
              <w:sdt>
                <w:sdtPr>
                  <w:alias w:val="Numeris"/>
                  <w:tag w:val="nr_d7892cf57b57407daa965793c1fe184c"/>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ind w:firstLine="567"/>
                <w:jc w:val="both"/>
                <w:rPr>
                  <w:b/>
                  <w:bCs/>
                  <w:szCs w:val="24"/>
                  <w:lang w:eastAsia="lt-LT"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Siekiant užtikrinti visišką </w:t>
              </w:r>
              <w:r>
                <w:rPr>
                  <w:color w:val="000000"/>
                  <w:szCs w:val="24"/>
                  <w:lang w:eastAsia="lt-LT" w:bidi="en-US"/>
                </w:rPr>
                <w:t>susijusių Europos Sąjungos teisės aktų perkėlimą ir (ar) įgyvendinimą, kitų teisės aktų priimti nereikės).</w:t>
              </w:r>
            </w:p>
          </w:sdtContent>
        </w:sdt>
        <w:sdt>
          <w:sdtPr>
            <w:alias w:val="7 p."/>
            <w:tag w:val="part_aa9c52cdd5a5474fb8f09432cf572609"/>
            <w:lock w:val="sdtLocked"/>
            <w:richText/>
          </w:sdtPr>
          <w:sdtContent>
            <w:p>
              <w:pPr>
                <w:ind w:firstLine="567"/>
                <w:jc w:val="both"/>
                <w:rPr>
                  <w:szCs w:val="24"/>
                  <w:lang w:eastAsia="lt-LT" w:bidi="en-US"/>
                </w:rPr>
              </w:pPr>
              <w:sdt>
                <w:sdtPr>
                  <w:alias w:val="Numeris"/>
                  <w:tag w:val="nr_aa9c52cdd5a5474fb8f09432cf572609"/>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4"/>
              </w:r>
              <w:r>
                <w:rPr>
                  <w:rFonts w:eastAsia="Andale Sans UI"/>
                  <w:b/>
                  <w:bCs/>
                  <w:szCs w:val="24"/>
                  <w:lang w:bidi="en-US"/>
                </w:rPr>
                <w:t xml:space="preserve"> Europos Komisijai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w:t>
              </w:r>
            </w:p>
          </w:sdtContent>
        </w:sdt>
        <w:sdt>
          <w:sdtPr>
            <w:alias w:val="8 p."/>
            <w:tag w:val="part_009e0180d2f54fdfab78a057aab6bf7d"/>
            <w:lock w:val="sdtLocked"/>
            <w:richText/>
          </w:sdtPr>
          <w:sdtContent>
            <w:p>
              <w:pPr>
                <w:ind w:firstLine="567"/>
                <w:jc w:val="both"/>
                <w:rPr>
                  <w:rFonts w:eastAsia="Andale Sans UI" w:cs="Tahoma"/>
                  <w:color w:val="000000"/>
                  <w:szCs w:val="24"/>
                  <w:lang w:bidi="en-US"/>
                </w:rPr>
              </w:pPr>
              <w:sdt>
                <w:sdtPr>
                  <w:alias w:val="Numeris"/>
                  <w:tag w:val="nr_009e0180d2f54fdfab78a057aab6bf7d"/>
                  <w:lock w:val="sdtLocked"/>
                  <w:richText/>
                </w:sdtPr>
                <w:sdtContent>
                  <w:r>
                    <w:rPr>
                      <w:rFonts w:eastAsia="Andale Sans UI"/>
                      <w:b/>
                      <w:bCs/>
                      <w:szCs w:val="24"/>
                      <w:lang w:bidi="en-US"/>
                    </w:rPr>
                    <w:t>8</w:t>
                  </w:r>
                </w:sdtContent>
              </w:sdt>
              <w:r>
                <w:rPr>
                  <w:rFonts w:eastAsia="Andale Sans UI"/>
                  <w:b/>
                  <w:bCs/>
                  <w:szCs w:val="24"/>
                  <w:lang w:bidi="en-US"/>
                </w:rPr>
                <w:t>.</w:t>
              </w:r>
              <w:r>
                <w:rPr>
                  <w:rFonts w:eastAsia="Andale Sans UI"/>
                  <w:szCs w:val="24"/>
                  <w:lang w:bidi="en-US"/>
                </w:rPr>
                <w:t xml:space="preserve"> </w:t>
              </w:r>
              <w:r>
                <w:rPr>
                  <w:b/>
                  <w:bCs/>
                  <w:color w:val="000000"/>
                  <w:szCs w:val="24"/>
                  <w:lang w:eastAsia="lt-LT" w:bidi="en-US"/>
                </w:rPr>
                <w:t>Pranešimo Europos Komisijai teikimas</w:t>
              </w:r>
              <w:r>
                <w:rPr>
                  <w:b/>
                  <w:bCs/>
                  <w:color w:val="000000"/>
                  <w:szCs w:val="24"/>
                  <w:vertAlign w:val="superscript"/>
                  <w:lang w:eastAsia="lt-LT" w:bidi="en-US"/>
                </w:rPr>
                <w:footnoteReference w:id="5"/>
              </w:r>
              <w:r>
                <w:rPr>
                  <w:color w:val="000000"/>
                  <w:szCs w:val="24"/>
                  <w:lang w:eastAsia="lt-LT" w:bidi="en-US"/>
                </w:rPr>
                <w:t xml:space="preserve"> (</w:t>
              </w:r>
              <w:r>
                <w:rPr>
                  <w:szCs w:val="24"/>
                  <w:lang w:eastAsia="lt-LT" w:bidi="en-US"/>
                </w:rPr>
                <w:t>pažymimas tinkamas variantas)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8da74473931a41cc84ccf60f18d5754e"/>
            <w:lock w:val="sdtLocked"/>
            <w:richText/>
          </w:sdtPr>
          <w:sdtContent>
            <w:p>
              <w:pPr>
                <w:ind w:firstLine="567"/>
                <w:jc w:val="both"/>
                <w:rPr>
                  <w:rFonts w:eastAsia="Andale Sans UI"/>
                  <w:b/>
                  <w:bCs/>
                  <w:szCs w:val="24"/>
                  <w:lang w:bidi="en-US"/>
                </w:rPr>
              </w:pPr>
              <w:sdt>
                <w:sdtPr>
                  <w:alias w:val="Numeris"/>
                  <w:tag w:val="nr_8da74473931a41cc84ccf60f18d5754e"/>
                  <w:lock w:val="sdtLocked"/>
                  <w:richText/>
                </w:sdtPr>
                <w:sdtContent>
                  <w:r>
                    <w:rPr>
                      <w:rFonts w:eastAsia="Andale Sans UI"/>
                      <w:b/>
                      <w:bCs/>
                      <w:szCs w:val="24"/>
                      <w:lang w:bidi="en-US"/>
                    </w:rPr>
                    <w:t>9</w:t>
                  </w:r>
                </w:sdtContent>
              </w:sdt>
              <w:r>
                <w:rPr>
                  <w:rFonts w:eastAsia="Andale Sans UI"/>
                  <w:b/>
                  <w:bCs/>
                  <w:szCs w:val="24"/>
                  <w:lang w:bidi="en-US"/>
                </w:rPr>
                <w:t xml:space="preserve">. Teisės aktai, kuriuos reikės priimti, pakeisti arba pripažinti netekusiais galios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reikės priimti šiuos teisės aktus:</w:t>
              </w:r>
              <w:r>
                <w:rPr>
                  <w:rFonts w:eastAsia="Andale Sans UI"/>
                  <w:i/>
                  <w:iCs/>
                  <w:szCs w:val="24"/>
                  <w:lang w:bidi="en-US"/>
                </w:rPr>
                <w:t>.</w:t>
              </w:r>
            </w:p>
          </w:sdtContent>
        </w:sdt>
        <w:sdt>
          <w:sdtPr>
            <w:alias w:val="10 p."/>
            <w:tag w:val="part_5f0f6b8fdd9c4a6eb9c58804b38e9277"/>
            <w:lock w:val="sdtLocked"/>
            <w:richText/>
          </w:sdtPr>
          <w:sdtContent>
            <w:p>
              <w:pPr>
                <w:ind w:firstLine="567"/>
                <w:jc w:val="both"/>
                <w:rPr>
                  <w:rFonts w:eastAsia="Andale Sans UI"/>
                  <w:b/>
                  <w:bCs/>
                  <w:szCs w:val="24"/>
                  <w:lang w:bidi="en-US"/>
                </w:rPr>
              </w:pPr>
              <w:sdt>
                <w:sdtPr>
                  <w:alias w:val="Numeris"/>
                  <w:tag w:val="nr_5f0f6b8fdd9c4a6eb9c58804b38e9277"/>
                  <w:lock w:val="sdtLocked"/>
                  <w:richText/>
                </w:sdtPr>
                <w:sdtContent>
                  <w:r>
                    <w:rPr>
                      <w:rFonts w:eastAsia="Andale Sans UI"/>
                      <w:b/>
                      <w:bCs/>
                      <w:szCs w:val="24"/>
                      <w:lang w:bidi="en-US"/>
                    </w:rPr>
                    <w:t>10</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color w:val="000000"/>
                  <w:szCs w:val="24"/>
                  <w:lang w:eastAsia="lt-LT" w:bidi="en-US"/>
                </w:rPr>
                <w:t>(</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cs="Segoe UI Symbol"/>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rojekte vartojamos sąvokos aprobuotos Lietuvos Respublikos terminų banko įstatymo ir jo įgyvendinamųjų teisės aktų nustatyta tvarka.</w:t>
              </w:r>
            </w:p>
          </w:sdtContent>
        </w:sdt>
        <w:sdt>
          <w:sdtPr>
            <w:alias w:val="11 p."/>
            <w:tag w:val="part_49941b3b026c4ed4a5af8dcb2faeb1eb"/>
            <w:lock w:val="sdtLocked"/>
            <w:richText/>
          </w:sdtPr>
          <w:sdtContent>
            <w:p>
              <w:pPr>
                <w:ind w:firstLine="567"/>
                <w:jc w:val="both"/>
                <w:rPr>
                  <w:rFonts w:eastAsia="Andale Sans UI"/>
                  <w:b/>
                  <w:bCs/>
                  <w:szCs w:val="24"/>
                  <w:lang w:bidi="en-US"/>
                </w:rPr>
              </w:pPr>
              <w:sdt>
                <w:sdtPr>
                  <w:alias w:val="Numeris"/>
                  <w:tag w:val="nr_49941b3b026c4ed4a5af8dcb2faeb1eb"/>
                  <w:lock w:val="sdtLocked"/>
                  <w:richText/>
                </w:sdtPr>
                <w:sdtContent>
                  <w:r>
                    <w:rPr>
                      <w:rFonts w:eastAsia="Andale Sans UI"/>
                      <w:b/>
                      <w:bCs/>
                      <w:szCs w:val="24"/>
                      <w:lang w:bidi="en-US"/>
                    </w:rPr>
                    <w:t>11</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color w:val="000000"/>
                  <w:szCs w:val="24"/>
                  <w:lang w:bidi="en-US"/>
                </w:rPr>
              </w:pPr>
              <w:r>
                <w:rPr>
                  <w:rFonts w:eastAsia="Andale Sans UI"/>
                  <w:szCs w:val="24"/>
                  <w:lang w:bidi="en-US"/>
                </w:rPr>
                <w:t>P</w:t>
              </w:r>
              <w:r>
                <w:rPr>
                  <w:rFonts w:eastAsia="Andale Sans UI"/>
                  <w:color w:val="000000"/>
                  <w:szCs w:val="24"/>
                  <w:lang w:bidi="en-US"/>
                </w:rPr>
                <w:t>rojekte nereglamentuojamas asmens duomenų naudojimas. Priklausomųjų želdynų plotų normų kompensavimo mechanizmai ir tvarka nustatomi savivaldybių institucijos lygmeniu, vadovaujantis Želdynų įstatymo 5 straipsniu.</w:t>
              </w:r>
            </w:p>
          </w:sdtContent>
        </w:sdt>
        <w:sdt>
          <w:sdtPr>
            <w:alias w:val="12 p."/>
            <w:tag w:val="part_c0d3a6e1af594442b7b9367758ee00bc"/>
            <w:lock w:val="sdtLocked"/>
            <w:richText/>
          </w:sdtPr>
          <w:sdtContent>
            <w:p>
              <w:pPr>
                <w:ind w:firstLine="567"/>
                <w:jc w:val="both"/>
                <w:rPr>
                  <w:rFonts w:eastAsia="Andale Sans UI"/>
                  <w:b/>
                  <w:bCs/>
                  <w:i/>
                  <w:iCs/>
                  <w:color w:val="000000"/>
                  <w:szCs w:val="24"/>
                  <w:lang w:bidi="en-US"/>
                </w:rPr>
              </w:pPr>
              <w:sdt>
                <w:sdtPr>
                  <w:alias w:val="Numeris"/>
                  <w:tag w:val="nr_c0d3a6e1af594442b7b9367758ee00bc"/>
                  <w:lock w:val="sdtLocked"/>
                  <w:richText/>
                </w:sdtPr>
                <w:sdtContent>
                  <w:r>
                    <w:rPr>
                      <w:rFonts w:eastAsia="Andale Sans UI"/>
                      <w:b/>
                      <w:bCs/>
                      <w:szCs w:val="24"/>
                      <w:lang w:bidi="en-US"/>
                    </w:rPr>
                    <w:t>12</w:t>
                  </w:r>
                </w:sdtContent>
              </w:sdt>
              <w:r>
                <w:rPr>
                  <w:rFonts w:eastAsia="Andale Sans UI"/>
                  <w:b/>
                  <w:bCs/>
                  <w:szCs w:val="24"/>
                  <w:lang w:bidi="en-US"/>
                </w:rPr>
                <w:t>. Konsultavimasis su visuomene</w:t>
              </w:r>
              <w:r>
                <w:rPr>
                  <w:rFonts w:eastAsia="Andale Sans UI"/>
                  <w:b/>
                  <w:bCs/>
                  <w:szCs w:val="24"/>
                  <w:vertAlign w:val="superscript"/>
                  <w:lang w:bidi="en-US"/>
                </w:rPr>
                <w:footnoteReference w:id="6"/>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rFonts w:eastAsia="Andale Sans UI"/>
                  <w:b/>
                  <w:bCs/>
                  <w:i/>
                  <w:iCs/>
                  <w:color w:val="000000"/>
                  <w:szCs w:val="24"/>
                  <w:lang w:bidi="en-US"/>
                </w:rPr>
                <w:t xml:space="preserve"> </w:t>
              </w:r>
              <w:r>
                <w:rPr>
                  <w:color w:val="000000"/>
                  <w:szCs w:val="24"/>
                  <w:lang w:eastAsia="lt-LT" w:bidi="en-US"/>
                </w:rPr>
                <w:t>(</w:t>
              </w:r>
              <w:r>
                <w:rPr>
                  <w:szCs w:val="24"/>
                  <w:lang w:eastAsia="lt-LT" w:bidi="en-US"/>
                </w:rPr>
                <w:t>pažymimas tinkamas variantas)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kur pastabas ir pasiūlymus nuo 202.. m. ... ... d. iki 202.. m. ... ... d. galėjo teikti visi suinteresuoti asmenys (</w:t>
              </w:r>
              <w:r>
                <w:rPr>
                  <w:rFonts w:eastAsia="Andale Sans UI"/>
                  <w:i/>
                  <w:iCs/>
                  <w:color w:val="000000"/>
                  <w:szCs w:val="24"/>
                  <w:lang w:bidi="en-US"/>
                </w:rPr>
                <w:t xml:space="preserve">nurodomas </w:t>
              </w:r>
              <w:r>
                <w:rPr>
                  <w:rFonts w:eastAsia="Andale Sans UI"/>
                  <w:i/>
                  <w:iCs/>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iCs/>
                  <w:szCs w:val="24"/>
                  <w:lang w:bidi="en-US"/>
                </w:rPr>
                <w:t xml:space="preserve"> ir apibendrinti konsultavimosi rezultatai </w:t>
              </w:r>
              <w:r>
                <w:rPr>
                  <w:rFonts w:eastAsia="Andale Sans UI"/>
                  <w:i/>
                  <w:iCs/>
                  <w:color w:val="000000"/>
                  <w:szCs w:val="24"/>
                  <w:lang w:bidi="en-US"/>
                </w:rPr>
                <w:t xml:space="preserve">– </w:t>
              </w:r>
              <w:r>
                <w:rPr>
                  <w:rFonts w:eastAsia="Andale Sans UI"/>
                  <w:i/>
                  <w:iCs/>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rFonts w:eastAsia="Andale Sans UI"/>
                  <w:i/>
                  <w:iCs/>
                  <w:szCs w:val="24"/>
                  <w:lang w:bidi="en-US"/>
                </w:rPr>
                <w:t xml:space="preserve"> </w:t>
              </w:r>
              <w:r>
                <w:rPr>
                  <w:rFonts w:eastAsia="Andale Sans UI"/>
                  <w:szCs w:val="24"/>
                  <w:lang w:bidi="en-US"/>
                </w:rPr>
                <w:t>(</w:t>
              </w:r>
              <w:r>
                <w:rPr>
                  <w:rFonts w:eastAsia="Andale Sans UI"/>
                  <w:b/>
                  <w:bCs/>
                  <w:szCs w:val="24"/>
                  <w:lang w:bidi="en-US"/>
                </w:rPr>
                <w:t>arba</w:t>
              </w:r>
              <w:r>
                <w:rPr>
                  <w:rFonts w:eastAsia="Andale Sans UI"/>
                  <w:szCs w:val="24"/>
                  <w:lang w:bidi="en-US"/>
                </w:rPr>
                <w:t xml:space="preserve"> P</w:t>
              </w:r>
              <w:r>
                <w:rPr>
                  <w:rFonts w:eastAsia="Andale Sans UI"/>
                  <w:color w:val="000000"/>
                  <w:szCs w:val="24"/>
                  <w:lang w:bidi="en-US"/>
                </w:rPr>
                <w:t>rojektas viešosioms konsultacijoms paskelbtas (</w:t>
              </w:r>
              <w:r>
                <w:rPr>
                  <w:rFonts w:eastAsia="Andale Sans UI"/>
                  <w:b/>
                  <w:b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color w:val="000000"/>
                  <w:szCs w:val="24"/>
                  <w:lang w:bidi="en-US"/>
                </w:rPr>
                <w:t>arba</w:t>
              </w:r>
              <w:r>
                <w:rPr>
                  <w:rFonts w:eastAsia="Andale Sans UI"/>
                  <w:color w:val="000000"/>
                  <w:szCs w:val="24"/>
                  <w:lang w:bidi="en-US"/>
                </w:rPr>
                <w:t xml:space="preserve"> galės teikti) visi suinteresuoti asmenys (</w:t>
              </w:r>
              <w:r>
                <w:rPr>
                  <w:i/>
                  <w:iCs/>
                  <w:color w:val="000000"/>
                  <w:szCs w:val="24"/>
                  <w:lang w:eastAsia="lt-LT" w:bidi="en-US"/>
                </w:rPr>
                <w:t>nurodomas konsultavimosi tikslas (tikslai), būdas (būdai), suinteresuoti asmenys ir konsultavimosi trukmė</w:t>
              </w:r>
              <w:r>
                <w:rPr>
                  <w:color w:val="000000"/>
                  <w:szCs w:val="24"/>
                  <w:lang w:eastAsia="lt-LT" w:bidi="en-US"/>
                </w:rPr>
                <w:t>)</w:t>
              </w:r>
              <w:r>
                <w:rPr>
                  <w:i/>
                  <w:iCs/>
                  <w:color w:val="000000"/>
                  <w:szCs w:val="24"/>
                  <w:lang w:eastAsia="lt-LT" w:bidi="en-US"/>
                </w:rPr>
                <w:t xml:space="preserve">. </w:t>
              </w:r>
            </w:p>
            <w:p>
              <w:pPr>
                <w:ind w:firstLine="567"/>
                <w:jc w:val="both"/>
                <w:rPr>
                  <w:color w:val="000000"/>
                  <w:szCs w:val="24"/>
                  <w:lang w:eastAsia="lt-LT" w:bidi="en-US"/>
                </w:rPr>
              </w:pPr>
              <w:r>
                <w:rPr>
                  <w:rFonts w:ascii="MS Gothic" w:eastAsia="MS Gothic" w:hAnsi="MS Gothic" w:cs="MS Gothic"/>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neplanuojama.</w:t>
              </w:r>
            </w:p>
          </w:sdtContent>
        </w:sdt>
        <w:sdt>
          <w:sdtPr>
            <w:alias w:val="13 p."/>
            <w:tag w:val="part_666812c913ab4491942cb4e9dba7933b"/>
            <w:lock w:val="sdtLocked"/>
            <w:richText/>
          </w:sdtPr>
          <w:sdtContent>
            <w:p>
              <w:pPr>
                <w:ind w:firstLine="567"/>
                <w:jc w:val="both"/>
                <w:rPr>
                  <w:rFonts w:eastAsia="Andale Sans UI"/>
                  <w:b/>
                  <w:bCs/>
                  <w:szCs w:val="24"/>
                  <w:lang w:bidi="en-US"/>
                </w:rPr>
              </w:pPr>
              <w:sdt>
                <w:sdtPr>
                  <w:alias w:val="Numeris"/>
                  <w:tag w:val="nr_666812c913ab4491942cb4e9dba7933b"/>
                  <w:lock w:val="sdtLocked"/>
                  <w:richText/>
                </w:sdtPr>
                <w:sdtContent>
                  <w:r>
                    <w:rPr>
                      <w:rFonts w:eastAsia="Andale Sans UI"/>
                      <w:b/>
                      <w:bCs/>
                      <w:szCs w:val="24"/>
                      <w:lang w:bidi="en-US"/>
                    </w:rPr>
                    <w:t>13</w:t>
                  </w:r>
                </w:sdtContent>
              </w:sdt>
              <w:r>
                <w:rPr>
                  <w:rFonts w:eastAsia="Andale Sans UI"/>
                  <w:b/>
                  <w:bCs/>
                  <w:szCs w:val="24"/>
                  <w:lang w:bidi="en-US"/>
                </w:rPr>
                <w:t>. Derinimas su suinteresuotomis institucijomis ir suinteresuotais asmenimis</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Derinimo terminas </w:t>
              </w:r>
              <w:r>
                <w:rPr>
                  <w:color w:val="000000"/>
                  <w:szCs w:val="24"/>
                  <w:lang w:eastAsia="lt-LT" w:bidi="en-US"/>
                </w:rPr>
                <w:t>(</w:t>
              </w:r>
              <w:r>
                <w:rPr>
                  <w:szCs w:val="24"/>
                  <w:lang w:eastAsia="lt-LT" w:bidi="en-US"/>
                </w:rPr>
                <w:t>pažymimas tinkamas variantas)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12 darbo dienų.</w:t>
              </w:r>
            </w:p>
            <w:p>
              <w:pPr>
                <w:ind w:firstLine="567"/>
                <w:jc w:val="both"/>
                <w:rPr>
                  <w:rFonts w:eastAsia="Andale Sans UI"/>
                  <w:i/>
                  <w:iCs/>
                  <w:szCs w:val="24"/>
                  <w:lang w:bidi="en-US"/>
                </w:rPr>
              </w:pPr>
              <w:r>
                <w:rPr>
                  <w:rFonts w:ascii="Segoe UI Symbol" w:eastAsia="MS Gothic" w:hAnsi="Segoe UI Symbol" w:cs="Segoe UI Symbol"/>
                  <w:szCs w:val="24"/>
                  <w:lang w:bidi="en-US"/>
                </w:rPr>
                <w:t>☒</w:t>
              </w:r>
              <w:r>
                <w:rPr>
                  <w:rFonts w:eastAsia="Andale Sans UI"/>
                  <w:szCs w:val="24"/>
                  <w:lang w:bidi="en-US"/>
                </w:rPr>
                <w:t xml:space="preserve"> 5 darbo dienos (28.4. papunktis)</w:t>
              </w:r>
            </w:p>
          </w:sdtContent>
        </w:sdt>
        <w:sdt>
          <w:sdtPr>
            <w:alias w:val="14 p."/>
            <w:tag w:val="part_18abc35ffa154ba099a8d6e579b7f2d5"/>
            <w:lock w:val="sdtLocked"/>
            <w:richText/>
          </w:sdtPr>
          <w:sdtContent>
            <w:p>
              <w:pPr>
                <w:ind w:firstLine="567"/>
                <w:jc w:val="both"/>
                <w:rPr>
                  <w:rFonts w:eastAsia="Andale Sans UI"/>
                  <w:b/>
                  <w:bCs/>
                  <w:szCs w:val="24"/>
                  <w:lang w:bidi="en-US"/>
                </w:rPr>
              </w:pPr>
              <w:sdt>
                <w:sdtPr>
                  <w:alias w:val="Numeris"/>
                  <w:tag w:val="nr_18abc35ffa154ba099a8d6e579b7f2d5"/>
                  <w:lock w:val="sdtLocked"/>
                  <w:richText/>
                </w:sdtPr>
                <w:sdtContent>
                  <w:r>
                    <w:rPr>
                      <w:rFonts w:eastAsia="Andale Sans UI"/>
                      <w:b/>
                      <w:bCs/>
                      <w:szCs w:val="24"/>
                      <w:lang w:bidi="en-US"/>
                    </w:rPr>
                    <w:t>14</w:t>
                  </w:r>
                </w:sdtContent>
              </w:sdt>
              <w:r>
                <w:rPr>
                  <w:rFonts w:eastAsia="Andale Sans UI"/>
                  <w:b/>
                  <w:bCs/>
                  <w:szCs w:val="24"/>
                  <w:lang w:bidi="en-US"/>
                </w:rPr>
                <w:t>. Projekto rengėjai</w:t>
              </w:r>
            </w:p>
            <w:p>
              <w:pPr>
                <w:ind w:firstLine="567"/>
                <w:jc w:val="both"/>
                <w:rPr>
                  <w:rFonts w:eastAsia="Andale Sans UI"/>
                  <w:szCs w:val="24"/>
                  <w:lang w:bidi="en-US"/>
                </w:rPr>
              </w:pPr>
              <w:r>
                <w:rPr>
                  <w:rFonts w:eastAsia="Andale Sans UI"/>
                  <w:szCs w:val="24"/>
                  <w:lang w:bidi="en-US"/>
                </w:rPr>
                <w:t xml:space="preserve">Projektą parengė Aplinkos ministerijos Architektūros ir inovacijų politikos grupės (vadovė – Asta Rokickienė, tel. +370 695 67 967, el. p. </w:t>
              </w:r>
              <w:r>
                <w:rPr>
                  <w:rFonts w:eastAsia="Andale Sans UI"/>
                  <w:color w:val="000080"/>
                  <w:szCs w:val="24"/>
                  <w:u w:val="single"/>
                  <w:lang w:bidi="en-US"/>
                </w:rPr>
                <w:t>asta.rokickiene@am.lt</w:t>
              </w:r>
              <w:r>
                <w:rPr>
                  <w:rFonts w:eastAsia="Andale Sans UI"/>
                  <w:szCs w:val="24"/>
                  <w:lang w:bidi="en-US"/>
                </w:rPr>
                <w:t xml:space="preserve">) vyresnysis patarėjas Šarūnas Knizikevičius, tel. +370 616 49 409, el. p. </w:t>
              </w:r>
              <w:r>
                <w:rPr>
                  <w:rFonts w:eastAsia="Andale Sans UI"/>
                  <w:color w:val="000080"/>
                  <w:szCs w:val="24"/>
                  <w:u w:val="single"/>
                  <w:lang w:bidi="en-US"/>
                </w:rPr>
                <w:t>sarunas.knizikevicius@am.lt</w:t>
              </w:r>
              <w:r>
                <w:rPr>
                  <w:rFonts w:eastAsia="Andale Sans UI"/>
                  <w:szCs w:val="24"/>
                  <w:lang w:bidi="en-US"/>
                </w:rPr>
                <w:t xml:space="preserve">,  patarėjas Aleksandras Jesinas, tel. +370 665 17 416, el. p. </w:t>
              </w:r>
              <w:r>
                <w:rPr>
                  <w:rFonts w:eastAsia="Andale Sans UI"/>
                  <w:color w:val="000080"/>
                  <w:szCs w:val="24"/>
                  <w:u w:val="single"/>
                  <w:lang w:bidi="en-US"/>
                </w:rPr>
                <w:t>aleksandras.jesinas@am.lt</w:t>
              </w:r>
              <w:r>
                <w:rPr>
                  <w:rFonts w:eastAsia="Andale Sans UI"/>
                  <w:szCs w:val="24"/>
                  <w:lang w:bidi="en-US"/>
                </w:rPr>
                <w:t xml:space="preserve"> ir patarėja Ingrida Ignatavičienė, tel. +370 695 32 944, el. p.  </w:t>
              </w:r>
              <w:r>
                <w:rPr>
                  <w:rFonts w:eastAsia="Andale Sans UI"/>
                  <w:color w:val="000080"/>
                  <w:szCs w:val="24"/>
                  <w:u w:val="single"/>
                  <w:lang w:bidi="en-US"/>
                </w:rPr>
                <w:t>ingrida.ignataviciene@am.lt</w:t>
              </w:r>
              <w:r>
                <w:rPr>
                  <w:rFonts w:eastAsia="Andale Sans UI"/>
                  <w:szCs w:val="24"/>
                  <w:u w:val="single"/>
                  <w:lang w:bidi="en-US"/>
                </w:rPr>
                <w:t xml:space="preserve"> </w:t>
              </w:r>
            </w:p>
            <w:p>
              <w:pPr>
                <w:ind w:firstLine="567"/>
                <w:jc w:val="both"/>
                <w:rPr>
                  <w:rFonts w:eastAsia="Andale Sans UI"/>
                  <w:szCs w:val="24"/>
                  <w:lang w:eastAsia="lt-LT" w:bidi="en-US"/>
                </w:rPr>
              </w:pPr>
              <w:r>
                <w:rPr>
                  <w:rFonts w:eastAsia="Andale Sans UI"/>
                  <w:szCs w:val="24"/>
                  <w:lang w:bidi="en-US"/>
                </w:rPr>
                <w:t xml:space="preserve">PRIDEDAMA. </w:t>
              </w:r>
              <w:r>
                <w:rPr>
                  <w:color w:val="000000"/>
                  <w:szCs w:val="24"/>
                  <w:lang w:eastAsia="lt-LT" w:bidi="en-US"/>
                </w:rPr>
                <w:t>Projektas, 5 lapai.</w:t>
              </w: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00"/>
                </w:trPr>
                <w:tc>
                  <w:tcPr>
                    <w:tcW w:w="4817" w:type="dxa"/>
                    <w:vAlign w:val="bottom"/>
                  </w:tcPr>
                  <w:p>
                    <w:pPr>
                      <w:suppressLineNumbers/>
                      <w:spacing w:line="276" w:lineRule="auto"/>
                      <w:jc w:val="both"/>
                      <w:rPr>
                        <w:rFonts w:eastAsia="Andale Sans UI"/>
                        <w:szCs w:val="24"/>
                        <w:lang w:bidi="en-US"/>
                      </w:rPr>
                    </w:pPr>
                    <w:r>
                      <w:rPr>
                        <w:rFonts w:eastAsia="Andale Sans UI"/>
                        <w:szCs w:val="24"/>
                        <w:lang w:bidi="en-US"/>
                      </w:rPr>
                      <w:t>Aplinkos viceministrė</w:t>
                    </w:r>
                  </w:p>
                </w:tc>
                <w:tc>
                  <w:tcPr>
                    <w:tcW w:w="4826" w:type="dxa"/>
                    <w:vAlign w:val="bottom"/>
                  </w:tcPr>
                  <w:p>
                    <w:pPr>
                      <w:spacing w:line="276" w:lineRule="auto"/>
                      <w:ind w:right="34"/>
                      <w:jc w:val="right"/>
                      <w:rPr>
                        <w:rFonts w:eastAsia="Andale Sans UI"/>
                        <w:szCs w:val="24"/>
                        <w:lang w:bidi="en-US"/>
                      </w:rPr>
                    </w:pPr>
                  </w:p>
                  <w:p>
                    <w:pPr>
                      <w:spacing w:line="276" w:lineRule="auto"/>
                      <w:ind w:right="34"/>
                      <w:jc w:val="right"/>
                      <w:rPr>
                        <w:rFonts w:eastAsia="Andale Sans UI"/>
                        <w:szCs w:val="24"/>
                        <w:lang w:bidi="en-US"/>
                      </w:rPr>
                    </w:pPr>
                    <w:r>
                      <w:rPr>
                        <w:rFonts w:eastAsia="Andale Sans UI"/>
                        <w:szCs w:val="24"/>
                        <w:lang w:bidi="en-US"/>
                      </w:rPr>
                      <w:t>Daiva Matusevičė</w:t>
                    </w:r>
                  </w:p>
                </w:tc>
              </w:tr>
              <w:tr>
                <w:trPr>
                  <w:trHeight w:val="300"/>
                </w:trPr>
                <w:tc>
                  <w:tcPr>
                    <w:tcW w:w="4817" w:type="dxa"/>
                    <w:vAlign w:val="bottom"/>
                  </w:tcPr>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tc>
                <w:tc>
                  <w:tcPr>
                    <w:tcW w:w="4826" w:type="dxa"/>
                    <w:vAlign w:val="bottom"/>
                  </w:tcPr>
                  <w:p>
                    <w:pPr>
                      <w:spacing w:line="276" w:lineRule="auto"/>
                      <w:ind w:right="34"/>
                      <w:jc w:val="right"/>
                      <w:rPr>
                        <w:rFonts w:eastAsia="Andale Sans UI"/>
                        <w:szCs w:val="24"/>
                        <w:lang w:bidi="en-US"/>
                      </w:rPr>
                    </w:pPr>
                  </w:p>
                </w:tc>
              </w:tr>
              <w:tr>
                <w:trPr>
                  <w:cantSplit/>
                  <w:trHeight w:val="300"/>
                </w:trPr>
                <w:tc>
                  <w:tcPr>
                    <w:tcW w:w="9643" w:type="dxa"/>
                    <w:gridSpan w:val="2"/>
                  </w:tcPr>
                  <w:p>
                    <w:pPr>
                      <w:suppressLineNumbers/>
                      <w:jc w:val="both"/>
                      <w:rPr>
                        <w:rFonts w:eastAsia="Andale Sans UI"/>
                        <w:szCs w:val="24"/>
                        <w:lang w:bidi="en-US"/>
                      </w:rPr>
                    </w:pPr>
                    <w:r>
                      <w:rPr>
                        <w:rFonts w:eastAsia="Andale Sans UI"/>
                        <w:szCs w:val="24"/>
                        <w:lang w:bidi="en-US"/>
                      </w:rPr>
                      <w:t xml:space="preserve">I. Ignatavičienė, tel.  +370 695 32 944 el. p. ingrida.ignataviciene@am.lt</w:t>
                    </w:r>
                  </w:p>
                </w:tc>
              </w:tr>
            </w:tbl>
            <w:p>
              <w:pPr>
                <w:jc w:val="center"/>
                <w:rPr>
                  <w:rFonts w:eastAsia="Andale Sans UI" w:cs="Tahoma"/>
                  <w:szCs w:val="24"/>
                  <w:lang w:bidi="en-US"/>
                </w:rPr>
                <w:sectPr>
                  <w:headerReference w:type="even" r:id="rId15"/>
                  <w:headerReference w:type="default" r:id="rId16"/>
                  <w:footerReference w:type="even" r:id="rId17"/>
                  <w:footerReference w:type="default" r:id="rId18"/>
                  <w:headerReference w:type="first" r:id="rId19"/>
                  <w:footerReference w:type="first" r:id="rId20"/>
                  <w:footnotePr>
                    <w:pos w:val="beneathText"/>
                    <w:numRestart w:val="eachPage"/>
                  </w:footnotePr>
                  <w:endnotePr>
                    <w:numFmt w:val="decimal"/>
                  </w:endnotePr>
                  <w:pgSz w:w="11905" w:h="16837"/>
                  <w:pgMar w:top="1021" w:right="567" w:bottom="1021" w:left="1588" w:header="567" w:footer="232" w:gutter="0"/>
                  <w:cols w:space="1296"/>
                  <w:titlePg/>
                  <w:docGrid w:linePitch="326"/>
                </w:sectPr>
              </w:pPr>
            </w:p>
            <w:p>
              <w:pPr>
                <w:suppressLineNumbers/>
                <w:tabs>
                  <w:tab w:val="center" w:pos="4800"/>
                  <w:tab w:val="right" w:pos="9601"/>
                </w:tabs>
                <w:jc w:val="both"/>
                <w:rPr>
                  <w:rFonts w:eastAsia="Andale Sans UI" w:cs="Tahoma"/>
                  <w:szCs w:val="24"/>
                  <w:lang w:bidi="en-US"/>
                </w:rPr>
              </w:pPr>
            </w:p>
            <w:p>
              <w:pPr>
                <w:jc w:val="center"/>
                <w:rPr>
                  <w:szCs w:val="24"/>
                  <w:lang w:bidi="en-US"/>
                </w:rPr>
              </w:pPr>
              <w:r>
                <w:rPr>
                  <w:szCs w:val="24"/>
                  <w:lang w:bidi="en-US"/>
                </w:rPr>
                <w:t>ADRESATŲ SĄRAŠAS</w:t>
              </w:r>
            </w:p>
            <w:p>
              <w:pPr>
                <w:tabs>
                  <w:tab w:val="left" w:pos="993"/>
                </w:tabs>
                <w:spacing w:line="276" w:lineRule="auto"/>
                <w:jc w:val="center"/>
                <w:rPr>
                  <w:szCs w:val="24"/>
                  <w:lang w:eastAsia="lt-LT" w:bidi="en-US"/>
                </w:rPr>
              </w:pPr>
            </w:p>
          </w:sdtContent>
        </w:sdt>
        <w:sdt>
          <w:sdtPr>
            <w:alias w:val="1 p."/>
            <w:tag w:val="part_1e033226057c409d8dccd78ce6ff19ee"/>
            <w:lock w:val="sdtLocked"/>
            <w:richText/>
          </w:sdtPr>
          <w:sdtContent>
            <w:p>
              <w:pPr>
                <w:tabs>
                  <w:tab w:val="left" w:pos="993"/>
                </w:tabs>
                <w:spacing w:line="276" w:lineRule="auto"/>
                <w:ind w:left="720" w:hanging="360"/>
                <w:jc w:val="both"/>
                <w:rPr>
                  <w:szCs w:val="24"/>
                  <w:lang w:bidi="en-US"/>
                </w:rPr>
              </w:pPr>
              <w:sdt>
                <w:sdtPr>
                  <w:alias w:val="Numeris"/>
                  <w:tag w:val="nr_1e033226057c409d8dccd78ce6ff19ee"/>
                  <w:lock w:val="sdtLocked"/>
                  <w:richText/>
                </w:sdtPr>
                <w:sdtContent>
                  <w:r>
                    <w:rPr>
                      <w:szCs w:val="24"/>
                      <w:lang w:bidi="en-US"/>
                    </w:rPr>
                    <w:t>1</w:t>
                  </w:r>
                </w:sdtContent>
              </w:sdt>
              <w:r>
                <w:rPr>
                  <w:szCs w:val="24"/>
                  <w:lang w:bidi="en-US"/>
                </w:rPr>
                <w:t>.</w:t>
                <w:tab/>
                <w:t>Lietuvos nekilnojamojo turto plėtros asociacijai;</w:t>
              </w:r>
            </w:p>
            <w:p>
              <w:pPr>
                <w:rPr>
                  <w:sz w:val="20"/>
                </w:rPr>
              </w:pPr>
            </w:p>
          </w:sdtContent>
        </w:sdt>
        <w:sdt>
          <w:sdtPr>
            <w:alias w:val="2 p."/>
            <w:tag w:val="part_235904772d4b44da9976c1238ecadb08"/>
            <w:lock w:val="sdtLocked"/>
            <w:richText/>
          </w:sdtPr>
          <w:sdtContent>
            <w:p>
              <w:pPr>
                <w:tabs>
                  <w:tab w:val="left" w:pos="993"/>
                </w:tabs>
                <w:spacing w:line="276" w:lineRule="auto"/>
                <w:ind w:left="720" w:hanging="360"/>
                <w:jc w:val="both"/>
                <w:rPr>
                  <w:szCs w:val="24"/>
                  <w:lang w:bidi="en-US"/>
                </w:rPr>
              </w:pPr>
              <w:sdt>
                <w:sdtPr>
                  <w:alias w:val="Numeris"/>
                  <w:tag w:val="nr_235904772d4b44da9976c1238ecadb08"/>
                  <w:lock w:val="sdtLocked"/>
                  <w:richText/>
                </w:sdtPr>
                <w:sdtContent>
                  <w:r>
                    <w:rPr>
                      <w:szCs w:val="24"/>
                      <w:lang w:bidi="en-US"/>
                    </w:rPr>
                    <w:t>2</w:t>
                  </w:r>
                </w:sdtContent>
              </w:sdt>
              <w:r>
                <w:rPr>
                  <w:szCs w:val="24"/>
                  <w:lang w:bidi="en-US"/>
                </w:rPr>
                <w:t>.</w:t>
                <w:tab/>
                <w:t>Lietuvos savivaldybių asociacijai;</w:t>
              </w:r>
            </w:p>
            <w:p>
              <w:pPr>
                <w:rPr>
                  <w:sz w:val="20"/>
                </w:rPr>
              </w:pPr>
            </w:p>
          </w:sdtContent>
        </w:sdt>
        <w:sdt>
          <w:sdtPr>
            <w:alias w:val="3 p."/>
            <w:tag w:val="part_e9618b10b4814347812977d39042e7bc"/>
            <w:lock w:val="sdtLocked"/>
            <w:richText/>
          </w:sdtPr>
          <w:sdtContent>
            <w:p>
              <w:pPr>
                <w:tabs>
                  <w:tab w:val="left" w:pos="993"/>
                </w:tabs>
                <w:spacing w:line="276" w:lineRule="auto"/>
                <w:ind w:left="720" w:hanging="360"/>
                <w:jc w:val="both"/>
                <w:rPr>
                  <w:szCs w:val="24"/>
                  <w:lang w:bidi="en-US"/>
                </w:rPr>
              </w:pPr>
              <w:sdt>
                <w:sdtPr>
                  <w:alias w:val="Numeris"/>
                  <w:tag w:val="nr_e9618b10b4814347812977d39042e7bc"/>
                  <w:lock w:val="sdtLocked"/>
                  <w:richText/>
                </w:sdtPr>
                <w:sdtContent>
                  <w:r>
                    <w:rPr>
                      <w:szCs w:val="24"/>
                      <w:lang w:bidi="en-US"/>
                    </w:rPr>
                    <w:t>3</w:t>
                  </w:r>
                </w:sdtContent>
              </w:sdt>
              <w:r>
                <w:rPr>
                  <w:szCs w:val="24"/>
                  <w:lang w:bidi="en-US"/>
                </w:rPr>
                <w:t>.</w:t>
                <w:tab/>
                <w:t>Lietuvos projektavimo įmonių asociacijai;</w:t>
              </w:r>
            </w:p>
            <w:p>
              <w:pPr>
                <w:rPr>
                  <w:sz w:val="20"/>
                </w:rPr>
              </w:pPr>
            </w:p>
          </w:sdtContent>
        </w:sdt>
        <w:sdt>
          <w:sdtPr>
            <w:alias w:val="4 p."/>
            <w:tag w:val="part_7d51ea809b3b4e3fb5d796303e33a9de"/>
            <w:lock w:val="sdtLocked"/>
            <w:richText/>
          </w:sdtPr>
          <w:sdtContent>
            <w:p>
              <w:pPr>
                <w:tabs>
                  <w:tab w:val="left" w:pos="993"/>
                </w:tabs>
                <w:spacing w:line="276" w:lineRule="auto"/>
                <w:ind w:left="720" w:hanging="360"/>
                <w:jc w:val="both"/>
                <w:rPr>
                  <w:szCs w:val="24"/>
                  <w:lang w:bidi="en-US"/>
                </w:rPr>
              </w:pPr>
              <w:sdt>
                <w:sdtPr>
                  <w:alias w:val="Numeris"/>
                  <w:tag w:val="nr_7d51ea809b3b4e3fb5d796303e33a9de"/>
                  <w:lock w:val="sdtLocked"/>
                  <w:richText/>
                </w:sdtPr>
                <w:sdtContent>
                  <w:r>
                    <w:rPr>
                      <w:szCs w:val="24"/>
                      <w:lang w:bidi="en-US"/>
                    </w:rPr>
                    <w:t>4</w:t>
                  </w:r>
                </w:sdtContent>
              </w:sdt>
              <w:r>
                <w:rPr>
                  <w:szCs w:val="24"/>
                  <w:lang w:bidi="en-US"/>
                </w:rPr>
                <w:t>.</w:t>
                <w:tab/>
                <w:t>Lietuvos statybininkų asociacijai;</w:t>
              </w:r>
            </w:p>
            <w:p>
              <w:pPr>
                <w:rPr>
                  <w:sz w:val="20"/>
                </w:rPr>
              </w:pPr>
            </w:p>
          </w:sdtContent>
        </w:sdt>
        <w:sdt>
          <w:sdtPr>
            <w:alias w:val="5 p."/>
            <w:tag w:val="part_251d7deea2a8448ab0834a6a9f21992e"/>
            <w:lock w:val="sdtLocked"/>
            <w:richText/>
          </w:sdtPr>
          <w:sdtContent>
            <w:p>
              <w:pPr>
                <w:tabs>
                  <w:tab w:val="left" w:pos="993"/>
                </w:tabs>
                <w:spacing w:line="276" w:lineRule="auto"/>
                <w:ind w:left="720" w:hanging="360"/>
                <w:jc w:val="both"/>
                <w:rPr>
                  <w:szCs w:val="24"/>
                  <w:lang w:bidi="en-US"/>
                </w:rPr>
              </w:pPr>
              <w:sdt>
                <w:sdtPr>
                  <w:alias w:val="Numeris"/>
                  <w:tag w:val="nr_251d7deea2a8448ab0834a6a9f21992e"/>
                  <w:lock w:val="sdtLocked"/>
                  <w:richText/>
                </w:sdtPr>
                <w:sdtContent>
                  <w:r>
                    <w:rPr>
                      <w:szCs w:val="24"/>
                      <w:lang w:bidi="en-US"/>
                    </w:rPr>
                    <w:t>5</w:t>
                  </w:r>
                </w:sdtContent>
              </w:sdt>
              <w:r>
                <w:rPr>
                  <w:szCs w:val="24"/>
                  <w:lang w:bidi="en-US"/>
                </w:rPr>
                <w:t>.</w:t>
                <w:tab/>
                <w:t>Kultūros ministerijai;</w:t>
              </w:r>
            </w:p>
            <w:p>
              <w:pPr>
                <w:rPr>
                  <w:sz w:val="20"/>
                </w:rPr>
              </w:pPr>
            </w:p>
          </w:sdtContent>
        </w:sdt>
        <w:sdt>
          <w:sdtPr>
            <w:alias w:val="6 p."/>
            <w:tag w:val="part_d24ea12eb4be4b8192d9942de980629e"/>
            <w:lock w:val="sdtLocked"/>
            <w:richText/>
          </w:sdtPr>
          <w:sdtContent>
            <w:p>
              <w:pPr>
                <w:spacing w:line="276" w:lineRule="auto"/>
                <w:ind w:left="720" w:hanging="360"/>
                <w:jc w:val="both"/>
                <w:rPr>
                  <w:szCs w:val="24"/>
                  <w:lang w:bidi="en-US"/>
                </w:rPr>
              </w:pPr>
              <w:sdt>
                <w:sdtPr>
                  <w:alias w:val="Numeris"/>
                  <w:tag w:val="nr_d24ea12eb4be4b8192d9942de980629e"/>
                  <w:lock w:val="sdtLocked"/>
                  <w:richText/>
                </w:sdtPr>
                <w:sdtContent>
                  <w:r>
                    <w:rPr>
                      <w:szCs w:val="24"/>
                    </w:rPr>
                    <w:t>6</w:t>
                  </w:r>
                </w:sdtContent>
              </w:sdt>
              <w:r>
                <w:rPr>
                  <w:szCs w:val="24"/>
                </w:rPr>
                <w:t>.</w:t>
                <w:tab/>
              </w:r>
              <w:r>
                <w:rPr>
                  <w:szCs w:val="24"/>
                  <w:lang w:bidi="en-US"/>
                </w:rPr>
                <w:t>Susisiekimo ministerijai;</w:t>
              </w:r>
            </w:p>
            <w:p>
              <w:pPr>
                <w:rPr>
                  <w:sz w:val="20"/>
                </w:rPr>
              </w:pPr>
            </w:p>
          </w:sdtContent>
        </w:sdt>
        <w:sdt>
          <w:sdtPr>
            <w:alias w:val="7 p."/>
            <w:tag w:val="part_d5b783405c7d4e4ab016db66fee764ce"/>
            <w:lock w:val="sdtLocked"/>
            <w:richText/>
          </w:sdtPr>
          <w:sdtContent>
            <w:p>
              <w:pPr>
                <w:tabs>
                  <w:tab w:val="left" w:pos="993"/>
                </w:tabs>
                <w:spacing w:line="276" w:lineRule="auto"/>
                <w:ind w:left="720" w:hanging="360"/>
                <w:jc w:val="both"/>
                <w:rPr>
                  <w:szCs w:val="24"/>
                  <w:lang w:bidi="en-US"/>
                </w:rPr>
              </w:pPr>
              <w:sdt>
                <w:sdtPr>
                  <w:alias w:val="Numeris"/>
                  <w:tag w:val="nr_d5b783405c7d4e4ab016db66fee764ce"/>
                  <w:lock w:val="sdtLocked"/>
                  <w:richText/>
                </w:sdtPr>
                <w:sdtContent>
                  <w:r>
                    <w:rPr>
                      <w:szCs w:val="24"/>
                      <w:lang w:bidi="en-US"/>
                    </w:rPr>
                    <w:t>7</w:t>
                  </w:r>
                </w:sdtContent>
              </w:sdt>
              <w:r>
                <w:rPr>
                  <w:szCs w:val="24"/>
                  <w:lang w:bidi="en-US"/>
                </w:rPr>
                <w:t>.</w:t>
                <w:tab/>
                <w:t>Specialiųjų tyrimų tarnybai;</w:t>
              </w:r>
            </w:p>
            <w:p>
              <w:pPr>
                <w:rPr>
                  <w:sz w:val="20"/>
                </w:rPr>
              </w:pPr>
            </w:p>
          </w:sdtContent>
        </w:sdt>
        <w:sdt>
          <w:sdtPr>
            <w:alias w:val="8 p."/>
            <w:tag w:val="part_72848b1bb420465abf91fd02961901ba"/>
            <w:lock w:val="sdtLocked"/>
            <w:richText/>
          </w:sdtPr>
          <w:sdtContent>
            <w:p>
              <w:pPr>
                <w:tabs>
                  <w:tab w:val="left" w:pos="993"/>
                </w:tabs>
                <w:spacing w:line="276" w:lineRule="auto"/>
                <w:ind w:left="720" w:hanging="360"/>
                <w:jc w:val="both"/>
                <w:rPr>
                  <w:szCs w:val="24"/>
                  <w:lang w:bidi="en-US"/>
                </w:rPr>
              </w:pPr>
              <w:sdt>
                <w:sdtPr>
                  <w:alias w:val="Numeris"/>
                  <w:tag w:val="nr_72848b1bb420465abf91fd02961901ba"/>
                  <w:lock w:val="sdtLocked"/>
                  <w:richText/>
                </w:sdtPr>
                <w:sdtContent>
                  <w:r>
                    <w:rPr>
                      <w:szCs w:val="24"/>
                      <w:lang w:bidi="en-US"/>
                    </w:rPr>
                    <w:t>8</w:t>
                  </w:r>
                </w:sdtContent>
              </w:sdt>
              <w:r>
                <w:rPr>
                  <w:szCs w:val="24"/>
                  <w:lang w:bidi="en-US"/>
                </w:rPr>
                <w:t>.</w:t>
                <w:tab/>
                <w:t>Aplinkos apsaugos agentūrai;</w:t>
              </w:r>
            </w:p>
            <w:p>
              <w:pPr>
                <w:rPr>
                  <w:sz w:val="20"/>
                </w:rPr>
              </w:pPr>
            </w:p>
          </w:sdtContent>
        </w:sdt>
        <w:sdt>
          <w:sdtPr>
            <w:alias w:val="9 p."/>
            <w:tag w:val="part_3ceb1d0a3f7a4d16a99387794b97f8e3"/>
            <w:lock w:val="sdtLocked"/>
            <w:richText/>
          </w:sdtPr>
          <w:sdtContent>
            <w:p>
              <w:pPr>
                <w:spacing w:line="276" w:lineRule="auto"/>
                <w:ind w:left="720" w:hanging="360"/>
                <w:jc w:val="both"/>
                <w:rPr>
                  <w:szCs w:val="24"/>
                  <w:lang w:bidi="en-US"/>
                </w:rPr>
              </w:pPr>
              <w:sdt>
                <w:sdtPr>
                  <w:alias w:val="Numeris"/>
                  <w:tag w:val="nr_3ceb1d0a3f7a4d16a99387794b97f8e3"/>
                  <w:lock w:val="sdtLocked"/>
                  <w:richText/>
                </w:sdtPr>
                <w:sdtContent>
                  <w:r>
                    <w:rPr>
                      <w:szCs w:val="24"/>
                    </w:rPr>
                    <w:t>9</w:t>
                  </w:r>
                </w:sdtContent>
              </w:sdt>
              <w:r>
                <w:rPr>
                  <w:szCs w:val="24"/>
                </w:rPr>
                <w:t>.</w:t>
                <w:tab/>
              </w:r>
              <w:r>
                <w:rPr>
                  <w:szCs w:val="24"/>
                  <w:lang w:bidi="en-US"/>
                </w:rPr>
                <w:t>Aplinkos apsaugos departamentui;</w:t>
              </w:r>
            </w:p>
            <w:p>
              <w:pPr>
                <w:rPr>
                  <w:sz w:val="20"/>
                </w:rPr>
              </w:pPr>
            </w:p>
          </w:sdtContent>
        </w:sdt>
        <w:sdt>
          <w:sdtPr>
            <w:alias w:val="10 p."/>
            <w:tag w:val="part_09d65a08556d49739d334fc047eb4089"/>
            <w:lock w:val="sdtLocked"/>
            <w:richText/>
          </w:sdtPr>
          <w:sdtContent>
            <w:p>
              <w:pPr>
                <w:tabs>
                  <w:tab w:val="left" w:pos="993"/>
                </w:tabs>
                <w:spacing w:line="276" w:lineRule="auto"/>
                <w:ind w:left="720" w:hanging="360"/>
                <w:jc w:val="both"/>
                <w:rPr>
                  <w:szCs w:val="24"/>
                  <w:lang w:eastAsia="lt-LT" w:bidi="en-US"/>
                </w:rPr>
              </w:pPr>
              <w:sdt>
                <w:sdtPr>
                  <w:alias w:val="Numeris"/>
                  <w:tag w:val="nr_09d65a08556d49739d334fc047eb4089"/>
                  <w:lock w:val="sdtLocked"/>
                  <w:richText/>
                </w:sdtPr>
                <w:sdtContent>
                  <w:r>
                    <w:rPr>
                      <w:szCs w:val="24"/>
                      <w:lang w:eastAsia="lt-LT" w:bidi="en-US"/>
                    </w:rPr>
                    <w:t>10</w:t>
                  </w:r>
                </w:sdtContent>
              </w:sdt>
              <w:r>
                <w:rPr>
                  <w:szCs w:val="24"/>
                  <w:lang w:eastAsia="lt-LT" w:bidi="en-US"/>
                </w:rPr>
                <w:t>.</w:t>
                <w:tab/>
                <w:t>Statybos sektoriaus vystymo agentūrai;</w:t>
              </w:r>
            </w:p>
            <w:p>
              <w:pPr>
                <w:rPr>
                  <w:sz w:val="20"/>
                </w:rPr>
              </w:pPr>
            </w:p>
          </w:sdtContent>
        </w:sdt>
        <w:sdt>
          <w:sdtPr>
            <w:alias w:val="11 p."/>
            <w:tag w:val="part_efb6ff97a7884960aa17e167609b34fa"/>
            <w:lock w:val="sdtLocked"/>
            <w:richText/>
          </w:sdtPr>
          <w:sdtContent>
            <w:p>
              <w:pPr>
                <w:tabs>
                  <w:tab w:val="left" w:pos="993"/>
                </w:tabs>
                <w:spacing w:line="276" w:lineRule="auto"/>
                <w:ind w:left="720" w:hanging="360"/>
                <w:jc w:val="both"/>
                <w:rPr>
                  <w:szCs w:val="24"/>
                  <w:lang w:bidi="en-US"/>
                </w:rPr>
              </w:pPr>
              <w:sdt>
                <w:sdtPr>
                  <w:alias w:val="Numeris"/>
                  <w:tag w:val="nr_efb6ff97a7884960aa17e167609b34fa"/>
                  <w:lock w:val="sdtLocked"/>
                  <w:richText/>
                </w:sdtPr>
                <w:sdtContent>
                  <w:r>
                    <w:rPr>
                      <w:szCs w:val="24"/>
                      <w:lang w:bidi="en-US"/>
                    </w:rPr>
                    <w:t>11</w:t>
                  </w:r>
                </w:sdtContent>
              </w:sdt>
              <w:r>
                <w:rPr>
                  <w:szCs w:val="24"/>
                  <w:lang w:bidi="en-US"/>
                </w:rPr>
                <w:t>.</w:t>
                <w:tab/>
                <w:t>Lietuvos statybos inžinierių sąjungai;</w:t>
              </w:r>
            </w:p>
            <w:p>
              <w:pPr>
                <w:rPr>
                  <w:sz w:val="20"/>
                </w:rPr>
              </w:pPr>
            </w:p>
          </w:sdtContent>
        </w:sdt>
        <w:sdt>
          <w:sdtPr>
            <w:alias w:val="12 p."/>
            <w:tag w:val="part_fb9389698b864b469e3c636e814a7092"/>
            <w:lock w:val="sdtLocked"/>
            <w:richText/>
          </w:sdtPr>
          <w:sdtContent>
            <w:p>
              <w:pPr>
                <w:tabs>
                  <w:tab w:val="left" w:pos="993"/>
                </w:tabs>
                <w:spacing w:line="276" w:lineRule="auto"/>
                <w:ind w:left="720" w:hanging="360"/>
                <w:jc w:val="both"/>
                <w:rPr>
                  <w:szCs w:val="24"/>
                  <w:lang w:eastAsia="lt-LT" w:bidi="en-US"/>
                </w:rPr>
              </w:pPr>
              <w:sdt>
                <w:sdtPr>
                  <w:alias w:val="Numeris"/>
                  <w:tag w:val="nr_fb9389698b864b469e3c636e814a7092"/>
                  <w:lock w:val="sdtLocked"/>
                  <w:richText/>
                </w:sdtPr>
                <w:sdtContent>
                  <w:r>
                    <w:rPr>
                      <w:szCs w:val="24"/>
                      <w:lang w:eastAsia="lt-LT" w:bidi="en-US"/>
                    </w:rPr>
                    <w:t>12</w:t>
                  </w:r>
                </w:sdtContent>
              </w:sdt>
              <w:r>
                <w:rPr>
                  <w:szCs w:val="24"/>
                  <w:lang w:eastAsia="lt-LT" w:bidi="en-US"/>
                </w:rPr>
                <w:t>.</w:t>
                <w:tab/>
              </w:r>
              <w:r>
                <w:rPr>
                  <w:szCs w:val="24"/>
                  <w:lang w:bidi="en-US"/>
                </w:rPr>
                <w:t>Lietuvos kraštovaizdžio architektų sąjungai;</w:t>
              </w:r>
            </w:p>
            <w:p>
              <w:pPr>
                <w:rPr>
                  <w:sz w:val="20"/>
                </w:rPr>
              </w:pPr>
            </w:p>
          </w:sdtContent>
        </w:sdt>
        <w:sdt>
          <w:sdtPr>
            <w:alias w:val="13 p."/>
            <w:tag w:val="part_f741216375644b21a8488d95e70ccbd4"/>
            <w:lock w:val="sdtLocked"/>
            <w:richText/>
          </w:sdtPr>
          <w:sdtContent>
            <w:p>
              <w:pPr>
                <w:tabs>
                  <w:tab w:val="left" w:pos="993"/>
                </w:tabs>
                <w:spacing w:line="276" w:lineRule="auto"/>
                <w:ind w:left="720" w:hanging="360"/>
                <w:jc w:val="both"/>
                <w:rPr>
                  <w:szCs w:val="24"/>
                  <w:lang w:eastAsia="lt-LT" w:bidi="en-US"/>
                </w:rPr>
              </w:pPr>
              <w:sdt>
                <w:sdtPr>
                  <w:alias w:val="Numeris"/>
                  <w:tag w:val="nr_f741216375644b21a8488d95e70ccbd4"/>
                  <w:lock w:val="sdtLocked"/>
                  <w:richText/>
                </w:sdtPr>
                <w:sdtContent>
                  <w:r>
                    <w:rPr>
                      <w:szCs w:val="24"/>
                      <w:lang w:eastAsia="lt-LT" w:bidi="en-US"/>
                    </w:rPr>
                    <w:t>13</w:t>
                  </w:r>
                </w:sdtContent>
              </w:sdt>
              <w:r>
                <w:rPr>
                  <w:szCs w:val="24"/>
                  <w:lang w:eastAsia="lt-LT" w:bidi="en-US"/>
                </w:rPr>
                <w:t>.</w:t>
                <w:tab/>
                <w:t>Lietuvos architektų sąjungai;</w:t>
              </w:r>
            </w:p>
            <w:p>
              <w:pPr>
                <w:rPr>
                  <w:sz w:val="20"/>
                </w:rPr>
              </w:pPr>
            </w:p>
          </w:sdtContent>
        </w:sdt>
        <w:sdt>
          <w:sdtPr>
            <w:alias w:val="14 p."/>
            <w:tag w:val="part_af3cd771f9e84e8f86422c900aab16d9"/>
            <w:lock w:val="sdtLocked"/>
            <w:richText/>
          </w:sdtPr>
          <w:sdtContent>
            <w:p>
              <w:pPr>
                <w:tabs>
                  <w:tab w:val="left" w:pos="993"/>
                </w:tabs>
                <w:spacing w:line="276" w:lineRule="auto"/>
                <w:ind w:left="720" w:hanging="360"/>
                <w:jc w:val="both"/>
                <w:rPr>
                  <w:szCs w:val="24"/>
                  <w:lang w:eastAsia="lt-LT" w:bidi="en-US"/>
                </w:rPr>
              </w:pPr>
              <w:sdt>
                <w:sdtPr>
                  <w:alias w:val="Numeris"/>
                  <w:tag w:val="nr_af3cd771f9e84e8f86422c900aab16d9"/>
                  <w:lock w:val="sdtLocked"/>
                  <w:richText/>
                </w:sdtPr>
                <w:sdtContent>
                  <w:r>
                    <w:rPr>
                      <w:szCs w:val="24"/>
                      <w:lang w:eastAsia="lt-LT" w:bidi="en-US"/>
                    </w:rPr>
                    <w:t>14</w:t>
                  </w:r>
                </w:sdtContent>
              </w:sdt>
              <w:r>
                <w:rPr>
                  <w:szCs w:val="24"/>
                  <w:lang w:eastAsia="lt-LT" w:bidi="en-US"/>
                </w:rPr>
                <w:t>.</w:t>
                <w:tab/>
                <w:t>Lietuvos architektų rūmams;</w:t>
              </w:r>
            </w:p>
            <w:p>
              <w:pPr>
                <w:rPr>
                  <w:sz w:val="20"/>
                </w:rPr>
              </w:pPr>
            </w:p>
          </w:sdtContent>
        </w:sdt>
        <w:sdt>
          <w:sdtPr>
            <w:alias w:val="15 p."/>
            <w:tag w:val="part_158154b2a6f94d79889f7830766d078c"/>
            <w:lock w:val="sdtLocked"/>
            <w:richText/>
          </w:sdtPr>
          <w:sdtContent>
            <w:p>
              <w:pPr>
                <w:tabs>
                  <w:tab w:val="left" w:pos="993"/>
                </w:tabs>
                <w:spacing w:line="276" w:lineRule="auto"/>
                <w:ind w:left="720" w:hanging="360"/>
                <w:jc w:val="both"/>
                <w:rPr>
                  <w:szCs w:val="24"/>
                  <w:lang w:bidi="en-US"/>
                </w:rPr>
              </w:pPr>
              <w:sdt>
                <w:sdtPr>
                  <w:alias w:val="Numeris"/>
                  <w:tag w:val="nr_158154b2a6f94d79889f7830766d078c"/>
                  <w:lock w:val="sdtLocked"/>
                  <w:richText/>
                </w:sdtPr>
                <w:sdtContent>
                  <w:r>
                    <w:rPr>
                      <w:szCs w:val="24"/>
                      <w:lang w:bidi="en-US"/>
                    </w:rPr>
                    <w:t>15</w:t>
                  </w:r>
                </w:sdtContent>
              </w:sdt>
              <w:r>
                <w:rPr>
                  <w:szCs w:val="24"/>
                  <w:lang w:bidi="en-US"/>
                </w:rPr>
                <w:t>.</w:t>
                <w:tab/>
                <w:t>Vilniaus Gedimino technikos universiteto Aplinkos inžinerijos fakultetui;</w:t>
              </w:r>
            </w:p>
            <w:p>
              <w:pPr>
                <w:rPr>
                  <w:sz w:val="20"/>
                </w:rPr>
              </w:pPr>
            </w:p>
          </w:sdtContent>
        </w:sdt>
        <w:sdt>
          <w:sdtPr>
            <w:alias w:val="16 p."/>
            <w:tag w:val="part_21306599a907477596d72118bb6a0484"/>
            <w:lock w:val="sdtLocked"/>
            <w:richText/>
          </w:sdtPr>
          <w:sdtContent>
            <w:p>
              <w:pPr>
                <w:tabs>
                  <w:tab w:val="left" w:pos="993"/>
                </w:tabs>
                <w:spacing w:line="276" w:lineRule="auto"/>
                <w:ind w:left="720" w:hanging="360"/>
                <w:jc w:val="both"/>
                <w:rPr>
                  <w:szCs w:val="24"/>
                  <w:lang w:bidi="en-US"/>
                </w:rPr>
              </w:pPr>
              <w:sdt>
                <w:sdtPr>
                  <w:alias w:val="Numeris"/>
                  <w:tag w:val="nr_21306599a907477596d72118bb6a0484"/>
                  <w:lock w:val="sdtLocked"/>
                  <w:richText/>
                </w:sdtPr>
                <w:sdtContent>
                  <w:r>
                    <w:rPr>
                      <w:szCs w:val="24"/>
                    </w:rPr>
                    <w:t>16</w:t>
                  </w:r>
                </w:sdtContent>
              </w:sdt>
              <w:r>
                <w:rPr>
                  <w:szCs w:val="24"/>
                </w:rPr>
                <w:t>.</w:t>
                <w:tab/>
              </w:r>
              <w:r>
                <w:rPr>
                  <w:szCs w:val="24"/>
                  <w:lang w:bidi="en-US"/>
                </w:rPr>
                <w:t>Vilniaus universiteto Geomokslų institutui;</w:t>
              </w:r>
            </w:p>
            <w:p>
              <w:pPr>
                <w:rPr>
                  <w:sz w:val="20"/>
                </w:rPr>
              </w:pPr>
            </w:p>
          </w:sdtContent>
        </w:sdt>
        <w:sdt>
          <w:sdtPr>
            <w:alias w:val="17 p."/>
            <w:tag w:val="part_c929374c5eca4b5abd401df390785bd7"/>
            <w:lock w:val="sdtLocked"/>
            <w:richText/>
          </w:sdtPr>
          <w:sdtContent>
            <w:p>
              <w:pPr>
                <w:tabs>
                  <w:tab w:val="left" w:pos="993"/>
                </w:tabs>
                <w:spacing w:line="276" w:lineRule="auto"/>
                <w:ind w:left="720" w:hanging="360"/>
                <w:jc w:val="both"/>
                <w:rPr>
                  <w:szCs w:val="24"/>
                  <w:lang w:bidi="en-US"/>
                </w:rPr>
              </w:pPr>
              <w:sdt>
                <w:sdtPr>
                  <w:alias w:val="Numeris"/>
                  <w:tag w:val="nr_c929374c5eca4b5abd401df390785bd7"/>
                  <w:lock w:val="sdtLocked"/>
                  <w:richText/>
                </w:sdtPr>
                <w:sdtContent>
                  <w:r>
                    <w:rPr>
                      <w:szCs w:val="24"/>
                      <w:lang w:bidi="en-US"/>
                    </w:rPr>
                    <w:t>17</w:t>
                  </w:r>
                </w:sdtContent>
              </w:sdt>
              <w:r>
                <w:rPr>
                  <w:szCs w:val="24"/>
                  <w:lang w:bidi="en-US"/>
                </w:rPr>
                <w:t>.</w:t>
                <w:tab/>
                <w:t>Vytauto Didžiojo universiteto Žemės ūkio akademijos Miškų ir ekologijos fakultetui;</w:t>
              </w:r>
            </w:p>
            <w:p>
              <w:pPr>
                <w:rPr>
                  <w:sz w:val="20"/>
                </w:rPr>
              </w:pPr>
            </w:p>
          </w:sdtContent>
        </w:sdt>
        <w:sdt>
          <w:sdtPr>
            <w:alias w:val="18 p."/>
            <w:tag w:val="part_c4e3a8c67c184bbaad18c7390aec4ab3"/>
            <w:lock w:val="sdtLocked"/>
            <w:richText/>
          </w:sdtPr>
          <w:sdtContent>
            <w:p>
              <w:pPr>
                <w:tabs>
                  <w:tab w:val="left" w:pos="993"/>
                </w:tabs>
                <w:spacing w:line="276" w:lineRule="auto"/>
                <w:ind w:left="720" w:hanging="360"/>
                <w:jc w:val="both"/>
                <w:rPr>
                  <w:szCs w:val="24"/>
                  <w:lang w:bidi="en-US"/>
                </w:rPr>
              </w:pPr>
              <w:sdt>
                <w:sdtPr>
                  <w:alias w:val="Numeris"/>
                  <w:tag w:val="nr_c4e3a8c67c184bbaad18c7390aec4ab3"/>
                  <w:lock w:val="sdtLocked"/>
                  <w:richText/>
                </w:sdtPr>
                <w:sdtContent>
                  <w:r>
                    <w:rPr>
                      <w:szCs w:val="24"/>
                      <w:lang w:bidi="en-US"/>
                    </w:rPr>
                    <w:t>18</w:t>
                  </w:r>
                </w:sdtContent>
              </w:sdt>
              <w:r>
                <w:rPr>
                  <w:szCs w:val="24"/>
                  <w:lang w:bidi="en-US"/>
                </w:rPr>
                <w:t>.</w:t>
                <w:tab/>
                <w:t>Vilniaus universiteto Chemijos ir geomokslų fakulteto Geografijos ir kraštotvarkos katedrai;</w:t>
              </w:r>
            </w:p>
            <w:p>
              <w:pPr>
                <w:rPr>
                  <w:sz w:val="20"/>
                </w:rPr>
              </w:pPr>
            </w:p>
          </w:sdtContent>
        </w:sdt>
        <w:sdt>
          <w:sdtPr>
            <w:alias w:val="19 p."/>
            <w:tag w:val="part_f4e9c1df5eb94161b08739c9e4f43e76"/>
            <w:lock w:val="sdtLocked"/>
            <w:richText/>
          </w:sdtPr>
          <w:sdtContent>
            <w:p>
              <w:pPr>
                <w:spacing w:line="276" w:lineRule="auto"/>
                <w:ind w:left="720" w:hanging="360"/>
                <w:jc w:val="both"/>
                <w:rPr>
                  <w:szCs w:val="24"/>
                  <w:lang w:bidi="en-US"/>
                </w:rPr>
              </w:pPr>
              <w:sdt>
                <w:sdtPr>
                  <w:alias w:val="Numeris"/>
                  <w:tag w:val="nr_f4e9c1df5eb94161b08739c9e4f43e76"/>
                  <w:lock w:val="sdtLocked"/>
                  <w:richText/>
                </w:sdtPr>
                <w:sdtContent>
                  <w:r>
                    <w:rPr>
                      <w:szCs w:val="24"/>
                    </w:rPr>
                    <w:t>19</w:t>
                  </w:r>
                </w:sdtContent>
              </w:sdt>
              <w:r>
                <w:rPr>
                  <w:szCs w:val="24"/>
                </w:rPr>
                <w:t>.</w:t>
                <w:tab/>
              </w:r>
              <w:r>
                <w:rPr>
                  <w:szCs w:val="24"/>
                  <w:lang w:bidi="en-US"/>
                </w:rPr>
                <w:t>Vilniaus Gedimino technikos universiteto Architektūros fakulteto Urbanistikos katedrai;</w:t>
              </w:r>
            </w:p>
            <w:p>
              <w:pPr>
                <w:rPr>
                  <w:sz w:val="20"/>
                </w:rPr>
              </w:pPr>
            </w:p>
          </w:sdtContent>
        </w:sdt>
        <w:sdt>
          <w:sdtPr>
            <w:alias w:val="20 p."/>
            <w:tag w:val="part_f5575bdc783c4a0f9a01528f6433cd34"/>
            <w:lock w:val="sdtLocked"/>
            <w:richText/>
          </w:sdtPr>
          <w:sdtContent>
            <w:p>
              <w:pPr>
                <w:tabs>
                  <w:tab w:val="left" w:pos="993"/>
                </w:tabs>
                <w:spacing w:line="276" w:lineRule="auto"/>
                <w:ind w:left="720" w:hanging="360"/>
                <w:jc w:val="both"/>
                <w:rPr>
                  <w:szCs w:val="24"/>
                  <w:lang w:bidi="en-US"/>
                </w:rPr>
              </w:pPr>
              <w:sdt>
                <w:sdtPr>
                  <w:alias w:val="Numeris"/>
                  <w:tag w:val="nr_f5575bdc783c4a0f9a01528f6433cd34"/>
                  <w:lock w:val="sdtLocked"/>
                  <w:richText/>
                </w:sdtPr>
                <w:sdtContent>
                  <w:r>
                    <w:rPr>
                      <w:szCs w:val="24"/>
                      <w:lang w:bidi="en-US"/>
                    </w:rPr>
                    <w:t>20</w:t>
                  </w:r>
                </w:sdtContent>
              </w:sdt>
              <w:r>
                <w:rPr>
                  <w:szCs w:val="24"/>
                  <w:lang w:bidi="en-US"/>
                </w:rPr>
                <w:t>.</w:t>
                <w:tab/>
                <w:t>Kauno technologijos universiteto Architektūros ir statybos institutui.</w:t>
              </w:r>
            </w:p>
            <w:p>
              <w:pPr>
                <w:rPr>
                  <w:sz w:val="20"/>
                </w:rPr>
              </w:pPr>
            </w:p>
            <w:p>
              <w:pPr>
                <w:spacing w:line="276" w:lineRule="auto"/>
                <w:jc w:val="both"/>
                <w:rPr>
                  <w:szCs w:val="24"/>
                  <w:lang w:bidi="en-US"/>
                </w:rPr>
              </w:pPr>
            </w:p>
            <w:p>
              <w:pPr>
                <w:rPr>
                  <w:sz w:val="20"/>
                </w:rPr>
              </w:pPr>
            </w:p>
            <w:p>
              <w:pPr>
                <w:suppressLineNumbers/>
                <w:tabs>
                  <w:tab w:val="left" w:pos="426"/>
                  <w:tab w:val="left" w:pos="993"/>
                </w:tabs>
                <w:spacing w:line="276" w:lineRule="auto"/>
                <w:ind w:left="567"/>
                <w:jc w:val="both"/>
                <w:rPr>
                  <w:szCs w:val="24"/>
                  <w:lang w:eastAsia="lt-LT" w:bidi="en-US"/>
                </w:rPr>
              </w:pP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Aštuonioliktosios Lietuvos Respublikos Vyriausybės programa</w:t>
        </w:r>
      </w:hyperlink>
      <w:r>
        <w:rPr>
          <w:rFonts w:eastAsia="Andale Sans UI"/>
          <w:sz w:val="20"/>
        </w:rPr>
        <w:t xml:space="preserve">, kuriai pritarta Lietuvos Respublikos Seimo 2020 m. gruodžio 11 d. nutarimu Nr. XIV-72 „Dėl </w:t>
      </w:r>
      <w:r>
        <w:rPr>
          <w:rFonts w:eastAsia="Andale Sans UI"/>
          <w:sz w:val="20"/>
          <w:shd w:val="clear" w:color="auto" w:fill="FFFFFF"/>
        </w:rPr>
        <w:t>Aštuonioliktosios Lietuvos Respublikos Vyriausybės programos</w:t>
      </w:r>
      <w:r>
        <w:rPr>
          <w:rFonts w:eastAsia="Andale Sans UI"/>
          <w:sz w:val="20"/>
        </w:rPr>
        <w:t>“.</w:t>
      </w:r>
    </w:p>
  </w:footnote>
  <w:footnote w:id="3">
    <w:p>
      <w:pPr>
        <w:jc w:val="both"/>
        <w:rPr>
          <w:rFonts w:eastAsia="Andale Sans UI"/>
          <w:sz w:val="20"/>
        </w:rPr>
      </w:pPr>
      <w:r>
        <w:rPr>
          <w:rFonts w:eastAsia="Andale Sans UI"/>
          <w:sz w:val="20"/>
          <w:vertAlign w:val="superscript"/>
        </w:rPr>
        <w:footnoteRef/>
      </w:r>
      <w:r>
        <w:rPr>
          <w:rFonts w:eastAsia="Andale Sans UI"/>
          <w:sz w:val="20"/>
        </w:rPr>
        <w:t xml:space="preserve"> </w:t>
      </w:r>
      <w:hyperlink r:id="rId2"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4">
    <w:p>
      <w:pPr>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5">
    <w:p>
      <w:pPr>
        <w:jc w:val="both"/>
        <w:rPr>
          <w:sz w:val="20"/>
          <w:lang w:eastAsia="lt-LT"/>
        </w:rPr>
      </w:pPr>
      <w:r>
        <w:rPr>
          <w:rFonts w:eastAsia="Andale Sans UI"/>
          <w:sz w:val="20"/>
          <w:vertAlign w:val="superscript"/>
        </w:rPr>
        <w:footnoteRef/>
        <w:t xml:space="preserve"> </w:t>
      </w:r>
      <w:hyperlink r:id="rId4" w:history="1">
        <w:r>
          <w:rPr>
            <w:color w:val="000080"/>
            <w:sz w:val="20"/>
            <w:u w:val="single"/>
            <w:lang w:eastAsia="lt-LT"/>
          </w:rPr>
          <w:t>Lietuvos Respublikos paslaugų įstatymo ir 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6">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3</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intelligence2.xml><?xml version="1.0" encoding="utf-8"?>
<int2:intelligence xmlns:int2="http://schemas.microsoft.com/office/intelligence/2020/intelligence" xmlns:oel="http://schemas.microsoft.com/office/2019/extlst">
  <int2:observations>
    <int2:textHash int2:hashCode="/6UneL1xx77/Fn" int2:id="f4dWWVxr">
      <int2:state int2:value="Rejected" int2:type="AugLoop_Text_Critique"/>
    </int2:textHash>
  </int2:observations>
  <int2:intelligenceSettings/>
  <int2:onDemandWorkflows/>
</int2:intelligenc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3CCA69D5-E132-4EF9-93A4-7867F55A8FC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1202866822">
      <w:bodyDiv w:val="1"/>
      <w:marLeft w:val="0"/>
      <w:marRight w:val="0"/>
      <w:marTop w:val="0"/>
      <w:marBottom w:val="0"/>
      <w:divBdr>
        <w:top w:val="none" w:sz="0" w:space="0" w:color="auto"/>
        <w:left w:val="none" w:sz="0" w:space="0" w:color="auto"/>
        <w:bottom w:val="none" w:sz="0" w:space="0" w:color="auto"/>
        <w:right w:val="none" w:sz="0" w:space="0" w:color="auto"/>
      </w:divBdr>
    </w:div>
    <w:div w:id="2083944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customXml" Target="../customXml/item2.xml"/>
  <Relationship Id="rId20" Type="http://schemas.openxmlformats.org/officeDocument/2006/relationships/footer" Target="footer3.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5.xml"/>
  <Relationship Id="rId24" Type="http://schemas.microsoft.com/office/2020/10/relationships/intelligence" Target="intelligence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ed22bb703bc311eb8d9fe110e148c770"/>
  <Relationship Id="rId2" Type="http://schemas.openxmlformats.org/officeDocument/2006/relationships/hyperlink" TargetMode="External" Target="https://www.e-tar.lt/portal/lt/legalAct/TAR.814F485EB18B/asr"/>
  <Relationship Id="rId3" Type="http://schemas.openxmlformats.org/officeDocument/2006/relationships/hyperlink" TargetMode="External" Target="https://www.e-tar.lt/portal/lt/legalAct/TAR.EDD5FD371B32/asr"/>
  <Relationship Id="rId4" Type="http://schemas.openxmlformats.org/officeDocument/2006/relationships/hyperlink" TargetMode="External" Target="https://www.e-tar.lt/portal/lt/legalAct/TAR.DCD24028BD0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fd4dfc27e2a04dc48a326f3b3b044e5f" PartId="386ab3fb5b7d42ce90be080530ee8eb4"/>
  <Part Type="pastraipa" DocPartId="18832d2eafa04d6fab212f180d35ebeb" PartId="aab9240895454549b45655f4a386b176">
    <Part Type="punktas" Nr="1" Abbr="1 p." DocPartId="ffcd39b83029451bae33e15cb73deccc" PartId="d182a3347014450dadf1d55f1b79c59f"/>
    <Part Type="punktas" Nr="2" Abbr="2 p." DocPartId="b957d629c60547368eb0b1764f3ac914" PartId="6ba0317a81704a638dfee9ca9f24aa1c"/>
    <Part Type="punktas" Nr="3" Abbr="3 p." DocPartId="791a980b61ac4978973743be77894ed0" PartId="ffc3a2987d8645488072efe26b7d1109"/>
    <Part Type="punktas" Nr="4" Abbr="4 p." DocPartId="afb1b82456ac41c9a83ad5683afe7a24" PartId="bb44d568729d497a96aff513cbc719e8"/>
    <Part Type="punktas" Nr="5" Abbr="5 p." DocPartId="3f1d0258da794a74b2a3c9bb4f4d0ce0" PartId="2f6aaa4eeb0a4055a2176dadde1a85af"/>
    <Part Type="punktas" Nr="6" Abbr="6 p." DocPartId="e00f746d972c4b229d64b0af92213301" PartId="d7892cf57b57407daa965793c1fe184c"/>
    <Part Type="punktas" Nr="7" Abbr="7 p." DocPartId="824a295490394dcba21c56f3cb70245b" PartId="aa9c52cdd5a5474fb8f09432cf572609"/>
    <Part Type="punktas" Nr="8" Abbr="8 p." DocPartId="e8477a7586024ca0904cd451ab7c5c80" PartId="009e0180d2f54fdfab78a057aab6bf7d"/>
    <Part Type="punktas" Nr="9" Abbr="9 p." DocPartId="e05927ec12ff4b6a88817b608378ceb0" PartId="8da74473931a41cc84ccf60f18d5754e"/>
    <Part Type="punktas" Nr="10" Abbr="10 p." DocPartId="8202e16f17f648baab49797513533bc6" PartId="5f0f6b8fdd9c4a6eb9c58804b38e9277"/>
    <Part Type="punktas" Nr="11" Abbr="11 p." DocPartId="a5bf9b7fd6194c3aba74e434a97fa801" PartId="49941b3b026c4ed4a5af8dcb2faeb1eb"/>
    <Part Type="punktas" Nr="12" Abbr="12 p." DocPartId="661e76ce72484fe39cc3c806de5076ff" PartId="c0d3a6e1af594442b7b9367758ee00bc"/>
    <Part Type="punktas" Nr="13" Abbr="13 p." DocPartId="3dd0cad8c4ba48d99f8b0f131d21cf14" PartId="666812c913ab4491942cb4e9dba7933b"/>
    <Part Type="punktas" Nr="14" Abbr="14 p." DocPartId="0f22889d0fba41429831ef045b7e72d1" PartId="18abc35ffa154ba099a8d6e579b7f2d5"/>
    <Part Type="punktas" Nr="1" Abbr="1 p." Notes="Numeris ne iš eilės. Trūksta dalių? [DocDalys]" DocPartId="9ed4d3635fa341eebaa4fa834c6dd583" PartId="1e033226057c409d8dccd78ce6ff19ee"/>
    <Part Type="punktas" Nr="2" Abbr="2 p." DocPartId="5fc5748bee2b4e5bb95e9c62963edb15" PartId="235904772d4b44da9976c1238ecadb08"/>
    <Part Type="punktas" Nr="3" Abbr="3 p." DocPartId="0aa840b2f49b4d4dbdfd79fba4c7b095" PartId="e9618b10b4814347812977d39042e7bc"/>
    <Part Type="punktas" Nr="4" Abbr="4 p." DocPartId="6369febf14804981a1e41bc3bd54fc6f" PartId="7d51ea809b3b4e3fb5d796303e33a9de"/>
    <Part Type="punktas" Nr="5" Abbr="5 p." DocPartId="8c8a2295fec6422692f8cd5e8da834eb" PartId="251d7deea2a8448ab0834a6a9f21992e"/>
    <Part Type="punktas" Nr="6" Abbr="6 p." DocPartId="13c15d764dbc45908c340fe03e85a1e0" PartId="d24ea12eb4be4b8192d9942de980629e"/>
    <Part Type="punktas" Nr="7" Abbr="7 p." DocPartId="67a271cafeb94e09ba0ca5b3b106723b" PartId="d5b783405c7d4e4ab016db66fee764ce"/>
    <Part Type="punktas" Nr="8" Abbr="8 p." DocPartId="35dbf0959b4a4c44bd9936f426301025" PartId="72848b1bb420465abf91fd02961901ba"/>
    <Part Type="punktas" Nr="9" Abbr="9 p." DocPartId="3221c00870ed47008b01196c6c8b509b" PartId="3ceb1d0a3f7a4d16a99387794b97f8e3"/>
    <Part Type="punktas" Nr="10" Abbr="10 p." DocPartId="311cedfcfc2d4a90b844cfb6924d89dd" PartId="09d65a08556d49739d334fc047eb4089"/>
    <Part Type="punktas" Nr="11" Abbr="11 p." DocPartId="db7eea235c784b4187999da9ca606aea" PartId="efb6ff97a7884960aa17e167609b34fa"/>
    <Part Type="punktas" Nr="12" Abbr="12 p." DocPartId="d81a306e3c7049fcb481eb724886ec4c" PartId="fb9389698b864b469e3c636e814a7092"/>
    <Part Type="punktas" Nr="13" Abbr="13 p." DocPartId="e19549e61c5e403481b3fbae0ee1bf9a" PartId="f741216375644b21a8488d95e70ccbd4"/>
    <Part Type="punktas" Nr="14" Abbr="14 p." DocPartId="0db2ae032f9f4fef965d20eec5b413e5" PartId="af3cd771f9e84e8f86422c900aab16d9"/>
    <Part Type="punktas" Nr="15" Abbr="15 p." DocPartId="2dd8bccc479a447caf94036499c50f76" PartId="158154b2a6f94d79889f7830766d078c"/>
    <Part Type="punktas" Nr="16" Abbr="16 p." DocPartId="8ac54d6870494f08b7498fbb5e6ce841" PartId="21306599a907477596d72118bb6a0484"/>
    <Part Type="punktas" Nr="17" Abbr="17 p." DocPartId="d2008a149c294c7fb14b84a4818b6851" PartId="c929374c5eca4b5abd401df390785bd7"/>
    <Part Type="punktas" Nr="18" Abbr="18 p." DocPartId="d9e70b5aff8f43b59b72b21d22821711" PartId="c4e3a8c67c184bbaad18c7390aec4ab3"/>
    <Part Type="punktas" Nr="19" Abbr="19 p." DocPartId="f5cc20d07a26474693a89f77759f9fd1" PartId="f4e9c1df5eb94161b08739c9e4f43e76"/>
    <Part Type="punktas" Nr="20" Abbr="20 p." DocPartId="460df7f82edc4c2b929aacc080252ab0" PartId="f5575bdc783c4a0f9a01528f6433cd34"/>
  </Part>
</Parts>
</file>

<file path=customXml/itemProps1.xml><?xml version="1.0" encoding="utf-8"?>
<ds:datastoreItem xmlns:ds="http://schemas.openxmlformats.org/officeDocument/2006/customXml" ds:itemID="{2ECC1323-9F72-4681-9895-5BB6B34E3FBB}">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2.xml><?xml version="1.0" encoding="utf-8"?>
<ds:datastoreItem xmlns:ds="http://schemas.openxmlformats.org/officeDocument/2006/customXml" ds:itemID="{B0ECA17A-E811-4628-B03F-E0FCF43B49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4.xml><?xml version="1.0" encoding="utf-8"?>
<ds:datastoreItem xmlns:ds="http://schemas.openxmlformats.org/officeDocument/2006/customXml" ds:itemID="{F0DD9DFE-25D4-452D-9CE5-07F387F64054}">
  <ds:schemaRefs>
    <ds:schemaRef ds:uri="http://schemas.openxmlformats.org/officeDocument/2006/bibliography"/>
  </ds:schemaRefs>
</ds:datastoreItem>
</file>

<file path=customXml/itemProps5.xml><?xml version="1.0" encoding="utf-8"?>
<ds:datastoreItem xmlns:ds="http://schemas.openxmlformats.org/officeDocument/2006/customXml" ds:itemID="{01E61049-7175-474F-952D-FE89E5E392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981</Words>
  <Characters>7339</Characters>
  <Application>Microsoft Office Word</Application>
  <DocSecurity>4</DocSecurity>
  <Lines>183</Lines>
  <Paragraphs>92</Paragraphs>
  <ScaleCrop>false</ScaleCrop>
  <Company/>
  <LinksUpToDate>false</LinksUpToDate>
  <CharactersWithSpaces>8228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2024-11-18T14:20:00Z</dcterms:created>
  <dc:creator>Rita Lukošienė</dc:creator>
  <lastModifiedBy>adlibuser</lastModifiedBy>
  <dcterms:modified xsi:type="dcterms:W3CDTF">2024-11-18T14:20:00Z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