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f007e4e95c74bfd9d6be32b3e26b358"/>
        <w:lock w:val="sdtLocked"/>
        <w:richText/>
      </w:sdtPr>
      <w:sdtContent>
        <w:p>
          <w:pPr>
            <w:spacing w:line="279" w:lineRule="auto"/>
            <w:jc w:val="center"/>
            <w:rPr>
              <w:b/>
              <w:bCs/>
              <w:color w:val="000000"/>
              <w:sz w:val="18"/>
              <w:szCs w:val="18"/>
              <w:lang w:eastAsia="ja-JP"/>
            </w:rPr>
          </w:pPr>
          <w:r>
            <w:rPr>
              <w:szCs w:val="24"/>
              <w:lang w:val="en-US"/>
            </w:rPr>
            <w:drawing>
              <wp:inline distT="0" distB="0" distL="0" distR="0" wp14:anchorId="012EDDF0" wp14:editId="3D6CDFF1">
                <wp:extent cx="542925" cy="590550"/>
                <wp:effectExtent l="0" t="0" r="0" b="0"/>
                <wp:docPr id="1373304184" name="Picture 1373304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2925" cy="590550"/>
                        </a:xfrm>
                        <a:prstGeom prst="rect">
                          <a:avLst/>
                        </a:prstGeom>
                      </pic:spPr>
                    </pic:pic>
                  </a:graphicData>
                </a:graphic>
              </wp:inline>
            </w:drawing>
          </w:r>
        </w:p>
        <w:p>
          <w:pPr>
            <w:rPr>
              <w:sz w:val="14"/>
              <w:szCs w:val="14"/>
            </w:rPr>
          </w:pPr>
        </w:p>
        <w:p>
          <w:pPr>
            <w:spacing w:line="279" w:lineRule="auto"/>
            <w:jc w:val="center"/>
            <w:rPr>
              <w:b/>
              <w:bCs/>
              <w:color w:val="000000"/>
              <w:szCs w:val="24"/>
              <w:lang w:eastAsia="ja-JP"/>
            </w:rPr>
          </w:pPr>
          <w:r>
            <w:rPr>
              <w:b/>
              <w:bCs/>
              <w:caps/>
              <w:color w:val="000000"/>
              <w:szCs w:val="24"/>
              <w:lang w:eastAsia="ja-JP"/>
            </w:rPr>
            <w:t>VALSTYBINĖ ENERGETIKOS REGULIAVIMO TARYBA</w:t>
          </w:r>
        </w:p>
        <w:p>
          <w:pPr>
            <w:rPr>
              <w:sz w:val="14"/>
              <w:szCs w:val="14"/>
            </w:rPr>
          </w:pPr>
        </w:p>
        <w:p>
          <w:pPr>
            <w:pBdr>
              <w:bottom w:val="single" w:sz="4" w:space="1" w:color="auto"/>
            </w:pBdr>
            <w:jc w:val="center"/>
            <w:rPr>
              <w:b/>
              <w:bCs/>
              <w:color w:val="000000"/>
              <w:sz w:val="18"/>
              <w:szCs w:val="18"/>
              <w:lang w:eastAsia="ja-JP"/>
            </w:rPr>
          </w:pPr>
          <w:r>
            <w:rPr>
              <w:color w:val="000000"/>
              <w:sz w:val="18"/>
              <w:szCs w:val="18"/>
              <w:lang w:eastAsia="ja-JP"/>
            </w:rPr>
            <w:t>Biudžetinė įstaiga, Verkių g. 25C-1, LT-08223 Vilnius, tel. +370 5 213 5166, el. p.</w:t>
          </w:r>
          <w:r>
            <w:rPr>
              <w:sz w:val="18"/>
              <w:szCs w:val="18"/>
              <w:lang w:eastAsia="ja-JP"/>
            </w:rPr>
            <w:t xml:space="preserve"> </w:t>
          </w:r>
          <w:r>
            <w:rPr>
              <w:sz w:val="18"/>
              <w:szCs w:val="18"/>
              <w:lang w:eastAsia="ja-JP"/>
            </w:rPr>
            <w:t>info@vert.lt</w:t>
          </w:r>
        </w:p>
        <w:p>
          <w:pPr>
            <w:pBdr>
              <w:bottom w:val="single" w:sz="4" w:space="1" w:color="auto"/>
            </w:pBdr>
            <w:jc w:val="center"/>
            <w:rPr>
              <w:b/>
              <w:bCs/>
              <w:color w:val="000000"/>
              <w:sz w:val="18"/>
              <w:szCs w:val="18"/>
              <w:lang w:eastAsia="ja-JP"/>
            </w:rPr>
          </w:pPr>
          <w:r>
            <w:rPr>
              <w:color w:val="000000"/>
              <w:sz w:val="18"/>
              <w:szCs w:val="18"/>
              <w:lang w:eastAsia="ja-JP"/>
            </w:rPr>
            <w:t>Duomenys kaupiami ir saugomi Juridinių asmenų registre, kodas 188706554</w:t>
          </w:r>
        </w:p>
        <w:p>
          <w:pPr>
            <w:spacing w:line="279" w:lineRule="auto"/>
            <w:jc w:val="both"/>
            <w:rPr>
              <w:szCs w:val="24"/>
              <w:lang w:eastAsia="ja-JP"/>
            </w:rPr>
          </w:pPr>
        </w:p>
        <w:tbl>
          <w:tblPr>
            <w:tblW w:w="0" w:type="auto"/>
            <w:tblLayout w:type="fixed"/>
            <w:tblLook w:val="06A0" w:firstRow="1" w:lastRow="0" w:firstColumn="1" w:lastColumn="0" w:noHBand="1" w:noVBand="1"/>
          </w:tblPr>
          <w:tblGrid>
            <w:gridCol w:w="4682"/>
            <w:gridCol w:w="429"/>
            <w:gridCol w:w="1573"/>
            <w:gridCol w:w="2851"/>
          </w:tblGrid>
          <w:tr>
            <w:trPr>
              <w:trHeight w:val="240"/>
            </w:trPr>
            <w:tc>
              <w:tcPr>
                <w:tcW w:w="4682" w:type="dxa"/>
                <w:vMerge w:val="restart"/>
                <w:tcMar>
                  <w:left w:w="14" w:type="dxa"/>
                  <w:right w:w="14" w:type="dxa"/>
                </w:tcMar>
              </w:tcPr>
              <w:p>
                <w:pPr>
                  <w:spacing w:line="279" w:lineRule="auto"/>
                  <w:rPr>
                    <w:color w:val="000000"/>
                    <w:szCs w:val="24"/>
                    <w:lang w:val="en-US" w:eastAsia="ja-JP"/>
                  </w:rPr>
                </w:pPr>
                <w:r>
                  <w:rPr>
                    <w:color w:val="000000"/>
                    <w:szCs w:val="24"/>
                    <w:lang w:val="en-US" w:eastAsia="ja-JP"/>
                  </w:rPr>
                  <w:t>Pagal adresatų sąrašą</w:t>
                </w:r>
              </w:p>
              <w:p>
                <w:pPr>
                  <w:tabs>
                    <w:tab w:val="left" w:pos="7581"/>
                  </w:tabs>
                  <w:spacing w:line="279" w:lineRule="auto"/>
                  <w:jc w:val="both"/>
                  <w:rPr>
                    <w:color w:val="000000"/>
                    <w:szCs w:val="24"/>
                    <w:lang w:eastAsia="ja-JP"/>
                  </w:rPr>
                </w:pPr>
              </w:p>
              <w:p>
                <w:pPr>
                  <w:spacing w:line="279" w:lineRule="auto"/>
                  <w:rPr>
                    <w:szCs w:val="24"/>
                    <w:lang w:eastAsia="ja-JP"/>
                  </w:rPr>
                </w:pPr>
              </w:p>
            </w:tc>
            <w:tc>
              <w:tcPr>
                <w:tcW w:w="429" w:type="dxa"/>
                <w:tcMar>
                  <w:left w:w="14" w:type="dxa"/>
                  <w:right w:w="14" w:type="dxa"/>
                </w:tcMar>
              </w:tcPr>
              <w:p>
                <w:pPr>
                  <w:spacing w:line="276" w:lineRule="auto"/>
                  <w:ind w:firstLine="62"/>
                  <w:rPr>
                    <w:szCs w:val="24"/>
                    <w:lang w:eastAsia="ja-JP"/>
                  </w:rPr>
                </w:pPr>
              </w:p>
            </w:tc>
            <w:tc>
              <w:tcPr>
                <w:tcW w:w="1573" w:type="dxa"/>
                <w:tcMar>
                  <w:left w:w="14" w:type="dxa"/>
                  <w:right w:w="14" w:type="dxa"/>
                </w:tcMar>
              </w:tcPr>
              <w:p>
                <w:pPr>
                  <w:spacing w:line="276" w:lineRule="auto"/>
                  <w:ind w:firstLine="62"/>
                  <w:rPr>
                    <w:szCs w:val="24"/>
                    <w:lang w:eastAsia="ja-JP"/>
                  </w:rPr>
                </w:pPr>
              </w:p>
            </w:tc>
            <w:tc>
              <w:tcPr>
                <w:tcW w:w="2851" w:type="dxa"/>
                <w:tcMar>
                  <w:left w:w="14" w:type="dxa"/>
                  <w:right w:w="14" w:type="dxa"/>
                </w:tcMar>
              </w:tcPr>
              <w:p>
                <w:pPr>
                  <w:spacing w:line="276" w:lineRule="auto"/>
                  <w:rPr>
                    <w:szCs w:val="24"/>
                    <w:lang w:eastAsia="ja-JP"/>
                  </w:rPr>
                </w:pPr>
                <w:r>
                  <w:rPr>
                    <w:color w:val="000000"/>
                    <w:szCs w:val="24"/>
                    <w:lang w:eastAsia="ja-JP"/>
                  </w:rPr>
                  <w:t>Nr. R2-(AEEMR)-</w:t>
                </w:r>
              </w:p>
            </w:tc>
          </w:tr>
          <w:tr>
            <w:trPr>
              <w:trHeight w:val="405"/>
            </w:trPr>
            <w:tc>
              <w:tcPr>
                <w:tcW w:w="4682" w:type="dxa"/>
                <w:vMerge/>
                <w:vAlign w:val="center"/>
              </w:tcPr>
              <w:p>
                <w:pPr>
                  <w:spacing w:line="279" w:lineRule="auto"/>
                  <w:rPr>
                    <w:szCs w:val="24"/>
                    <w:lang w:eastAsia="ja-JP"/>
                  </w:rPr>
                </w:pPr>
              </w:p>
            </w:tc>
            <w:tc>
              <w:tcPr>
                <w:tcW w:w="429" w:type="dxa"/>
                <w:tcMar>
                  <w:left w:w="14" w:type="dxa"/>
                  <w:right w:w="14" w:type="dxa"/>
                </w:tcMar>
              </w:tcPr>
              <w:p>
                <w:pPr>
                  <w:spacing w:line="276" w:lineRule="auto"/>
                  <w:ind w:firstLine="62"/>
                  <w:rPr>
                    <w:szCs w:val="24"/>
                    <w:lang w:eastAsia="ja-JP"/>
                  </w:rPr>
                </w:pPr>
              </w:p>
            </w:tc>
            <w:tc>
              <w:tcPr>
                <w:tcW w:w="1573" w:type="dxa"/>
                <w:tcMar>
                  <w:left w:w="14" w:type="dxa"/>
                  <w:right w:w="14" w:type="dxa"/>
                </w:tcMar>
              </w:tcPr>
              <w:p>
                <w:pPr>
                  <w:spacing w:line="276" w:lineRule="auto"/>
                  <w:rPr>
                    <w:color w:val="000000"/>
                    <w:szCs w:val="24"/>
                    <w:lang w:eastAsia="ja-JP"/>
                  </w:rPr>
                </w:pPr>
              </w:p>
            </w:tc>
            <w:tc>
              <w:tcPr>
                <w:tcW w:w="2851" w:type="dxa"/>
                <w:tcMar>
                  <w:left w:w="14" w:type="dxa"/>
                  <w:right w:w="14" w:type="dxa"/>
                </w:tcMar>
              </w:tcPr>
              <w:p>
                <w:pPr>
                  <w:spacing w:line="276" w:lineRule="auto"/>
                  <w:rPr>
                    <w:color w:val="000000"/>
                    <w:szCs w:val="24"/>
                    <w:lang w:eastAsia="ja-JP"/>
                  </w:rPr>
                </w:pPr>
              </w:p>
            </w:tc>
          </w:tr>
        </w:tbl>
        <w:sdt>
          <w:sdtPr>
            <w:alias w:val="skirsnis"/>
            <w:tag w:val="part_2a0d5f204b19437bb469d9dc64060e6e"/>
            <w:lock w:val="sdtLocked"/>
            <w:richText/>
          </w:sdtPr>
          <w:sdtContent>
            <w:p>
              <w:pPr>
                <w:spacing w:line="279" w:lineRule="auto"/>
                <w:rPr>
                  <w:szCs w:val="24"/>
                  <w:lang w:eastAsia="ja-JP"/>
                </w:rPr>
              </w:pPr>
              <w:sdt>
                <w:sdtPr>
                  <w:alias w:val="Pavadinimas"/>
                  <w:tag w:val="title_2a0d5f204b19437bb469d9dc64060e6e"/>
                  <w:lock w:val="sdtLocked"/>
                  <w:richText/>
                </w:sdtPr>
                <w:sdtContent>
                  <w:r>
                    <w:rPr>
                      <w:b/>
                      <w:bCs/>
                      <w:szCs w:val="24"/>
                      <w:lang w:eastAsia="ja-JP"/>
                    </w:rPr>
                    <w:t>DĖL AB „ACHEMA“ PASINAUDOJIMO ELEKTROS SKIRSTOMAISIAIS TINKLAIS TVARKOS APRAŠO VIEŠOSIOS KONSULTACIJOS</w:t>
                  </w:r>
                </w:sdtContent>
              </w:sdt>
            </w:p>
            <w:p>
              <w:pPr>
                <w:rPr>
                  <w:sz w:val="14"/>
                  <w:szCs w:val="14"/>
                </w:rPr>
              </w:pPr>
            </w:p>
            <w:p>
              <w:pPr>
                <w:ind w:firstLine="709"/>
                <w:jc w:val="both"/>
                <w:rPr>
                  <w:szCs w:val="24"/>
                  <w:lang w:eastAsia="ja-JP"/>
                </w:rPr>
              </w:pPr>
              <w:r>
                <w:rPr>
                  <w:szCs w:val="24"/>
                  <w:lang w:eastAsia="ja-JP"/>
                </w:rPr>
                <w:t>Valstybinė energetikos reguliavimo taryba (toliau – Taryba) 2024 m. sausio 26 d. nutarimu Nr. O3E-81 „Dėl Valstybinės energetikos reguliavimo tarybos 2011 m. liepos 25 d. nutarimo Nr. O3-193 „Dėl Pasinaudojimo elektros tinklais tvarkos aprašo rengimo sąlygų aprašo patvirtinimo“ pakeitimo“ (toliau – Nutarimas Nr. O3E-81) nutarė pakeisti Pasinaudojimo elektros tinklais tvarkos aprašo rengimo sąlygų aprašą, patvirtintą Tarybos 2011 m. liepos 25 d. nutarimu Nr. O3-193 „Dėl Pasinaudojimo elektros tinklais tvarkos aprašo rengimo sąlygų aprašo patvirtinimo“, bei įpareigojo elektros energijos skirstomųjų tinklų operatorius ir elektros energijos perdavimo sistemos operatorių ne vėliau kaip per 90 kalendorinių dienų nuo šio nutarimo įsigaliojimo dienos parengti ir Tarybai pateikti tvirtinti atnaujintus pasinaudojimo elektros tinklais tvarkos aprašus (toliau – PETA).</w:t>
              </w:r>
            </w:p>
            <w:p>
              <w:pPr>
                <w:ind w:firstLine="709"/>
                <w:jc w:val="both"/>
                <w:rPr>
                  <w:szCs w:val="24"/>
                  <w:lang w:eastAsia="ja-JP"/>
                </w:rPr>
              </w:pPr>
              <w:r>
                <w:rPr>
                  <w:szCs w:val="24"/>
                  <w:lang w:eastAsia="ja-JP"/>
                </w:rPr>
                <w:t>AB „Achema“ (toliau – Bendrovė), atsižvelgdama į Nutarimą Nr. O3E-81 bei vadovaudamasi Lietuvos Respublikos elektros energetikos įstatymu, parengė ir Tarybai 2024 m. birželio 25 d. el. paštu (reg. Nr. R1-9415) pateikė derinti Pasinaudojimo Bendrovės elektros skirstomaisiais tinklais tvarkos aprašo projektą (toliau – Projektas). Projektu siekiama nustatyti tinklų naudotojų prijungiamų įrenginių (elektrinių bei energijos kaupimo įrenginių) prijungimo prie elektros energijos skirstomųjų tinklų tvarką ir sąlygas, elektros energijos priėmimo, persiuntimo ir perskirstymo tvarką, leistinos generuoti galios apribojimus, įskaitant elektros energijos persiuntimo nutraukimo viršijus leistiną generuoti galią tvarką, elektros tinklų pralaidumų rezervavimo tvarką, elektros energijos skirstomųjų tinklų operatoriaus ir elektros tinklų naudotojų teises ir pareigas, jų tarpusavio santykius, kiek tai yra susiję su šių asmenų prieigos prie skirstomųjų tinklų užtikrinimu.</w:t>
              </w:r>
            </w:p>
            <w:p>
              <w:pPr>
                <w:ind w:firstLine="709"/>
                <w:jc w:val="both"/>
                <w:rPr>
                  <w:szCs w:val="24"/>
                  <w:lang w:eastAsia="ja-JP"/>
                </w:rPr>
              </w:pPr>
              <w:r>
                <w:rPr>
                  <w:szCs w:val="24"/>
                  <w:lang w:eastAsia="ja-JP"/>
                </w:rPr>
                <w:t xml:space="preserve">Vadovaudamasi Elektros energetikos įstatymo 11 straipsnio 1 dalimi ir Viešojo konsultavimosi dėl Valstybinės energetikos reguliavimo tarybos teisės aktų projektų taisyklių, patvirtintų Tarybos 2011 m. spalio 28 d. nutarimu Nr. O3-350 „Dėl Viešojo konsultavimosi dėl Valstybinės energetikos reguliavimo tarybos teisės aktų projektų taisyklių patvirtinimo“, 18 punktu, Taryba prašo per </w:t>
              </w:r>
              <w:r>
                <w:rPr>
                  <w:b/>
                  <w:bCs/>
                  <w:szCs w:val="24"/>
                  <w:lang w:eastAsia="ja-JP"/>
                </w:rPr>
                <w:t>15 darbo dienų nuo viešosios konsultacijos paskelbimo</w:t>
              </w:r>
              <w:r>
                <w:rPr>
                  <w:szCs w:val="24"/>
                  <w:lang w:eastAsia="ja-JP"/>
                </w:rPr>
                <w:t xml:space="preserve"> pateikti savo pastabas bei pasiūlymus dėl Projekto adresu Verkių g. 25C-1, LT 08223 Vilnius ar elektroniniu paštu info@vert.lt bei </w:t>
              </w:r>
              <w:r>
                <w:rPr>
                  <w:b/>
                  <w:bCs/>
                  <w:szCs w:val="24"/>
                  <w:lang w:eastAsia="ja-JP"/>
                </w:rPr>
                <w:t>pastabas adresuoti taip pat ir Bendrovei siunčiant elektroniniu paštu</w:t>
              </w:r>
              <w:r>
                <w:rPr>
                  <w:szCs w:val="24"/>
                  <w:lang w:eastAsia="ja-JP"/>
                </w:rPr>
                <w:t xml:space="preserve"> info@achema.com.</w:t>
              </w:r>
            </w:p>
            <w:p>
              <w:pPr>
                <w:ind w:firstLine="709"/>
                <w:jc w:val="both"/>
                <w:rPr>
                  <w:szCs w:val="24"/>
                  <w:lang w:eastAsia="ja-JP"/>
                </w:rPr>
              </w:pPr>
              <w:r>
                <w:rPr>
                  <w:szCs w:val="24"/>
                  <w:lang w:eastAsia="ja-JP"/>
                </w:rPr>
                <w:t>Kontaktinis asmuo − Tarybos Dujų ir elektros departamento Atsinaujinančios energetikos ir elektros mažmeninės rinkos skyriaus patarėja Justina Malakauskaitė, tel. +</w:t>
              </w:r>
              <w:r>
                <w:rPr>
                  <w:szCs w:val="24"/>
                  <w:lang w:val="en-US" w:eastAsia="ja-JP"/>
                </w:rPr>
                <w:t xml:space="preserve"> </w:t>
              </w:r>
              <w:r>
                <w:rPr>
                  <w:szCs w:val="24"/>
                  <w:lang w:eastAsia="ja-JP"/>
                </w:rPr>
                <w:t xml:space="preserve">370 612 43686, el. p. </w:t>
              </w:r>
              <w:r>
                <w:rPr>
                  <w:color w:val="467886"/>
                  <w:szCs w:val="24"/>
                  <w:u w:val="single"/>
                  <w:lang w:eastAsia="ja-JP"/>
                </w:rPr>
                <w:t>justina.malakauskaite@vert.lt</w:t>
              </w:r>
              <w:r>
                <w:rPr>
                  <w:szCs w:val="24"/>
                  <w:lang w:eastAsia="ja-JP"/>
                </w:rPr>
                <w:t xml:space="preserve">, Dujų ir elektros departamento Atsinaujinančios energetikos ir elektros mažmeninės rinkos skyriaus vyr. specialistė Goda Tamašauskaitė, tel. +370 614 08578, el. p. </w:t>
              </w:r>
              <w:r>
                <w:rPr>
                  <w:color w:val="467886"/>
                  <w:szCs w:val="24"/>
                  <w:u w:val="single"/>
                  <w:lang w:eastAsia="ja-JP"/>
                </w:rPr>
                <w:t>goda.tamasauskaite@vert.lt</w:t>
              </w:r>
              <w:r>
                <w:rPr>
                  <w:szCs w:val="24"/>
                  <w:lang w:eastAsia="ja-JP"/>
                </w:rPr>
                <w:t>.</w:t>
              </w:r>
            </w:p>
            <w:p>
              <w:pPr>
                <w:ind w:firstLine="709"/>
                <w:jc w:val="both"/>
                <w:rPr>
                  <w:szCs w:val="24"/>
                  <w:lang w:eastAsia="ja-JP"/>
                </w:rPr>
              </w:pPr>
              <w:r>
                <w:rPr>
                  <w:szCs w:val="24"/>
                  <w:lang w:eastAsia="ja-JP"/>
                </w:rPr>
                <w:t>PRIDEDAMA. AB „Achema“ Pasinaudojimo elektros skirstomaisiais tinklais tvarkos aprašo projektas, 172 lapai.</w:t>
              </w:r>
            </w:p>
            <w:p>
              <w:pPr>
                <w:ind w:firstLine="709"/>
                <w:jc w:val="both"/>
                <w:rPr>
                  <w:szCs w:val="24"/>
                  <w:lang w:eastAsia="ja-JP"/>
                </w:rPr>
              </w:pPr>
            </w:p>
            <w:p>
              <w:pPr>
                <w:jc w:val="both"/>
                <w:rPr>
                  <w:color w:val="467886"/>
                  <w:szCs w:val="24"/>
                  <w:u w:val="single"/>
                  <w:lang w:eastAsia="ja-JP"/>
                </w:rPr>
              </w:pPr>
              <w:r>
                <w:rPr>
                  <w:color w:val="000000"/>
                  <w:szCs w:val="24"/>
                  <w:lang w:eastAsia="ja-JP"/>
                </w:rPr>
                <w:t xml:space="preserve">G. Tamašauskaitė, tel. </w:t>
              </w:r>
              <w:r>
                <w:rPr>
                  <w:szCs w:val="24"/>
                  <w:lang w:eastAsia="zh-CN"/>
                  <w14:ligatures w14:val="standardContextual"/>
                </w:rPr>
                <w:t>+370 </w:t>
              </w:r>
              <w:r>
                <w:rPr>
                  <w:szCs w:val="24"/>
                  <w:lang w:eastAsia="ja-JP"/>
                  <w14:ligatures w14:val="standardContextual"/>
                </w:rPr>
                <w:t>614 08 578</w:t>
              </w:r>
              <w:r>
                <w:rPr>
                  <w:color w:val="000000"/>
                  <w:szCs w:val="24"/>
                  <w:lang w:eastAsia="ja-JP"/>
                </w:rPr>
                <w:t xml:space="preserve">, el. p. </w:t>
              </w:r>
              <w:r>
                <w:rPr>
                  <w:color w:val="467886"/>
                  <w:szCs w:val="24"/>
                  <w:u w:val="single"/>
                  <w:lang w:eastAsia="ja-JP"/>
                </w:rPr>
                <w:t>goda.tamasauskaite@vert.lt</w:t>
              </w:r>
            </w:p>
            <w:p>
              <w:pPr>
                <w:rPr>
                  <w:sz w:val="14"/>
                  <w:szCs w:val="14"/>
                </w:rPr>
              </w:pPr>
            </w:p>
          </w:sdtContent>
        </w:sdt>
        <w:sdt>
          <w:sdtPr>
            <w:alias w:val="skirsnis"/>
            <w:tag w:val="part_2c6fd7cc32fe4d4688a76e8a13b87dec"/>
            <w:lock w:val="sdtLocked"/>
            <w:richText/>
          </w:sdtPr>
          <w:sdtContent>
            <w:p>
              <w:pPr>
                <w:jc w:val="center"/>
                <w:rPr>
                  <w:b/>
                  <w:bCs/>
                  <w:szCs w:val="24"/>
                  <w:lang w:val="en-US" w:eastAsia="ja-JP"/>
                </w:rPr>
              </w:pPr>
              <w:sdt>
                <w:sdtPr>
                  <w:alias w:val="Pavadinimas"/>
                  <w:tag w:val="title_2c6fd7cc32fe4d4688a76e8a13b87dec"/>
                  <w:lock w:val="sdtLocked"/>
                  <w:richText/>
                </w:sdtPr>
                <w:sdtContent>
                  <w:r>
                    <w:rPr>
                      <w:b/>
                      <w:bCs/>
                      <w:szCs w:val="24"/>
                      <w:lang w:val="en-US" w:eastAsia="ja-JP"/>
                    </w:rPr>
                    <w:t>VALSTYBINĖS ENERGETIKOS REGULIAVIMO TARYBOS 2024- - RAŠTO NR. R2-(AEEMR)- ADRESATŲ SĄRAŠAS</w:t>
                  </w:r>
                </w:sdtContent>
              </w:sdt>
            </w:p>
            <w:p>
              <w:pPr>
                <w:rPr>
                  <w:sz w:val="14"/>
                  <w:szCs w:val="14"/>
                </w:rPr>
              </w:pPr>
            </w:p>
            <w:p>
              <w:pPr>
                <w:jc w:val="center"/>
                <w:rPr>
                  <w:b/>
                  <w:bCs/>
                  <w:szCs w:val="24"/>
                  <w:lang w:val="en-US" w:eastAsia="ja-JP"/>
                </w:rPr>
              </w:pPr>
            </w:p>
            <w:p>
              <w:pPr>
                <w:rPr>
                  <w:sz w:val="14"/>
                  <w:szCs w:val="14"/>
                </w:rPr>
              </w:pPr>
            </w:p>
            <w:sdt>
              <w:sdtPr>
                <w:alias w:val="1 p."/>
                <w:tag w:val="part_14b12e2f174a4b17a3c688fb9b17f535"/>
                <w:lock w:val="sdtLocked"/>
                <w:richText/>
              </w:sdtPr>
              <w:sdtContent>
                <w:p>
                  <w:pPr>
                    <w:jc w:val="both"/>
                    <w:rPr>
                      <w:szCs w:val="24"/>
                      <w:lang w:eastAsia="ja-JP"/>
                    </w:rPr>
                  </w:pPr>
                  <w:sdt>
                    <w:sdtPr>
                      <w:alias w:val="Numeris"/>
                      <w:tag w:val="nr_14b12e2f174a4b17a3c688fb9b17f535"/>
                      <w:lock w:val="sdtLocked"/>
                      <w:richText/>
                    </w:sdtPr>
                    <w:sdtContent>
                      <w:r>
                        <w:rPr>
                          <w:szCs w:val="24"/>
                          <w:lang w:eastAsia="ja-JP"/>
                        </w:rPr>
                        <w:t>1</w:t>
                      </w:r>
                    </w:sdtContent>
                  </w:sdt>
                  <w:r>
                    <w:rPr>
                      <w:szCs w:val="24"/>
                      <w:lang w:eastAsia="ja-JP"/>
                    </w:rPr>
                    <w:t xml:space="preserve">. Lietuvos Respublikos energetikos ministerija; </w:t>
                  </w:r>
                </w:p>
              </w:sdtContent>
            </w:sdt>
            <w:sdt>
              <w:sdtPr>
                <w:alias w:val="2 p."/>
                <w:tag w:val="part_f7fdfb023f6243728dc1ce21a5bbf543"/>
                <w:lock w:val="sdtLocked"/>
                <w:richText/>
              </w:sdtPr>
              <w:sdtContent>
                <w:p>
                  <w:pPr>
                    <w:jc w:val="both"/>
                    <w:rPr>
                      <w:szCs w:val="24"/>
                      <w:lang w:eastAsia="ja-JP"/>
                    </w:rPr>
                  </w:pPr>
                  <w:sdt>
                    <w:sdtPr>
                      <w:alias w:val="Numeris"/>
                      <w:tag w:val="nr_f7fdfb023f6243728dc1ce21a5bbf543"/>
                      <w:lock w:val="sdtLocked"/>
                      <w:richText/>
                    </w:sdtPr>
                    <w:sdtContent>
                      <w:r>
                        <w:rPr>
                          <w:szCs w:val="24"/>
                          <w:lang w:eastAsia="ja-JP"/>
                        </w:rPr>
                        <w:t>2</w:t>
                      </w:r>
                    </w:sdtContent>
                  </w:sdt>
                  <w:r>
                    <w:rPr>
                      <w:szCs w:val="24"/>
                      <w:lang w:eastAsia="ja-JP"/>
                    </w:rPr>
                    <w:t xml:space="preserve">. Lietuvos Respublikos specialiųjų tyrimų tarnyba; </w:t>
                  </w:r>
                </w:p>
              </w:sdtContent>
            </w:sdt>
            <w:sdt>
              <w:sdtPr>
                <w:alias w:val="3 p."/>
                <w:tag w:val="part_3903867aaaaf4bdcadb8b286fe6c9c14"/>
                <w:lock w:val="sdtLocked"/>
                <w:richText/>
              </w:sdtPr>
              <w:sdtContent>
                <w:p>
                  <w:pPr>
                    <w:jc w:val="both"/>
                    <w:rPr>
                      <w:szCs w:val="24"/>
                      <w:lang w:eastAsia="ja-JP"/>
                    </w:rPr>
                  </w:pPr>
                  <w:sdt>
                    <w:sdtPr>
                      <w:alias w:val="Numeris"/>
                      <w:tag w:val="nr_3903867aaaaf4bdcadb8b286fe6c9c14"/>
                      <w:lock w:val="sdtLocked"/>
                      <w:richText/>
                    </w:sdtPr>
                    <w:sdtContent>
                      <w:r>
                        <w:rPr>
                          <w:szCs w:val="24"/>
                          <w:lang w:eastAsia="ja-JP"/>
                        </w:rPr>
                        <w:t>3</w:t>
                      </w:r>
                    </w:sdtContent>
                  </w:sdt>
                  <w:r>
                    <w:rPr>
                      <w:szCs w:val="24"/>
                      <w:lang w:eastAsia="ja-JP"/>
                    </w:rPr>
                    <w:t xml:space="preserve">. Valstybinė vartotojų teisių apsaugos tarnyba; </w:t>
                  </w:r>
                </w:p>
              </w:sdtContent>
            </w:sdt>
            <w:sdt>
              <w:sdtPr>
                <w:alias w:val="4 p."/>
                <w:tag w:val="part_69355d881087414daf10eb7f4e4c001e"/>
                <w:lock w:val="sdtLocked"/>
                <w:richText/>
              </w:sdtPr>
              <w:sdtContent>
                <w:p>
                  <w:pPr>
                    <w:jc w:val="both"/>
                    <w:rPr>
                      <w:szCs w:val="24"/>
                      <w:lang w:eastAsia="ja-JP"/>
                    </w:rPr>
                  </w:pPr>
                  <w:sdt>
                    <w:sdtPr>
                      <w:alias w:val="Numeris"/>
                      <w:tag w:val="nr_69355d881087414daf10eb7f4e4c001e"/>
                      <w:lock w:val="sdtLocked"/>
                      <w:richText/>
                    </w:sdtPr>
                    <w:sdtContent>
                      <w:r>
                        <w:rPr>
                          <w:szCs w:val="24"/>
                          <w:lang w:eastAsia="ja-JP"/>
                        </w:rPr>
                        <w:t>4</w:t>
                      </w:r>
                    </w:sdtContent>
                  </w:sdt>
                  <w:r>
                    <w:rPr>
                      <w:szCs w:val="24"/>
                      <w:lang w:eastAsia="ja-JP"/>
                    </w:rPr>
                    <w:t xml:space="preserve">. AB „Energijos skirstymo operatorius“; </w:t>
                  </w:r>
                </w:p>
              </w:sdtContent>
            </w:sdt>
            <w:sdt>
              <w:sdtPr>
                <w:alias w:val="5 p."/>
                <w:tag w:val="part_c8db12f527574b8e9a6c07cd08522d19"/>
                <w:lock w:val="sdtLocked"/>
                <w:richText/>
              </w:sdtPr>
              <w:sdtContent>
                <w:p>
                  <w:pPr>
                    <w:jc w:val="both"/>
                    <w:rPr>
                      <w:szCs w:val="24"/>
                      <w:lang w:eastAsia="ja-JP"/>
                    </w:rPr>
                  </w:pPr>
                  <w:sdt>
                    <w:sdtPr>
                      <w:alias w:val="Numeris"/>
                      <w:tag w:val="nr_c8db12f527574b8e9a6c07cd08522d19"/>
                      <w:lock w:val="sdtLocked"/>
                      <w:richText/>
                    </w:sdtPr>
                    <w:sdtContent>
                      <w:r>
                        <w:rPr>
                          <w:szCs w:val="24"/>
                          <w:lang w:eastAsia="ja-JP"/>
                        </w:rPr>
                        <w:t>5</w:t>
                      </w:r>
                    </w:sdtContent>
                  </w:sdt>
                  <w:r>
                    <w:rPr>
                      <w:szCs w:val="24"/>
                      <w:lang w:eastAsia="ja-JP"/>
                    </w:rPr>
                    <w:t xml:space="preserve">. LITGRID AB; </w:t>
                  </w:r>
                </w:p>
              </w:sdtContent>
            </w:sdt>
            <w:sdt>
              <w:sdtPr>
                <w:alias w:val="6 p."/>
                <w:tag w:val="part_bf171f62057b41e5b86d915a44005ace"/>
                <w:lock w:val="sdtLocked"/>
                <w:richText/>
              </w:sdtPr>
              <w:sdtContent>
                <w:p>
                  <w:pPr>
                    <w:jc w:val="both"/>
                    <w:rPr>
                      <w:szCs w:val="24"/>
                      <w:lang w:eastAsia="ja-JP"/>
                    </w:rPr>
                  </w:pPr>
                  <w:sdt>
                    <w:sdtPr>
                      <w:alias w:val="Numeris"/>
                      <w:tag w:val="nr_bf171f62057b41e5b86d915a44005ace"/>
                      <w:lock w:val="sdtLocked"/>
                      <w:richText/>
                    </w:sdtPr>
                    <w:sdtContent>
                      <w:r>
                        <w:rPr>
                          <w:szCs w:val="24"/>
                          <w:lang w:eastAsia="ja-JP"/>
                        </w:rPr>
                        <w:t>6</w:t>
                      </w:r>
                    </w:sdtContent>
                  </w:sdt>
                  <w:r>
                    <w:rPr>
                      <w:szCs w:val="24"/>
                      <w:lang w:eastAsia="ja-JP"/>
                    </w:rPr>
                    <w:t xml:space="preserve">. Lietuvos atsinaujinančių išteklių energetikos konfederacija; </w:t>
                  </w:r>
                </w:p>
              </w:sdtContent>
            </w:sdt>
            <w:sdt>
              <w:sdtPr>
                <w:alias w:val="7 p."/>
                <w:tag w:val="part_8079184bf6ff451e872105695941d5dd"/>
                <w:lock w:val="sdtLocked"/>
                <w:richText/>
              </w:sdtPr>
              <w:sdtContent>
                <w:p>
                  <w:pPr>
                    <w:jc w:val="both"/>
                    <w:rPr>
                      <w:szCs w:val="24"/>
                      <w:lang w:eastAsia="ja-JP"/>
                    </w:rPr>
                  </w:pPr>
                  <w:sdt>
                    <w:sdtPr>
                      <w:alias w:val="Numeris"/>
                      <w:tag w:val="nr_8079184bf6ff451e872105695941d5dd"/>
                      <w:lock w:val="sdtLocked"/>
                      <w:richText/>
                    </w:sdtPr>
                    <w:sdtContent>
                      <w:r>
                        <w:rPr>
                          <w:szCs w:val="24"/>
                          <w:lang w:eastAsia="ja-JP"/>
                        </w:rPr>
                        <w:t>7</w:t>
                      </w:r>
                    </w:sdtContent>
                  </w:sdt>
                  <w:r>
                    <w:rPr>
                      <w:szCs w:val="24"/>
                      <w:lang w:eastAsia="ja-JP"/>
                    </w:rPr>
                    <w:t xml:space="preserve">. Lietuvos pramonininkų konfederacija; </w:t>
                  </w:r>
                </w:p>
              </w:sdtContent>
            </w:sdt>
            <w:sdt>
              <w:sdtPr>
                <w:alias w:val="8 p."/>
                <w:tag w:val="part_59e8c28a1d924b23a62c460412b15818"/>
                <w:lock w:val="sdtLocked"/>
                <w:richText/>
              </w:sdtPr>
              <w:sdtContent>
                <w:p>
                  <w:pPr>
                    <w:jc w:val="both"/>
                    <w:rPr>
                      <w:szCs w:val="24"/>
                      <w:lang w:eastAsia="ja-JP"/>
                    </w:rPr>
                  </w:pPr>
                  <w:sdt>
                    <w:sdtPr>
                      <w:alias w:val="Numeris"/>
                      <w:tag w:val="nr_59e8c28a1d924b23a62c460412b15818"/>
                      <w:lock w:val="sdtLocked"/>
                      <w:richText/>
                    </w:sdtPr>
                    <w:sdtContent>
                      <w:r>
                        <w:rPr>
                          <w:szCs w:val="24"/>
                          <w:lang w:eastAsia="ja-JP"/>
                        </w:rPr>
                        <w:t>8</w:t>
                      </w:r>
                    </w:sdtContent>
                  </w:sdt>
                  <w:r>
                    <w:rPr>
                      <w:szCs w:val="24"/>
                      <w:lang w:eastAsia="ja-JP"/>
                    </w:rPr>
                    <w:t xml:space="preserve">. Lietuvos elektros energetikos asociacija; </w:t>
                  </w:r>
                </w:p>
              </w:sdtContent>
            </w:sdt>
            <w:sdt>
              <w:sdtPr>
                <w:alias w:val="9 p."/>
                <w:tag w:val="part_8cc20ab495b242238e4f95adc368dcde"/>
                <w:lock w:val="sdtLocked"/>
                <w:richText/>
              </w:sdtPr>
              <w:sdtContent>
                <w:p>
                  <w:pPr>
                    <w:jc w:val="both"/>
                    <w:rPr>
                      <w:szCs w:val="24"/>
                      <w:lang w:eastAsia="ja-JP"/>
                    </w:rPr>
                  </w:pPr>
                  <w:sdt>
                    <w:sdtPr>
                      <w:alias w:val="Numeris"/>
                      <w:tag w:val="nr_8cc20ab495b242238e4f95adc368dcde"/>
                      <w:lock w:val="sdtLocked"/>
                      <w:richText/>
                    </w:sdtPr>
                    <w:sdtContent>
                      <w:r>
                        <w:rPr>
                          <w:szCs w:val="24"/>
                          <w:lang w:eastAsia="ja-JP"/>
                        </w:rPr>
                        <w:t>9</w:t>
                      </w:r>
                    </w:sdtContent>
                  </w:sdt>
                  <w:r>
                    <w:rPr>
                      <w:szCs w:val="24"/>
                      <w:lang w:eastAsia="ja-JP"/>
                    </w:rPr>
                    <w:t xml:space="preserve">. Lietuvos saulės energetikos asociacija; </w:t>
                  </w:r>
                </w:p>
              </w:sdtContent>
            </w:sdt>
            <w:sdt>
              <w:sdtPr>
                <w:alias w:val="10 p."/>
                <w:tag w:val="part_749f3bd6049b4251b0588d387426665c"/>
                <w:lock w:val="sdtLocked"/>
                <w:richText/>
              </w:sdtPr>
              <w:sdtContent>
                <w:p>
                  <w:pPr>
                    <w:jc w:val="both"/>
                    <w:rPr>
                      <w:szCs w:val="24"/>
                      <w:lang w:eastAsia="ja-JP"/>
                    </w:rPr>
                  </w:pPr>
                  <w:sdt>
                    <w:sdtPr>
                      <w:alias w:val="Numeris"/>
                      <w:tag w:val="nr_749f3bd6049b4251b0588d387426665c"/>
                      <w:lock w:val="sdtLocked"/>
                      <w:richText/>
                    </w:sdtPr>
                    <w:sdtContent>
                      <w:r>
                        <w:rPr>
                          <w:szCs w:val="24"/>
                          <w:lang w:eastAsia="ja-JP"/>
                        </w:rPr>
                        <w:t>10</w:t>
                      </w:r>
                    </w:sdtContent>
                  </w:sdt>
                  <w:r>
                    <w:rPr>
                      <w:szCs w:val="24"/>
                      <w:lang w:eastAsia="ja-JP"/>
                    </w:rPr>
                    <w:t xml:space="preserve">. Lietuvos vėjo elektrinių asociacija; </w:t>
                  </w:r>
                </w:p>
              </w:sdtContent>
            </w:sdt>
            <w:sdt>
              <w:sdtPr>
                <w:alias w:val="11 p."/>
                <w:tag w:val="part_2480138d9ad143beb6737321b92725d6"/>
                <w:lock w:val="sdtLocked"/>
                <w:richText/>
              </w:sdtPr>
              <w:sdtContent>
                <w:p>
                  <w:pPr>
                    <w:jc w:val="both"/>
                    <w:rPr>
                      <w:szCs w:val="24"/>
                      <w:lang w:eastAsia="ja-JP"/>
                    </w:rPr>
                  </w:pPr>
                  <w:sdt>
                    <w:sdtPr>
                      <w:alias w:val="Numeris"/>
                      <w:tag w:val="nr_2480138d9ad143beb6737321b92725d6"/>
                      <w:lock w:val="sdtLocked"/>
                      <w:richText/>
                    </w:sdtPr>
                    <w:sdtContent>
                      <w:r>
                        <w:rPr>
                          <w:szCs w:val="24"/>
                          <w:lang w:eastAsia="ja-JP"/>
                        </w:rPr>
                        <w:t>11</w:t>
                      </w:r>
                    </w:sdtContent>
                  </w:sdt>
                  <w:r>
                    <w:rPr>
                      <w:szCs w:val="24"/>
                      <w:lang w:eastAsia="ja-JP"/>
                    </w:rPr>
                    <w:t xml:space="preserve">. UAB „Dainavos elektra“; </w:t>
                  </w:r>
                </w:p>
              </w:sdtContent>
            </w:sdt>
            <w:sdt>
              <w:sdtPr>
                <w:alias w:val="12 p."/>
                <w:tag w:val="part_9abe6f1b98624a81b3743dbd32b6a857"/>
                <w:lock w:val="sdtLocked"/>
                <w:richText/>
              </w:sdtPr>
              <w:sdtContent>
                <w:p>
                  <w:pPr>
                    <w:jc w:val="both"/>
                    <w:rPr>
                      <w:szCs w:val="24"/>
                      <w:lang w:eastAsia="ja-JP"/>
                    </w:rPr>
                  </w:pPr>
                  <w:sdt>
                    <w:sdtPr>
                      <w:alias w:val="Numeris"/>
                      <w:tag w:val="nr_9abe6f1b98624a81b3743dbd32b6a857"/>
                      <w:lock w:val="sdtLocked"/>
                      <w:richText/>
                    </w:sdtPr>
                    <w:sdtContent>
                      <w:r>
                        <w:rPr>
                          <w:szCs w:val="24"/>
                          <w:lang w:eastAsia="ja-JP"/>
                        </w:rPr>
                        <w:t>12</w:t>
                      </w:r>
                    </w:sdtContent>
                  </w:sdt>
                  <w:r>
                    <w:rPr>
                      <w:szCs w:val="24"/>
                      <w:lang w:eastAsia="ja-JP"/>
                    </w:rPr>
                    <w:t xml:space="preserve">. AB „Achema“; </w:t>
                  </w:r>
                </w:p>
              </w:sdtContent>
            </w:sdt>
            <w:sdt>
              <w:sdtPr>
                <w:alias w:val="13 p."/>
                <w:tag w:val="part_c3a8673f1e7f455cb9c7d5bb1a8f269d"/>
                <w:lock w:val="sdtLocked"/>
                <w:richText/>
              </w:sdtPr>
              <w:sdtContent>
                <w:p>
                  <w:pPr>
                    <w:jc w:val="both"/>
                    <w:rPr>
                      <w:b/>
                      <w:bCs/>
                      <w:szCs w:val="24"/>
                      <w:lang w:eastAsia="ja-JP"/>
                    </w:rPr>
                  </w:pPr>
                  <w:sdt>
                    <w:sdtPr>
                      <w:alias w:val="Numeris"/>
                      <w:tag w:val="nr_c3a8673f1e7f455cb9c7d5bb1a8f269d"/>
                      <w:lock w:val="sdtLocked"/>
                      <w:richText/>
                    </w:sdtPr>
                    <w:sdtContent>
                      <w:r>
                        <w:rPr>
                          <w:szCs w:val="24"/>
                          <w:lang w:eastAsia="ja-JP"/>
                        </w:rPr>
                        <w:t>13</w:t>
                      </w:r>
                    </w:sdtContent>
                  </w:sdt>
                  <w:r>
                    <w:rPr>
                      <w:szCs w:val="24"/>
                      <w:lang w:eastAsia="ja-JP"/>
                    </w:rPr>
                    <w:t>. AB „Akmenės cementas“.</w:t>
                  </w:r>
                </w:p>
              </w:sdtContent>
            </w:sdt>
          </w:sdtContent>
        </w:sdt>
      </w:sdtContent>
    </w:sdt>
    <w:sectPr>
      <w:headerReference w:type="even" r:id="rId12"/>
      <w:headerReference w:type="default" r:id="rId13"/>
      <w:footerReference w:type="even" r:id="rId14"/>
      <w:footerReference w:type="default" r:id="rId15"/>
      <w:headerReference w:type="first" r:id="rId16"/>
      <w:footerReference w:type="first" r:id="rId17"/>
      <w:pgSz w:w="12240" w:h="15840"/>
      <w:pgMar w:top="992" w:right="567" w:bottom="992"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US" w:eastAsia="ja-JP"/>
        </w:rPr>
      </w:pPr>
      <w:r>
        <w:rPr>
          <w:szCs w:val="24"/>
          <w:lang w:val="en-US" w:eastAsia="ja-JP"/>
        </w:rPr>
        <w:separator/>
      </w:r>
    </w:p>
  </w:endnote>
  <w:endnote w:type="continuationSeparator" w:id="0">
    <w:p>
      <w:pPr>
        <w:rPr>
          <w:szCs w:val="24"/>
          <w:lang w:val="en-US" w:eastAsia="ja-JP"/>
        </w:rPr>
      </w:pPr>
      <w:r>
        <w:rPr>
          <w:szCs w:val="24"/>
          <w:lang w:val="en-US" w:eastAsia="ja-JP"/>
        </w:rPr>
        <w:continuationSeparator/>
      </w:r>
    </w:p>
  </w:endnote>
  <w:endnote w:type="continuationNotice" w:id="1">
    <w:p>
      <w:pPr>
        <w:rPr>
          <w:szCs w:val="24"/>
          <w:lang w:val="en-US" w:eastAsia="ja-JP"/>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Cs w:val="24"/>
        <w:lang w:val="en-US" w:eastAsia="ja-JP"/>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Cs w:val="24"/>
        <w:lang w:val="en-US" w:eastAsia="ja-JP"/>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Cs w:val="24"/>
        <w:lang w:val="en-US" w:eastAsia="ja-JP"/>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US" w:eastAsia="ja-JP"/>
        </w:rPr>
      </w:pPr>
      <w:r>
        <w:rPr>
          <w:szCs w:val="24"/>
          <w:lang w:val="en-US" w:eastAsia="ja-JP"/>
        </w:rPr>
        <w:separator/>
      </w:r>
    </w:p>
  </w:footnote>
  <w:footnote w:type="continuationSeparator" w:id="0">
    <w:p>
      <w:pPr>
        <w:rPr>
          <w:szCs w:val="24"/>
          <w:lang w:val="en-US" w:eastAsia="ja-JP"/>
        </w:rPr>
      </w:pPr>
      <w:r>
        <w:rPr>
          <w:szCs w:val="24"/>
          <w:lang w:val="en-US" w:eastAsia="ja-JP"/>
        </w:rPr>
        <w:continuationSeparator/>
      </w:r>
    </w:p>
  </w:footnote>
  <w:footnote w:type="continuationNotice" w:id="1">
    <w:p>
      <w:pPr>
        <w:rPr>
          <w:szCs w:val="24"/>
          <w:lang w:val="en-US" w:eastAsia="ja-JP"/>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Cs w:val="24"/>
        <w:lang w:val="en-US" w:eastAsia="ja-JP"/>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rPr>
        <w:szCs w:val="24"/>
        <w:lang w:val="en-US" w:eastAsia="ja-JP"/>
      </w:rPr>
    </w:pPr>
    <w:r>
      <w:rPr>
        <w:szCs w:val="24"/>
        <w:lang w:val="en-US" w:eastAsia="ja-JP"/>
      </w:rPr>
      <w:fldChar w:fldCharType="begin"/>
    </w:r>
    <w:r>
      <w:rPr>
        <w:szCs w:val="24"/>
        <w:lang w:val="en-US" w:eastAsia="ja-JP"/>
      </w:rPr>
      <w:instrText>PAGE   \* MERGEFORMAT</w:instrText>
    </w:r>
    <w:r>
      <w:rPr>
        <w:szCs w:val="24"/>
        <w:lang w:val="en-US" w:eastAsia="ja-JP"/>
      </w:rPr>
      <w:fldChar w:fldCharType="separate"/>
    </w:r>
    <w:r>
      <w:rPr>
        <w:szCs w:val="24"/>
        <w:lang w:eastAsia="ja-JP"/>
      </w:rPr>
      <w:t>2</w:t>
    </w:r>
    <w:r>
      <w:rPr>
        <w:szCs w:val="24"/>
        <w:lang w:val="en-US" w:eastAsia="ja-JP"/>
      </w:rPr>
      <w:fldChar w:fldCharType="end"/>
    </w:r>
  </w:p>
  <w:p>
    <w:pPr>
      <w:tabs>
        <w:tab w:val="center" w:pos="4513"/>
        <w:tab w:val="right" w:pos="9026"/>
      </w:tabs>
      <w:rPr>
        <w:szCs w:val="24"/>
        <w:lang w:val="en-US" w:eastAsia="ja-JP"/>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rPr>
        <w:szCs w:val="24"/>
        <w:lang w:val="en-US" w:eastAsia="ja-JP"/>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F9F97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BBEBDD-933A-4453-AF12-902DA2FC79C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3716898">
      <w:bodyDiv w:val="1"/>
      <w:marLeft w:val="0"/>
      <w:marRight w:val="0"/>
      <w:marTop w:val="0"/>
      <w:marBottom w:val="0"/>
      <w:divBdr>
        <w:top w:val="none" w:sz="0" w:space="0" w:color="auto"/>
        <w:left w:val="none" w:sz="0" w:space="0" w:color="auto"/>
        <w:bottom w:val="none" w:sz="0" w:space="0" w:color="auto"/>
        <w:right w:val="none" w:sz="0" w:space="0" w:color="auto"/>
      </w:divBdr>
    </w:div>
    <w:div w:id="693306045">
      <w:bodyDiv w:val="1"/>
      <w:marLeft w:val="0"/>
      <w:marRight w:val="0"/>
      <w:marTop w:val="0"/>
      <w:marBottom w:val="0"/>
      <w:divBdr>
        <w:top w:val="none" w:sz="0" w:space="0" w:color="auto"/>
        <w:left w:val="none" w:sz="0" w:space="0" w:color="auto"/>
        <w:bottom w:val="none" w:sz="0" w:space="0" w:color="auto"/>
        <w:right w:val="none" w:sz="0" w:space="0" w:color="auto"/>
      </w:divBdr>
    </w:div>
    <w:div w:id="851603150">
      <w:bodyDiv w:val="1"/>
      <w:marLeft w:val="0"/>
      <w:marRight w:val="0"/>
      <w:marTop w:val="0"/>
      <w:marBottom w:val="0"/>
      <w:divBdr>
        <w:top w:val="none" w:sz="0" w:space="0" w:color="auto"/>
        <w:left w:val="none" w:sz="0" w:space="0" w:color="auto"/>
        <w:bottom w:val="none" w:sz="0" w:space="0" w:color="auto"/>
        <w:right w:val="none" w:sz="0" w:space="0" w:color="auto"/>
      </w:divBdr>
      <w:divsChild>
        <w:div w:id="129983627">
          <w:marLeft w:val="0"/>
          <w:marRight w:val="0"/>
          <w:marTop w:val="0"/>
          <w:marBottom w:val="0"/>
          <w:divBdr>
            <w:top w:val="none" w:sz="0" w:space="0" w:color="auto"/>
            <w:left w:val="none" w:sz="0" w:space="0" w:color="auto"/>
            <w:bottom w:val="none" w:sz="0" w:space="0" w:color="auto"/>
            <w:right w:val="none" w:sz="0" w:space="0" w:color="auto"/>
          </w:divBdr>
        </w:div>
      </w:divsChild>
    </w:div>
    <w:div w:id="866604988">
      <w:bodyDiv w:val="1"/>
      <w:marLeft w:val="0"/>
      <w:marRight w:val="0"/>
      <w:marTop w:val="0"/>
      <w:marBottom w:val="0"/>
      <w:divBdr>
        <w:top w:val="none" w:sz="0" w:space="0" w:color="auto"/>
        <w:left w:val="none" w:sz="0" w:space="0" w:color="auto"/>
        <w:bottom w:val="none" w:sz="0" w:space="0" w:color="auto"/>
        <w:right w:val="none" w:sz="0" w:space="0" w:color="auto"/>
      </w:divBdr>
      <w:divsChild>
        <w:div w:id="1071660803">
          <w:marLeft w:val="0"/>
          <w:marRight w:val="0"/>
          <w:marTop w:val="0"/>
          <w:marBottom w:val="0"/>
          <w:divBdr>
            <w:top w:val="none" w:sz="0" w:space="0" w:color="auto"/>
            <w:left w:val="none" w:sz="0" w:space="0" w:color="auto"/>
            <w:bottom w:val="none" w:sz="0" w:space="0" w:color="auto"/>
            <w:right w:val="none" w:sz="0" w:space="0" w:color="auto"/>
          </w:divBdr>
        </w:div>
      </w:divsChild>
    </w:div>
    <w:div w:id="1171986256">
      <w:bodyDiv w:val="1"/>
      <w:marLeft w:val="0"/>
      <w:marRight w:val="0"/>
      <w:marTop w:val="0"/>
      <w:marBottom w:val="0"/>
      <w:divBdr>
        <w:top w:val="none" w:sz="0" w:space="0" w:color="auto"/>
        <w:left w:val="none" w:sz="0" w:space="0" w:color="auto"/>
        <w:bottom w:val="none" w:sz="0" w:space="0" w:color="auto"/>
        <w:right w:val="none" w:sz="0" w:space="0" w:color="auto"/>
      </w:divBdr>
    </w:div>
    <w:div w:id="1646470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729ef40f9304f5a9c8bebfafbdf6029" PartId="3f007e4e95c74bfd9d6be32b3e26b358">
    <Part Type="skirsnis" Title="DĖL AB „ACHEMA“ PASINAUDOJIMO ELEKTROS SKIRSTOMAISIAIS TINKLAIS TVARKOS APRAŠO VIEŠOSIOS KONSULTACIJOS" DocPartId="6ba605159244442b9173fa75afbebcb6" PartId="2a0d5f204b19437bb469d9dc64060e6e"/>
    <Part Type="skirsnis" Title="VALSTYBINĖS ENERGETIKOS REGULIAVIMO TARYBOS 2024- - RAŠTO NR. R2-(AEEMR)- ADRESATŲ SĄRAŠAS" DocPartId="9416d959fb2f4b2e8219e59ee2625dce" PartId="2c6fd7cc32fe4d4688a76e8a13b87dec">
      <Part Type="punktas" Nr="1" Abbr="1 p." DocPartId="5a2717c42639490ab55f6c78cd0011ad" PartId="14b12e2f174a4b17a3c688fb9b17f535"/>
      <Part Type="punktas" Nr="2" Abbr="2 p." DocPartId="ab6c263feedc46b7aa98b4be5371c9e7" PartId="f7fdfb023f6243728dc1ce21a5bbf543"/>
      <Part Type="punktas" Nr="3" Abbr="3 p." DocPartId="6f83284bbe384ad699f863bab3e1934a" PartId="3903867aaaaf4bdcadb8b286fe6c9c14"/>
      <Part Type="punktas" Nr="4" Abbr="4 p." DocPartId="f5867defbbbf4dd9a38bb1648ea8bfa9" PartId="69355d881087414daf10eb7f4e4c001e"/>
      <Part Type="punktas" Nr="5" Abbr="5 p." DocPartId="64e6510c06b447ea95d438e79e1832ba" PartId="c8db12f527574b8e9a6c07cd08522d19"/>
      <Part Type="punktas" Nr="6" Abbr="6 p." DocPartId="27f2898a162b4b1cb551abb3e66bdc58" PartId="bf171f62057b41e5b86d915a44005ace"/>
      <Part Type="punktas" Nr="7" Abbr="7 p." DocPartId="6d04e9e54c384a07b1b755f6487ea42e" PartId="8079184bf6ff451e872105695941d5dd"/>
      <Part Type="punktas" Nr="8" Abbr="8 p." DocPartId="76063339691344dbace9a2c33110ffeb" PartId="59e8c28a1d924b23a62c460412b15818"/>
      <Part Type="punktas" Nr="9" Abbr="9 p." DocPartId="df0dc7ba89d74471a0c93464f1ad6200" PartId="8cc20ab495b242238e4f95adc368dcde"/>
      <Part Type="punktas" Nr="10" Abbr="10 p." DocPartId="43feb3953f354fa090aa711afbf25f78" PartId="749f3bd6049b4251b0588d387426665c"/>
      <Part Type="punktas" Nr="11" Abbr="11 p." DocPartId="0d28899265d24d08a306a7060ae33f98" PartId="2480138d9ad143beb6737321b92725d6"/>
      <Part Type="punktas" Nr="12" Abbr="12 p." DocPartId="f740608bfc2541aba806225e765b3208" PartId="9abe6f1b98624a81b3743dbd32b6a857"/>
      <Part Type="punktas" Nr="13" Abbr="13 p." DocPartId="8adc2e7fb20849e4b806caea972ef248" PartId="c3a8673f1e7f455cb9c7d5bb1a8f269d"/>
    </Part>
  </Part>
</Parts>
</file>

<file path=customXml/itemProps1.xml><?xml version="1.0" encoding="utf-8"?>
<ds:datastoreItem xmlns:ds="http://schemas.openxmlformats.org/officeDocument/2006/customXml" ds:itemID="{AA9F9F3E-4D85-44C1-A37A-503686A17476}">
  <ds:schemaRefs>
    <ds:schemaRef ds:uri="http://schemas.openxmlformats.org/officeDocument/2006/bibliography"/>
  </ds:schemaRefs>
</ds:datastoreItem>
</file>

<file path=customXml/itemProps2.xml><?xml version="1.0" encoding="utf-8"?>
<ds:datastoreItem xmlns:ds="http://schemas.openxmlformats.org/officeDocument/2006/customXml" ds:itemID="{F352CB6E-9A72-47F6-B7F9-A7485A64A4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523</Words>
  <Characters>3738</Characters>
  <Application>Microsoft Office Word</Application>
  <DocSecurity>4</DocSecurity>
  <Lines>71</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4230</CharactersWithSpaces>
  <SharedDoc>false</SharedDoc>
  <HyperlinkBase/>
  <HLinks>
    <vt:vector size="12" baseType="variant">
      <vt:variant>
        <vt:i4>7667734</vt:i4>
      </vt:variant>
      <vt:variant>
        <vt:i4>3</vt:i4>
      </vt:variant>
      <vt:variant>
        <vt:i4>0</vt:i4>
      </vt:variant>
      <vt:variant>
        <vt:i4>5</vt:i4>
      </vt:variant>
      <vt:variant>
        <vt:lpwstr>mailto:goda.tamasauskaite@vert.lt</vt:lpwstr>
      </vt:variant>
      <vt:variant>
        <vt:lpwstr/>
      </vt:variant>
      <vt:variant>
        <vt:i4>5242977</vt:i4>
      </vt:variant>
      <vt:variant>
        <vt:i4>0</vt:i4>
      </vt:variant>
      <vt:variant>
        <vt:i4>0</vt:i4>
      </vt:variant>
      <vt:variant>
        <vt:i4>5</vt:i4>
      </vt:variant>
      <vt:variant>
        <vt:lpwstr>mailto:info@vert.lt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2024-07-08T09:56:00Z</dcterms:created>
  <dc:creator>Goda Tamašauskaitė</dc:creator>
  <lastModifiedBy>adlibuser</lastModifiedBy>
  <dcterms:modified xsi:type="dcterms:W3CDTF">2024-07-08T09:56:00Z</dcterms:modified>
  <revision>2</revision>
</coreProperties>
</file>