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fc2df5cd095490282ae5dfcf2434857"/>
        <w:lock w:val="sdtLocked"/>
        <w:richText/>
      </w:sdtPr>
      <w:sdtContent>
        <w:p w14:paraId="111B2172" w14:textId="77777777">
          <w:pPr>
            <w:tabs>
              <w:tab w:val="center" w:pos="4819"/>
              <w:tab w:val="right" w:pos="9638"/>
            </w:tabs>
            <w:suppressAutoHyphens/>
            <w:rPr>
              <w:szCs w:val="24"/>
              <w:lang w:val="en-GB" w:eastAsia="ar-SA"/>
            </w:rPr>
          </w:pPr>
        </w:p>
        <w:p w14:paraId="1AE3EDFB" w14:textId="77777777">
          <w:pPr>
            <w:jc w:val="center"/>
            <w:rPr>
              <w:b/>
              <w:szCs w:val="24"/>
              <w:lang w:eastAsia="ar-SA"/>
            </w:rPr>
          </w:pPr>
        </w:p>
        <w:p w14:paraId="1AE3EDFC" w14:textId="77777777">
          <w:pPr>
            <w:jc w:val="center"/>
            <w:rPr>
              <w:b/>
              <w:szCs w:val="24"/>
              <w:lang w:eastAsia="ar-SA"/>
            </w:rPr>
          </w:pPr>
          <w:r>
            <w:rPr>
              <w:b/>
              <w:szCs w:val="24"/>
              <w:lang w:eastAsia="ar-SA"/>
            </w:rPr>
            <w:t>ŠIAULIŲ MIESTO SAVIVALDYBĖS ADMINISTRACIJOS</w:t>
          </w:r>
        </w:p>
        <w:sdt>
          <w:sdtPr>
            <w:alias w:val="skyrius"/>
            <w:tag w:val="part_a71af7da81db4b1c97c8fba69e02dd82"/>
            <w:lock w:val="sdtLocked"/>
            <w:richText/>
          </w:sdtPr>
          <w:sdtContent>
            <w:p w14:paraId="1AE3EDFD" w14:textId="77777777">
              <w:pPr>
                <w:jc w:val="center"/>
                <w:rPr>
                  <w:b/>
                  <w:szCs w:val="24"/>
                  <w:lang w:eastAsia="ar-SA"/>
                </w:rPr>
              </w:pPr>
              <w:r>
                <w:rPr>
                  <w:b/>
                  <w:szCs w:val="24"/>
                  <w:lang w:eastAsia="ar-SA"/>
                </w:rPr>
                <w:t>EKONOMIKOS SKYRIUS</w:t>
              </w:r>
            </w:p>
            <w:p w14:paraId="1AE3EDFE" w14:textId="77777777">
              <w:pPr>
                <w:jc w:val="center"/>
                <w:rPr>
                  <w:b/>
                  <w:sz w:val="16"/>
                  <w:szCs w:val="24"/>
                  <w:lang w:eastAsia="ar-SA"/>
                </w:rPr>
              </w:pPr>
            </w:p>
            <w:sdt>
              <w:sdtPr>
                <w:alias w:val="Pavadinimas"/>
                <w:tag w:val="title_a71af7da81db4b1c97c8fba69e02dd82"/>
                <w:lock w:val="sdtLocked"/>
                <w:richText/>
              </w:sdtPr>
              <w:sdtContent>
                <w:p w14:paraId="1AE3EDFF" w14:textId="77777777">
                  <w:pPr>
                    <w:suppressAutoHyphens/>
                    <w:jc w:val="center"/>
                    <w:rPr>
                      <w:b/>
                      <w:szCs w:val="24"/>
                      <w:lang w:eastAsia="ar-SA"/>
                    </w:rPr>
                  </w:pPr>
                  <w:r>
                    <w:rPr>
                      <w:b/>
                      <w:szCs w:val="24"/>
                      <w:lang w:eastAsia="ar-SA"/>
                    </w:rPr>
                    <w:t>SPRENDIMO</w:t>
                  </w:r>
                </w:p>
                <w:p w14:paraId="1AE3EE00" w14:textId="5A064811">
                  <w:pPr>
                    <w:suppressAutoHyphens/>
                    <w:ind w:firstLine="62"/>
                    <w:jc w:val="center"/>
                    <w:rPr>
                      <w:b/>
                      <w:szCs w:val="24"/>
                      <w:lang w:eastAsia="ar-SA"/>
                    </w:rPr>
                  </w:pPr>
                  <w:r>
                    <w:rPr>
                      <w:b/>
                      <w:szCs w:val="24"/>
                      <w:lang w:eastAsia="ar-SA"/>
                    </w:rPr>
                    <w:t>„DĖL UAB „</w:t>
                  </w:r>
                  <w:r>
                    <w:rPr>
                      <w:b/>
                      <w:szCs w:val="24"/>
                      <w:lang w:val="en-GB" w:eastAsia="ar-SA"/>
                    </w:rPr>
                    <w:t>ŠIAULIŲ APŽELDINIMAS</w:t>
                  </w:r>
                  <w:r>
                    <w:rPr>
                      <w:b/>
                      <w:szCs w:val="24"/>
                      <w:lang w:eastAsia="ar-SA"/>
                    </w:rPr>
                    <w:t xml:space="preserve">“ 2025 METŲ </w:t>
                  </w:r>
                  <w:r>
                    <w:rPr>
                      <w:b/>
                      <w:bCs/>
                      <w:szCs w:val="24"/>
                      <w:lang w:eastAsia="ar-SA"/>
                    </w:rPr>
                    <w:t>VALSTYBINĖS ŽEMĖS NUOMOS MOKESČIO SUMAŽINIMO / NESUMAŽINIMO</w:t>
                  </w:r>
                  <w:r>
                    <w:rPr>
                      <w:b/>
                      <w:szCs w:val="24"/>
                      <w:lang w:eastAsia="ar-SA"/>
                    </w:rPr>
                    <w:t>“ PROJEKTO</w:t>
                  </w:r>
                </w:p>
                <w:p w14:paraId="1AE3EE01" w14:textId="77777777">
                  <w:pPr>
                    <w:suppressAutoHyphens/>
                    <w:jc w:val="center"/>
                    <w:rPr>
                      <w:b/>
                      <w:szCs w:val="24"/>
                      <w:lang w:val="en-GB" w:eastAsia="ar-SA"/>
                    </w:rPr>
                  </w:pPr>
                  <w:r>
                    <w:rPr>
                      <w:b/>
                      <w:szCs w:val="24"/>
                      <w:lang w:val="en-GB" w:eastAsia="ar-SA"/>
                    </w:rPr>
                    <w:t>AIŠKINAMASIS RAŠTAS</w:t>
                  </w:r>
                </w:p>
              </w:sdtContent>
            </w:sdt>
            <w:p w14:paraId="1AE3EE02" w14:textId="77777777">
              <w:pPr>
                <w:jc w:val="center"/>
                <w:rPr>
                  <w:b/>
                  <w:sz w:val="16"/>
                  <w:szCs w:val="24"/>
                  <w:lang w:eastAsia="ar-SA"/>
                </w:rPr>
              </w:pPr>
            </w:p>
            <w:p w14:paraId="1AE3EE03" w14:textId="00BB196F">
              <w:pPr>
                <w:suppressAutoHyphens/>
                <w:jc w:val="center"/>
                <w:rPr>
                  <w:bCs/>
                  <w:szCs w:val="24"/>
                  <w:lang w:eastAsia="ar-SA"/>
                </w:rPr>
              </w:pPr>
              <w:r>
                <w:rPr>
                  <w:bCs/>
                  <w:szCs w:val="24"/>
                  <w:lang w:eastAsia="ar-SA"/>
                </w:rPr>
                <w:t>2025 m. spalio 10 d.</w:t>
              </w:r>
            </w:p>
            <w:p w14:paraId="1AE3EE04" w14:textId="77777777">
              <w:pPr>
                <w:suppressAutoHyphens/>
                <w:jc w:val="center"/>
                <w:rPr>
                  <w:bCs/>
                  <w:szCs w:val="24"/>
                  <w:lang w:eastAsia="ar-SA"/>
                </w:rPr>
              </w:pPr>
              <w:r>
                <w:rPr>
                  <w:bCs/>
                  <w:szCs w:val="24"/>
                  <w:lang w:eastAsia="ar-SA"/>
                </w:rPr>
                <w:t>Šiauliai</w:t>
              </w:r>
            </w:p>
            <w:p w14:paraId="1AE3EE05" w14:textId="77777777">
              <w:pPr>
                <w:jc w:val="center"/>
                <w:rPr>
                  <w:b/>
                  <w:szCs w:val="24"/>
                  <w:lang w:eastAsia="ar-SA"/>
                </w:rPr>
              </w:pPr>
            </w:p>
            <w:sdt>
              <w:sdtPr>
                <w:alias w:val="poskyris"/>
                <w:tag w:val="part_49934ab7f6d64c51a5ed87f1b2caa720"/>
                <w:lock w:val="sdtLocked"/>
                <w:richText/>
              </w:sdtPr>
              <w:sdtContent>
                <w:p w14:paraId="1AE3EE06" w14:textId="77777777">
                  <w:pPr>
                    <w:suppressAutoHyphens/>
                    <w:ind w:firstLine="720"/>
                    <w:jc w:val="both"/>
                    <w:rPr>
                      <w:b/>
                      <w:szCs w:val="24"/>
                      <w:lang w:eastAsia="ar-SA"/>
                    </w:rPr>
                  </w:pPr>
                  <w:sdt>
                    <w:sdtPr>
                      <w:alias w:val="Pavadinimas"/>
                      <w:tag w:val="title_49934ab7f6d64c51a5ed87f1b2caa720"/>
                      <w:lock w:val="sdtLocked"/>
                      <w:richText/>
                    </w:sdtPr>
                    <w:sdtContent>
                      <w:r>
                        <w:rPr>
                          <w:b/>
                          <w:szCs w:val="24"/>
                          <w:lang w:eastAsia="ar-SA"/>
                        </w:rPr>
                        <w:t>Parengto sprendimo projekto tikslai ir uždaviniai.</w:t>
                      </w:r>
                    </w:sdtContent>
                  </w:sdt>
                </w:p>
                <w:p w14:paraId="1AE3EE07" w14:textId="5D150133">
                  <w:pPr>
                    <w:suppressAutoHyphens/>
                    <w:ind w:firstLine="720"/>
                    <w:jc w:val="both"/>
                    <w:rPr>
                      <w:szCs w:val="24"/>
                      <w:lang w:eastAsia="ar-SA"/>
                    </w:rPr>
                  </w:pPr>
                  <w:r>
                    <w:rPr>
                      <w:bCs/>
                      <w:szCs w:val="24"/>
                      <w:lang w:eastAsia="ar-SA"/>
                    </w:rPr>
                    <w:t xml:space="preserve">Sprendimo projekto tikslas – </w:t>
                  </w:r>
                  <w:r>
                    <w:rPr>
                      <w:szCs w:val="24"/>
                      <w:lang w:eastAsia="ar-SA"/>
                    </w:rPr>
                    <w:t xml:space="preserve">sumažinti / nesumažinti Šiaulių miesto savivaldybės biudžeto sąskaita </w:t>
                  </w:r>
                  <w:r>
                    <w:rPr>
                      <w:szCs w:val="24"/>
                      <w:lang w:val="en-GB" w:eastAsia="ar-SA"/>
                    </w:rPr>
                    <w:t>UAB „Šiaulių apželdinimas“ (kodas 144127089) 2025 metų valstybinės žemės nuomos mokestį 11 424,00 Eur suma už 2,2887 ha ploto žemės sklypą adresu: Išradėjų g. 3A, Šiauliai.</w:t>
                  </w:r>
                </w:p>
                <w:p w14:paraId="1AE3EE08" w14:textId="77777777">
                  <w:pPr>
                    <w:suppressAutoHyphens/>
                    <w:ind w:firstLine="720"/>
                    <w:jc w:val="both"/>
                    <w:rPr>
                      <w:iCs/>
                      <w:szCs w:val="24"/>
                      <w:lang w:eastAsia="ar-SA"/>
                    </w:rPr>
                  </w:pPr>
                </w:p>
                <w:p w14:paraId="1AE3EE09" w14:textId="77777777">
                  <w:pPr>
                    <w:suppressAutoHyphens/>
                    <w:ind w:firstLine="720"/>
                    <w:jc w:val="both"/>
                    <w:rPr>
                      <w:iCs/>
                      <w:szCs w:val="24"/>
                      <w:lang w:eastAsia="ar-SA"/>
                    </w:rPr>
                  </w:pPr>
                  <w:r>
                    <w:rPr>
                      <w:szCs w:val="24"/>
                      <w:lang w:eastAsia="ar-SA"/>
                    </w:rPr>
                    <w:t xml:space="preserve">Lietuvos Respublikos Vyriausybės 2002 m. lapkričio 19 d. nutarimo Nr. 1798 „Dėl nuomos mokesčio ir žemės nuomos mokesčio priedo už valstybinę žemę“ 1.8 papunkčiu numatyta, kad </w:t>
                  </w:r>
                  <w:r>
                    <w:rPr>
                      <w:color w:val="000000"/>
                      <w:szCs w:val="24"/>
                      <w:lang w:eastAsia="ar-SA"/>
                    </w:rPr>
                    <w:t>savivaldybių tarybos savo biudžeto sąskaita turi teisę mažinti valstybinės žemės nuomos mokestį arba visai nuo jo atleisti.</w:t>
                  </w:r>
                </w:p>
                <w:p w14:paraId="1AE3EE0A" w14:textId="77777777">
                  <w:pPr>
                    <w:suppressAutoHyphens/>
                    <w:ind w:firstLine="720"/>
                    <w:jc w:val="both"/>
                    <w:rPr>
                      <w:color w:val="000000"/>
                      <w:szCs w:val="24"/>
                      <w:lang w:eastAsia="ar-SA"/>
                    </w:rPr>
                  </w:pPr>
                  <w:r>
                    <w:rPr>
                      <w:color w:val="000000"/>
                      <w:szCs w:val="24"/>
                      <w:lang w:eastAsia="ar-SA"/>
                    </w:rPr>
                    <w:t xml:space="preserve">Mokesčių lengvatų teikimo taisyklių, patvirtintų Šiaulių miesto savivaldybės tarybos 2016 m. rugpjūčio 25 d. sprendimo Nr. T-329 „Dėl Mokesčių lengvatų teikimo taisyklių patvirtinimo“ 1 punktu </w:t>
                  </w:r>
                  <w:r>
                    <w:rPr>
                      <w:iCs/>
                      <w:szCs w:val="24"/>
                      <w:lang w:eastAsia="ar-SA"/>
                    </w:rPr>
                    <w:t>(</w:t>
                  </w:r>
                  <w:r>
                    <w:rPr>
                      <w:i/>
                      <w:iCs/>
                      <w:szCs w:val="24"/>
                      <w:lang w:eastAsia="ar-SA"/>
                    </w:rPr>
                    <w:t>suvestinė redakcija nuo 2025-07-11</w:t>
                  </w:r>
                  <w:r>
                    <w:rPr>
                      <w:iCs/>
                      <w:szCs w:val="24"/>
                      <w:lang w:eastAsia="ar-SA"/>
                    </w:rPr>
                    <w:t xml:space="preserve">), 10.2 papunktyje numatyta, kad Šiaulių miesto </w:t>
                  </w:r>
                  <w:r>
                    <w:rPr>
                      <w:color w:val="000000"/>
                      <w:szCs w:val="24"/>
                      <w:lang w:eastAsia="ar-SA"/>
                    </w:rPr>
                    <w:t>savivaldybės taryba sprendimais gali mažinti einamųjų metų nuomos mokestį už valstybinę žemę arba visai nuo jo atleisti, jei</w:t>
                  </w:r>
                  <w:r>
                    <w:rPr>
                      <w:iCs/>
                      <w:szCs w:val="24"/>
                      <w:lang w:eastAsia="ar-SA"/>
                    </w:rPr>
                    <w:t xml:space="preserve">  </w:t>
                  </w:r>
                  <w:r>
                    <w:rPr>
                      <w:color w:val="000000"/>
                      <w:szCs w:val="24"/>
                      <w:lang w:eastAsia="ar-SA"/>
                    </w:rPr>
                    <w:t>asmenys nurodo objektyvias valstybinės žemės nuomos sutarčių nesudarymo priežastis.</w:t>
                  </w:r>
                </w:p>
                <w:p w14:paraId="1AE3EE0B" w14:textId="77777777">
                  <w:pPr>
                    <w:suppressAutoHyphens/>
                    <w:ind w:firstLine="720"/>
                    <w:jc w:val="both"/>
                    <w:rPr>
                      <w:bCs/>
                      <w:color w:val="212529"/>
                      <w:szCs w:val="24"/>
                      <w:shd w:val="clear" w:color="auto" w:fill="FFFFFF"/>
                      <w:lang w:val="en-GB" w:eastAsia="ar-SA"/>
                    </w:rPr>
                  </w:pPr>
                  <w:r>
                    <w:rPr>
                      <w:szCs w:val="24"/>
                      <w:lang w:val="en-GB" w:eastAsia="ar-SA"/>
                    </w:rPr>
                    <w:t>Šiaulių miesto savivaldybės taryba 2024-05-02 sprendimu Nr. T-150 „Dėl nuomos mokesčio už valstybinę žemę tarifų nustatymo“ patvirtino valstybinės žemės nuomos mokesčio tarifus, kurie galioja nuo 2025-01-01:</w:t>
                  </w:r>
                </w:p>
                <w:p w14:paraId="1AE3EE0C" w14:textId="77777777">
                  <w:pPr>
                    <w:suppressAutoHyphens/>
                    <w:ind w:firstLine="720"/>
                    <w:jc w:val="both"/>
                    <w:rPr>
                      <w:color w:val="212529"/>
                      <w:szCs w:val="24"/>
                      <w:lang w:val="en-GB" w:eastAsia="ar-SA"/>
                    </w:rPr>
                  </w:pPr>
                  <w:r>
                    <w:rPr>
                      <w:bCs/>
                      <w:color w:val="212529"/>
                      <w:szCs w:val="24"/>
                      <w:lang w:val="en-GB" w:eastAsia="ar-SA"/>
                    </w:rPr>
                    <w:t>- 0,80 proc. </w:t>
                  </w:r>
                  <w:r>
                    <w:rPr>
                      <w:color w:val="212529"/>
                      <w:szCs w:val="24"/>
                      <w:lang w:val="en-GB" w:eastAsia="ar-SA"/>
                    </w:rPr>
                    <w:t xml:space="preserve">žemės vertės, apskaičiuotos pagal einamųjų metų sausio 1 dieną taikytus žemės verčių žemėlapius, – </w:t>
                  </w:r>
                  <w:r>
                    <w:rPr>
                      <w:szCs w:val="24"/>
                      <w:lang w:val="en-GB" w:eastAsia="ar-SA"/>
                    </w:rPr>
                    <w:t>asmenims, kurie valstybinės žemės nuomos sutartis sudarė po 2009 m. sausio 1 d., ir asmenims, kuriems valstybinės žemės nuomotojas Lietuvos Respublikos Vyriausybės nustatyta tvarka perskaičiuoja iki 2008 m. gruodžio 31 d. sudarytų valstybinės žemės nuomos sutarčių pagrindu išnuomotų žemės sklypų vertę;</w:t>
                  </w:r>
                </w:p>
                <w:p w14:paraId="1AE3EE0D" w14:textId="77777777">
                  <w:pPr>
                    <w:suppressAutoHyphens/>
                    <w:ind w:firstLine="720"/>
                    <w:jc w:val="both"/>
                    <w:rPr>
                      <w:szCs w:val="24"/>
                      <w:lang w:val="en-GB" w:eastAsia="ar-SA"/>
                    </w:rPr>
                  </w:pPr>
                  <w:r>
                    <w:rPr>
                      <w:szCs w:val="24"/>
                      <w:lang w:val="en-GB" w:eastAsia="ar-SA"/>
                    </w:rPr>
                    <w:t xml:space="preserve">- juridiniams asmenims, kurie nėra sudarę valstybinės žemės sklypų nuomos sutarčių taikomas 4,0 proc. tarifas. </w:t>
                  </w:r>
                </w:p>
                <w:p w14:paraId="1AE3EE0E" w14:textId="77777777">
                  <w:pPr>
                    <w:suppressAutoHyphens/>
                    <w:ind w:firstLine="720"/>
                    <w:jc w:val="both"/>
                    <w:rPr>
                      <w:color w:val="212529"/>
                      <w:szCs w:val="24"/>
                      <w:shd w:val="clear" w:color="auto" w:fill="FFFFFF"/>
                      <w:lang w:val="en-GB" w:eastAsia="ar-SA"/>
                    </w:rPr>
                  </w:pPr>
                </w:p>
                <w:p w14:paraId="1AE3EE0F" w14:textId="5F39875C">
                  <w:pPr>
                    <w:suppressAutoHyphens/>
                    <w:ind w:firstLine="720"/>
                    <w:jc w:val="both"/>
                    <w:rPr>
                      <w:iCs/>
                      <w:szCs w:val="24"/>
                      <w:lang w:val="en-GB" w:eastAsia="ar-SA"/>
                    </w:rPr>
                  </w:pPr>
                  <w:r>
                    <w:rPr>
                      <w:iCs/>
                      <w:szCs w:val="24"/>
                      <w:lang w:val="en-GB" w:eastAsia="ar-SA"/>
                    </w:rPr>
                    <w:t xml:space="preserve">Šiaulių miesto savivaldybės (toliau – Savivaldybė) administracija gavo UAB </w:t>
                  </w:r>
                  <w:r>
                    <w:rPr>
                      <w:szCs w:val="24"/>
                      <w:lang w:val="en-GB" w:eastAsia="ar-SA"/>
                    </w:rPr>
                    <w:t xml:space="preserve">„Šiaulių apželdinimas“ </w:t>
                  </w:r>
                  <w:r>
                    <w:rPr>
                      <w:iCs/>
                      <w:szCs w:val="24"/>
                      <w:lang w:val="en-GB" w:eastAsia="ar-SA"/>
                    </w:rPr>
                    <w:t xml:space="preserve">(toliau – Įmonė) prašymą, kuriuo prašoma netaikyti 2025 metams skaičiuotiną 4 proc. valstybinės žemės nuomos mokestį. </w:t>
                  </w:r>
                </w:p>
                <w:p w14:paraId="6AA0C9CF" w14:textId="20470030">
                  <w:pPr>
                    <w:suppressAutoHyphens/>
                    <w:ind w:firstLine="720"/>
                    <w:jc w:val="both"/>
                    <w:rPr>
                      <w:bCs/>
                      <w:szCs w:val="24"/>
                      <w:lang w:val="en-GB" w:eastAsia="ar-SA"/>
                    </w:rPr>
                  </w:pPr>
                  <w:r>
                    <w:rPr>
                      <w:bCs/>
                      <w:szCs w:val="24"/>
                      <w:lang w:val="en-GB" w:eastAsia="ar-SA"/>
                    </w:rPr>
                    <w:t xml:space="preserve">Įmonė įsikūrusi Išradėjų g. 3A, Šiauliuose. Naudojamą žemės sklypą sudaro </w:t>
                  </w:r>
                  <w:r>
                    <w:rPr>
                      <w:szCs w:val="24"/>
                      <w:lang w:val="en-GB" w:eastAsia="ar-SA"/>
                    </w:rPr>
                    <w:t>2,2887 ha, nuoma nuo 2010-03-16 iki 2024-05-31. Žemės sklypo vertė – 357 000 Eur. Įmonė šiuo metu galiojančios valstybinės žemės nuomos sutarties neturi.</w:t>
                  </w:r>
                </w:p>
                <w:p w14:paraId="1AE3EE10" w14:textId="356B06CE">
                  <w:pPr>
                    <w:suppressAutoHyphens/>
                    <w:ind w:firstLine="720"/>
                    <w:jc w:val="both"/>
                    <w:rPr>
                      <w:szCs w:val="24"/>
                      <w:lang w:val="en-GB" w:eastAsia="ar-SA"/>
                    </w:rPr>
                  </w:pPr>
                  <w:r>
                    <w:rPr>
                      <w:bCs/>
                      <w:szCs w:val="24"/>
                      <w:lang w:val="en-GB" w:eastAsia="ar-SA"/>
                    </w:rPr>
                    <w:t>Įmonei</w:t>
                  </w:r>
                  <w:r>
                    <w:rPr>
                      <w:szCs w:val="24"/>
                      <w:lang w:val="en-GB" w:eastAsia="ar-SA"/>
                    </w:rPr>
                    <w:t xml:space="preserve"> valstybinės žemės nuomos mokesčio paskaičiavimai:</w:t>
                  </w:r>
                </w:p>
                <w:p w14:paraId="5FE8325F" w14:textId="27FF283C">
                  <w:pPr>
                    <w:suppressAutoHyphens/>
                    <w:ind w:firstLine="720"/>
                    <w:jc w:val="both"/>
                    <w:rPr>
                      <w:szCs w:val="24"/>
                      <w:lang w:val="en-GB" w:eastAsia="ar-SA"/>
                    </w:rPr>
                  </w:pPr>
                  <w:r>
                    <w:rPr>
                      <w:szCs w:val="24"/>
                      <w:lang w:val="en-GB" w:eastAsia="ar-SA"/>
                    </w:rPr>
                    <w:t>Taikant 4 proc. tarifą už 12 mėn. būtų paskaičiuota 14 280,00. Eur (357 000 Eur x 4 proc.).</w:t>
                  </w:r>
                </w:p>
                <w:p w14:paraId="69E1540E" w14:textId="127DE7E1">
                  <w:pPr>
                    <w:suppressAutoHyphens/>
                    <w:ind w:firstLine="720"/>
                    <w:jc w:val="both"/>
                    <w:rPr>
                      <w:szCs w:val="24"/>
                      <w:lang w:val="en-GB" w:eastAsia="ar-SA"/>
                    </w:rPr>
                  </w:pPr>
                  <w:r>
                    <w:rPr>
                      <w:szCs w:val="24"/>
                      <w:lang w:val="en-GB" w:eastAsia="ar-SA"/>
                    </w:rPr>
                    <w:t>Taikant 0,80 proc. tarifą, už 12 mėn. būtų paskaičiuota 2 856,00 Eur (357 000 Eur x 0,80 proc.).</w:t>
                  </w:r>
                </w:p>
                <w:p w14:paraId="2AE98D6D" w14:textId="77777777">
                  <w:pPr>
                    <w:suppressAutoHyphens/>
                    <w:ind w:firstLine="720"/>
                    <w:jc w:val="both"/>
                    <w:rPr>
                      <w:szCs w:val="24"/>
                      <w:lang w:val="en-GB" w:eastAsia="ar-SA"/>
                    </w:rPr>
                  </w:pPr>
                  <w:r>
                    <w:rPr>
                      <w:bCs/>
                      <w:szCs w:val="24"/>
                      <w:lang w:val="en-GB" w:eastAsia="ar-SA"/>
                    </w:rPr>
                    <w:t>Skirtumas sudaro</w:t>
                  </w:r>
                  <w:r>
                    <w:rPr>
                      <w:b/>
                      <w:bCs/>
                      <w:szCs w:val="24"/>
                      <w:lang w:val="en-GB" w:eastAsia="ar-SA"/>
                    </w:rPr>
                    <w:t xml:space="preserve"> 11 424,00 Eur </w:t>
                  </w:r>
                  <w:r>
                    <w:rPr>
                      <w:bCs/>
                      <w:szCs w:val="24"/>
                      <w:lang w:val="en-GB" w:eastAsia="ar-SA"/>
                    </w:rPr>
                    <w:t>(</w:t>
                  </w:r>
                  <w:r>
                    <w:rPr>
                      <w:szCs w:val="24"/>
                      <w:lang w:val="en-GB" w:eastAsia="ar-SA"/>
                    </w:rPr>
                    <w:t>14 280,00 Eur – 2 856,00 Eur).</w:t>
                  </w:r>
                </w:p>
                <w:p w14:paraId="1A7DEA1F" w14:textId="77777777">
                  <w:pPr>
                    <w:suppressAutoHyphens/>
                    <w:ind w:firstLine="720"/>
                    <w:jc w:val="both"/>
                    <w:rPr>
                      <w:szCs w:val="24"/>
                      <w:lang w:val="en-GB" w:eastAsia="ar-SA"/>
                    </w:rPr>
                  </w:pPr>
                </w:p>
                <w:p w14:paraId="2D4F27FF" w14:textId="43228EAC">
                  <w:pPr>
                    <w:suppressAutoHyphens/>
                    <w:ind w:firstLine="720"/>
                    <w:jc w:val="both"/>
                    <w:rPr>
                      <w:szCs w:val="24"/>
                      <w:lang w:val="en-GB" w:eastAsia="ar-SA"/>
                    </w:rPr>
                  </w:pPr>
                  <w:r>
                    <w:rPr>
                      <w:szCs w:val="24"/>
                      <w:lang w:val="en-GB" w:eastAsia="ar-SA"/>
                    </w:rPr>
                    <w:t>Įmonei valstybinės žemės nuomos sutartis galiojo iki 2024-05-31. Savivaldybės administracija</w:t>
                  </w:r>
                  <w:r>
                    <w:rPr>
                      <w:sz w:val="22"/>
                      <w:szCs w:val="22"/>
                    </w:rPr>
                    <w:t xml:space="preserve"> </w:t>
                  </w:r>
                  <w:r>
                    <w:rPr>
                      <w:szCs w:val="24"/>
                      <w:lang w:val="en-GB" w:eastAsia="ar-SA"/>
                    </w:rPr>
                    <w:t>2024 m. sausio 30 d. raštu informavo Įmonę, kad žemės nuomos sutartis baigiasi.</w:t>
                  </w:r>
                  <w:r>
                    <w:rPr>
                      <w:sz w:val="22"/>
                      <w:szCs w:val="22"/>
                    </w:rPr>
                    <w:t xml:space="preserve"> </w:t>
                  </w:r>
                  <w:r>
                    <w:rPr>
                      <w:szCs w:val="24"/>
                      <w:lang w:val="en-GB" w:eastAsia="ar-SA"/>
                    </w:rPr>
                    <w:t xml:space="preserve">Įmonė  2024 m. vasario 1 d. pateikė prašymą Savivaldybės administracijai dėl žemės nuomos sutarties pratęsimo ir 2024 m. balandžio 11 d. buvo parengtas susitarimas dėl valstybinės žemės nuomos sutarties pakeitimo, tačiau 2024 m. balandžio 25 d. buvo gauta neigiama Nacionalinės žemės tarnybos (toliau – NŽT) prie Aplinkos ministerijos Šiaulių skyriaus išvada, kadangi neatitinka žemės sklypo naudojimo būdas ir pastatų naudojimo paskirtys. Reikalingas individualus turto vertinimas.</w:t>
                  </w:r>
                </w:p>
                <w:p w14:paraId="3625C735" w14:textId="77777777">
                  <w:pPr>
                    <w:suppressAutoHyphens/>
                    <w:ind w:firstLine="720"/>
                    <w:jc w:val="both"/>
                    <w:rPr>
                      <w:szCs w:val="24"/>
                      <w:lang w:val="en-GB" w:eastAsia="ar-SA"/>
                    </w:rPr>
                  </w:pPr>
                  <w:r>
                    <w:rPr>
                      <w:szCs w:val="24"/>
                      <w:lang w:val="en-GB" w:eastAsia="ar-SA"/>
                    </w:rPr>
                    <w:t>Dėl šios priežasties Savivaldybės administracija 2024 m. gegužės 8 d. priėmė sprendimą sustabdyti minėto sandorio įregistravimą Nekilnojamojo turto registre.</w:t>
                  </w:r>
                </w:p>
                <w:p w14:paraId="34829468" w14:textId="77777777">
                  <w:pPr>
                    <w:suppressAutoHyphens/>
                    <w:ind w:firstLine="720"/>
                    <w:jc w:val="both"/>
                    <w:rPr>
                      <w:szCs w:val="24"/>
                      <w:lang w:val="en-GB" w:eastAsia="ar-SA"/>
                    </w:rPr>
                  </w:pPr>
                  <w:r>
                    <w:rPr>
                      <w:szCs w:val="24"/>
                      <w:lang w:val="en-GB" w:eastAsia="ar-SA"/>
                    </w:rPr>
                    <w:t>Savivaldybės administracijos Žemės valdymo skyrius 2024 m. gegužės 20 d. raštu informavo Įmonę dėl reikalingų veiksmų atlikimo (žemės sklypo naudojimo būdo patikslinimo ir žemės sklypo plano valstybinėje koordinačių sistemoje užsakymo), kuriuos atlikus bus galima sudaryti naują žemės nuomos sutartį.</w:t>
                  </w:r>
                </w:p>
                <w:p w14:paraId="1A3D2C1A" w14:textId="77777777">
                  <w:pPr>
                    <w:suppressAutoHyphens/>
                    <w:ind w:firstLine="720"/>
                    <w:jc w:val="both"/>
                    <w:rPr>
                      <w:szCs w:val="24"/>
                      <w:lang w:val="en-GB" w:eastAsia="ar-SA"/>
                    </w:rPr>
                  </w:pPr>
                  <w:r>
                    <w:rPr>
                      <w:szCs w:val="24"/>
                      <w:lang w:val="en-GB" w:eastAsia="ar-SA"/>
                    </w:rPr>
                    <w:t xml:space="preserve">Įmonė 2024 m. gegužės 21 d. pateikė prašymą Savivaldybei dėl žemės sklypo naudojimo būdo nustatymo/patikslinimo. Savivaldybės administracijos Architektūros skyrius 2024 m. gegužės 30 d. raštu pateikė neigiamą atsakymą dėl naudojimo būdo nustatymo. </w:t>
                  </w:r>
                </w:p>
                <w:p w14:paraId="54C7AF17" w14:textId="77777777">
                  <w:pPr>
                    <w:suppressAutoHyphens/>
                    <w:ind w:firstLine="720"/>
                    <w:jc w:val="both"/>
                    <w:rPr>
                      <w:szCs w:val="24"/>
                      <w:lang w:val="en-GB" w:eastAsia="ar-SA"/>
                    </w:rPr>
                  </w:pPr>
                  <w:r>
                    <w:rPr>
                      <w:szCs w:val="24"/>
                      <w:lang w:val="en-GB" w:eastAsia="ar-SA"/>
                    </w:rPr>
                    <w:t>Įmonė 2024 m. birželio 10 d. pateikė prašymą dėl žemės sklypo Išradėjų g. 3A, Šiauiuose, įsigijimo. Prašymas pagal kompetenciją perduotas nagrinėti NŽT. NŽT nurodė atlikti kadanstrinius matavimus. Įmonės užsakymu kadastriniai matavimai atlikti 2024 m. gruodžio 11 d.</w:t>
                  </w:r>
                </w:p>
                <w:p w14:paraId="08FD94ED" w14:textId="03470CA9">
                  <w:pPr>
                    <w:suppressAutoHyphens/>
                    <w:ind w:firstLine="720"/>
                    <w:jc w:val="both"/>
                    <w:rPr>
                      <w:szCs w:val="24"/>
                      <w:lang w:val="en-GB" w:eastAsia="ar-SA"/>
                    </w:rPr>
                  </w:pPr>
                  <w:r>
                    <w:rPr>
                      <w:szCs w:val="24"/>
                      <w:lang w:val="en-GB" w:eastAsia="ar-SA"/>
                    </w:rPr>
                    <w:t>2025 m. kovo 14 d. Savivaldybės mero potvarkiu buvo pakeistas žemės naudojimo būdas ir atlikta daug kitų Įmonės ir Savivaldybės administracijos veiksmų, ko pasekoje, juos atlikus, Įmonė 2025 m. rugsėjo 30 d. pateikė Savivaldybei prašymą dėl individualaus žemės sklypo vertinimo bei žemės nuomos sutarties sudarymo. Savivaldybės administracijos Žemės valdymo skyrius 2025 m. spalio 2 d. raštu informavo Įmonę dėl apmokėjimo už individualų turto vertinimą (Įmonė turi sumokėti 185,13 Eur).</w:t>
                  </w:r>
                </w:p>
                <w:p w14:paraId="1D57EEC6" w14:textId="6C6565C1">
                  <w:pPr>
                    <w:suppressAutoHyphens/>
                    <w:ind w:firstLine="720"/>
                    <w:jc w:val="both"/>
                    <w:rPr>
                      <w:szCs w:val="24"/>
                      <w:lang w:val="en-GB" w:eastAsia="ar-SA"/>
                    </w:rPr>
                  </w:pPr>
                  <w:r>
                    <w:rPr>
                      <w:szCs w:val="24"/>
                      <w:lang w:val="en-GB" w:eastAsia="ar-SA"/>
                    </w:rPr>
                    <w:t>Atsižvelgiant į tai, kad Įmonė ėmėsi aktyvių veiksmų dėl žemės nuomos sutarties sudarymo, Savivaldybės administracija siūlo sumažinti valstybinės žemės nuomos mokestį Įmonei.</w:t>
                  </w:r>
                </w:p>
                <w:p w14:paraId="530E2FA8" w14:textId="77777777">
                  <w:pPr>
                    <w:suppressAutoHyphens/>
                    <w:ind w:firstLine="720"/>
                    <w:jc w:val="both"/>
                    <w:rPr>
                      <w:szCs w:val="24"/>
                      <w:lang w:val="en-GB" w:eastAsia="ar-SA"/>
                    </w:rPr>
                  </w:pPr>
                </w:p>
              </w:sdtContent>
            </w:sdt>
            <w:sdt>
              <w:sdtPr>
                <w:alias w:val="poskyris"/>
                <w:tag w:val="part_7b28ccf7e2cf4a5ea64b1f93e3b03f19"/>
                <w:lock w:val="sdtLocked"/>
                <w:richText/>
              </w:sdtPr>
              <w:sdtContent>
                <w:p w14:paraId="1AE3EE19" w14:textId="77777777">
                  <w:pPr>
                    <w:suppressAutoHyphens/>
                    <w:ind w:firstLine="720"/>
                    <w:rPr>
                      <w:b/>
                      <w:szCs w:val="24"/>
                      <w:lang w:eastAsia="ar-SA"/>
                    </w:rPr>
                  </w:pPr>
                  <w:sdt>
                    <w:sdtPr>
                      <w:alias w:val="Pavadinimas"/>
                      <w:tag w:val="title_7b28ccf7e2cf4a5ea64b1f93e3b03f19"/>
                      <w:lock w:val="sdtLocked"/>
                      <w:richText/>
                    </w:sdtPr>
                    <w:sdtContent>
                      <w:r>
                        <w:rPr>
                          <w:b/>
                          <w:szCs w:val="24"/>
                          <w:lang w:eastAsia="ar-SA"/>
                        </w:rPr>
                        <w:t>Dabartinis sprendimo projekte aptariamų klausimų reguliavimas.</w:t>
                      </w:r>
                    </w:sdtContent>
                  </w:sdt>
                </w:p>
                <w:p w14:paraId="1AE3EE1A" w14:textId="77777777">
                  <w:pPr>
                    <w:suppressAutoHyphens/>
                    <w:ind w:firstLine="720"/>
                    <w:jc w:val="both"/>
                    <w:rPr>
                      <w:color w:val="000000"/>
                      <w:szCs w:val="24"/>
                      <w:lang w:eastAsia="ar-SA"/>
                    </w:rPr>
                  </w:pPr>
                  <w:r>
                    <w:rPr>
                      <w:szCs w:val="24"/>
                      <w:lang w:eastAsia="ar-SA"/>
                    </w:rPr>
                    <w:t xml:space="preserve">Sprendimo projekte aptariami klausimai reguliuojami Lietuvos Respublikos vietos savivaldos įstatymo 15 straipsnio 2 dalies 14 punktu, 16 straipsnio 1 dalimi, Lietuvos Respublikos Vyriausybės 2002 m. lapkričio 19 d. nutarimo Nr. 1798 „Dėl nuomos mokesčio ir žemės nuomos mokesčio priedo už valstybinę žemę“ 1.8 papunkčiu, </w:t>
                  </w:r>
                  <w:r>
                    <w:rPr>
                      <w:color w:val="000000"/>
                      <w:szCs w:val="24"/>
                      <w:lang w:eastAsia="ar-SA"/>
                    </w:rPr>
                    <w:t xml:space="preserve">Mokesčių lengvatų teikimo taisyklių, patvirtintų Šiaulių miesto savivaldybės tarybos 2016 m. rugpjūčio 25 d. sprendimo Nr. T-329 „Dėl Mokesčių lengvatų teikimo taisyklių patvirtinimo“ 1 punktu </w:t>
                  </w:r>
                  <w:r>
                    <w:rPr>
                      <w:iCs/>
                      <w:szCs w:val="24"/>
                      <w:lang w:eastAsia="ar-SA"/>
                    </w:rPr>
                    <w:t>(</w:t>
                  </w:r>
                  <w:r>
                    <w:rPr>
                      <w:i/>
                      <w:iCs/>
                      <w:szCs w:val="24"/>
                      <w:lang w:eastAsia="ar-SA"/>
                    </w:rPr>
                    <w:t>suvestinė redakcija nuo 2025-07-11</w:t>
                  </w:r>
                  <w:r>
                    <w:rPr>
                      <w:iCs/>
                      <w:szCs w:val="24"/>
                      <w:lang w:eastAsia="ar-SA"/>
                    </w:rPr>
                    <w:t xml:space="preserve">), 10.2 papunkčiu. </w:t>
                  </w:r>
                </w:p>
                <w:p w14:paraId="1AE3EE1B" w14:textId="77777777">
                  <w:pPr>
                    <w:suppressAutoHyphens/>
                    <w:jc w:val="both"/>
                    <w:rPr>
                      <w:b/>
                      <w:sz w:val="20"/>
                      <w:lang w:eastAsia="ar-SA"/>
                    </w:rPr>
                  </w:pPr>
                </w:p>
              </w:sdtContent>
            </w:sdt>
            <w:sdt>
              <w:sdtPr>
                <w:alias w:val="poskyris"/>
                <w:tag w:val="part_a5fd7202a8c74541b6250d86ed9bc6c0"/>
                <w:lock w:val="sdtLocked"/>
                <w:richText/>
              </w:sdtPr>
              <w:sdtContent>
                <w:p w14:paraId="1AE3EE1C" w14:textId="77777777">
                  <w:pPr>
                    <w:suppressAutoHyphens/>
                    <w:ind w:firstLine="720"/>
                    <w:jc w:val="both"/>
                    <w:rPr>
                      <w:b/>
                      <w:szCs w:val="24"/>
                      <w:lang w:eastAsia="ar-SA"/>
                    </w:rPr>
                  </w:pPr>
                  <w:sdt>
                    <w:sdtPr>
                      <w:alias w:val="Pavadinimas"/>
                      <w:tag w:val="title_a5fd7202a8c74541b6250d86ed9bc6c0"/>
                      <w:lock w:val="sdtLocked"/>
                      <w:richText/>
                    </w:sdtPr>
                    <w:sdtContent>
                      <w:r>
                        <w:rPr>
                          <w:b/>
                          <w:szCs w:val="24"/>
                          <w:shd w:val="clear" w:color="auto" w:fill="FFFFFF"/>
                          <w:lang w:eastAsia="ar-SA"/>
                        </w:rPr>
                        <w:t>Sprendimo projekte numatytos naujos teisinio reglamentavimo nuostatos</w:t>
                      </w:r>
                      <w:r>
                        <w:rPr>
                          <w:b/>
                          <w:szCs w:val="24"/>
                          <w:lang w:eastAsia="ar-SA"/>
                        </w:rPr>
                        <w:t xml:space="preserve">. </w:t>
                      </w:r>
                    </w:sdtContent>
                  </w:sdt>
                </w:p>
                <w:p w14:paraId="1AE3EE1D" w14:textId="77777777">
                  <w:pPr>
                    <w:suppressAutoHyphens/>
                    <w:ind w:firstLine="720"/>
                    <w:jc w:val="both"/>
                    <w:rPr>
                      <w:szCs w:val="24"/>
                      <w:lang w:val="en-GB" w:eastAsia="ar-SA"/>
                    </w:rPr>
                  </w:pPr>
                  <w:r>
                    <w:rPr>
                      <w:szCs w:val="24"/>
                      <w:lang w:eastAsia="ar-SA"/>
                    </w:rPr>
                    <w:t>Sprendimo projektu naujų teisinių reglamentavimo nuosta</w:t>
                  </w:r>
                  <w:r>
                    <w:rPr>
                      <w:szCs w:val="24"/>
                      <w:lang w:val="en-GB" w:eastAsia="ar-SA"/>
                    </w:rPr>
                    <w:t xml:space="preserve">tų nenumatoma. </w:t>
                  </w:r>
                </w:p>
                <w:p w14:paraId="1AE3EE1E" w14:textId="77777777">
                  <w:pPr>
                    <w:suppressAutoHyphens/>
                    <w:ind w:firstLine="720"/>
                    <w:jc w:val="both"/>
                    <w:rPr>
                      <w:bCs/>
                      <w:szCs w:val="24"/>
                      <w:lang w:eastAsia="ar-SA"/>
                    </w:rPr>
                  </w:pPr>
                  <w:r>
                    <w:rPr>
                      <w:szCs w:val="24"/>
                      <w:lang w:val="en-GB" w:eastAsia="ar-SA"/>
                    </w:rPr>
                    <w:t>Sprendimu įgyvendinama LR Vietos savivaldos įstatymu Savivaldybės tarybai suteikta išimtinė kompetencija – sprendimų teikti įstatymais nustatytų mokesčių lengvatas savivaldybės biudžeto sąskaita priėmimas.</w:t>
                  </w:r>
                  <w:r>
                    <w:rPr>
                      <w:szCs w:val="24"/>
                      <w:lang w:eastAsia="ar-SA"/>
                    </w:rPr>
                    <w:t xml:space="preserve"> </w:t>
                  </w:r>
                </w:p>
                <w:p w14:paraId="1AE3EE1F" w14:textId="77777777">
                  <w:pPr>
                    <w:suppressAutoHyphens/>
                    <w:ind w:firstLine="720"/>
                    <w:jc w:val="both"/>
                    <w:rPr>
                      <w:b/>
                      <w:sz w:val="20"/>
                      <w:shd w:val="clear" w:color="auto" w:fill="FFFFFF"/>
                    </w:rPr>
                  </w:pPr>
                </w:p>
                <w:p w14:paraId="1AE3EE20" w14:textId="77777777">
                  <w:pPr>
                    <w:suppressAutoHyphens/>
                    <w:ind w:firstLine="720"/>
                    <w:jc w:val="both"/>
                    <w:rPr>
                      <w:szCs w:val="24"/>
                      <w:shd w:val="clear" w:color="auto" w:fill="FFFFFF"/>
                      <w:lang w:val="en-GB"/>
                    </w:rPr>
                  </w:pPr>
                  <w:r>
                    <w:rPr>
                      <w:b/>
                      <w:szCs w:val="24"/>
                      <w:shd w:val="clear" w:color="auto" w:fill="FFFFFF"/>
                      <w:lang w:val="en-GB"/>
                    </w:rPr>
                    <w:t xml:space="preserve">Priėmus sprendimą, galimos pasekmės </w:t>
                  </w:r>
                  <w:r>
                    <w:rPr>
                      <w:i/>
                      <w:szCs w:val="24"/>
                      <w:shd w:val="clear" w:color="auto" w:fill="FFFFFF"/>
                      <w:lang w:val="en-GB"/>
                    </w:rPr>
                    <w:t>(nurodomos tiek teigiamos, tiek neigiamos galimos pasekmės)</w:t>
                  </w:r>
                  <w:r>
                    <w:rPr>
                      <w:szCs w:val="24"/>
                      <w:shd w:val="clear" w:color="auto" w:fill="FFFFFF"/>
                      <w:lang w:val="en-GB"/>
                    </w:rPr>
                    <w:t xml:space="preserve">. </w:t>
                  </w:r>
                </w:p>
                <w:p w14:paraId="1AE3EE21" w14:textId="77777777">
                  <w:pPr>
                    <w:suppressAutoHyphens/>
                    <w:ind w:firstLine="720"/>
                    <w:jc w:val="both"/>
                    <w:rPr>
                      <w:bCs/>
                      <w:szCs w:val="24"/>
                      <w:lang w:eastAsia="ar-SA"/>
                    </w:rPr>
                  </w:pPr>
                  <w:r>
                    <w:rPr>
                      <w:bCs/>
                      <w:szCs w:val="24"/>
                      <w:lang w:eastAsia="ar-SA"/>
                    </w:rPr>
                    <w:t xml:space="preserve">Priėmus teigiamą sprendimą </w:t>
                  </w:r>
                  <w:r>
                    <w:rPr>
                      <w:bCs/>
                      <w:i/>
                      <w:iCs/>
                      <w:szCs w:val="24"/>
                      <w:lang w:eastAsia="ar-SA"/>
                    </w:rPr>
                    <w:t>teigiamos pasekmės</w:t>
                  </w:r>
                  <w:r>
                    <w:rPr>
                      <w:bCs/>
                      <w:szCs w:val="24"/>
                      <w:lang w:eastAsia="ar-SA"/>
                    </w:rPr>
                    <w:t xml:space="preserve"> – Įmonei, nesudarius (nepratęsus) valstybinės žemės nuomos sutarties, nebus taikomas padidintas tarifas. </w:t>
                  </w:r>
                  <w:r>
                    <w:rPr>
                      <w:bCs/>
                      <w:i/>
                      <w:iCs/>
                      <w:szCs w:val="24"/>
                      <w:lang w:eastAsia="ar-SA"/>
                    </w:rPr>
                    <w:t>Neigiamos pasekmės</w:t>
                  </w:r>
                  <w:r>
                    <w:rPr>
                      <w:bCs/>
                      <w:szCs w:val="24"/>
                      <w:lang w:eastAsia="ar-SA"/>
                    </w:rPr>
                    <w:t xml:space="preserve"> – Savivaldybės biudžetas neteks dalies pajamų.</w:t>
                  </w:r>
                </w:p>
                <w:p w14:paraId="1AE3EE22" w14:textId="1D42CD6F">
                  <w:pPr>
                    <w:suppressAutoHyphens/>
                    <w:ind w:firstLine="720"/>
                    <w:jc w:val="both"/>
                    <w:rPr>
                      <w:bCs/>
                      <w:szCs w:val="24"/>
                      <w:lang w:eastAsia="ar-SA"/>
                    </w:rPr>
                  </w:pPr>
                  <w:r>
                    <w:rPr>
                      <w:bCs/>
                      <w:szCs w:val="24"/>
                      <w:lang w:eastAsia="ar-SA"/>
                    </w:rPr>
                    <w:t>Priėmus neigiamą sprendimą – Įmonė, nesudariusi (nepratęsusi) valstybinės žemės nuomos sutarties, už naudojamą valstybinės žemės sklypą turės mokėti padidintu tarifu. Nesuteikus mokesčių lengvatos galimi teisiniai ginčai.</w:t>
                  </w:r>
                </w:p>
                <w:p w14:paraId="1AE3EE23" w14:textId="77777777">
                  <w:pPr>
                    <w:suppressAutoHyphens/>
                    <w:ind w:firstLine="720"/>
                    <w:jc w:val="both"/>
                    <w:rPr>
                      <w:b/>
                      <w:szCs w:val="24"/>
                      <w:shd w:val="clear" w:color="auto" w:fill="FFFFFF"/>
                      <w:lang w:eastAsia="ar-SA"/>
                    </w:rPr>
                  </w:pPr>
                </w:p>
              </w:sdtContent>
            </w:sdt>
            <w:sdt>
              <w:sdtPr>
                <w:alias w:val="poskyris"/>
                <w:tag w:val="part_784e79c89c104cffa6f2ca66ac6244b4"/>
                <w:lock w:val="sdtLocked"/>
                <w:richText/>
              </w:sdtPr>
              <w:sdtContent>
                <w:p w14:paraId="1AE3EE24" w14:textId="77777777">
                  <w:pPr>
                    <w:suppressAutoHyphens/>
                    <w:ind w:firstLine="720"/>
                    <w:jc w:val="both"/>
                    <w:rPr>
                      <w:b/>
                      <w:szCs w:val="24"/>
                      <w:lang w:eastAsia="ar-SA"/>
                    </w:rPr>
                  </w:pPr>
                  <w:sdt>
                    <w:sdtPr>
                      <w:alias w:val="Pavadinimas"/>
                      <w:tag w:val="title_784e79c89c104cffa6f2ca66ac6244b4"/>
                      <w:lock w:val="sdtLocked"/>
                      <w:richText/>
                    </w:sdtPr>
                    <w:sdtContent>
                      <w:r>
                        <w:rPr>
                          <w:b/>
                          <w:szCs w:val="24"/>
                          <w:shd w:val="clear" w:color="auto" w:fill="FFFFFF"/>
                          <w:lang w:eastAsia="ar-SA"/>
                        </w:rPr>
                        <w:t>Priėmus sprendimą, keičiami ar pripažįstami negaliojančiais teisės aktai</w:t>
                      </w:r>
                      <w:r>
                        <w:rPr>
                          <w:b/>
                          <w:szCs w:val="24"/>
                          <w:lang w:eastAsia="ar-SA"/>
                        </w:rPr>
                        <w:t>.</w:t>
                      </w:r>
                    </w:sdtContent>
                  </w:sdt>
                </w:p>
                <w:p w14:paraId="1AE3EE25" w14:textId="77777777">
                  <w:pPr>
                    <w:suppressAutoHyphens/>
                    <w:ind w:firstLine="720"/>
                    <w:jc w:val="both"/>
                    <w:rPr>
                      <w:bCs/>
                      <w:szCs w:val="24"/>
                      <w:lang w:eastAsia="ar-SA"/>
                    </w:rPr>
                  </w:pPr>
                  <w:r>
                    <w:rPr>
                      <w:bCs/>
                      <w:szCs w:val="24"/>
                      <w:lang w:eastAsia="lt-LT"/>
                    </w:rPr>
                    <w:t>Priėmus šį sprendimą kiti Šiaulių miesto savivaldybės sprendimai nebus keičiami.</w:t>
                  </w:r>
                </w:p>
                <w:p w14:paraId="1AE3EE26" w14:textId="77777777">
                  <w:pPr>
                    <w:suppressAutoHyphens/>
                    <w:rPr>
                      <w:b/>
                      <w:szCs w:val="24"/>
                      <w:lang w:eastAsia="ar-SA"/>
                    </w:rPr>
                  </w:pPr>
                </w:p>
              </w:sdtContent>
            </w:sdt>
            <w:sdt>
              <w:sdtPr>
                <w:alias w:val="poskyris"/>
                <w:tag w:val="part_198f349ecf5c4262913685503a268056"/>
                <w:lock w:val="sdtLocked"/>
                <w:richText/>
              </w:sdtPr>
              <w:sdtContent>
                <w:p w14:paraId="1AE3EE27" w14:textId="77777777">
                  <w:pPr>
                    <w:suppressAutoHyphens/>
                    <w:ind w:firstLine="720"/>
                    <w:jc w:val="both"/>
                    <w:rPr>
                      <w:b/>
                      <w:szCs w:val="24"/>
                      <w:lang w:eastAsia="ar-SA"/>
                    </w:rPr>
                  </w:pPr>
                  <w:sdt>
                    <w:sdtPr>
                      <w:alias w:val="Pavadinimas"/>
                      <w:tag w:val="title_198f349ecf5c4262913685503a268056"/>
                      <w:lock w:val="sdtLocked"/>
                      <w:richText/>
                    </w:sdtPr>
                    <w:sdtContent>
                      <w:r>
                        <w:rPr>
                          <w:b/>
                          <w:szCs w:val="24"/>
                          <w:lang w:eastAsia="ar-SA"/>
                        </w:rPr>
                        <w:t>Sprendimui įgyvendinti reikalingi priimti papildomi teisės aktai.</w:t>
                      </w:r>
                    </w:sdtContent>
                  </w:sdt>
                </w:p>
                <w:p w14:paraId="1AE3EE28" w14:textId="77777777">
                  <w:pPr>
                    <w:suppressAutoHyphens/>
                    <w:ind w:firstLine="720"/>
                    <w:jc w:val="both"/>
                    <w:rPr>
                      <w:szCs w:val="24"/>
                      <w:lang w:eastAsia="ar-SA"/>
                    </w:rPr>
                  </w:pPr>
                  <w:r>
                    <w:rPr>
                      <w:szCs w:val="24"/>
                      <w:lang w:eastAsia="ar-SA"/>
                    </w:rPr>
                    <w:t>Papildomų teisės aktų sprendimo įgyvendinimui priimti nereikia.</w:t>
                  </w:r>
                </w:p>
                <w:p w14:paraId="1AE3EE29" w14:textId="77777777">
                  <w:pPr>
                    <w:suppressAutoHyphens/>
                    <w:rPr>
                      <w:b/>
                      <w:szCs w:val="24"/>
                      <w:lang w:eastAsia="ar-SA"/>
                    </w:rPr>
                  </w:pPr>
                </w:p>
                <w:p w14:paraId="1AE3EE2A" w14:textId="77777777">
                  <w:pPr>
                    <w:suppressAutoHyphens/>
                    <w:ind w:firstLine="720"/>
                    <w:jc w:val="both"/>
                    <w:rPr>
                      <w:szCs w:val="24"/>
                      <w:shd w:val="clear" w:color="auto" w:fill="FFFFFF"/>
                      <w:lang w:eastAsia="ar-SA"/>
                    </w:rPr>
                  </w:pPr>
                  <w:r>
                    <w:rPr>
                      <w:b/>
                      <w:szCs w:val="24"/>
                      <w:shd w:val="clear" w:color="auto" w:fill="FFFFFF"/>
                      <w:lang w:eastAsia="ar-SA"/>
                    </w:rPr>
                    <w:t>Sprendimui įgyvendinti reikalingos lėšos</w:t>
                  </w:r>
                  <w:r>
                    <w:rPr>
                      <w:i/>
                      <w:szCs w:val="24"/>
                      <w:shd w:val="clear" w:color="auto" w:fill="FFFFFF"/>
                      <w:lang w:eastAsia="ar-SA"/>
                    </w:rPr>
                    <w:t xml:space="preserve"> (nurodoma, kiek biudžeto lėšų pareikalaus ar leis sutaupyti sprendimo įgyvendinimas)</w:t>
                  </w:r>
                  <w:r>
                    <w:rPr>
                      <w:szCs w:val="24"/>
                      <w:shd w:val="clear" w:color="auto" w:fill="FFFFFF"/>
                      <w:lang w:eastAsia="ar-SA"/>
                    </w:rPr>
                    <w:t xml:space="preserve">. </w:t>
                  </w:r>
                </w:p>
                <w:p w14:paraId="1AE3EE2B" w14:textId="6B306C02">
                  <w:pPr>
                    <w:suppressAutoHyphens/>
                    <w:ind w:firstLine="720"/>
                    <w:jc w:val="both"/>
                    <w:rPr>
                      <w:bCs/>
                      <w:szCs w:val="24"/>
                      <w:lang w:eastAsia="ar-SA"/>
                    </w:rPr>
                  </w:pPr>
                  <w:r>
                    <w:rPr>
                      <w:bCs/>
                      <w:szCs w:val="24"/>
                      <w:lang w:eastAsia="ar-SA"/>
                    </w:rPr>
                    <w:t xml:space="preserve">Įmonei sumažinus valstybinės žemės nuomos mokestį, Savivaldybės biudžetas netektų </w:t>
                  </w:r>
                  <w:r>
                    <w:rPr>
                      <w:szCs w:val="24"/>
                      <w:lang w:val="en-GB" w:eastAsia="ar-SA"/>
                    </w:rPr>
                    <w:t xml:space="preserve">11424,00 </w:t>
                  </w:r>
                  <w:r>
                    <w:rPr>
                      <w:bCs/>
                      <w:szCs w:val="24"/>
                      <w:lang w:eastAsia="ar-SA"/>
                    </w:rPr>
                    <w:t xml:space="preserve">Eur.  </w:t>
                  </w:r>
                </w:p>
                <w:p w14:paraId="1AE3EE2C" w14:textId="77777777">
                  <w:pPr>
                    <w:widowControl w:val="0"/>
                    <w:suppressAutoHyphens/>
                    <w:ind w:firstLine="720"/>
                    <w:jc w:val="both"/>
                    <w:rPr>
                      <w:rFonts w:eastAsia="HG Mincho Light J"/>
                      <w:b/>
                      <w:color w:val="000000"/>
                      <w:szCs w:val="24"/>
                      <w:shd w:val="clear" w:color="auto" w:fill="FFFFFF"/>
                      <w:lang w:eastAsia="ar-SA"/>
                    </w:rPr>
                  </w:pPr>
                </w:p>
                <w:p w14:paraId="1AE3EE2D" w14:textId="77777777">
                  <w:pPr>
                    <w:widowControl w:val="0"/>
                    <w:suppressAutoHyphens/>
                    <w:ind w:firstLine="720"/>
                    <w:jc w:val="both"/>
                    <w:rPr>
                      <w:rFonts w:eastAsia="HG Mincho Light J"/>
                      <w:color w:val="000000"/>
                      <w:szCs w:val="24"/>
                      <w:shd w:val="clear" w:color="auto" w:fill="FFFFFF"/>
                      <w:lang w:eastAsia="ar-SA"/>
                    </w:rPr>
                  </w:pPr>
                  <w:r>
                    <w:rPr>
                      <w:rFonts w:eastAsia="HG Mincho Light J"/>
                      <w:b/>
                      <w:color w:val="000000"/>
                      <w:szCs w:val="24"/>
                      <w:shd w:val="clear" w:color="auto" w:fill="FFFFFF"/>
                      <w:lang w:eastAsia="ar-SA"/>
                    </w:rPr>
                    <w:t xml:space="preserve">Sprendimo projekto antikorupcinis vertinimas </w:t>
                  </w:r>
                  <w:r>
                    <w:rPr>
                      <w:rFonts w:eastAsia="HG Mincho Light J"/>
                      <w:i/>
                      <w:color w:val="000000"/>
                      <w:szCs w:val="24"/>
                      <w:shd w:val="clear" w:color="auto" w:fill="FFFFFF"/>
                      <w:lang w:eastAsia="ar-SA"/>
                    </w:rPr>
                    <w:t>(jei tokį vertinimą reikia atlikti, nurodoma, kad pridedama Antikorupcinio vertinimo pažyma)</w:t>
                  </w:r>
                  <w:r>
                    <w:rPr>
                      <w:rFonts w:eastAsia="HG Mincho Light J"/>
                      <w:color w:val="000000"/>
                      <w:szCs w:val="24"/>
                      <w:shd w:val="clear" w:color="auto" w:fill="FFFFFF"/>
                      <w:lang w:eastAsia="ar-SA"/>
                    </w:rPr>
                    <w:t>.</w:t>
                  </w:r>
                </w:p>
                <w:p w14:paraId="1AE3EE2E" w14:textId="77777777">
                  <w:pPr>
                    <w:ind w:firstLine="720"/>
                    <w:jc w:val="both"/>
                    <w:rPr>
                      <w:b/>
                      <w:szCs w:val="24"/>
                      <w:shd w:val="clear" w:color="auto" w:fill="FFFFFF"/>
                    </w:rPr>
                  </w:pPr>
                </w:p>
                <w:p w14:paraId="1AE3EE2F" w14:textId="4C0F85FE">
                  <w:pPr>
                    <w:ind w:firstLine="720"/>
                    <w:jc w:val="both"/>
                    <w:rPr>
                      <w:b/>
                      <w:szCs w:val="24"/>
                      <w:lang w:val="en-GB"/>
                    </w:rPr>
                  </w:pPr>
                  <w:r>
                    <w:rPr>
                      <w:b/>
                      <w:szCs w:val="24"/>
                      <w:shd w:val="clear" w:color="auto" w:fill="FFFFFF"/>
                    </w:rPr>
                    <w:t>Sprendimo projektą parengė</w:t>
                  </w:r>
                  <w:r>
                    <w:rPr>
                      <w:szCs w:val="24"/>
                      <w:shd w:val="clear" w:color="auto" w:fill="FFFFFF"/>
                    </w:rPr>
                    <w:t xml:space="preserve"> </w:t>
                  </w:r>
                  <w:r>
                    <w:rPr>
                      <w:szCs w:val="24"/>
                      <w:shd w:val="clear" w:color="auto" w:fill="FFFFFF"/>
                      <w:lang w:eastAsia="ar-SA"/>
                    </w:rPr>
                    <w:t xml:space="preserve">Šiaulių miesto savivaldybės administracijos Ekonomikos skyrius. Ekonomikos skyriaus vedėja – Aistė Petkuvienė. Tiesioginis rengėjas – vyr. specialistė, Brigita Mareckienė, tel. </w:t>
                  </w:r>
                  <w:r>
                    <w:rPr>
                      <w:szCs w:val="24"/>
                      <w:shd w:val="clear" w:color="auto" w:fill="FFFFFF"/>
                      <w:lang w:val="en-GB" w:eastAsia="ar-SA"/>
                    </w:rPr>
                    <w:t xml:space="preserve">+370 41 383437. </w:t>
                  </w:r>
                  <w:r>
                    <w:rPr>
                      <w:szCs w:val="24"/>
                      <w:shd w:val="clear" w:color="auto" w:fill="FFFFFF"/>
                      <w:lang w:val="en-GB"/>
                    </w:rPr>
                    <w:t xml:space="preserve">Projekto iniciatoriai: UAB </w:t>
                  </w:r>
                  <w:r>
                    <w:rPr>
                      <w:szCs w:val="24"/>
                      <w:lang w:val="en-GB" w:eastAsia="ar-SA"/>
                    </w:rPr>
                    <w:t xml:space="preserve">„Šiaulių apželdinimas“, </w:t>
                  </w:r>
                  <w:r>
                    <w:rPr>
                      <w:szCs w:val="24"/>
                      <w:shd w:val="clear" w:color="auto" w:fill="FFFFFF"/>
                      <w:lang w:val="en-GB"/>
                    </w:rPr>
                    <w:t>Ekonomikos skyrius.</w:t>
                  </w:r>
                </w:p>
                <w:p w14:paraId="1AE3EE30" w14:textId="77777777">
                  <w:pPr>
                    <w:suppressAutoHyphens/>
                    <w:ind w:firstLine="720"/>
                    <w:jc w:val="both"/>
                    <w:rPr>
                      <w:szCs w:val="24"/>
                      <w:lang w:eastAsia="ar-SA"/>
                    </w:rPr>
                  </w:pPr>
                </w:p>
                <w:p w14:paraId="1AE3EE31" w14:textId="77777777">
                  <w:pPr>
                    <w:tabs>
                      <w:tab w:val="left" w:pos="855"/>
                    </w:tabs>
                    <w:ind w:firstLine="855"/>
                    <w:jc w:val="both"/>
                    <w:rPr>
                      <w:szCs w:val="24"/>
                      <w:shd w:val="clear" w:color="auto" w:fill="FFFFFF"/>
                    </w:rPr>
                  </w:pPr>
                  <w:r>
                    <w:rPr>
                      <w:b/>
                      <w:szCs w:val="24"/>
                      <w:shd w:val="clear" w:color="auto" w:fill="FFFFFF"/>
                    </w:rPr>
                    <w:t>N</w:t>
                  </w:r>
                  <w:r>
                    <w:rPr>
                      <w:rFonts w:eastAsia="Calibri"/>
                      <w:b/>
                      <w:szCs w:val="24"/>
                    </w:rPr>
                    <w:t>umatomo teisinio reguliavimo poveikio vertinimo rezultatai</w:t>
                  </w:r>
                  <w:r>
                    <w:rPr>
                      <w:i/>
                      <w:szCs w:val="24"/>
                      <w:shd w:val="clear" w:color="auto" w:fill="FFFFFF"/>
                    </w:rPr>
                    <w:t>.</w:t>
                  </w:r>
                </w:p>
                <w:p w14:paraId="1AE3EE32" w14:textId="77777777">
                  <w:pPr>
                    <w:tabs>
                      <w:tab w:val="left" w:pos="855"/>
                    </w:tabs>
                    <w:ind w:firstLine="855"/>
                    <w:jc w:val="both"/>
                    <w:rPr>
                      <w:szCs w:val="24"/>
                      <w:shd w:val="clear" w:color="auto" w:fill="FFFFFF"/>
                    </w:rPr>
                  </w:pPr>
                  <w:r>
                    <w:rPr>
                      <w:szCs w:val="24"/>
                      <w:shd w:val="clear" w:color="auto" w:fill="FFFFFF"/>
                    </w:rPr>
                    <w:t>Neatlikta ir nenumatyta.</w:t>
                  </w:r>
                </w:p>
                <w:p w14:paraId="1AE3EE33" w14:textId="77777777">
                  <w:pPr>
                    <w:suppressAutoHyphens/>
                    <w:ind w:firstLine="720"/>
                    <w:jc w:val="both"/>
                    <w:rPr>
                      <w:szCs w:val="24"/>
                      <w:lang w:eastAsia="ar-SA"/>
                    </w:rPr>
                  </w:pPr>
                </w:p>
                <w:p w14:paraId="1AE3EE34" w14:textId="77777777">
                  <w:pPr>
                    <w:suppressAutoHyphens/>
                    <w:ind w:firstLine="720"/>
                    <w:jc w:val="both"/>
                    <w:rPr>
                      <w:szCs w:val="24"/>
                      <w:lang w:eastAsia="ar-SA"/>
                    </w:rPr>
                  </w:pPr>
                </w:p>
              </w:sdtContent>
            </w:sdt>
          </w:sdtContent>
        </w:sdt>
        <w:sdt>
          <w:sdtPr>
            <w:alias w:val="signatura"/>
            <w:tag w:val="part_8e1d780f0f8d4cd4a673eccb7fb537f0"/>
            <w:lock w:val="sdtLocked"/>
            <w:richText/>
          </w:sdtPr>
          <w:sdtContent>
            <w:p w14:paraId="1AE3EE35" w14:textId="77777777">
              <w:pPr>
                <w:suppressAutoHyphens/>
                <w:rPr>
                  <w:rFonts w:cs="Tahoma"/>
                  <w:szCs w:val="24"/>
                  <w:lang w:val="en-GB" w:eastAsia="ar-SA"/>
                </w:rPr>
              </w:pPr>
              <w:r>
                <w:rPr>
                  <w:rFonts w:eastAsia="Arial Unicode MS" w:cs="Tahoma"/>
                  <w:szCs w:val="24"/>
                  <w:lang w:val="en-GB" w:eastAsia="ar-SA"/>
                </w:rPr>
                <w:t>Skyriaus vedėja</w:t>
                <w:tab/>
                <w:tab/>
                <w:tab/>
                <w:t xml:space="preserve">        </w:t>
                <w:tab/>
                <w:tab/>
                <w:t xml:space="preserve">             </w:t>
                <w:tab/>
                <w:tab/>
                <w:t xml:space="preserve"> </w:t>
                <w:tab/>
                <w:t>Aistė Petkuvienė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021" w:left="153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5F386C" w14:textId="77777777">
      <w:pPr>
        <w:suppressAutoHyphens/>
        <w:rPr>
          <w:szCs w:val="24"/>
          <w:lang w:val="en-GB" w:eastAsia="ar-SA"/>
        </w:rPr>
      </w:pPr>
      <w:r>
        <w:rPr>
          <w:szCs w:val="24"/>
          <w:lang w:val="en-GB" w:eastAsia="ar-SA"/>
        </w:rPr>
        <w:separator/>
      </w:r>
    </w:p>
  </w:endnote>
  <w:endnote w:type="continuationSeparator" w:id="0">
    <w:p w14:paraId="0A21B4B6" w14:textId="77777777">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7E715" w14:textId="77777777">
    <w:pPr>
      <w:tabs>
        <w:tab w:val="center" w:pos="4819"/>
        <w:tab w:val="right" w:pos="9638"/>
      </w:tabs>
      <w:suppressAutoHyphens/>
      <w:rPr>
        <w:szCs w:val="24"/>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8BF8C3" w14:textId="77777777">
    <w:pPr>
      <w:tabs>
        <w:tab w:val="center" w:pos="4819"/>
        <w:tab w:val="right" w:pos="9638"/>
      </w:tabs>
      <w:suppressAutoHyphens/>
      <w:rPr>
        <w:szCs w:val="24"/>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A7E996" w14:textId="77777777">
    <w:pPr>
      <w:tabs>
        <w:tab w:val="center" w:pos="4819"/>
        <w:tab w:val="right" w:pos="9638"/>
      </w:tabs>
      <w:suppressAutoHyphens/>
      <w:rPr>
        <w:szCs w:val="24"/>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05F3A2" w14:textId="77777777">
      <w:pPr>
        <w:suppressAutoHyphens/>
        <w:rPr>
          <w:szCs w:val="24"/>
          <w:lang w:val="en-GB" w:eastAsia="ar-SA"/>
        </w:rPr>
      </w:pPr>
      <w:r>
        <w:rPr>
          <w:szCs w:val="24"/>
          <w:lang w:val="en-GB" w:eastAsia="ar-SA"/>
        </w:rPr>
        <w:separator/>
      </w:r>
    </w:p>
  </w:footnote>
  <w:footnote w:type="continuationSeparator" w:id="0">
    <w:p w14:paraId="6B230FB3" w14:textId="77777777">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D14C01" w14:textId="77777777">
    <w:pPr>
      <w:tabs>
        <w:tab w:val="center" w:pos="4819"/>
        <w:tab w:val="right" w:pos="9638"/>
      </w:tabs>
      <w:suppressAutoHyphens/>
      <w:rPr>
        <w:szCs w:val="24"/>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E3EE3A" w14:textId="77777777">
    <w:pPr>
      <w:tabs>
        <w:tab w:val="center" w:pos="4819"/>
        <w:tab w:val="right" w:pos="9638"/>
      </w:tabs>
      <w:suppressAutoHyphens/>
      <w:jc w:val="center"/>
      <w:rPr>
        <w:szCs w:val="24"/>
        <w:lang w:val="en-GB" w:eastAsia="ar-SA"/>
      </w:rPr>
    </w:pPr>
    <w:r>
      <w:rPr>
        <w:szCs w:val="24"/>
        <w:lang w:val="en-GB" w:eastAsia="ar-SA"/>
      </w:rPr>
      <w:fldChar w:fldCharType="begin"/>
    </w:r>
    <w:r>
      <w:rPr>
        <w:szCs w:val="24"/>
        <w:lang w:val="en-GB" w:eastAsia="ar-SA"/>
      </w:rPr>
      <w:instrText>PAGE   \* MERGEFORMAT</w:instrText>
    </w:r>
    <w:r>
      <w:rPr>
        <w:szCs w:val="24"/>
        <w:lang w:val="en-GB" w:eastAsia="ar-SA"/>
      </w:rPr>
      <w:fldChar w:fldCharType="separate"/>
    </w:r>
    <w:r>
      <w:rPr>
        <w:szCs w:val="24"/>
        <w:lang w:eastAsia="ar-SA"/>
      </w:rPr>
      <w:t>2</w:t>
    </w:r>
    <w:r>
      <w:rPr>
        <w:szCs w:val="24"/>
        <w:lang w:val="en-GB" w:eastAsia="ar-SA"/>
      </w:rPr>
      <w:fldChar w:fldCharType="end"/>
    </w:r>
  </w:p>
  <w:p w14:paraId="1AE3EE3B" w14:textId="77777777">
    <w:pPr>
      <w:tabs>
        <w:tab w:val="center" w:pos="4819"/>
        <w:tab w:val="right" w:pos="9638"/>
      </w:tabs>
      <w:suppressAutoHyphens/>
      <w:rPr>
        <w:szCs w:val="24"/>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E134E" w14:textId="77777777">
    <w:pPr>
      <w:tabs>
        <w:tab w:val="center" w:pos="4819"/>
        <w:tab w:val="right" w:pos="9638"/>
      </w:tabs>
      <w:suppressAutoHyphens/>
      <w:rPr>
        <w:szCs w:val="24"/>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8EC"/>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1AE3EDFB"/>
  <w15:docId w15:val="{D34C15C6-DBA9-4392-8721-8B1C8DC9863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0891298">
      <w:bodyDiv w:val="1"/>
      <w:marLeft w:val="0"/>
      <w:marRight w:val="0"/>
      <w:marTop w:val="0"/>
      <w:marBottom w:val="0"/>
      <w:divBdr>
        <w:top w:val="none" w:sz="0" w:space="0" w:color="auto"/>
        <w:left w:val="none" w:sz="0" w:space="0" w:color="auto"/>
        <w:bottom w:val="none" w:sz="0" w:space="0" w:color="auto"/>
        <w:right w:val="none" w:sz="0" w:space="0" w:color="auto"/>
      </w:divBdr>
      <w:divsChild>
        <w:div w:id="1200893088">
          <w:marLeft w:val="0"/>
          <w:marRight w:val="0"/>
          <w:marTop w:val="0"/>
          <w:marBottom w:val="0"/>
          <w:divBdr>
            <w:top w:val="none" w:sz="0" w:space="0" w:color="auto"/>
            <w:left w:val="none" w:sz="0" w:space="0" w:color="auto"/>
            <w:bottom w:val="none" w:sz="0" w:space="0" w:color="auto"/>
            <w:right w:val="none" w:sz="0" w:space="0" w:color="auto"/>
          </w:divBdr>
        </w:div>
      </w:divsChild>
    </w:div>
    <w:div w:id="540288859">
      <w:bodyDiv w:val="1"/>
      <w:marLeft w:val="0"/>
      <w:marRight w:val="0"/>
      <w:marTop w:val="0"/>
      <w:marBottom w:val="0"/>
      <w:divBdr>
        <w:top w:val="none" w:sz="0" w:space="0" w:color="auto"/>
        <w:left w:val="none" w:sz="0" w:space="0" w:color="auto"/>
        <w:bottom w:val="none" w:sz="0" w:space="0" w:color="auto"/>
        <w:right w:val="none" w:sz="0" w:space="0" w:color="auto"/>
      </w:divBdr>
      <w:divsChild>
        <w:div w:id="336621219">
          <w:marLeft w:val="0"/>
          <w:marRight w:val="0"/>
          <w:marTop w:val="0"/>
          <w:marBottom w:val="0"/>
          <w:divBdr>
            <w:top w:val="none" w:sz="0" w:space="0" w:color="auto"/>
            <w:left w:val="none" w:sz="0" w:space="0" w:color="auto"/>
            <w:bottom w:val="none" w:sz="0" w:space="0" w:color="auto"/>
            <w:right w:val="none" w:sz="0" w:space="0" w:color="auto"/>
          </w:divBdr>
        </w:div>
        <w:div w:id="310062344">
          <w:marLeft w:val="0"/>
          <w:marRight w:val="0"/>
          <w:marTop w:val="0"/>
          <w:marBottom w:val="0"/>
          <w:divBdr>
            <w:top w:val="none" w:sz="0" w:space="0" w:color="auto"/>
            <w:left w:val="none" w:sz="0" w:space="0" w:color="auto"/>
            <w:bottom w:val="none" w:sz="0" w:space="0" w:color="auto"/>
            <w:right w:val="none" w:sz="0" w:space="0" w:color="auto"/>
          </w:divBdr>
        </w:div>
      </w:divsChild>
    </w:div>
    <w:div w:id="651442637">
      <w:bodyDiv w:val="1"/>
      <w:marLeft w:val="0"/>
      <w:marRight w:val="0"/>
      <w:marTop w:val="0"/>
      <w:marBottom w:val="0"/>
      <w:divBdr>
        <w:top w:val="none" w:sz="0" w:space="0" w:color="auto"/>
        <w:left w:val="none" w:sz="0" w:space="0" w:color="auto"/>
        <w:bottom w:val="none" w:sz="0" w:space="0" w:color="auto"/>
        <w:right w:val="none" w:sz="0" w:space="0" w:color="auto"/>
      </w:divBdr>
    </w:div>
    <w:div w:id="1252010546">
      <w:bodyDiv w:val="1"/>
      <w:marLeft w:val="0"/>
      <w:marRight w:val="0"/>
      <w:marTop w:val="0"/>
      <w:marBottom w:val="0"/>
      <w:divBdr>
        <w:top w:val="none" w:sz="0" w:space="0" w:color="auto"/>
        <w:left w:val="none" w:sz="0" w:space="0" w:color="auto"/>
        <w:bottom w:val="none" w:sz="0" w:space="0" w:color="auto"/>
        <w:right w:val="none" w:sz="0" w:space="0" w:color="auto"/>
      </w:divBdr>
    </w:div>
    <w:div w:id="1301770154">
      <w:bodyDiv w:val="1"/>
      <w:marLeft w:val="0"/>
      <w:marRight w:val="0"/>
      <w:marTop w:val="0"/>
      <w:marBottom w:val="0"/>
      <w:divBdr>
        <w:top w:val="none" w:sz="0" w:space="0" w:color="auto"/>
        <w:left w:val="none" w:sz="0" w:space="0" w:color="auto"/>
        <w:bottom w:val="none" w:sz="0" w:space="0" w:color="auto"/>
        <w:right w:val="none" w:sz="0" w:space="0" w:color="auto"/>
      </w:divBdr>
    </w:div>
    <w:div w:id="1369796707">
      <w:bodyDiv w:val="1"/>
      <w:marLeft w:val="0"/>
      <w:marRight w:val="0"/>
      <w:marTop w:val="0"/>
      <w:marBottom w:val="0"/>
      <w:divBdr>
        <w:top w:val="none" w:sz="0" w:space="0" w:color="auto"/>
        <w:left w:val="none" w:sz="0" w:space="0" w:color="auto"/>
        <w:bottom w:val="none" w:sz="0" w:space="0" w:color="auto"/>
        <w:right w:val="none" w:sz="0" w:space="0" w:color="auto"/>
      </w:divBdr>
    </w:div>
    <w:div w:id="1424763864">
      <w:bodyDiv w:val="1"/>
      <w:marLeft w:val="0"/>
      <w:marRight w:val="0"/>
      <w:marTop w:val="0"/>
      <w:marBottom w:val="0"/>
      <w:divBdr>
        <w:top w:val="none" w:sz="0" w:space="0" w:color="auto"/>
        <w:left w:val="none" w:sz="0" w:space="0" w:color="auto"/>
        <w:bottom w:val="none" w:sz="0" w:space="0" w:color="auto"/>
        <w:right w:val="none" w:sz="0" w:space="0" w:color="auto"/>
      </w:divBdr>
      <w:divsChild>
        <w:div w:id="1291782219">
          <w:marLeft w:val="0"/>
          <w:marRight w:val="0"/>
          <w:marTop w:val="0"/>
          <w:marBottom w:val="0"/>
          <w:divBdr>
            <w:top w:val="none" w:sz="0" w:space="0" w:color="auto"/>
            <w:left w:val="none" w:sz="0" w:space="0" w:color="auto"/>
            <w:bottom w:val="none" w:sz="0" w:space="0" w:color="auto"/>
            <w:right w:val="none" w:sz="0" w:space="0" w:color="auto"/>
          </w:divBdr>
        </w:div>
        <w:div w:id="804735117">
          <w:marLeft w:val="0"/>
          <w:marRight w:val="0"/>
          <w:marTop w:val="0"/>
          <w:marBottom w:val="0"/>
          <w:divBdr>
            <w:top w:val="none" w:sz="0" w:space="0" w:color="auto"/>
            <w:left w:val="none" w:sz="0" w:space="0" w:color="auto"/>
            <w:bottom w:val="none" w:sz="0" w:space="0" w:color="auto"/>
            <w:right w:val="none" w:sz="0" w:space="0" w:color="auto"/>
          </w:divBdr>
        </w:div>
      </w:divsChild>
    </w:div>
    <w:div w:id="1639216377">
      <w:bodyDiv w:val="1"/>
      <w:marLeft w:val="0"/>
      <w:marRight w:val="0"/>
      <w:marTop w:val="0"/>
      <w:marBottom w:val="0"/>
      <w:divBdr>
        <w:top w:val="none" w:sz="0" w:space="0" w:color="auto"/>
        <w:left w:val="none" w:sz="0" w:space="0" w:color="auto"/>
        <w:bottom w:val="none" w:sz="0" w:space="0" w:color="auto"/>
        <w:right w:val="none" w:sz="0" w:space="0" w:color="auto"/>
      </w:divBdr>
    </w:div>
    <w:div w:id="1724714435">
      <w:bodyDiv w:val="1"/>
      <w:marLeft w:val="0"/>
      <w:marRight w:val="0"/>
      <w:marTop w:val="0"/>
      <w:marBottom w:val="0"/>
      <w:divBdr>
        <w:top w:val="none" w:sz="0" w:space="0" w:color="auto"/>
        <w:left w:val="none" w:sz="0" w:space="0" w:color="auto"/>
        <w:bottom w:val="none" w:sz="0" w:space="0" w:color="auto"/>
        <w:right w:val="none" w:sz="0" w:space="0" w:color="auto"/>
      </w:divBdr>
    </w:div>
    <w:div w:id="1905096506">
      <w:bodyDiv w:val="1"/>
      <w:marLeft w:val="0"/>
      <w:marRight w:val="0"/>
      <w:marTop w:val="0"/>
      <w:marBottom w:val="0"/>
      <w:divBdr>
        <w:top w:val="none" w:sz="0" w:space="0" w:color="auto"/>
        <w:left w:val="none" w:sz="0" w:space="0" w:color="auto"/>
        <w:bottom w:val="none" w:sz="0" w:space="0" w:color="auto"/>
        <w:right w:val="none" w:sz="0" w:space="0" w:color="auto"/>
      </w:divBdr>
    </w:div>
    <w:div w:id="2048675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b4df6c75f3f4b209e4f95b143d561d9" PartId="0fc2df5cd095490282ae5dfcf2434857">
    <Part Type="skyrius" Nr="999" Title="SPRENDIMO „DĖL UAB „ŠIAULIŲ APŽELDINIMAS“ 2025 METŲ VALSTYBINĖS ŽEMĖS NUOMOS MOKESČIO SUMAŽINIMO / NESUMAŽINIMO“ PROJEKTO AIŠKINAMASIS RAŠTAS" DocPartId="fdbff85f1a8149aa9a1bea921487d04e" PartId="a71af7da81db4b1c97c8fba69e02dd82">
      <Part Type="poskyris" Title="Parengto sprendimo projekto tikslai ir uždaviniai." DocPartId="0a48385845a14834a21876699c7456c3" PartId="49934ab7f6d64c51a5ed87f1b2caa720"/>
      <Part Type="poskyris" Title="Dabartinis sprendimo projekte aptariamų klausimų reguliavimas." DocPartId="d35e942d67344c6885cb8adbf183e521" PartId="7b28ccf7e2cf4a5ea64b1f93e3b03f19"/>
      <Part Type="poskyris" Title="Sprendimo projekte numatytos naujos teisinio reglamentavimo nuostatos." DocPartId="72212a4917e847a98a144bc58ab3bafc" PartId="a5fd7202a8c74541b6250d86ed9bc6c0"/>
      <Part Type="poskyris" Title="Priėmus sprendimą, keičiami ar pripažįstami negaliojančiais teisės aktai." DocPartId="457f893d8f314e3da0896592e1e0ea5e" PartId="784e79c89c104cffa6f2ca66ac6244b4"/>
      <Part Type="poskyris" Title="Sprendimui įgyvendinti reikalingi priimti papildomi teisės aktai." DocPartId="dd72e142cf3b4441bf3fd612513b7934" PartId="198f349ecf5c4262913685503a268056"/>
    </Part>
    <Part Type="signatura" DocPartId="ef4977ba49224e66ad07b9f7f05c3041" PartId="8e1d780f0f8d4cd4a673eccb7fb537f0"/>
  </Part>
</Parts>
</file>

<file path=customXml/itemProps1.xml><?xml version="1.0" encoding="utf-8"?>
<ds:datastoreItem xmlns:ds="http://schemas.openxmlformats.org/officeDocument/2006/customXml" ds:itemID="{45CD0F71-24E9-4A84-BEC0-9E0889B9CAAF}">
  <ds:schemaRefs>
    <ds:schemaRef ds:uri="http://schemas.openxmlformats.org/officeDocument/2006/bibliography"/>
  </ds:schemaRefs>
</ds:datastoreItem>
</file>

<file path=customXml/itemProps2.xml><?xml version="1.0" encoding="utf-8"?>
<ds:datastoreItem xmlns:ds="http://schemas.openxmlformats.org/officeDocument/2006/customXml" ds:itemID="{6E756B16-1D40-4B66-9EF8-D30BD5659BA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991</Words>
  <Characters>6764</Characters>
  <Application>Microsoft Office Word</Application>
  <DocSecurity>4</DocSecurity>
  <Lines>125</Lines>
  <Paragraphs>53</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7702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2025-10-15T06:35:00Z</dcterms:created>
  <dc:creator>b.bendziuviene</dc:creator>
  <lastModifiedBy>adlibuser</lastModifiedBy>
  <lastPrinted>2017-12-18T10:05:00Z</lastPrinted>
  <dcterms:modified xsi:type="dcterms:W3CDTF">2025-10-15T06:35:00Z</dcterms:modified>
  <revision>2</revision>
  <dc:title>Projektas</dc:title>
</coreProperties>
</file>