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9e21504840874663bb58dc6cbb50fe7e"/>
        <w:lock w:val="sdtLocked"/>
        <w:richText/>
      </w:sdtPr>
      <w:sdtContent>
        <w:p>
          <w:pPr>
            <w:tabs>
              <w:tab w:val="center" w:pos="4153"/>
              <w:tab w:val="right" w:pos="8306"/>
            </w:tabs>
            <w:rPr>
              <w:lang w:eastAsia="lt-LT"/>
            </w:rPr>
          </w:pPr>
        </w:p>
        <w:p>
          <w:pPr>
            <w:jc w:val="center"/>
            <w:rPr>
              <w:b/>
              <w:color w:val="000000"/>
              <w:szCs w:val="24"/>
              <w:lang w:eastAsia="lt-LT"/>
            </w:rPr>
          </w:pPr>
          <w:r>
            <w:rPr>
              <w:b/>
              <w:color w:val="000000"/>
              <w:szCs w:val="24"/>
              <w:lang w:eastAsia="lt-LT"/>
            </w:rPr>
            <w:t>NUMATOMO TEISINIO REGULIAVIMO POVEIKIO VERTINIMO PAŽYMA</w:t>
          </w:r>
        </w:p>
        <w:p>
          <w:pPr>
            <w:jc w:val="center"/>
            <w:rPr>
              <w:b/>
              <w:color w:val="0000FF"/>
              <w:lang w:eastAsia="lt-LT"/>
            </w:rPr>
          </w:pPr>
        </w:p>
        <w:tbl>
          <w:tblPr>
            <w:tblW w:w="0" w:type="auto"/>
            <w:tblLook w:val="00A0" w:firstRow="1" w:lastRow="0" w:firstColumn="1" w:lastColumn="0" w:noHBand="0" w:noVBand="0"/>
          </w:tblPr>
          <w:tblGrid>
            <w:gridCol w:w="2181"/>
            <w:gridCol w:w="6890"/>
          </w:tblGrid>
          <w:tr>
            <w:tc>
              <w:tcPr>
                <w:tcW w:w="2181" w:type="dxa"/>
                <w:shd w:val="clear" w:color="auto" w:fill="DBE5F1"/>
                <w:hideMark/>
              </w:tcPr>
              <w:p>
                <w:pPr>
                  <w:rPr>
                    <w:szCs w:val="24"/>
                    <w:shd w:val="clear" w:color="auto" w:fill="DBE5F1"/>
                    <w:lang w:eastAsia="lt-LT"/>
                  </w:rPr>
                </w:pPr>
                <w:r>
                  <w:rPr>
                    <w:b/>
                    <w:szCs w:val="24"/>
                    <w:shd w:val="clear" w:color="auto" w:fill="DBE5F1"/>
                    <w:lang w:eastAsia="lt-LT"/>
                  </w:rPr>
                  <w:t>Projekto pavadinimas</w:t>
                </w:r>
              </w:p>
            </w:tc>
            <w:tc>
              <w:tcPr>
                <w:tcW w:w="6890" w:type="dxa"/>
                <w:shd w:val="clear" w:color="auto" w:fill="D9E2F3"/>
              </w:tcPr>
              <w:p>
                <w:pPr>
                  <w:jc w:val="both"/>
                  <w:rPr>
                    <w:lang w:eastAsia="lt-LT"/>
                  </w:rPr>
                </w:pPr>
                <w:r>
                  <w:rPr>
                    <w:bCs/>
                    <w:lang w:eastAsia="lt-LT"/>
                  </w:rPr>
                  <w:t>Lietuvos Respublikos aplinkos ministro įsakymo „</w:t>
                </w:r>
                <w:r>
                  <w:rPr>
                    <w:bCs/>
                    <w:color w:val="000000"/>
                    <w:lang w:eastAsia="lt-LT"/>
                  </w:rPr>
                  <w:t>Dėl Lietuvos Respublikos aplinkos ministro 2011 m. sausio 3 d. įsakymo Nr. D1-2 „Dėl Gaminant ir naudojant biodegalus, skystuosius bioproduktus ir lyginamąjį iškastinį kurą išmetamų šiltnamio efektą sukeliančių dujų poveikio apskaičiavimo taisyklių patvirtinimo“ pakeitimo projektas</w:t>
                </w:r>
              </w:p>
            </w:tc>
          </w:tr>
        </w:tbl>
        <w:p>
          <w:pPr>
            <w:rPr>
              <w:sz w:val="22"/>
              <w:szCs w:val="22"/>
              <w:lang w:eastAsia="lt-LT"/>
            </w:rPr>
          </w:pPr>
        </w:p>
        <w:tbl>
          <w:tblPr>
            <w:tblW w:w="0" w:type="auto"/>
            <w:tblLook w:val="00A0" w:firstRow="1" w:lastRow="0" w:firstColumn="1" w:lastColumn="0" w:noHBand="0" w:noVBand="0"/>
          </w:tblPr>
          <w:tblGrid>
            <w:gridCol w:w="2190"/>
            <w:gridCol w:w="7097"/>
          </w:tblGrid>
          <w:tr>
            <w:tc>
              <w:tcPr>
                <w:tcW w:w="2235" w:type="dxa"/>
                <w:shd w:val="clear" w:color="auto" w:fill="DBE5F1"/>
                <w:hideMark/>
              </w:tcPr>
              <w:p>
                <w:pPr>
                  <w:rPr>
                    <w:szCs w:val="24"/>
                    <w:lang w:eastAsia="lt-LT"/>
                  </w:rPr>
                </w:pPr>
                <w:r>
                  <w:rPr>
                    <w:b/>
                    <w:szCs w:val="24"/>
                    <w:shd w:val="clear" w:color="auto" w:fill="DBE5F1"/>
                    <w:lang w:eastAsia="lt-LT"/>
                  </w:rPr>
                  <w:t>Projekto rengėjas</w:t>
                </w:r>
              </w:p>
            </w:tc>
            <w:tc>
              <w:tcPr>
                <w:tcW w:w="7337" w:type="dxa"/>
                <w:shd w:val="clear" w:color="auto" w:fill="DBE5F1"/>
                <w:hideMark/>
              </w:tcPr>
              <w:p>
                <w:pPr>
                  <w:jc w:val="both"/>
                  <w:rPr>
                    <w:b/>
                    <w:szCs w:val="24"/>
                    <w:lang w:eastAsia="lt-LT"/>
                  </w:rPr>
                </w:pPr>
                <w:r>
                  <w:rPr>
                    <w:szCs w:val="24"/>
                    <w:lang w:eastAsia="lt-LT"/>
                  </w:rPr>
                  <w:t>Lietuvos Respublikos aplinkos ministerija.</w:t>
                </w:r>
              </w:p>
            </w:tc>
          </w:tr>
        </w:tbl>
        <w:p>
          <w:pPr>
            <w:rPr>
              <w:sz w:val="22"/>
              <w:szCs w:val="22"/>
              <w:lang w:eastAsia="lt-LT"/>
            </w:rPr>
          </w:pPr>
        </w:p>
        <w:tbl>
          <w:tblPr>
            <w:tblW w:w="0" w:type="auto"/>
            <w:tblLook w:val="00A0" w:firstRow="1" w:lastRow="0" w:firstColumn="1" w:lastColumn="0" w:noHBand="0" w:noVBand="0"/>
          </w:tblPr>
          <w:tblGrid>
            <w:gridCol w:w="2186"/>
            <w:gridCol w:w="7101"/>
          </w:tblGrid>
          <w:tr>
            <w:tc>
              <w:tcPr>
                <w:tcW w:w="2235" w:type="dxa"/>
                <w:shd w:val="clear" w:color="auto" w:fill="DBE5F1"/>
                <w:hideMark/>
              </w:tcPr>
              <w:p>
                <w:pPr>
                  <w:rPr>
                    <w:b/>
                    <w:szCs w:val="24"/>
                    <w:lang w:eastAsia="lt-LT"/>
                  </w:rPr>
                </w:pPr>
                <w:r>
                  <w:rPr>
                    <w:b/>
                    <w:szCs w:val="24"/>
                    <w:lang w:eastAsia="lt-LT"/>
                  </w:rPr>
                  <w:t>Projekto tikslas</w:t>
                </w:r>
              </w:p>
            </w:tc>
            <w:tc>
              <w:tcPr>
                <w:tcW w:w="7337" w:type="dxa"/>
                <w:shd w:val="clear" w:color="auto" w:fill="DBE5F1"/>
                <w:hideMark/>
              </w:tcPr>
              <w:p>
                <w:pPr>
                  <w:rPr>
                    <w:sz w:val="10"/>
                    <w:szCs w:val="10"/>
                  </w:rPr>
                </w:pPr>
              </w:p>
              <w:p>
                <w:pPr>
                  <w:jc w:val="both"/>
                  <w:rPr>
                    <w:bCs/>
                    <w:szCs w:val="24"/>
                    <w:lang w:eastAsia="lt-LT"/>
                  </w:rPr>
                </w:pPr>
                <w:r>
                  <w:rPr>
                    <w:bCs/>
                    <w:szCs w:val="24"/>
                    <w:lang w:eastAsia="lt-LT"/>
                  </w:rPr>
                  <w:t>Įgyvendinti 2018 m. gruodžio 11 d. Europos Parlamento ir Tarybos direktyvos (ES) 2018/2001 dėl skatinimo naudoti atsinaujinančiųjų išteklių energiją nuostatas, susijusias biodegalų, skystųjų bioproduktų, biomasės kuro ir lyginamojo iškastinio kuro gamybos ir naudojamo metų išmetamo šiltnamio efektą sukeliančių dujų kiekio apskaičiavimo reikalavimais (Direktyos 31 str., V ir VI priedai</w:t>
                </w:r>
              </w:p>
            </w:tc>
          </w:tr>
        </w:tbl>
        <w:p>
          <w:pPr>
            <w:rPr>
              <w:sz w:val="22"/>
              <w:szCs w:val="22"/>
              <w:lang w:eastAsia="lt-LT"/>
            </w:rPr>
          </w:pPr>
        </w:p>
        <w:tbl>
          <w:tblPr>
            <w:tblW w:w="0" w:type="auto"/>
            <w:tblLook w:val="00A0" w:firstRow="1" w:lastRow="0" w:firstColumn="1" w:lastColumn="0" w:noHBand="0" w:noVBand="0"/>
          </w:tblPr>
          <w:tblGrid>
            <w:gridCol w:w="2164"/>
            <w:gridCol w:w="7123"/>
          </w:tblGrid>
          <w:tr>
            <w:trPr>
              <w:trHeight w:val="415"/>
            </w:trPr>
            <w:tc>
              <w:tcPr>
                <w:tcW w:w="2164" w:type="dxa"/>
                <w:shd w:val="clear" w:color="auto" w:fill="DBE5F1"/>
              </w:tcPr>
              <w:p>
                <w:pPr>
                  <w:rPr>
                    <w:szCs w:val="22"/>
                    <w:lang w:eastAsia="lt-LT"/>
                  </w:rPr>
                </w:pPr>
              </w:p>
            </w:tc>
            <w:tc>
              <w:tcPr>
                <w:tcW w:w="7123" w:type="dxa"/>
                <w:shd w:val="clear" w:color="auto" w:fill="DBE5F1"/>
                <w:hideMark/>
              </w:tcPr>
              <w:p>
                <w:pPr>
                  <w:jc w:val="center"/>
                  <w:rPr>
                    <w:b/>
                    <w:szCs w:val="22"/>
                    <w:lang w:eastAsia="lt-LT"/>
                  </w:rPr>
                </w:pPr>
                <w:r>
                  <w:rPr>
                    <w:b/>
                    <w:sz w:val="22"/>
                    <w:szCs w:val="22"/>
                    <w:lang w:eastAsia="lt-LT"/>
                  </w:rPr>
                  <w:t xml:space="preserve">Siūlomo projekto poveikio įvertinimas </w:t>
                </w:r>
              </w:p>
              <w:p>
                <w:pPr>
                  <w:jc w:val="center"/>
                  <w:rPr>
                    <w:b/>
                    <w:szCs w:val="22"/>
                    <w:lang w:eastAsia="lt-LT"/>
                  </w:rPr>
                </w:pPr>
                <w:r>
                  <w:rPr>
                    <w:b/>
                    <w:sz w:val="22"/>
                    <w:szCs w:val="22"/>
                    <w:lang w:eastAsia="lt-LT"/>
                  </w:rPr>
                  <w:t>(</w:t>
                </w:r>
                <w:r>
                  <w:rPr>
                    <w:b/>
                    <w:bCs/>
                    <w:sz w:val="22"/>
                    <w:szCs w:val="22"/>
                    <w:lang w:eastAsia="lt-LT"/>
                  </w:rPr>
                  <w:t>teigiamos ir (ar) neigiamos pasekmės)</w:t>
                </w:r>
              </w:p>
            </w:tc>
          </w:tr>
        </w:tbl>
        <w:p>
          <w:pPr>
            <w:rPr>
              <w:lang w:eastAsia="lt-LT"/>
            </w:rPr>
          </w:pPr>
        </w:p>
        <w:tbl>
          <w:tblPr>
            <w:tblW w:w="0" w:type="auto"/>
            <w:tblLook w:val="00A0" w:firstRow="1" w:lastRow="0" w:firstColumn="1" w:lastColumn="0" w:noHBand="0" w:noVBand="0"/>
          </w:tblPr>
          <w:tblGrid>
            <w:gridCol w:w="2235"/>
            <w:gridCol w:w="6945"/>
          </w:tblGrid>
          <w:tr>
            <w:tc>
              <w:tcPr>
                <w:tcW w:w="2235" w:type="dxa"/>
                <w:shd w:val="clear" w:color="auto" w:fill="DBE5F1"/>
              </w:tcPr>
              <w:p>
                <w:pPr>
                  <w:rPr>
                    <w:b/>
                    <w:szCs w:val="22"/>
                    <w:lang w:eastAsia="lt-LT"/>
                  </w:rPr>
                </w:pPr>
                <w:r>
                  <w:rPr>
                    <w:b/>
                    <w:sz w:val="22"/>
                    <w:szCs w:val="22"/>
                    <w:lang w:eastAsia="lt-LT"/>
                  </w:rPr>
                  <w:t>Poveikis aplinkai ir klimato kaitai</w:t>
                </w:r>
              </w:p>
            </w:tc>
            <w:tc>
              <w:tcPr>
                <w:tcW w:w="6945" w:type="dxa"/>
              </w:tcPr>
              <w:p>
                <w:pPr>
                  <w:jc w:val="both"/>
                  <w:rPr>
                    <w:sz w:val="22"/>
                    <w:szCs w:val="22"/>
                    <w:lang w:eastAsia="lt-LT"/>
                  </w:rPr>
                </w:pPr>
                <w:r>
                  <w:rPr>
                    <w:sz w:val="22"/>
                    <w:szCs w:val="22"/>
                    <w:lang w:eastAsia="lt-LT"/>
                  </w:rPr>
                  <w:t>Teigiamas poveikis klimato kaitai. Atsižvelgiant į Lietuvos Respublikos atsinaujinančių išteklių energetikos įstatymo 38 str. 2 dalį bus tiksliau apskaičiuojamas išmetamųjų šiltnamio efektą sukeliančių dujų, susidarančių dėl biodegalų, skystųjų bioproduktų, biomasės kuro naudojimo, kiekis, palyginti su išmetamųjų dujų, susidarančių dėl iškastinio kuro naudojimo, kiekiu, vertinant:</w:t>
                </w:r>
              </w:p>
              <w:p>
                <w:pPr>
                  <w:ind w:firstLine="33"/>
                  <w:jc w:val="both"/>
                  <w:rPr>
                    <w:sz w:val="22"/>
                    <w:szCs w:val="22"/>
                    <w:lang w:eastAsia="lt-LT"/>
                  </w:rPr>
                </w:pPr>
                <w:r>
                  <w:rPr>
                    <w:sz w:val="22"/>
                    <w:szCs w:val="22"/>
                    <w:lang w:eastAsia="lt-LT"/>
                  </w:rPr>
                  <w:t>1. Lietuvos Respublikos atsinaujinančių išteklių energetikos įstatymo 55 straipsnyje nurodytus nacionalinius planinius rodiklius;</w:t>
                </w:r>
              </w:p>
              <w:p>
                <w:pPr>
                  <w:ind w:firstLine="33"/>
                  <w:jc w:val="both"/>
                  <w:rPr>
                    <w:sz w:val="22"/>
                    <w:szCs w:val="22"/>
                    <w:lang w:eastAsia="lt-LT"/>
                  </w:rPr>
                </w:pPr>
                <w:r>
                  <w:rPr>
                    <w:sz w:val="22"/>
                    <w:szCs w:val="22"/>
                    <w:lang w:eastAsia="lt-LT"/>
                  </w:rPr>
                  <w:t>2. energijos gamintojų atitiktį įpareigojimams naudoti atsinaujinančių išteklių energiją;</w:t>
                </w:r>
              </w:p>
              <w:p>
                <w:pPr>
                  <w:ind w:firstLine="33"/>
                  <w:jc w:val="both"/>
                  <w:rPr>
                    <w:sz w:val="22"/>
                    <w:szCs w:val="22"/>
                    <w:lang w:eastAsia="lt-LT"/>
                  </w:rPr>
                </w:pPr>
                <w:r>
                  <w:rPr>
                    <w:sz w:val="22"/>
                    <w:szCs w:val="22"/>
                    <w:lang w:eastAsia="lt-LT"/>
                  </w:rPr>
                  <w:t>3. teikiant finansinę paramą už biodegalų ir skystųjų bioproduktų naudojimą.</w:t>
                </w:r>
              </w:p>
            </w:tc>
          </w:tr>
        </w:tbl>
        <w:p>
          <w:pPr>
            <w:rPr>
              <w:lang w:eastAsia="lt-LT"/>
            </w:rPr>
          </w:pPr>
        </w:p>
        <w:tbl>
          <w:tblPr>
            <w:tblW w:w="9322" w:type="dxa"/>
            <w:tblLook w:val="00A0" w:firstRow="1" w:lastRow="0" w:firstColumn="1" w:lastColumn="0" w:noHBand="0" w:noVBand="0"/>
          </w:tblPr>
          <w:tblGrid>
            <w:gridCol w:w="2235"/>
            <w:gridCol w:w="7087"/>
          </w:tblGrid>
          <w:tr>
            <w:tc>
              <w:tcPr>
                <w:tcW w:w="2235" w:type="dxa"/>
                <w:shd w:val="clear" w:color="auto" w:fill="DBE5F1"/>
                <w:hideMark/>
              </w:tcPr>
              <w:p>
                <w:pPr>
                  <w:rPr>
                    <w:b/>
                    <w:szCs w:val="22"/>
                    <w:lang w:eastAsia="lt-LT"/>
                  </w:rPr>
                </w:pPr>
                <w:r>
                  <w:rPr>
                    <w:b/>
                    <w:sz w:val="22"/>
                    <w:szCs w:val="22"/>
                    <w:lang w:eastAsia="lt-LT"/>
                  </w:rPr>
                  <w:t xml:space="preserve">Poveikis </w:t>
                </w:r>
              </w:p>
              <w:p>
                <w:pPr>
                  <w:rPr>
                    <w:b/>
                    <w:szCs w:val="22"/>
                    <w:lang w:eastAsia="lt-LT"/>
                  </w:rPr>
                </w:pPr>
                <w:r>
                  <w:rPr>
                    <w:b/>
                    <w:sz w:val="22"/>
                    <w:szCs w:val="22"/>
                    <w:lang w:eastAsia="lt-LT"/>
                  </w:rPr>
                  <w:t>valstybės finansams</w:t>
                </w:r>
              </w:p>
            </w:tc>
            <w:tc>
              <w:tcPr>
                <w:tcW w:w="7087" w:type="dxa"/>
                <w:hideMark/>
              </w:tcPr>
              <w:p>
                <w:pPr>
                  <w:jc w:val="both"/>
                  <w:rPr>
                    <w:sz w:val="22"/>
                    <w:szCs w:val="22"/>
                    <w:lang w:eastAsia="lt-LT"/>
                  </w:rPr>
                </w:pPr>
                <w:r>
                  <w:rPr>
                    <w:sz w:val="22"/>
                    <w:szCs w:val="22"/>
                    <w:lang w:eastAsia="lt-LT"/>
                  </w:rPr>
                  <w:t>Nenumatoma.</w:t>
                </w:r>
              </w:p>
              <w:p>
                <w:pPr>
                  <w:jc w:val="both"/>
                  <w:rPr>
                    <w:szCs w:val="22"/>
                    <w:lang w:eastAsia="lt-LT"/>
                  </w:rPr>
                </w:pPr>
              </w:p>
            </w:tc>
          </w:tr>
        </w:tbl>
        <w:p>
          <w:pPr>
            <w:rPr>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10"/>
            <w:gridCol w:w="7077"/>
          </w:tblGrid>
          <w:tr>
            <w:tc>
              <w:tcPr>
                <w:tcW w:w="2210" w:type="dxa"/>
                <w:tcBorders>
                  <w:top w:val="nil"/>
                  <w:left w:val="nil"/>
                  <w:bottom w:val="nil"/>
                  <w:right w:val="nil"/>
                </w:tcBorders>
                <w:shd w:val="clear" w:color="auto" w:fill="DBE5F1"/>
              </w:tcPr>
              <w:p>
                <w:pPr>
                  <w:shd w:val="clear" w:color="auto" w:fill="DBE5F1"/>
                  <w:rPr>
                    <w:b/>
                    <w:szCs w:val="22"/>
                    <w:lang w:eastAsia="lt-LT"/>
                  </w:rPr>
                </w:pPr>
                <w:r>
                  <w:rPr>
                    <w:b/>
                    <w:sz w:val="22"/>
                    <w:szCs w:val="22"/>
                    <w:lang w:eastAsia="lt-LT"/>
                  </w:rPr>
                  <w:t>Poveikis administracinei naštai</w:t>
                </w:r>
              </w:p>
            </w:tc>
            <w:tc>
              <w:tcPr>
                <w:tcW w:w="7077" w:type="dxa"/>
                <w:tcBorders>
                  <w:top w:val="nil"/>
                  <w:left w:val="nil"/>
                  <w:bottom w:val="nil"/>
                  <w:right w:val="nil"/>
                </w:tcBorders>
                <w:hideMark/>
              </w:tcPr>
              <w:p>
                <w:pPr>
                  <w:jc w:val="both"/>
                  <w:rPr>
                    <w:szCs w:val="22"/>
                    <w:lang w:eastAsia="lt-LT"/>
                  </w:rPr>
                </w:pPr>
                <w:r>
                  <w:rPr>
                    <w:sz w:val="22"/>
                    <w:szCs w:val="22"/>
                    <w:lang w:eastAsia="lt-LT"/>
                  </w:rPr>
                  <w:t>Nenumatoma.</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96"/>
            </w:trPr>
            <w:tc>
              <w:tcPr>
                <w:tcW w:w="9287" w:type="dxa"/>
                <w:gridSpan w:val="2"/>
                <w:vMerge w:val="restart"/>
                <w:shd w:val="clear" w:color="auto" w:fill="DBE5F1"/>
                <w:hideMark/>
              </w:tcPr>
              <w:p>
                <w:pPr>
                  <w:rPr>
                    <w:b/>
                    <w:sz w:val="22"/>
                    <w:szCs w:val="22"/>
                    <w:lang w:eastAsia="lt-LT"/>
                  </w:rPr>
                </w:pPr>
              </w:p>
              <w:p>
                <w:pPr>
                  <w:rPr>
                    <w:b/>
                    <w:sz w:val="22"/>
                    <w:szCs w:val="22"/>
                    <w:lang w:eastAsia="lt-LT"/>
                  </w:rPr>
                </w:pPr>
                <w:r>
                  <w:rPr>
                    <w:b/>
                    <w:sz w:val="22"/>
                    <w:szCs w:val="22"/>
                    <w:lang w:eastAsia="lt-LT"/>
                  </w:rPr>
                  <w:t xml:space="preserve">Kita svarbi </w:t>
                </w:r>
              </w:p>
              <w:p>
                <w:pPr>
                  <w:rPr>
                    <w:b/>
                    <w:szCs w:val="22"/>
                    <w:lang w:eastAsia="lt-LT"/>
                  </w:rPr>
                </w:pPr>
                <w:r>
                  <w:rPr>
                    <w:b/>
                    <w:sz w:val="22"/>
                    <w:szCs w:val="22"/>
                    <w:lang w:eastAsia="lt-LT"/>
                  </w:rPr>
                  <w:t xml:space="preserve">informacija                   </w:t>
                </w:r>
                <w:r>
                  <w:rPr>
                    <w:sz w:val="22"/>
                    <w:szCs w:val="22"/>
                    <w:lang w:eastAsia="lt-LT"/>
                  </w:rPr>
                  <w:t>Nėra.</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5"/>
            </w:trPr>
            <w:tc>
              <w:tcPr>
                <w:tcW w:w="0" w:type="auto"/>
                <w:gridSpan w:val="2"/>
                <w:vMerge/>
                <w:vAlign w:val="center"/>
                <w:hideMark/>
              </w:tcPr>
              <w:p>
                <w:pPr>
                  <w:rPr>
                    <w:b/>
                    <w:szCs w:val="22"/>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5"/>
            </w:trPr>
            <w:tc>
              <w:tcPr>
                <w:tcW w:w="0" w:type="auto"/>
                <w:gridSpan w:val="2"/>
                <w:vMerge/>
                <w:vAlign w:val="center"/>
                <w:hideMark/>
              </w:tcPr>
              <w:p>
                <w:pPr>
                  <w:rPr>
                    <w:b/>
                    <w:szCs w:val="22"/>
                    <w:lang w:eastAsia="lt-LT"/>
                  </w:rPr>
                </w:pPr>
              </w:p>
            </w:tc>
          </w:tr>
        </w:tbl>
        <w:sdt>
          <w:sdtPr>
            <w:alias w:val="lentele"/>
            <w:tag w:val="part_b04161ee346a4ad2bb19c5fa62907708"/>
            <w:lock w:val="sdtLocked"/>
            <w:richText/>
          </w:sdtPr>
          <w:sdtContent>
            <w:p>
              <w:pPr>
                <w:jc w:val="both"/>
                <w:rPr>
                  <w:b/>
                  <w:sz w:val="22"/>
                  <w:szCs w:val="22"/>
                </w:rPr>
              </w:pPr>
              <w:sdt>
                <w:sdtPr>
                  <w:alias w:val="Pavadinimas"/>
                  <w:tag w:val="title_b04161ee346a4ad2bb19c5fa62907708"/>
                  <w:lock w:val="sdtLocked"/>
                  <w:richText/>
                </w:sdtPr>
                <w:sdtContent>
                  <w:r>
                    <w:rPr>
                      <w:b/>
                      <w:sz w:val="22"/>
                      <w:szCs w:val="22"/>
                    </w:rPr>
                    <w:t>Informacija apie asmenį ir instituciją, atsakingą už poveikio vertinimą</w:t>
                  </w:r>
                </w:sdtContent>
              </w:sd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71"/>
                <w:gridCol w:w="6616"/>
              </w:tblGrid>
              <w:tr>
                <w:tc>
                  <w:tcPr>
                    <w:tcW w:w="1438" w:type="pct"/>
                    <w:tcBorders>
                      <w:top w:val="single" w:sz="4" w:space="0" w:color="auto"/>
                      <w:left w:val="single" w:sz="4" w:space="0" w:color="auto"/>
                      <w:bottom w:val="single" w:sz="4" w:space="0" w:color="auto"/>
                      <w:right w:val="single" w:sz="4" w:space="0" w:color="auto"/>
                    </w:tcBorders>
                    <w:tcMar>
                      <w:top w:w="28" w:type="dxa"/>
                      <w:bottom w:w="28" w:type="dxa"/>
                    </w:tcMar>
                    <w:hideMark/>
                  </w:tcPr>
                  <w:p>
                    <w:pPr>
                      <w:rPr>
                        <w:szCs w:val="22"/>
                      </w:rPr>
                    </w:pPr>
                    <w:r>
                      <w:rPr>
                        <w:sz w:val="22"/>
                        <w:szCs w:val="22"/>
                      </w:rPr>
                      <w:t>Vardas ir pavardė</w:t>
                    </w:r>
                  </w:p>
                </w:tc>
                <w:tc>
                  <w:tcPr>
                    <w:tcW w:w="3562" w:type="pct"/>
                    <w:tcBorders>
                      <w:top w:val="single" w:sz="4" w:space="0" w:color="auto"/>
                      <w:left w:val="single" w:sz="4" w:space="0" w:color="auto"/>
                      <w:bottom w:val="single" w:sz="4" w:space="0" w:color="auto"/>
                      <w:right w:val="single" w:sz="4" w:space="0" w:color="auto"/>
                    </w:tcBorders>
                    <w:tcMar>
                      <w:top w:w="28" w:type="dxa"/>
                      <w:bottom w:w="28" w:type="dxa"/>
                    </w:tcMar>
                  </w:tcPr>
                  <w:p>
                    <w:pPr>
                      <w:rPr>
                        <w:szCs w:val="22"/>
                      </w:rPr>
                    </w:pPr>
                    <w:r>
                      <w:rPr>
                        <w:szCs w:val="22"/>
                      </w:rPr>
                      <w:t>Tomas Aukštinaitis</w:t>
                    </w:r>
                  </w:p>
                </w:tc>
              </w:tr>
              <w:tr>
                <w:tc>
                  <w:tcPr>
                    <w:tcW w:w="1438" w:type="pct"/>
                    <w:tcBorders>
                      <w:top w:val="single" w:sz="4" w:space="0" w:color="auto"/>
                      <w:left w:val="single" w:sz="4" w:space="0" w:color="auto"/>
                      <w:bottom w:val="single" w:sz="4" w:space="0" w:color="auto"/>
                      <w:right w:val="single" w:sz="4" w:space="0" w:color="auto"/>
                    </w:tcBorders>
                    <w:tcMar>
                      <w:top w:w="28" w:type="dxa"/>
                      <w:bottom w:w="28" w:type="dxa"/>
                    </w:tcMar>
                    <w:hideMark/>
                  </w:tcPr>
                  <w:p>
                    <w:pPr>
                      <w:rPr>
                        <w:b/>
                        <w:szCs w:val="22"/>
                      </w:rPr>
                    </w:pPr>
                    <w:r>
                      <w:rPr>
                        <w:sz w:val="22"/>
                        <w:szCs w:val="22"/>
                      </w:rPr>
                      <w:t>Pareigos</w:t>
                    </w:r>
                  </w:p>
                </w:tc>
                <w:tc>
                  <w:tcPr>
                    <w:tcW w:w="3562" w:type="pct"/>
                    <w:tcBorders>
                      <w:top w:val="single" w:sz="4" w:space="0" w:color="auto"/>
                      <w:left w:val="single" w:sz="4" w:space="0" w:color="auto"/>
                      <w:bottom w:val="single" w:sz="4" w:space="0" w:color="auto"/>
                      <w:right w:val="single" w:sz="4" w:space="0" w:color="auto"/>
                    </w:tcBorders>
                    <w:tcMar>
                      <w:top w:w="28" w:type="dxa"/>
                      <w:bottom w:w="28" w:type="dxa"/>
                    </w:tcMar>
                  </w:tcPr>
                  <w:p>
                    <w:pPr>
                      <w:rPr>
                        <w:szCs w:val="22"/>
                      </w:rPr>
                    </w:pPr>
                    <w:r>
                      <w:rPr>
                        <w:szCs w:val="22"/>
                      </w:rPr>
                      <w:t xml:space="preserve">Vyresnysis patarėjas </w:t>
                    </w:r>
                  </w:p>
                </w:tc>
              </w:tr>
              <w:tr>
                <w:tc>
                  <w:tcPr>
                    <w:tcW w:w="1438" w:type="pct"/>
                    <w:tcBorders>
                      <w:top w:val="single" w:sz="4" w:space="0" w:color="auto"/>
                      <w:left w:val="single" w:sz="4" w:space="0" w:color="auto"/>
                      <w:bottom w:val="single" w:sz="4" w:space="0" w:color="auto"/>
                      <w:right w:val="single" w:sz="4" w:space="0" w:color="auto"/>
                    </w:tcBorders>
                    <w:tcMar>
                      <w:top w:w="28" w:type="dxa"/>
                      <w:bottom w:w="28" w:type="dxa"/>
                    </w:tcMar>
                    <w:hideMark/>
                  </w:tcPr>
                  <w:p>
                    <w:pPr>
                      <w:rPr>
                        <w:b/>
                        <w:szCs w:val="22"/>
                      </w:rPr>
                    </w:pPr>
                    <w:r>
                      <w:rPr>
                        <w:sz w:val="22"/>
                        <w:szCs w:val="22"/>
                      </w:rPr>
                      <w:t>Institucija (padalinys)</w:t>
                    </w:r>
                  </w:p>
                </w:tc>
                <w:tc>
                  <w:tcPr>
                    <w:tcW w:w="3562" w:type="pct"/>
                    <w:tcBorders>
                      <w:top w:val="single" w:sz="4" w:space="0" w:color="auto"/>
                      <w:left w:val="single" w:sz="4" w:space="0" w:color="auto"/>
                      <w:bottom w:val="single" w:sz="4" w:space="0" w:color="auto"/>
                      <w:right w:val="single" w:sz="4" w:space="0" w:color="auto"/>
                    </w:tcBorders>
                    <w:tcMar>
                      <w:top w:w="28" w:type="dxa"/>
                      <w:bottom w:w="28" w:type="dxa"/>
                    </w:tcMar>
                  </w:tcPr>
                  <w:p>
                    <w:pPr>
                      <w:rPr>
                        <w:szCs w:val="22"/>
                        <w:highlight w:val="yellow"/>
                      </w:rPr>
                    </w:pPr>
                    <w:r>
                      <w:rPr>
                        <w:szCs w:val="22"/>
                      </w:rPr>
                      <w:t xml:space="preserve">Aplinkos ministerijos Klimato politikos grupė </w:t>
                    </w:r>
                  </w:p>
                </w:tc>
              </w:tr>
              <w:tr>
                <w:tc>
                  <w:tcPr>
                    <w:tcW w:w="1438" w:type="pct"/>
                    <w:tcBorders>
                      <w:top w:val="single" w:sz="4" w:space="0" w:color="auto"/>
                      <w:left w:val="single" w:sz="4" w:space="0" w:color="auto"/>
                      <w:bottom w:val="single" w:sz="4" w:space="0" w:color="auto"/>
                      <w:right w:val="single" w:sz="4" w:space="0" w:color="auto"/>
                    </w:tcBorders>
                    <w:tcMar>
                      <w:top w:w="28" w:type="dxa"/>
                      <w:bottom w:w="28" w:type="dxa"/>
                    </w:tcMar>
                    <w:hideMark/>
                  </w:tcPr>
                  <w:p>
                    <w:pPr>
                      <w:rPr>
                        <w:szCs w:val="22"/>
                      </w:rPr>
                    </w:pPr>
                    <w:r>
                      <w:rPr>
                        <w:sz w:val="22"/>
                        <w:szCs w:val="22"/>
                      </w:rPr>
                      <w:t>Telefono numeris ir elektroninio pašto adresas</w:t>
                    </w:r>
                  </w:p>
                </w:tc>
                <w:tc>
                  <w:tcPr>
                    <w:tcW w:w="3562" w:type="pct"/>
                    <w:tcBorders>
                      <w:top w:val="single" w:sz="4" w:space="0" w:color="auto"/>
                      <w:left w:val="single" w:sz="4" w:space="0" w:color="auto"/>
                      <w:bottom w:val="single" w:sz="4" w:space="0" w:color="auto"/>
                      <w:right w:val="single" w:sz="4" w:space="0" w:color="auto"/>
                    </w:tcBorders>
                    <w:tcMar>
                      <w:top w:w="28" w:type="dxa"/>
                      <w:bottom w:w="28" w:type="dxa"/>
                    </w:tcMar>
                  </w:tcPr>
                  <w:p>
                    <w:pPr>
                      <w:rPr>
                        <w:szCs w:val="22"/>
                      </w:rPr>
                    </w:pPr>
                    <w:r>
                      <w:rPr>
                        <w:szCs w:val="22"/>
                      </w:rPr>
                      <w:t>Tel. 8 610 79985 el. p. tomas.aukstinaitis@am.lt</w:t>
                    </w:r>
                  </w:p>
                </w:tc>
              </w:tr>
            </w:tbl>
            <w:p/>
          </w:sdtContent>
        </w:sdt>
        <w:sdt>
          <w:sdtPr>
            <w:alias w:val="pabaiga"/>
            <w:tag w:val="part_99a215b641da4eb29c9ac58c72dcaae4"/>
            <w:lock w:val="sdtLocked"/>
            <w:richText/>
          </w:sdtPr>
          <w:sdtContent>
            <w:p>
              <w:pPr>
                <w:tabs>
                  <w:tab w:val="left" w:pos="6237"/>
                </w:tabs>
                <w:spacing w:line="360" w:lineRule="atLeast"/>
                <w:jc w:val="center"/>
                <w:rPr>
                  <w:lang w:eastAsia="lt-LT"/>
                </w:rPr>
              </w:pPr>
              <w:r>
                <w:rPr>
                  <w:lang w:eastAsia="lt-LT"/>
                </w:rPr>
                <w:t>__________________</w:t>
              </w:r>
            </w:p>
          </w:sdtContent>
        </w:sdt>
      </w:sdtContent>
    </w:sdt>
    <w:sectPr>
      <w:headerReference w:type="even" r:id="rId11"/>
      <w:headerReference w:type="default" r:id="rId12"/>
      <w:footerReference w:type="even" r:id="rId13"/>
      <w:footerReference w:type="default" r:id="rId14"/>
      <w:headerReference w:type="first" r:id="rId15"/>
      <w:footerReference w:type="first" r:id="rId16"/>
      <w:pgSz w:w="11906" w:h="16838"/>
      <w:pgMar w:top="709" w:right="1134" w:bottom="851" w:left="1701" w:header="283" w:footer="283"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lang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lang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lang w:eastAsia="lt-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lang w:eastAsia="lt-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229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33707626">
      <w:bodyDiv w:val="1"/>
      <w:marLeft w:val="0"/>
      <w:marRight w:val="0"/>
      <w:marTop w:val="0"/>
      <w:marBottom w:val="0"/>
      <w:divBdr>
        <w:top w:val="none" w:sz="0" w:space="0" w:color="auto"/>
        <w:left w:val="none" w:sz="0" w:space="0" w:color="auto"/>
        <w:bottom w:val="none" w:sz="0" w:space="0" w:color="auto"/>
        <w:right w:val="none" w:sz="0" w:space="0" w:color="auto"/>
      </w:divBdr>
    </w:div>
    <w:div w:id="1571040611">
      <w:bodyDiv w:val="1"/>
      <w:marLeft w:val="0"/>
      <w:marRight w:val="0"/>
      <w:marTop w:val="0"/>
      <w:marBottom w:val="0"/>
      <w:divBdr>
        <w:top w:val="none" w:sz="0" w:space="0" w:color="auto"/>
        <w:left w:val="none" w:sz="0" w:space="0" w:color="auto"/>
        <w:bottom w:val="none" w:sz="0" w:space="0" w:color="auto"/>
        <w:right w:val="none" w:sz="0" w:space="0" w:color="auto"/>
      </w:divBdr>
    </w:div>
    <w:div w:id="1985239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6" ma:contentTypeDescription="Create a new document." ma:contentTypeScope="" ma:versionID="cae15e6c34d5bf32657b66f4dd812014">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4b2310de1f009de9736f287c6141a56c"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9ee655f2217845518ee85653caa55154" PartId="9e21504840874663bb58dc6cbb50fe7e">
    <Part Type="lentele" Title="Informacija apie asmenį ir instituciją, atsakingą už poveikio vertinimą" DocPartId="7ad66922df3d4b698cdf2b55426e56b1" PartId="b04161ee346a4ad2bb19c5fa62907708"/>
    <Part Type="pabaiga" DocPartId="375c5e8cfc3e473e9b1a211750b04aca" PartId="99a215b641da4eb29c9ac58c72dcaae4"/>
  </Part>
</Parts>
</file>

<file path=customXml/itemProps1.xml><?xml version="1.0" encoding="utf-8"?>
<ds:datastoreItem xmlns:ds="http://schemas.openxmlformats.org/officeDocument/2006/customXml" ds:itemID="{4E0B9C8D-BE7E-48BE-AAD5-53EC7E9335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B48ACE5-E98F-4CE8-9664-F721D1C9956E}">
  <ds:schemaRefs>
    <ds:schemaRef ds:uri="http://schemas.microsoft.com/sharepoint/v3/contenttype/forms"/>
  </ds:schemaRefs>
</ds:datastoreItem>
</file>

<file path=customXml/itemProps3.xml><?xml version="1.0" encoding="utf-8"?>
<ds:datastoreItem xmlns:ds="http://schemas.openxmlformats.org/officeDocument/2006/customXml" ds:itemID="{83127100-3990-481E-AEB2-EC3E634DF640}">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82C66132-441E-4977-81C9-67A16BED36B0}">
  <ds:schemaRefs>
    <ds:schemaRef ds:uri="http://schemas.openxmlformats.org/officeDocument/2006/bibliography"/>
  </ds:schemaRefs>
</ds:datastoreItem>
</file>

<file path=customXml/itemProps5.xml><?xml version="1.0" encoding="utf-8"?>
<ds:datastoreItem xmlns:ds="http://schemas.openxmlformats.org/officeDocument/2006/customXml" ds:itemID="{4B5A9EFD-8A76-4F72-9AA8-442AAFF4AC8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250</Words>
  <Characters>1908</Characters>
  <Application>Microsoft Office Word</Application>
  <DocSecurity>4</DocSecurity>
  <Lines>68</Lines>
  <Paragraphs>35</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2123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2021-03-22T14:45:00Z</dcterms:created>
  <dc:creator>l.stumbriene</dc:creator>
  <lastModifiedBy>adlibuser</lastModifiedBy>
  <dcterms:modified xsi:type="dcterms:W3CDTF">2021-03-22T14:45:00Z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