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114b8e38de44e3ea8e29a56122b1f5f"/>
        <w:lock w:val="sdtLocked"/>
        <w:richText/>
      </w:sdtPr>
      <w:sdtContent>
        <w:tbl>
          <w:tblPr>
            <w:tblW w:w="14872" w:type="dxa"/>
            <w:tblLook w:val="04A0" w:firstRow="1" w:lastRow="0" w:firstColumn="1" w:lastColumn="0" w:noHBand="0" w:noVBand="1"/>
          </w:tblPr>
          <w:tblGrid>
            <w:gridCol w:w="4900"/>
            <w:gridCol w:w="4900"/>
            <w:gridCol w:w="4900"/>
            <w:gridCol w:w="172"/>
          </w:tblGrid>
          <w:tr w14:paraId="0EE52C2E" w14:textId="77777777">
            <w:trPr>
              <w:gridAfter w:val="1"/>
              <w:wAfter w:w="172" w:type="dxa"/>
              <w:trHeight w:val="711"/>
            </w:trPr>
            <w:tc>
              <w:tcPr>
                <w:tcW w:w="14700" w:type="dxa"/>
                <w:gridSpan w:val="3"/>
              </w:tcPr>
              <w:tbl>
                <w:tblPr>
                  <w:tblW w:w="0" w:type="auto"/>
                  <w:tblLook w:val="06A0" w:firstRow="1" w:lastRow="0" w:firstColumn="1" w:lastColumn="0" w:noHBand="1" w:noVBand="1"/>
                </w:tblPr>
                <w:tblGrid>
                  <w:gridCol w:w="4828"/>
                  <w:gridCol w:w="4828"/>
                  <w:gridCol w:w="4828"/>
                </w:tblGrid>
                <w:tr w14:paraId="3DAD957E" w14:textId="77777777">
                  <w:trPr>
                    <w:trHeight w:val="300"/>
                  </w:trPr>
                  <w:tc>
                    <w:tcPr>
                      <w:tcW w:w="4950" w:type="dxa"/>
                    </w:tcPr>
                    <w:p w14:paraId="030140AC" w14:textId="77777777">
                      <w:pPr>
                        <w:tabs>
                          <w:tab w:val="center" w:pos="4819"/>
                          <w:tab w:val="right" w:pos="9638"/>
                        </w:tabs>
                        <w:rPr>
                          <w:sz w:val="22"/>
                          <w:szCs w:val="22"/>
                        </w:rPr>
                      </w:pPr>
                    </w:p>
                    <w:p w14:paraId="269A958B" w14:textId="77777777">
                      <w:pPr>
                        <w:tabs>
                          <w:tab w:val="center" w:pos="4819"/>
                          <w:tab w:val="right" w:pos="9638"/>
                        </w:tabs>
                        <w:ind w:left="-115"/>
                        <w:rPr>
                          <w:sz w:val="22"/>
                          <w:szCs w:val="22"/>
                          <w:lang w:val="en-GB"/>
                        </w:rPr>
                      </w:pPr>
                    </w:p>
                  </w:tc>
                  <w:tc>
                    <w:tcPr>
                      <w:tcW w:w="4950" w:type="dxa"/>
                    </w:tcPr>
                    <w:p w14:paraId="1367B27E" w14:textId="77777777">
                      <w:pPr>
                        <w:tabs>
                          <w:tab w:val="center" w:pos="4819"/>
                          <w:tab w:val="right" w:pos="9638"/>
                        </w:tabs>
                        <w:jc w:val="center"/>
                        <w:rPr>
                          <w:sz w:val="22"/>
                          <w:szCs w:val="22"/>
                        </w:rPr>
                      </w:pPr>
                    </w:p>
                  </w:tc>
                  <w:tc>
                    <w:tcPr>
                      <w:tcW w:w="4950" w:type="dxa"/>
                    </w:tcPr>
                    <w:p w14:paraId="0C3739B5" w14:textId="77777777">
                      <w:pPr>
                        <w:tabs>
                          <w:tab w:val="center" w:pos="4819"/>
                          <w:tab w:val="right" w:pos="9638"/>
                        </w:tabs>
                        <w:ind w:right="-115"/>
                        <w:jc w:val="right"/>
                        <w:rPr>
                          <w:sz w:val="22"/>
                          <w:szCs w:val="22"/>
                        </w:rPr>
                      </w:pPr>
                    </w:p>
                  </w:tc>
                </w:tr>
              </w:tbl>
              <w:p w14:paraId="474CDA37" w14:textId="77777777">
                <w:pPr>
                  <w:tabs>
                    <w:tab w:val="center" w:pos="4819"/>
                    <w:tab w:val="right" w:pos="9638"/>
                  </w:tabs>
                  <w:rPr>
                    <w:sz w:val="20"/>
                    <w:lang w:eastAsia="lt-LT"/>
                  </w:rPr>
                </w:pPr>
              </w:p>
              <w:p w14:paraId="6A5C48D8" w14:textId="2849BE7D">
                <w:pPr>
                  <w:jc w:val="center"/>
                  <w:rPr>
                    <w:rFonts w:eastAsia="Andale Sans UI" w:cs="Tahoma"/>
                    <w:b/>
                    <w:bCs/>
                    <w:lang w:bidi="en-US"/>
                  </w:rPr>
                </w:pPr>
                <w:r>
                  <w:rPr>
                    <w:b/>
                    <w:bCs/>
                    <w:color w:val="000000"/>
                    <w:shd w:val="clear" w:color="auto" w:fill="FFFFFF"/>
                  </w:rPr>
                  <w:t xml:space="preserve">REGLAMENTO (ES) NR. 2023/1115 </w:t>
                </w:r>
                <w:r>
                  <w:rPr>
                    <w:b/>
                    <w:bCs/>
                    <w:lang w:eastAsia="ar-SA"/>
                  </w:rPr>
                  <w:t xml:space="preserve">IR </w:t>
                </w:r>
                <w:r>
                  <w:rPr>
                    <w:rFonts w:eastAsia="Andale Sans UI" w:cs="Tahoma"/>
                    <w:b/>
                    <w:bCs/>
                    <w:lang w:bidi="en-US"/>
                  </w:rPr>
                  <w:t>LIETUVOS RESPUBLIKOS APLINKOS APSAUGOS ĮSTATYMO NR. I-2223 1, 37, 40</w:t>
                </w:r>
                <w:r>
                  <w:rPr>
                    <w:rFonts w:eastAsia="Andale Sans UI" w:cs="Tahoma"/>
                    <w:b/>
                    <w:bCs/>
                    <w:vertAlign w:val="superscript"/>
                    <w:lang w:bidi="en-US"/>
                  </w:rPr>
                  <w:t>1</w:t>
                </w:r>
                <w:r>
                  <w:rPr>
                    <w:rFonts w:eastAsia="Andale Sans UI" w:cs="Tahoma"/>
                    <w:b/>
                    <w:bCs/>
                    <w:lang w:bidi="en-US"/>
                  </w:rPr>
                  <w:t>, 47, 87, 109</w:t>
                </w:r>
                <w:r>
                  <w:rPr>
                    <w:rFonts w:eastAsia="Andale Sans UI" w:cs="Tahoma"/>
                    <w:b/>
                    <w:bCs/>
                    <w:vertAlign w:val="superscript"/>
                    <w:lang w:bidi="en-US"/>
                  </w:rPr>
                  <w:t>1</w:t>
                </w:r>
                <w:r>
                  <w:rPr>
                    <w:rFonts w:eastAsia="Andale Sans UI" w:cs="Tahoma"/>
                    <w:b/>
                    <w:bCs/>
                    <w:lang w:bidi="en-US"/>
                  </w:rPr>
                  <w:t>, 110, 122</w:t>
                </w:r>
                <w:r>
                  <w:rPr>
                    <w:rFonts w:eastAsia="Andale Sans UI" w:cs="Tahoma"/>
                    <w:b/>
                    <w:bCs/>
                    <w:vertAlign w:val="superscript"/>
                    <w:lang w:bidi="en-US"/>
                  </w:rPr>
                  <w:t>4</w:t>
                </w:r>
                <w:r>
                  <w:rPr>
                    <w:rFonts w:eastAsia="Andale Sans UI" w:cs="Tahoma"/>
                    <w:b/>
                    <w:bCs/>
                    <w:lang w:bidi="en-US"/>
                  </w:rPr>
                  <w:t xml:space="preserve"> STRAIPSNIŲ IR PRIEDO PAKEITIMO, ĮSTATYMO PAPILDYMO 110</w:t>
                </w:r>
                <w:r>
                  <w:rPr>
                    <w:rFonts w:eastAsia="Andale Sans UI" w:cs="Tahoma"/>
                    <w:b/>
                    <w:bCs/>
                    <w:vertAlign w:val="superscript"/>
                    <w:lang w:bidi="en-US"/>
                  </w:rPr>
                  <w:t>2</w:t>
                </w:r>
                <w:r>
                  <w:rPr>
                    <w:rFonts w:eastAsia="Andale Sans UI" w:cs="Tahoma"/>
                    <w:b/>
                    <w:bCs/>
                    <w:lang w:bidi="en-US"/>
                  </w:rPr>
                  <w:t>, 110</w:t>
                </w:r>
                <w:r>
                  <w:rPr>
                    <w:rFonts w:eastAsia="Andale Sans UI" w:cs="Tahoma"/>
                    <w:b/>
                    <w:bCs/>
                    <w:vertAlign w:val="superscript"/>
                    <w:lang w:bidi="en-US"/>
                  </w:rPr>
                  <w:t>3</w:t>
                </w:r>
                <w:r>
                  <w:rPr>
                    <w:rFonts w:eastAsia="Andale Sans UI" w:cs="Tahoma"/>
                    <w:b/>
                    <w:bCs/>
                    <w:lang w:bidi="en-US"/>
                  </w:rPr>
                  <w:t>, 110</w:t>
                </w:r>
                <w:r>
                  <w:rPr>
                    <w:rFonts w:eastAsia="Andale Sans UI" w:cs="Tahoma"/>
                    <w:b/>
                    <w:bCs/>
                    <w:vertAlign w:val="superscript"/>
                    <w:lang w:bidi="en-US"/>
                  </w:rPr>
                  <w:t>4</w:t>
                </w:r>
                <w:r>
                  <w:rPr>
                    <w:rFonts w:eastAsia="Andale Sans UI" w:cs="Tahoma"/>
                    <w:b/>
                    <w:bCs/>
                    <w:lang w:bidi="en-US"/>
                  </w:rPr>
                  <w:t>, 118</w:t>
                </w:r>
                <w:r>
                  <w:rPr>
                    <w:rFonts w:eastAsia="Andale Sans UI" w:cs="Tahoma"/>
                    <w:b/>
                    <w:bCs/>
                    <w:vertAlign w:val="superscript"/>
                    <w:lang w:bidi="en-US"/>
                  </w:rPr>
                  <w:t xml:space="preserve">2 </w:t>
                </w:r>
                <w:r>
                  <w:rPr>
                    <w:rFonts w:eastAsia="Andale Sans UI" w:cs="Tahoma"/>
                    <w:b/>
                    <w:bCs/>
                    <w:lang w:bidi="en-US"/>
                  </w:rPr>
                  <w:t>STRAIPSNIAIS IR 110</w:t>
                </w:r>
                <w:r>
                  <w:rPr>
                    <w:rFonts w:eastAsia="Andale Sans UI" w:cs="Tahoma"/>
                    <w:b/>
                    <w:bCs/>
                    <w:vertAlign w:val="superscript"/>
                    <w:lang w:bidi="en-US"/>
                  </w:rPr>
                  <w:t xml:space="preserve">2 </w:t>
                </w:r>
                <w:r>
                  <w:rPr>
                    <w:rFonts w:eastAsia="Andale Sans UI" w:cs="Tahoma"/>
                    <w:b/>
                    <w:bCs/>
                    <w:lang w:bidi="en-US"/>
                  </w:rPr>
                  <w:t xml:space="preserve">STRAIPSNIO PRIPAŽINIMO NETEKUSIU GALIOS ĮSTATYMO </w:t>
                </w:r>
                <w:r>
                  <w:rPr>
                    <w:b/>
                    <w:bCs/>
                    <w:lang w:eastAsia="ar-SA"/>
                  </w:rPr>
                  <w:t>PROJEKTO ATITIKTIES LENTELĖ</w:t>
                </w:r>
              </w:p>
              <w:p w14:paraId="716370A4" w14:textId="77777777">
                <w:pPr>
                  <w:jc w:val="center"/>
                  <w:rPr>
                    <w:sz w:val="20"/>
                    <w:lang w:eastAsia="lt-LT"/>
                  </w:rPr>
                </w:pPr>
              </w:p>
            </w:tc>
          </w:tr>
          <w:tr w14:paraId="3FBEE3C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30"/>
            </w:trPr>
            <w:tc>
              <w:tcPr>
                <w:tcW w:w="4900" w:type="dxa"/>
                <w:tcBorders>
                  <w:top w:val="single" w:sz="4" w:space="0" w:color="auto"/>
                  <w:left w:val="single" w:sz="4" w:space="0" w:color="auto"/>
                  <w:bottom w:val="single" w:sz="4" w:space="0" w:color="auto"/>
                  <w:right w:val="single" w:sz="4" w:space="0" w:color="auto"/>
                </w:tcBorders>
              </w:tcPr>
              <w:p w14:paraId="6C8D1EA2" w14:textId="567EA20F">
                <w:pPr>
                  <w:tabs>
                    <w:tab w:val="left" w:pos="567"/>
                  </w:tabs>
                  <w:suppressAutoHyphens/>
                  <w:jc w:val="both"/>
                  <w:rPr>
                    <w:b/>
                    <w:bCs/>
                    <w:szCs w:val="24"/>
                    <w:lang w:eastAsia="ar-SA"/>
                  </w:rPr>
                </w:pPr>
                <w:r>
                  <w:rPr>
                    <w:b/>
                    <w:bCs/>
                    <w:color w:val="000000"/>
                    <w:shd w:val="clear" w:color="auto" w:fill="FFFFFF"/>
                  </w:rPr>
                  <w:t xml:space="preserve">2023 m. gegužės 31 d. Europos Parlamento ir Tarybos reglamentas </w:t>
                </w:r>
                <w:fldSimple w:instr="HYPERLINK http://eur-lex.europa.eu/legal-content/LIT/TXT/?uri=CELEX:33115R2023&amp;locale=lt \t _blank">
                  <w:r>
                    <w:rPr>
                      <w:b/>
                      <w:bCs/>
                      <w:color w:val="0000FF" w:themeColor="hyperlink"/>
                      <w:shd w:val="clear" w:color="auto" w:fill="FFFFFF"/>
                      <w:u w:val="single"/>
                    </w:rPr>
                    <w:t>(ES) Nr. 2023/1115</w:t>
                  </w:r>
                </w:fldSimple>
                <w:r>
                  <w:rPr>
                    <w:b/>
                    <w:bCs/>
                    <w:color w:val="000000"/>
                    <w:shd w:val="clear" w:color="auto" w:fill="FFFFFF"/>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b/>
                      <w:bCs/>
                      <w:color w:val="0000FF" w:themeColor="hyperlink"/>
                      <w:shd w:val="clear" w:color="auto" w:fill="FFFFFF"/>
                      <w:u w:val="single"/>
                    </w:rPr>
                    <w:t>(ES) Nr. 995/2010</w:t>
                  </w:r>
                </w:fldSimple>
              </w:p>
            </w:tc>
            <w:tc>
              <w:tcPr>
                <w:tcW w:w="4900" w:type="dxa"/>
                <w:tcBorders>
                  <w:top w:val="single" w:sz="4" w:space="0" w:color="auto"/>
                  <w:left w:val="single" w:sz="4" w:space="0" w:color="auto"/>
                  <w:bottom w:val="single" w:sz="4" w:space="0" w:color="auto"/>
                  <w:right w:val="single" w:sz="4" w:space="0" w:color="auto"/>
                </w:tcBorders>
                <w:vAlign w:val="center"/>
              </w:tcPr>
              <w:p w14:paraId="497E41A2" w14:textId="4B455C10">
                <w:pPr>
                  <w:suppressAutoHyphens/>
                  <w:jc w:val="both"/>
                  <w:rPr>
                    <w:lang w:eastAsia="ar-SA"/>
                  </w:rPr>
                </w:pPr>
                <w:r>
                  <w:rPr>
                    <w:b/>
                    <w:bCs/>
                    <w:lang w:eastAsia="ar-SA"/>
                  </w:rPr>
                  <w:t xml:space="preserve">Lietuvos Respublikos Aplinkos apsaugos įstatymo </w:t>
                </w:r>
                <w:r>
                  <w:rPr>
                    <w:rFonts w:eastAsia="Andale Sans UI" w:cs="Tahoma"/>
                    <w:b/>
                    <w:bCs/>
                    <w:lang w:bidi="en-US"/>
                  </w:rPr>
                  <w:t>Nr. I-2223 1, 37, 40</w:t>
                </w:r>
                <w:r>
                  <w:rPr>
                    <w:rFonts w:eastAsia="Andale Sans UI" w:cs="Tahoma"/>
                    <w:b/>
                    <w:bCs/>
                    <w:vertAlign w:val="superscript"/>
                    <w:lang w:bidi="en-US"/>
                  </w:rPr>
                  <w:t>1</w:t>
                </w:r>
                <w:r>
                  <w:rPr>
                    <w:rFonts w:eastAsia="Andale Sans UI" w:cs="Tahoma"/>
                    <w:b/>
                    <w:bCs/>
                    <w:lang w:bidi="en-US"/>
                  </w:rPr>
                  <w:t>, 47, 87, 109</w:t>
                </w:r>
                <w:r>
                  <w:rPr>
                    <w:rFonts w:eastAsia="Andale Sans UI" w:cs="Tahoma"/>
                    <w:b/>
                    <w:bCs/>
                    <w:vertAlign w:val="superscript"/>
                    <w:lang w:bidi="en-US"/>
                  </w:rPr>
                  <w:t>1</w:t>
                </w:r>
                <w:r>
                  <w:rPr>
                    <w:rFonts w:eastAsia="Andale Sans UI" w:cs="Tahoma"/>
                    <w:b/>
                    <w:bCs/>
                    <w:lang w:bidi="en-US"/>
                  </w:rPr>
                  <w:t>, 110, 122</w:t>
                </w:r>
                <w:r>
                  <w:rPr>
                    <w:rFonts w:eastAsia="Andale Sans UI" w:cs="Tahoma"/>
                    <w:b/>
                    <w:bCs/>
                    <w:vertAlign w:val="superscript"/>
                    <w:lang w:bidi="en-US"/>
                  </w:rPr>
                  <w:t xml:space="preserve">4 </w:t>
                </w:r>
                <w:r>
                  <w:rPr>
                    <w:rFonts w:eastAsia="Andale Sans UI" w:cs="Tahoma"/>
                    <w:b/>
                    <w:bCs/>
                    <w:lang w:bidi="en-US"/>
                  </w:rPr>
                  <w:t>straipsnių ir priedo pakeitimo, įstatymo papildymo 110</w:t>
                </w:r>
                <w:r>
                  <w:rPr>
                    <w:rFonts w:eastAsia="Andale Sans UI" w:cs="Tahoma"/>
                    <w:b/>
                    <w:bCs/>
                    <w:vertAlign w:val="superscript"/>
                    <w:lang w:bidi="en-US"/>
                  </w:rPr>
                  <w:t>2</w:t>
                </w:r>
                <w:r>
                  <w:rPr>
                    <w:rFonts w:eastAsia="Andale Sans UI" w:cs="Tahoma"/>
                    <w:b/>
                    <w:bCs/>
                    <w:lang w:bidi="en-US"/>
                  </w:rPr>
                  <w:t>, 110</w:t>
                </w:r>
                <w:r>
                  <w:rPr>
                    <w:rFonts w:eastAsia="Andale Sans UI" w:cs="Tahoma"/>
                    <w:b/>
                    <w:bCs/>
                    <w:vertAlign w:val="superscript"/>
                    <w:lang w:bidi="en-US"/>
                  </w:rPr>
                  <w:t>3</w:t>
                </w:r>
                <w:r>
                  <w:rPr>
                    <w:rFonts w:eastAsia="Andale Sans UI" w:cs="Tahoma"/>
                    <w:b/>
                    <w:bCs/>
                    <w:lang w:bidi="en-US"/>
                  </w:rPr>
                  <w:t>, 110</w:t>
                </w:r>
                <w:r>
                  <w:rPr>
                    <w:rFonts w:eastAsia="Andale Sans UI" w:cs="Tahoma"/>
                    <w:b/>
                    <w:bCs/>
                    <w:vertAlign w:val="superscript"/>
                    <w:lang w:bidi="en-US"/>
                  </w:rPr>
                  <w:t>4</w:t>
                </w:r>
                <w:r>
                  <w:rPr>
                    <w:rFonts w:eastAsia="Andale Sans UI" w:cs="Tahoma"/>
                    <w:b/>
                    <w:bCs/>
                    <w:lang w:bidi="en-US"/>
                  </w:rPr>
                  <w:t>, 118</w:t>
                </w:r>
                <w:r>
                  <w:rPr>
                    <w:rFonts w:eastAsia="Andale Sans UI" w:cs="Tahoma"/>
                    <w:b/>
                    <w:bCs/>
                    <w:vertAlign w:val="superscript"/>
                    <w:lang w:bidi="en-US"/>
                  </w:rPr>
                  <w:t xml:space="preserve">2 </w:t>
                </w:r>
                <w:r>
                  <w:rPr>
                    <w:rFonts w:eastAsia="Andale Sans UI" w:cs="Tahoma"/>
                    <w:b/>
                    <w:bCs/>
                    <w:lang w:bidi="en-US"/>
                  </w:rPr>
                  <w:t>straipsniais  ir 110</w:t>
                </w:r>
                <w:r>
                  <w:rPr>
                    <w:rFonts w:eastAsia="Andale Sans UI" w:cs="Tahoma"/>
                    <w:b/>
                    <w:bCs/>
                    <w:vertAlign w:val="superscript"/>
                    <w:lang w:bidi="en-US"/>
                  </w:rPr>
                  <w:t xml:space="preserve">2 </w:t>
                </w:r>
                <w:r>
                  <w:rPr>
                    <w:rFonts w:eastAsia="Andale Sans UI" w:cs="Tahoma"/>
                    <w:b/>
                    <w:bCs/>
                    <w:lang w:bidi="en-US"/>
                  </w:rPr>
                  <w:t xml:space="preserve">straipsnio pripažinimo netekusiu galios įstatymo </w:t>
                </w:r>
                <w:r>
                  <w:rPr>
                    <w:b/>
                    <w:bCs/>
                    <w:lang w:eastAsia="ar-SA"/>
                  </w:rPr>
                  <w:t>projektas (toliau – Įstatymo projektas)</w:t>
                </w:r>
              </w:p>
            </w:tc>
            <w:tc>
              <w:tcPr>
                <w:tcW w:w="5072" w:type="dxa"/>
                <w:gridSpan w:val="2"/>
                <w:tcBorders>
                  <w:top w:val="single" w:sz="4" w:space="0" w:color="auto"/>
                  <w:left w:val="single" w:sz="4" w:space="0" w:color="auto"/>
                  <w:bottom w:val="single" w:sz="4" w:space="0" w:color="auto"/>
                  <w:right w:val="single" w:sz="4" w:space="0" w:color="auto"/>
                </w:tcBorders>
              </w:tcPr>
              <w:p w14:paraId="62628DE7" w14:textId="77777777">
                <w:pPr>
                  <w:jc w:val="both"/>
                  <w:rPr>
                    <w:sz w:val="20"/>
                  </w:rPr>
                </w:pPr>
              </w:p>
              <w:p w14:paraId="06601050" w14:textId="77777777">
                <w:pPr>
                  <w:tabs>
                    <w:tab w:val="left" w:pos="567"/>
                  </w:tabs>
                  <w:suppressAutoHyphens/>
                  <w:jc w:val="both"/>
                  <w:rPr>
                    <w:b/>
                    <w:bCs/>
                    <w:szCs w:val="24"/>
                  </w:rPr>
                </w:pPr>
              </w:p>
              <w:p w14:paraId="7B1F982C" w14:textId="77777777">
                <w:pPr>
                  <w:tabs>
                    <w:tab w:val="left" w:pos="567"/>
                  </w:tabs>
                  <w:suppressAutoHyphens/>
                  <w:jc w:val="both"/>
                  <w:rPr>
                    <w:b/>
                    <w:bCs/>
                    <w:szCs w:val="24"/>
                  </w:rPr>
                </w:pPr>
              </w:p>
              <w:p w14:paraId="79EACCC7" w14:textId="2E5E84F6">
                <w:pPr>
                  <w:tabs>
                    <w:tab w:val="left" w:pos="567"/>
                  </w:tabs>
                  <w:suppressAutoHyphens/>
                  <w:jc w:val="both"/>
                  <w:rPr>
                    <w:b/>
                    <w:bCs/>
                    <w:szCs w:val="24"/>
                    <w:lang w:eastAsia="ar-SA"/>
                  </w:rPr>
                </w:pPr>
                <w:r>
                  <w:rPr>
                    <w:b/>
                    <w:bCs/>
                    <w:szCs w:val="24"/>
                  </w:rPr>
                  <w:t xml:space="preserve">ES teisės akto </w:t>
                </w:r>
                <w:r>
                  <w:rPr>
                    <w:b/>
                    <w:szCs w:val="24"/>
                    <w:lang w:eastAsia="lt-LT"/>
                  </w:rPr>
                  <w:t>perkėlimo (įgyvendinimo) lygis</w:t>
                </w:r>
              </w:p>
            </w:tc>
          </w:tr>
          <w:tr w14:paraId="43B6C66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8"/>
            </w:trPr>
            <w:tc>
              <w:tcPr>
                <w:tcW w:w="4900" w:type="dxa"/>
                <w:tcBorders>
                  <w:top w:val="single" w:sz="4" w:space="0" w:color="auto"/>
                  <w:left w:val="single" w:sz="4" w:space="0" w:color="auto"/>
                  <w:bottom w:val="single" w:sz="4" w:space="0" w:color="auto"/>
                  <w:right w:val="single" w:sz="4" w:space="0" w:color="auto"/>
                </w:tcBorders>
              </w:tcPr>
              <w:p w14:paraId="254AE868" w14:textId="43B0D418">
                <w:pPr>
                  <w:jc w:val="both"/>
                  <w:rPr>
                    <w:b/>
                    <w:szCs w:val="24"/>
                    <w:lang w:eastAsia="lt-LT"/>
                  </w:rPr>
                </w:pPr>
                <w:r>
                  <w:rPr>
                    <w:b/>
                    <w:szCs w:val="24"/>
                    <w:lang w:val="en-GB" w:eastAsia="lt-LT"/>
                  </w:rPr>
                  <w:t>25</w:t>
                </w:r>
                <w:r>
                  <w:rPr>
                    <w:b/>
                    <w:szCs w:val="24"/>
                    <w:lang w:eastAsia="lt-LT"/>
                  </w:rPr>
                  <w:t xml:space="preserve"> straipsnio 2 dalies a, b, c punktai:</w:t>
                </w:r>
              </w:p>
              <w:p w14:paraId="28CD7941" w14:textId="4ADBBA9F">
                <w:pPr>
                  <w:ind w:left="32" w:firstLine="425"/>
                  <w:jc w:val="both"/>
                  <w:rPr>
                    <w:bCs/>
                    <w:szCs w:val="24"/>
                    <w:lang w:eastAsia="lt-LT"/>
                  </w:rPr>
                </w:pPr>
                <w:r>
                  <w:rPr>
                    <w:bCs/>
                    <w:szCs w:val="24"/>
                    <w:lang w:eastAsia="lt-LT"/>
                  </w:rPr>
                  <w:t>1.</w:t>
                  <w:tab/>
                  <w:t>1 dalyje numatytos sankcijos turi būti veiksmingos, proporcingos ir atgrasomos. Tos sankcijos turi apimti:</w:t>
                </w:r>
              </w:p>
              <w:p w14:paraId="6E21C1F4" w14:textId="77777777">
                <w:pPr>
                  <w:jc w:val="both"/>
                  <w:rPr>
                    <w:bCs/>
                    <w:szCs w:val="24"/>
                    <w:lang w:eastAsia="lt-LT"/>
                  </w:rPr>
                </w:pPr>
                <w:r>
                  <w:rPr>
                    <w:bCs/>
                    <w:szCs w:val="24"/>
                    <w:lang w:eastAsia="lt-LT"/>
                  </w:rPr>
                  <w:t xml:space="preserve">a) baudas, proporcingas aplinkai padarytai žalai ir atitinkamų biržos prekių ar atitinkamų produktų vertei, tokių baudų dydį skaičiuojant taip, kad būtų užtikrinta, kad atsakingi asmenys veiksmingai netektų įvykdžius šiuos pažeidimus gautos ekonominės naudos, ir laipsniškai didinant tokių baudų dydį už pakartotinius pažeidimus; juridinio asmens atveju, didžiausia tokios baudos suma turi būti ne mažesnė kaip 4 %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Cs/>
                      <w:szCs w:val="24"/>
                      <w:lang w:eastAsia="lt-LT"/>
                      <w:u w:val="single"/>
                      <w:color w:val="0000FF" w:themeColor="hyperlink"/>
                    </w:rPr>
                    <w:t>(EB) Nr. 139/2004</w:t>
                  </w:r>
                </w:fldSimple>
                <w:r>
                  <w:rPr>
                    <w:bCs/>
                    <w:szCs w:val="24"/>
                    <w:lang w:eastAsia="lt-LT"/>
                  </w:rPr>
                  <w:t xml:space="preserve"> (24) 5 straipsnio 1 dalyje nustatytą įmonių bendros apyvartos apskaičiavimą, ir prireikus padidinama, kad viršytų galimą įgyjamą ekonominę naudą;</w:t>
                </w:r>
              </w:p>
              <w:p w14:paraId="2078EF56" w14:textId="77777777">
                <w:pPr>
                  <w:jc w:val="both"/>
                  <w:rPr>
                    <w:bCs/>
                    <w:szCs w:val="24"/>
                    <w:lang w:eastAsia="lt-LT"/>
                  </w:rPr>
                </w:pPr>
                <w:r>
                  <w:rPr>
                    <w:bCs/>
                    <w:szCs w:val="24"/>
                    <w:lang w:eastAsia="lt-LT"/>
                  </w:rPr>
                  <w:t>b) atitinkamų produktų konfiskavimą iš veiklos vykdytojo ir (arba) prekiautojo;</w:t>
                </w:r>
              </w:p>
              <w:p w14:paraId="1D10D5B8" w14:textId="77777777">
                <w:pPr>
                  <w:jc w:val="both"/>
                  <w:rPr>
                    <w:bCs/>
                    <w:szCs w:val="24"/>
                    <w:lang w:eastAsia="lt-LT"/>
                  </w:rPr>
                </w:pPr>
                <w:r>
                  <w:rPr>
                    <w:bCs/>
                    <w:szCs w:val="24"/>
                    <w:lang w:eastAsia="lt-LT"/>
                  </w:rPr>
                  <w:t xml:space="preserve">c) pajamų, kurias veiklos vykdytojas ir (arba) prekiautojas gavo iš sandorio, susijusio su atitinkamais produktais, </w:t>
                </w:r>
              </w:p>
              <w:p w14:paraId="5AB7DC9D" w14:textId="29E3C73E">
                <w:pPr>
                  <w:jc w:val="both"/>
                  <w:rPr>
                    <w:bCs/>
                    <w:szCs w:val="24"/>
                    <w:lang w:eastAsia="lt-LT"/>
                  </w:rPr>
                </w:pPr>
                <w:r>
                  <w:rPr>
                    <w:bCs/>
                    <w:szCs w:val="24"/>
                    <w:lang w:eastAsia="lt-LT"/>
                  </w:rPr>
                  <w:t>konfiskavimą;</w:t>
                </w:r>
              </w:p>
            </w:tc>
            <w:tc>
              <w:tcPr>
                <w:tcW w:w="4900" w:type="dxa"/>
                <w:tcBorders>
                  <w:top w:val="single" w:sz="4" w:space="0" w:color="auto"/>
                  <w:left w:val="single" w:sz="4" w:space="0" w:color="auto"/>
                  <w:bottom w:val="single" w:sz="4" w:space="0" w:color="auto"/>
                  <w:right w:val="single" w:sz="4" w:space="0" w:color="auto"/>
                </w:tcBorders>
              </w:tcPr>
              <w:p w14:paraId="4672E206" w14:textId="3FD1F052">
                <w:pPr>
                  <w:shd w:val="clear" w:color="auto" w:fill="FFFFFF"/>
                  <w:ind w:firstLine="450"/>
                  <w:jc w:val="both"/>
                  <w:rPr>
                    <w:color w:val="000000"/>
                  </w:rPr>
                </w:pPr>
                <w:r>
                  <w:rPr>
                    <w:color w:val="000000"/>
                    <w:szCs w:val="24"/>
                  </w:rPr>
                  <w:t>„</w:t>
                </w:r>
                <w:r>
                  <w:rPr>
                    <w:b/>
                    <w:bCs/>
                    <w:color w:val="000000"/>
                  </w:rPr>
                  <w:t>118</w:t>
                </w:r>
                <w:r>
                  <w:rPr>
                    <w:b/>
                    <w:bCs/>
                    <w:color w:val="000000"/>
                    <w:vertAlign w:val="superscript"/>
                  </w:rPr>
                  <w:t xml:space="preserve">2 </w:t>
                </w:r>
                <w:r>
                  <w:rPr>
                    <w:b/>
                    <w:bCs/>
                    <w:color w:val="000000"/>
                    <w:szCs w:val="24"/>
                  </w:rPr>
                  <w:t xml:space="preserve">straipsnis. Juridinių asmenų atsakomybė už Reglamente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nustatytų reikalavimų, susijusių su informacijos saugojimu ir teikimu Vyriausybės įgaliotoms kompetentingoms institucijoms, išsamaus patikrinimo sistemos </w:t>
                </w:r>
                <w:r>
                  <w:rPr>
                    <w:b/>
                    <w:bCs/>
                    <w:szCs w:val="24"/>
                  </w:rPr>
                  <w:t>netaikymu arba šios sistemos reikalavimų pažeidimu</w:t>
                </w:r>
                <w:r>
                  <w:rPr>
                    <w:b/>
                    <w:bCs/>
                    <w:color w:val="000000"/>
                    <w:szCs w:val="24"/>
                  </w:rPr>
                  <w:t xml:space="preserve">, Reglamento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I priede nurodytų produktų pateikimu, tiekimu rinkai, eksportu, pažeidimą</w:t>
                </w:r>
              </w:p>
              <w:p w14:paraId="5EE89A67" w14:textId="49352F32">
                <w:pPr>
                  <w:shd w:val="clear" w:color="auto" w:fill="FFFFFF"/>
                  <w:ind w:firstLine="450"/>
                  <w:jc w:val="both"/>
                </w:pPr>
                <w:r>
                  <w:rPr>
                    <w:b/>
                    <w:bCs/>
                    <w:color w:val="000000"/>
                    <w:szCs w:val="24"/>
                  </w:rPr>
                  <w:t xml:space="preserve">Reglamente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nustatytų informacijos saugojimo ir teikimo Vyriausybės įgaliotoms kompetentingoms institucijoms reikalavimų pažeidimas po rašytinio įspėjimo užtraukia baudą nuo šešių šimtų iki vieno tūkstančio eurų. </w:t>
                </w:r>
                <w:r>
                  <w:rPr>
                    <w:b/>
                    <w:bCs/>
                    <w:szCs w:val="24"/>
                  </w:rPr>
                  <w:t>Rašytinis įspėjimas taikomas, jei dar įmanoma atlikti taisomuosius veiksmus.</w:t>
                </w:r>
              </w:p>
              <w:p w14:paraId="43E314B2" w14:textId="241206DC">
                <w:pPr>
                  <w:shd w:val="clear" w:color="auto" w:fill="FFFFFF"/>
                  <w:ind w:firstLine="450"/>
                  <w:jc w:val="both"/>
                  <w:rPr>
                    <w:color w:val="000000"/>
                    <w:szCs w:val="24"/>
                  </w:rPr>
                </w:pPr>
                <w:r>
                  <w:rPr>
                    <w:b/>
                    <w:bCs/>
                    <w:color w:val="000000"/>
                    <w:szCs w:val="24"/>
                  </w:rPr>
                  <w:t xml:space="preserve">Šio straipsnio pirmojoje dalyje numatytas pažeidimas, padarytas pakartotinai, užtraukia baudą, kurios dydis nuo 0,5 procentų iki 1 procento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color w:val="0000FF" w:themeColor="hyperlink"/>
                      <w:szCs w:val="24"/>
                      <w:u w:val="single"/>
                    </w:rPr>
                    <w:t>(EB) Nr. 139/2004</w:t>
                  </w:r>
                </w:fldSimple>
                <w:r>
                  <w:rPr>
                    <w:b/>
                    <w:bCs/>
                    <w:color w:val="000000"/>
                    <w:szCs w:val="24"/>
                  </w:rPr>
                  <w:t xml:space="preserve"> (24) 5 straipsnio 1 dalyje nustatytą įmonių bendros apyvartos apskaičiavimą.</w:t>
                </w:r>
              </w:p>
              <w:p w14:paraId="6840FA5C" w14:textId="393D12A4">
                <w:pPr>
                  <w:shd w:val="clear" w:color="auto" w:fill="FFFFFF"/>
                  <w:ind w:firstLine="540"/>
                  <w:jc w:val="both"/>
                  <w:rPr>
                    <w:szCs w:val="24"/>
                  </w:rPr>
                </w:pPr>
                <w:r>
                  <w:rPr>
                    <w:b/>
                    <w:bCs/>
                    <w:color w:val="000000"/>
                    <w:szCs w:val="24"/>
                  </w:rPr>
                  <w:t xml:space="preserve">Reglamente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nustatytos išsamaus patikrinimo sistemos netaikymas arba šios sistemos reikalavimų pažeidimas po rašytinio įspėjimo užtraukia baudą, kurios dydis nuo 1 procento iki 2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color w:val="0000FF" w:themeColor="hyperlink"/>
                      <w:szCs w:val="24"/>
                      <w:u w:val="single"/>
                    </w:rPr>
                    <w:t>(EB) Nr. 139/2004</w:t>
                  </w:r>
                </w:fldSimple>
                <w:r>
                  <w:rPr>
                    <w:b/>
                    <w:bCs/>
                    <w:color w:val="000000"/>
                    <w:szCs w:val="24"/>
                  </w:rPr>
                  <w:t xml:space="preserve"> (24) 5 straipsnio 1 dalyje nustatytą įmonių bendros apyvartos apskaičiavimą. </w:t>
                </w:r>
                <w:r>
                  <w:rPr>
                    <w:b/>
                    <w:bCs/>
                    <w:szCs w:val="24"/>
                  </w:rPr>
                  <w:t>Rašytinis įspėjimas taikomas, jei dar įmanoma atlikti taisomuosius veiksmus.</w:t>
                </w:r>
              </w:p>
              <w:p w14:paraId="1A434AEC" w14:textId="70E088B7">
                <w:pPr>
                  <w:shd w:val="clear" w:color="auto" w:fill="FFFFFF"/>
                  <w:ind w:firstLine="450"/>
                  <w:jc w:val="both"/>
                  <w:rPr>
                    <w:color w:val="000000"/>
                    <w:szCs w:val="24"/>
                  </w:rPr>
                </w:pPr>
                <w:r>
                  <w:rPr>
                    <w:b/>
                    <w:bCs/>
                    <w:color w:val="000000"/>
                    <w:szCs w:val="24"/>
                  </w:rPr>
                  <w:t xml:space="preserve">Šio straipsnio trečiojoje dalyje numatytas pažeidimas, padarytas pakartotinai, užtraukia baudą, kurios dydis nuo 2 procentų iki 3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color w:val="0000FF" w:themeColor="hyperlink"/>
                      <w:szCs w:val="24"/>
                      <w:u w:val="single"/>
                    </w:rPr>
                    <w:t>(EB) Nr. 139/2004</w:t>
                  </w:r>
                </w:fldSimple>
                <w:r>
                  <w:rPr>
                    <w:b/>
                    <w:bCs/>
                    <w:color w:val="000000"/>
                    <w:szCs w:val="24"/>
                  </w:rPr>
                  <w:t xml:space="preserve"> (24) 5 straipsnio 1 dalyje nustatytą įmonių bendros apyvartos apskaičiavimą.</w:t>
                </w:r>
              </w:p>
              <w:p w14:paraId="20F75FC9" w14:textId="0A2DB120">
                <w:pPr>
                  <w:shd w:val="clear" w:color="auto" w:fill="FFFFFF"/>
                  <w:ind w:firstLine="540"/>
                  <w:jc w:val="both"/>
                  <w:rPr>
                    <w:color w:val="000000"/>
                    <w:szCs w:val="24"/>
                  </w:rPr>
                </w:pPr>
                <w:r>
                  <w:rPr>
                    <w:b/>
                    <w:bCs/>
                    <w:color w:val="000000"/>
                    <w:szCs w:val="24"/>
                  </w:rPr>
                  <w:t xml:space="preserve">Reglamento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I priede nurodytų produktų pateikimas arba tiekimas rinkai arba eksportas pažeidžiant Reglamento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3 straipsnyje nustatytus reikalavimus užtraukia baudą, kurios dydis nuo 3 procentų iki 4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color w:val="0000FF" w:themeColor="hyperlink"/>
                      <w:szCs w:val="24"/>
                      <w:u w:val="single"/>
                    </w:rPr>
                    <w:t>(EB) Nr. 139/2004</w:t>
                  </w:r>
                </w:fldSimple>
                <w:r>
                  <w:rPr>
                    <w:b/>
                    <w:bCs/>
                    <w:color w:val="000000"/>
                    <w:szCs w:val="24"/>
                  </w:rPr>
                  <w:t xml:space="preserve"> (24) 5 straipsnio 1 dalyje nustatytą įmonių bendros apyvartos apskaičiavimą ir skiriamas Reglamento I priede nurodytų produktų konfiskavimas ir(arba) iš sandorio gautų pajamų konfiskavimas – jei produktai jau parduoti.</w:t>
                </w:r>
              </w:p>
              <w:p w14:paraId="5A975976" w14:textId="220DC2BD">
                <w:pPr>
                  <w:shd w:val="clear" w:color="auto" w:fill="FFFFFF"/>
                  <w:ind w:firstLine="540"/>
                  <w:jc w:val="both"/>
                  <w:rPr>
                    <w:color w:val="000000"/>
                    <w:szCs w:val="24"/>
                  </w:rPr>
                </w:pPr>
                <w:r>
                  <w:rPr>
                    <w:b/>
                    <w:bCs/>
                    <w:color w:val="000000"/>
                    <w:szCs w:val="24"/>
                  </w:rPr>
                  <w:t xml:space="preserve">Šio straipsnio penktojoje dalyje numatytas pažeidimas, padarytas pakartotinai, užtraukia baudą, kurios dydis nuo 4 procentų iki 8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color w:val="0000FF" w:themeColor="hyperlink"/>
                      <w:szCs w:val="24"/>
                      <w:u w:val="single"/>
                    </w:rPr>
                    <w:t>(EB) Nr. 139/2004</w:t>
                  </w:r>
                </w:fldSimple>
                <w:r>
                  <w:rPr>
                    <w:b/>
                    <w:bCs/>
                    <w:color w:val="000000"/>
                    <w:szCs w:val="24"/>
                  </w:rPr>
                  <w:t xml:space="preserve"> (24) 5 straipsnio 1 dalyje nustatytą įmonių bendros apyvartos apskaičiavimą ir skiriamas Reglamento I priede nurodytų produktų konfiskavimas ir(arba) iš sandorio gautų pajamų konfiskavimas – jei produktai jau parduoti</w:t>
                </w:r>
              </w:p>
            </w:tc>
            <w:tc>
              <w:tcPr>
                <w:tcW w:w="5072" w:type="dxa"/>
                <w:gridSpan w:val="2"/>
                <w:tcBorders>
                  <w:top w:val="single" w:sz="4" w:space="0" w:color="auto"/>
                  <w:left w:val="single" w:sz="4" w:space="0" w:color="auto"/>
                  <w:bottom w:val="single" w:sz="4" w:space="0" w:color="auto"/>
                  <w:right w:val="single" w:sz="4" w:space="0" w:color="auto"/>
                </w:tcBorders>
              </w:tcPr>
              <w:p w14:paraId="3E88DA5A" w14:textId="77777777">
                <w:pPr>
                  <w:jc w:val="center"/>
                  <w:rPr>
                    <w:b/>
                    <w:bCs/>
                    <w:szCs w:val="24"/>
                    <w:lang w:eastAsia="ar-SA"/>
                  </w:rPr>
                </w:pPr>
                <w:r>
                  <w:rPr>
                    <w:b/>
                    <w:bCs/>
                    <w:szCs w:val="24"/>
                    <w:lang w:eastAsia="ar-SA"/>
                  </w:rPr>
                  <w:t>Dalinis.</w:t>
                </w:r>
              </w:p>
              <w:p w14:paraId="7B4FE951" w14:textId="3D3821DF">
                <w:pPr>
                  <w:jc w:val="center"/>
                  <w:rPr>
                    <w:lang w:eastAsia="ar-SA"/>
                  </w:rPr>
                </w:pPr>
                <w:r>
                  <w:rPr>
                    <w:lang w:eastAsia="ar-SA"/>
                  </w:rPr>
                  <w:t xml:space="preserve">Sankcijos fiziniams asmenims nustatomos  Lietuvos Respublikos  administracinių nusižengimų kodekso 12, 27, 29, 243</w:t>
                </w:r>
                <w:r>
                  <w:rPr>
                    <w:vertAlign w:val="superscript"/>
                    <w:lang w:eastAsia="ar-SA"/>
                  </w:rPr>
                  <w:t>1</w:t>
                </w:r>
                <w:r>
                  <w:rPr>
                    <w:lang w:eastAsia="ar-SA"/>
                  </w:rPr>
                  <w:t>, 251, 304</w:t>
                </w:r>
                <w:r>
                  <w:rPr>
                    <w:vertAlign w:val="superscript"/>
                    <w:lang w:eastAsia="ar-SA"/>
                  </w:rPr>
                  <w:t>2</w:t>
                </w:r>
                <w:r>
                  <w:rPr>
                    <w:lang w:eastAsia="ar-SA"/>
                  </w:rPr>
                  <w:t>, 308</w:t>
                </w:r>
                <w:r>
                  <w:rPr>
                    <w:vertAlign w:val="superscript"/>
                    <w:lang w:eastAsia="ar-SA"/>
                  </w:rPr>
                  <w:t>1</w:t>
                </w:r>
                <w:r>
                  <w:rPr>
                    <w:lang w:eastAsia="ar-SA"/>
                  </w:rPr>
                  <w:t>, 310, 589 straipsnių ir priedo pakeitimo, kodekso papildymo 31</w:t>
                </w:r>
                <w:r>
                  <w:rPr>
                    <w:vertAlign w:val="superscript"/>
                    <w:lang w:eastAsia="ar-SA"/>
                  </w:rPr>
                  <w:t>2</w:t>
                </w:r>
                <w:r>
                  <w:rPr>
                    <w:lang w:eastAsia="ar-SA"/>
                  </w:rPr>
                  <w:t>, 243</w:t>
                </w:r>
                <w:r>
                  <w:rPr>
                    <w:vertAlign w:val="superscript"/>
                    <w:lang w:eastAsia="ar-SA"/>
                  </w:rPr>
                  <w:t>2</w:t>
                </w:r>
                <w:r>
                  <w:rPr>
                    <w:lang w:eastAsia="ar-SA"/>
                  </w:rPr>
                  <w:t>, 270</w:t>
                </w:r>
                <w:r>
                  <w:rPr>
                    <w:vertAlign w:val="superscript"/>
                    <w:lang w:eastAsia="ar-SA"/>
                  </w:rPr>
                  <w:t>2</w:t>
                </w:r>
                <w:r>
                  <w:rPr>
                    <w:lang w:eastAsia="ar-SA"/>
                  </w:rPr>
                  <w:t xml:space="preserve"> straipsniais ir 243</w:t>
                </w:r>
                <w:r>
                  <w:rPr>
                    <w:vertAlign w:val="superscript"/>
                    <w:lang w:eastAsia="ar-SA"/>
                  </w:rPr>
                  <w:t>1</w:t>
                </w:r>
                <w:r>
                  <w:rPr>
                    <w:lang w:eastAsia="ar-SA"/>
                  </w:rPr>
                  <w:t xml:space="preserve"> straipsnio pripažinimo netekusiu galios įstatymo projekte. </w:t>
                </w:r>
              </w:p>
            </w:tc>
          </w:tr>
          <w:tr w14:paraId="44B61F6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4900" w:type="dxa"/>
                <w:tcBorders>
                  <w:top w:val="single" w:sz="4" w:space="0" w:color="auto"/>
                  <w:left w:val="single" w:sz="4" w:space="0" w:color="auto"/>
                  <w:bottom w:val="single" w:sz="4" w:space="0" w:color="auto"/>
                  <w:right w:val="single" w:sz="4" w:space="0" w:color="auto"/>
                </w:tcBorders>
              </w:tcPr>
              <w:p w14:paraId="030E3667" w14:textId="77777777">
                <w:pPr>
                  <w:jc w:val="both"/>
                  <w:rPr>
                    <w:b/>
                    <w:szCs w:val="24"/>
                    <w:lang w:eastAsia="lt-LT"/>
                  </w:rPr>
                </w:pPr>
                <w:r>
                  <w:rPr>
                    <w:b/>
                    <w:szCs w:val="24"/>
                    <w:lang w:val="sv-SE" w:eastAsia="lt-LT"/>
                  </w:rPr>
                  <w:t>25</w:t>
                </w:r>
                <w:r>
                  <w:rPr>
                    <w:b/>
                    <w:szCs w:val="24"/>
                    <w:lang w:eastAsia="lt-LT"/>
                  </w:rPr>
                  <w:t xml:space="preserve"> straipsnio 2 dalies e, f punktai:</w:t>
                </w:r>
              </w:p>
              <w:p w14:paraId="642BA89E" w14:textId="01C5244C">
                <w:pPr>
                  <w:jc w:val="both"/>
                  <w:rPr>
                    <w:bCs/>
                    <w:szCs w:val="24"/>
                    <w:lang w:eastAsia="lt-LT"/>
                  </w:rPr>
                </w:pPr>
                <w:r>
                  <w:rPr>
                    <w:bCs/>
                    <w:szCs w:val="24"/>
                    <w:lang w:eastAsia="lt-LT"/>
                  </w:rPr>
                  <w:t xml:space="preserve">e) laikiną draudimą pateikti ar tiekti rinkai arba atitinkamas biržos prekes ir produktus eksportuoti, jei padaromas </w:t>
                </w:r>
              </w:p>
              <w:p w14:paraId="79F0A2DE" w14:textId="77777777">
                <w:pPr>
                  <w:jc w:val="both"/>
                  <w:rPr>
                    <w:bCs/>
                    <w:szCs w:val="24"/>
                    <w:lang w:eastAsia="lt-LT"/>
                  </w:rPr>
                </w:pPr>
                <w:r>
                  <w:rPr>
                    <w:bCs/>
                    <w:szCs w:val="24"/>
                    <w:lang w:eastAsia="lt-LT"/>
                  </w:rPr>
                  <w:t>sunkus pažeidimas arba pakartotiniai pažeidimai;</w:t>
                </w:r>
              </w:p>
              <w:p w14:paraId="77B5335E" w14:textId="3BD52EAD">
                <w:pPr>
                  <w:jc w:val="both"/>
                  <w:rPr>
                    <w:b/>
                    <w:bCs/>
                    <w:lang w:eastAsia="lt-LT"/>
                  </w:rPr>
                </w:pPr>
                <w:r>
                  <w:rPr>
                    <w:lang w:eastAsia="lt-LT"/>
                  </w:rPr>
                  <w:t xml:space="preserve">f) draudimą taikyti 13 straipsnyje nustatytą supaprastintą išsamų patikrinimą, jei padaromas sunkus pažeidimas arba </w:t>
                </w:r>
                <w:r>
                  <w:rPr>
                    <w:lang w:val="en-GB" w:eastAsia="lt-LT"/>
                  </w:rPr>
                  <w:t>pakartotiniai pažeidimai.</w:t>
                </w:r>
              </w:p>
              <w:p w14:paraId="3374ECD7" w14:textId="77777777">
                <w:pPr>
                  <w:jc w:val="both"/>
                  <w:rPr>
                    <w:bCs/>
                    <w:szCs w:val="24"/>
                    <w:lang w:val="en-GB" w:eastAsia="lt-LT"/>
                  </w:rPr>
                </w:pPr>
              </w:p>
              <w:p w14:paraId="2600ACE1" w14:textId="74DFE996">
                <w:pPr>
                  <w:jc w:val="both"/>
                  <w:rPr>
                    <w:b/>
                    <w:szCs w:val="24"/>
                    <w:lang w:val="en-GB" w:eastAsia="lt-LT"/>
                  </w:rPr>
                </w:pPr>
              </w:p>
            </w:tc>
            <w:tc>
              <w:tcPr>
                <w:tcW w:w="4900" w:type="dxa"/>
                <w:tcBorders>
                  <w:top w:val="single" w:sz="4" w:space="0" w:color="auto"/>
                  <w:left w:val="single" w:sz="4" w:space="0" w:color="auto"/>
                  <w:bottom w:val="single" w:sz="4" w:space="0" w:color="auto"/>
                  <w:right w:val="single" w:sz="4" w:space="0" w:color="auto"/>
                </w:tcBorders>
              </w:tcPr>
              <w:p w14:paraId="6C370979" w14:textId="473A5F4E">
                <w:pPr>
                  <w:tabs>
                    <w:tab w:val="left" w:pos="567"/>
                  </w:tabs>
                  <w:jc w:val="both"/>
                  <w:rPr>
                    <w:b/>
                    <w:bCs/>
                    <w:color w:val="000000"/>
                    <w:szCs w:val="24"/>
                  </w:rPr>
                </w:pPr>
                <w:r>
                  <w:rPr>
                    <w:b/>
                    <w:bCs/>
                    <w:color w:val="000000"/>
                  </w:rPr>
                  <w:t>„118</w:t>
                </w:r>
                <w:r>
                  <w:rPr>
                    <w:b/>
                    <w:bCs/>
                    <w:color w:val="000000"/>
                    <w:vertAlign w:val="superscript"/>
                  </w:rPr>
                  <w:t xml:space="preserve">2 </w:t>
                </w:r>
                <w:r>
                  <w:rPr>
                    <w:b/>
                    <w:bCs/>
                    <w:color w:val="000000"/>
                    <w:szCs w:val="24"/>
                  </w:rPr>
                  <w:t xml:space="preserve">straipsnis. Juridinių asmenų atsakomybė už Reglamente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nustatytų reikalavimų, susijusių su informacijos saugojimu ir teikimu Vyriausybės įgaliotoms kompetentingoms institucijoms, išsamaus patikrinimo sistemos </w:t>
                </w:r>
                <w:r>
                  <w:rPr>
                    <w:b/>
                    <w:bCs/>
                    <w:szCs w:val="24"/>
                  </w:rPr>
                  <w:t xml:space="preserve">netaikymu arba  šios sistemos reikalavimų pažeidimu,</w:t>
                </w:r>
                <w:r>
                  <w:rPr>
                    <w:b/>
                    <w:bCs/>
                    <w:color w:val="000000"/>
                    <w:szCs w:val="24"/>
                  </w:rPr>
                  <w:t xml:space="preserve"> Reglamento </w:t>
                </w:r>
                <w:fldSimple w:instr="HYPERLINK http://eur-lex.europa.eu/legal-content/LIT/TXT/?uri=CELEX:33115R2023&amp;locale=lt \t _blank">
                  <w:r>
                    <w:rPr>
                      <w:b/>
                      <w:bCs/>
                      <w:color w:val="0000FF" w:themeColor="hyperlink"/>
                      <w:szCs w:val="24"/>
                      <w:u w:val="single"/>
                    </w:rPr>
                    <w:t>(ES) Nr. 2023/1115</w:t>
                  </w:r>
                </w:fldSimple>
                <w:r>
                  <w:rPr>
                    <w:b/>
                    <w:bCs/>
                    <w:color w:val="000000"/>
                    <w:szCs w:val="24"/>
                  </w:rPr>
                  <w:t xml:space="preserve"> I priede nurodytų produktų pateikimu, tiekimu rinkai, eksportu, pažeidimą</w:t>
                </w:r>
              </w:p>
              <w:p w14:paraId="502664D3" w14:textId="7E0A4CF3">
                <w:pPr>
                  <w:tabs>
                    <w:tab w:val="left" w:pos="567"/>
                  </w:tabs>
                  <w:jc w:val="both"/>
                  <w:rPr>
                    <w:b/>
                    <w:bCs/>
                  </w:rPr>
                </w:pPr>
                <w:r>
                  <w:rPr>
                    <w:b/>
                    <w:bCs/>
                  </w:rPr>
                  <w:t>&lt;...&gt;</w:t>
                </w:r>
              </w:p>
              <w:p w14:paraId="02F4F142" w14:textId="19ADAC6E">
                <w:pPr>
                  <w:tabs>
                    <w:tab w:val="left" w:pos="567"/>
                  </w:tabs>
                  <w:ind w:firstLine="450"/>
                  <w:jc w:val="both"/>
                  <w:rPr>
                    <w:b/>
                    <w:bCs/>
                  </w:rPr>
                </w:pPr>
                <w:r>
                  <w:rPr>
                    <w:b/>
                    <w:bCs/>
                  </w:rPr>
                  <w:t xml:space="preserve">Už dvejus ir daugiau metų iš eilės pasikartojančius šio straipsnio šeštojoje dalyje nurodytus pažeidimus skiriamas laikinas (vienų metų) draudimas pateikti rinkai arba tiekti rinkai arba eksportuoti Reglamento </w:t>
                </w:r>
                <w:fldSimple w:instr="HYPERLINK http://eur-lex.europa.eu/legal-content/LIT/TXT/?uri=CELEX:33115R2023&amp;locale=lt \t _blank">
                  <w:r>
                    <w:rPr>
                      <w:b/>
                      <w:bCs/>
                      <w:u w:val="single"/>
                      <w:color w:val="0000FF" w:themeColor="hyperlink"/>
                    </w:rPr>
                    <w:t>(ES) Nr. 2023/1115</w:t>
                  </w:r>
                </w:fldSimple>
                <w:r>
                  <w:rPr>
                    <w:b/>
                    <w:bCs/>
                  </w:rPr>
                  <w:t xml:space="preserve"> I priede nurodytus produktus ir skiriamas laikinas (vienų metų) draudimas taikyti Reglamento </w:t>
                </w:r>
                <w:fldSimple w:instr="HYPERLINK http://eur-lex.europa.eu/legal-content/LIT/TXT/?uri=CELEX:33115R2023&amp;locale=lt \t _blank">
                  <w:r>
                    <w:rPr>
                      <w:b/>
                      <w:bCs/>
                      <w:u w:val="single"/>
                      <w:color w:val="0000FF" w:themeColor="hyperlink"/>
                    </w:rPr>
                    <w:t>(ES) Nr. 2023/1115</w:t>
                  </w:r>
                </w:fldSimple>
                <w:r>
                  <w:rPr>
                    <w:b/>
                    <w:bCs/>
                  </w:rPr>
                  <w:t xml:space="preserve"> 13 straipsnyje nustatytą supaprastintą išsamų patikrinimą.“</w:t>
                </w:r>
              </w:p>
            </w:tc>
            <w:tc>
              <w:tcPr>
                <w:tcW w:w="5072" w:type="dxa"/>
                <w:gridSpan w:val="2"/>
                <w:tcBorders>
                  <w:top w:val="single" w:sz="4" w:space="0" w:color="auto"/>
                  <w:left w:val="single" w:sz="4" w:space="0" w:color="auto"/>
                  <w:bottom w:val="single" w:sz="4" w:space="0" w:color="auto"/>
                  <w:right w:val="single" w:sz="4" w:space="0" w:color="auto"/>
                </w:tcBorders>
              </w:tcPr>
              <w:p w14:paraId="26C5B3D5" w14:textId="77777777">
                <w:pPr>
                  <w:jc w:val="center"/>
                  <w:rPr>
                    <w:b/>
                    <w:bCs/>
                    <w:szCs w:val="24"/>
                    <w:lang w:eastAsia="ar-SA"/>
                  </w:rPr>
                </w:pPr>
                <w:r>
                  <w:rPr>
                    <w:b/>
                    <w:bCs/>
                    <w:szCs w:val="24"/>
                    <w:lang w:eastAsia="ar-SA"/>
                  </w:rPr>
                  <w:t>Dalinis.</w:t>
                </w:r>
              </w:p>
              <w:p w14:paraId="09D82954" w14:textId="7CFCDCA3">
                <w:pPr>
                  <w:jc w:val="center"/>
                  <w:rPr>
                    <w:b/>
                    <w:bCs/>
                    <w:lang w:eastAsia="ar-SA"/>
                  </w:rPr>
                </w:pPr>
                <w:r>
                  <w:rPr>
                    <w:lang w:eastAsia="ar-SA"/>
                  </w:rPr>
                  <w:t xml:space="preserve">Sankcijos fiziniams asmenims nustatomos  Lietuvos Respublikos  administracinių nusižengimų kodekso 12, 27, 29, 243</w:t>
                </w:r>
                <w:r>
                  <w:rPr>
                    <w:vertAlign w:val="superscript"/>
                    <w:lang w:eastAsia="ar-SA"/>
                  </w:rPr>
                  <w:t>1</w:t>
                </w:r>
                <w:r>
                  <w:rPr>
                    <w:lang w:eastAsia="ar-SA"/>
                  </w:rPr>
                  <w:t>, 251, 304</w:t>
                </w:r>
                <w:r>
                  <w:rPr>
                    <w:vertAlign w:val="superscript"/>
                    <w:lang w:eastAsia="ar-SA"/>
                  </w:rPr>
                  <w:t>2</w:t>
                </w:r>
                <w:r>
                  <w:rPr>
                    <w:lang w:eastAsia="ar-SA"/>
                  </w:rPr>
                  <w:t>, 308</w:t>
                </w:r>
                <w:r>
                  <w:rPr>
                    <w:vertAlign w:val="superscript"/>
                    <w:lang w:eastAsia="ar-SA"/>
                  </w:rPr>
                  <w:t>1</w:t>
                </w:r>
                <w:r>
                  <w:rPr>
                    <w:lang w:eastAsia="ar-SA"/>
                  </w:rPr>
                  <w:t>, 310, 589 straipsnių ir priedo pakeitimo, kodekso papildymo 31</w:t>
                </w:r>
                <w:r>
                  <w:rPr>
                    <w:vertAlign w:val="superscript"/>
                    <w:lang w:eastAsia="ar-SA"/>
                  </w:rPr>
                  <w:t>2</w:t>
                </w:r>
                <w:r>
                  <w:rPr>
                    <w:lang w:eastAsia="ar-SA"/>
                  </w:rPr>
                  <w:t>, 243</w:t>
                </w:r>
                <w:r>
                  <w:rPr>
                    <w:vertAlign w:val="superscript"/>
                    <w:lang w:eastAsia="ar-SA"/>
                  </w:rPr>
                  <w:t>2</w:t>
                </w:r>
                <w:r>
                  <w:rPr>
                    <w:lang w:eastAsia="ar-SA"/>
                  </w:rPr>
                  <w:t>, 270</w:t>
                </w:r>
                <w:r>
                  <w:rPr>
                    <w:vertAlign w:val="superscript"/>
                    <w:lang w:eastAsia="ar-SA"/>
                  </w:rPr>
                  <w:t>2</w:t>
                </w:r>
                <w:r>
                  <w:rPr>
                    <w:lang w:eastAsia="ar-SA"/>
                  </w:rPr>
                  <w:t xml:space="preserve"> straipsniais ir 243</w:t>
                </w:r>
                <w:r>
                  <w:rPr>
                    <w:vertAlign w:val="superscript"/>
                    <w:lang w:eastAsia="ar-SA"/>
                  </w:rPr>
                  <w:t>1</w:t>
                </w:r>
                <w:r>
                  <w:rPr>
                    <w:lang w:eastAsia="ar-SA"/>
                  </w:rPr>
                  <w:t xml:space="preserve"> straipsnio pripažinimo netekusiu galios įstatymo projekte.</w:t>
                </w:r>
              </w:p>
            </w:tc>
          </w:tr>
        </w:tbl>
        <w:p w14:paraId="37F0A9B1" w14:textId="77777777">
          <w:pPr>
            <w:tabs>
              <w:tab w:val="left" w:pos="567"/>
            </w:tabs>
            <w:jc w:val="center"/>
            <w:rPr>
              <w:szCs w:val="24"/>
              <w:lang w:eastAsia="ar-SA"/>
            </w:rPr>
          </w:pPr>
        </w:p>
        <w:sdt>
          <w:sdtPr>
            <w:alias w:val="pabaiga"/>
            <w:tag w:val="part_7136d16063df4e48bb55a03a0cb0e686"/>
            <w:lock w:val="sdtLocked"/>
            <w:richText/>
          </w:sdtPr>
          <w:sdtContent>
            <w:p w14:paraId="5DF27CE0" w14:textId="2BCB7913">
              <w:pPr>
                <w:tabs>
                  <w:tab w:val="left" w:pos="567"/>
                </w:tabs>
                <w:jc w:val="center"/>
                <w:rPr>
                  <w:sz w:val="22"/>
                  <w:szCs w:val="22"/>
                </w:rPr>
              </w:pPr>
              <w:r>
                <w:rPr>
                  <w:szCs w:val="24"/>
                  <w:lang w:eastAsia="ar-SA"/>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851" w:right="737" w:bottom="851" w:left="1247"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38DFDC" w14:textId="77777777">
      <w:pPr>
        <w:rPr>
          <w:sz w:val="22"/>
          <w:szCs w:val="22"/>
        </w:rPr>
      </w:pPr>
      <w:r>
        <w:rPr>
          <w:sz w:val="22"/>
          <w:szCs w:val="22"/>
        </w:rPr>
        <w:separator/>
      </w:r>
    </w:p>
  </w:endnote>
  <w:endnote w:type="continuationSeparator" w:id="0">
    <w:p w14:paraId="6E3B1F2D" w14:textId="77777777">
      <w:pPr>
        <w:rPr>
          <w:sz w:val="22"/>
          <w:szCs w:val="22"/>
        </w:rPr>
      </w:pPr>
      <w:r>
        <w:rPr>
          <w:sz w:val="22"/>
          <w:szCs w:val="22"/>
        </w:rPr>
        <w:continuationSeparator/>
      </w:r>
    </w:p>
  </w:endnote>
  <w:endnote w:type="continuationNotice" w:id="1">
    <w:p w14:paraId="30ED65B3"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9AC88"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14:paraId="015FF3B1" w14:textId="77777777">
      <w:trPr>
        <w:trHeight w:val="300"/>
      </w:trPr>
      <w:tc>
        <w:tcPr>
          <w:tcW w:w="4950" w:type="dxa"/>
        </w:tcPr>
        <w:p w14:paraId="13ACED28" w14:textId="77777777">
          <w:pPr>
            <w:tabs>
              <w:tab w:val="center" w:pos="4819"/>
              <w:tab w:val="right" w:pos="9638"/>
            </w:tabs>
            <w:ind w:left="-115"/>
            <w:rPr>
              <w:sz w:val="22"/>
              <w:szCs w:val="22"/>
            </w:rPr>
          </w:pPr>
        </w:p>
      </w:tc>
      <w:tc>
        <w:tcPr>
          <w:tcW w:w="4950" w:type="dxa"/>
        </w:tcPr>
        <w:p w14:paraId="6C12C409" w14:textId="77777777">
          <w:pPr>
            <w:tabs>
              <w:tab w:val="center" w:pos="4819"/>
              <w:tab w:val="right" w:pos="9638"/>
            </w:tabs>
            <w:jc w:val="center"/>
            <w:rPr>
              <w:sz w:val="22"/>
              <w:szCs w:val="22"/>
            </w:rPr>
          </w:pPr>
        </w:p>
      </w:tc>
      <w:tc>
        <w:tcPr>
          <w:tcW w:w="4950" w:type="dxa"/>
        </w:tcPr>
        <w:p w14:paraId="26F7896D" w14:textId="77777777">
          <w:pPr>
            <w:tabs>
              <w:tab w:val="center" w:pos="4819"/>
              <w:tab w:val="right" w:pos="9638"/>
            </w:tabs>
            <w:ind w:right="-115"/>
            <w:jc w:val="right"/>
            <w:rPr>
              <w:sz w:val="22"/>
              <w:szCs w:val="22"/>
            </w:rPr>
          </w:pPr>
        </w:p>
      </w:tc>
    </w:tr>
  </w:tbl>
  <w:p w14:paraId="59147FA7"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950"/>
      <w:gridCol w:w="4950"/>
      <w:gridCol w:w="4950"/>
    </w:tblGrid>
    <w:tr w14:paraId="15DF8006" w14:textId="77777777">
      <w:trPr>
        <w:trHeight w:val="300"/>
      </w:trPr>
      <w:tc>
        <w:tcPr>
          <w:tcW w:w="4950" w:type="dxa"/>
        </w:tcPr>
        <w:p w14:paraId="42EA43FA" w14:textId="77777777">
          <w:pPr>
            <w:tabs>
              <w:tab w:val="center" w:pos="4819"/>
              <w:tab w:val="right" w:pos="9638"/>
            </w:tabs>
            <w:ind w:left="-115"/>
            <w:rPr>
              <w:sz w:val="22"/>
              <w:szCs w:val="22"/>
            </w:rPr>
          </w:pPr>
        </w:p>
      </w:tc>
      <w:tc>
        <w:tcPr>
          <w:tcW w:w="4950" w:type="dxa"/>
        </w:tcPr>
        <w:p w14:paraId="303EACD5" w14:textId="77777777">
          <w:pPr>
            <w:tabs>
              <w:tab w:val="center" w:pos="4819"/>
              <w:tab w:val="right" w:pos="9638"/>
            </w:tabs>
            <w:jc w:val="center"/>
            <w:rPr>
              <w:sz w:val="22"/>
              <w:szCs w:val="22"/>
            </w:rPr>
          </w:pPr>
        </w:p>
      </w:tc>
      <w:tc>
        <w:tcPr>
          <w:tcW w:w="4950" w:type="dxa"/>
        </w:tcPr>
        <w:p w14:paraId="6F792724" w14:textId="77777777">
          <w:pPr>
            <w:tabs>
              <w:tab w:val="center" w:pos="4819"/>
              <w:tab w:val="right" w:pos="9638"/>
            </w:tabs>
            <w:ind w:right="-115"/>
            <w:jc w:val="right"/>
            <w:rPr>
              <w:sz w:val="22"/>
              <w:szCs w:val="22"/>
            </w:rPr>
          </w:pPr>
        </w:p>
      </w:tc>
    </w:tr>
  </w:tbl>
  <w:p w14:paraId="3A3F280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B8B5C5" w14:textId="77777777">
      <w:pPr>
        <w:rPr>
          <w:sz w:val="22"/>
          <w:szCs w:val="22"/>
        </w:rPr>
      </w:pPr>
      <w:r>
        <w:rPr>
          <w:sz w:val="22"/>
          <w:szCs w:val="22"/>
        </w:rPr>
        <w:separator/>
      </w:r>
    </w:p>
  </w:footnote>
  <w:footnote w:type="continuationSeparator" w:id="0">
    <w:p w14:paraId="69BFD3B8" w14:textId="77777777">
      <w:pPr>
        <w:rPr>
          <w:sz w:val="22"/>
          <w:szCs w:val="22"/>
        </w:rPr>
      </w:pPr>
      <w:r>
        <w:rPr>
          <w:sz w:val="22"/>
          <w:szCs w:val="22"/>
        </w:rPr>
        <w:continuationSeparator/>
      </w:r>
    </w:p>
  </w:footnote>
  <w:footnote w:type="continuationNotice" w:id="1">
    <w:p w14:paraId="121E6EBE"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B22F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F45A1"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14:paraId="620F081B"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96B39" w14:textId="77777777">
    <w:pPr>
      <w:tabs>
        <w:tab w:val="center" w:pos="4819"/>
        <w:tab w:val="right" w:pos="9638"/>
      </w:tabs>
    </w:pPr>
  </w:p>
</w:hdr>
</file>

<file path=word/intelligence2.xml><?xml version="1.0" encoding="utf-8"?>
<int2:intelligence xmlns:int2="http://schemas.microsoft.com/office/intelligence/2020/intelligence" xmlns:oel="http://schemas.microsoft.com/office/2019/extlst">
  <int2:observations>
    <int2:textHash int2:hashCode="XWKOipZrF7JESy" int2:id="crHsYWDZ">
      <int2:state int2:value="Rejected" int2:type="AugLoop_Text_Critique"/>
    </int2:textHash>
    <int2:textHash int2:hashCode="zTKjzDdY6Un1Ca" int2:id="ExzVmy0u">
      <int2:state int2:value="Rejected" int2:type="AugLoop_Text_Critique"/>
    </int2:textHash>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B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C5FB3"/>
  <w15:docId w15:val="{65694E01-3D1A-4A4C-8ADA-AD2104EA7D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57251">
      <w:bodyDiv w:val="1"/>
      <w:marLeft w:val="0"/>
      <w:marRight w:val="0"/>
      <w:marTop w:val="0"/>
      <w:marBottom w:val="0"/>
      <w:divBdr>
        <w:top w:val="none" w:sz="0" w:space="0" w:color="auto"/>
        <w:left w:val="none" w:sz="0" w:space="0" w:color="auto"/>
        <w:bottom w:val="none" w:sz="0" w:space="0" w:color="auto"/>
        <w:right w:val="none" w:sz="0" w:space="0" w:color="auto"/>
      </w:divBdr>
    </w:div>
    <w:div w:id="550314059">
      <w:bodyDiv w:val="1"/>
      <w:marLeft w:val="0"/>
      <w:marRight w:val="0"/>
      <w:marTop w:val="0"/>
      <w:marBottom w:val="0"/>
      <w:divBdr>
        <w:top w:val="none" w:sz="0" w:space="0" w:color="auto"/>
        <w:left w:val="none" w:sz="0" w:space="0" w:color="auto"/>
        <w:bottom w:val="none" w:sz="0" w:space="0" w:color="auto"/>
        <w:right w:val="none" w:sz="0" w:space="0" w:color="auto"/>
      </w:divBdr>
      <w:divsChild>
        <w:div w:id="1995990007">
          <w:marLeft w:val="0"/>
          <w:marRight w:val="0"/>
          <w:marTop w:val="0"/>
          <w:marBottom w:val="0"/>
          <w:divBdr>
            <w:top w:val="none" w:sz="0" w:space="0" w:color="auto"/>
            <w:left w:val="none" w:sz="0" w:space="0" w:color="auto"/>
            <w:bottom w:val="none" w:sz="0" w:space="0" w:color="auto"/>
            <w:right w:val="none" w:sz="0" w:space="0" w:color="auto"/>
          </w:divBdr>
        </w:div>
        <w:div w:id="686101593">
          <w:marLeft w:val="0"/>
          <w:marRight w:val="0"/>
          <w:marTop w:val="0"/>
          <w:marBottom w:val="0"/>
          <w:divBdr>
            <w:top w:val="none" w:sz="0" w:space="0" w:color="auto"/>
            <w:left w:val="none" w:sz="0" w:space="0" w:color="auto"/>
            <w:bottom w:val="none" w:sz="0" w:space="0" w:color="auto"/>
            <w:right w:val="none" w:sz="0" w:space="0" w:color="auto"/>
          </w:divBdr>
        </w:div>
        <w:div w:id="653218829">
          <w:marLeft w:val="0"/>
          <w:marRight w:val="0"/>
          <w:marTop w:val="0"/>
          <w:marBottom w:val="0"/>
          <w:divBdr>
            <w:top w:val="none" w:sz="0" w:space="0" w:color="auto"/>
            <w:left w:val="none" w:sz="0" w:space="0" w:color="auto"/>
            <w:bottom w:val="none" w:sz="0" w:space="0" w:color="auto"/>
            <w:right w:val="none" w:sz="0" w:space="0" w:color="auto"/>
          </w:divBdr>
        </w:div>
      </w:divsChild>
    </w:div>
    <w:div w:id="649286912">
      <w:bodyDiv w:val="1"/>
      <w:marLeft w:val="0"/>
      <w:marRight w:val="0"/>
      <w:marTop w:val="0"/>
      <w:marBottom w:val="0"/>
      <w:divBdr>
        <w:top w:val="none" w:sz="0" w:space="0" w:color="auto"/>
        <w:left w:val="none" w:sz="0" w:space="0" w:color="auto"/>
        <w:bottom w:val="none" w:sz="0" w:space="0" w:color="auto"/>
        <w:right w:val="none" w:sz="0" w:space="0" w:color="auto"/>
      </w:divBdr>
      <w:divsChild>
        <w:div w:id="1445152587">
          <w:marLeft w:val="0"/>
          <w:marRight w:val="0"/>
          <w:marTop w:val="0"/>
          <w:marBottom w:val="0"/>
          <w:divBdr>
            <w:top w:val="none" w:sz="0" w:space="0" w:color="auto"/>
            <w:left w:val="none" w:sz="0" w:space="0" w:color="auto"/>
            <w:bottom w:val="none" w:sz="0" w:space="0" w:color="auto"/>
            <w:right w:val="none" w:sz="0" w:space="0" w:color="auto"/>
          </w:divBdr>
        </w:div>
      </w:divsChild>
    </w:div>
    <w:div w:id="668364107">
      <w:bodyDiv w:val="1"/>
      <w:marLeft w:val="0"/>
      <w:marRight w:val="0"/>
      <w:marTop w:val="0"/>
      <w:marBottom w:val="0"/>
      <w:divBdr>
        <w:top w:val="none" w:sz="0" w:space="0" w:color="auto"/>
        <w:left w:val="none" w:sz="0" w:space="0" w:color="auto"/>
        <w:bottom w:val="none" w:sz="0" w:space="0" w:color="auto"/>
        <w:right w:val="none" w:sz="0" w:space="0" w:color="auto"/>
      </w:divBdr>
    </w:div>
    <w:div w:id="979573809">
      <w:bodyDiv w:val="1"/>
      <w:marLeft w:val="0"/>
      <w:marRight w:val="0"/>
      <w:marTop w:val="0"/>
      <w:marBottom w:val="0"/>
      <w:divBdr>
        <w:top w:val="none" w:sz="0" w:space="0" w:color="auto"/>
        <w:left w:val="none" w:sz="0" w:space="0" w:color="auto"/>
        <w:bottom w:val="none" w:sz="0" w:space="0" w:color="auto"/>
        <w:right w:val="none" w:sz="0" w:space="0" w:color="auto"/>
      </w:divBdr>
      <w:divsChild>
        <w:div w:id="120344749">
          <w:marLeft w:val="0"/>
          <w:marRight w:val="0"/>
          <w:marTop w:val="0"/>
          <w:marBottom w:val="0"/>
          <w:divBdr>
            <w:top w:val="none" w:sz="0" w:space="0" w:color="auto"/>
            <w:left w:val="none" w:sz="0" w:space="0" w:color="auto"/>
            <w:bottom w:val="none" w:sz="0" w:space="0" w:color="auto"/>
            <w:right w:val="none" w:sz="0" w:space="0" w:color="auto"/>
          </w:divBdr>
        </w:div>
        <w:div w:id="146747589">
          <w:marLeft w:val="0"/>
          <w:marRight w:val="0"/>
          <w:marTop w:val="0"/>
          <w:marBottom w:val="0"/>
          <w:divBdr>
            <w:top w:val="none" w:sz="0" w:space="0" w:color="auto"/>
            <w:left w:val="none" w:sz="0" w:space="0" w:color="auto"/>
            <w:bottom w:val="none" w:sz="0" w:space="0" w:color="auto"/>
            <w:right w:val="none" w:sz="0" w:space="0" w:color="auto"/>
          </w:divBdr>
        </w:div>
        <w:div w:id="533346873">
          <w:marLeft w:val="0"/>
          <w:marRight w:val="0"/>
          <w:marTop w:val="0"/>
          <w:marBottom w:val="0"/>
          <w:divBdr>
            <w:top w:val="none" w:sz="0" w:space="0" w:color="auto"/>
            <w:left w:val="none" w:sz="0" w:space="0" w:color="auto"/>
            <w:bottom w:val="none" w:sz="0" w:space="0" w:color="auto"/>
            <w:right w:val="none" w:sz="0" w:space="0" w:color="auto"/>
          </w:divBdr>
        </w:div>
        <w:div w:id="710350083">
          <w:marLeft w:val="0"/>
          <w:marRight w:val="0"/>
          <w:marTop w:val="0"/>
          <w:marBottom w:val="0"/>
          <w:divBdr>
            <w:top w:val="none" w:sz="0" w:space="0" w:color="auto"/>
            <w:left w:val="none" w:sz="0" w:space="0" w:color="auto"/>
            <w:bottom w:val="none" w:sz="0" w:space="0" w:color="auto"/>
            <w:right w:val="none" w:sz="0" w:space="0" w:color="auto"/>
          </w:divBdr>
        </w:div>
        <w:div w:id="857425837">
          <w:marLeft w:val="0"/>
          <w:marRight w:val="0"/>
          <w:marTop w:val="0"/>
          <w:marBottom w:val="0"/>
          <w:divBdr>
            <w:top w:val="none" w:sz="0" w:space="0" w:color="auto"/>
            <w:left w:val="none" w:sz="0" w:space="0" w:color="auto"/>
            <w:bottom w:val="none" w:sz="0" w:space="0" w:color="auto"/>
            <w:right w:val="none" w:sz="0" w:space="0" w:color="auto"/>
          </w:divBdr>
        </w:div>
        <w:div w:id="1084449772">
          <w:marLeft w:val="0"/>
          <w:marRight w:val="0"/>
          <w:marTop w:val="0"/>
          <w:marBottom w:val="0"/>
          <w:divBdr>
            <w:top w:val="none" w:sz="0" w:space="0" w:color="auto"/>
            <w:left w:val="none" w:sz="0" w:space="0" w:color="auto"/>
            <w:bottom w:val="none" w:sz="0" w:space="0" w:color="auto"/>
            <w:right w:val="none" w:sz="0" w:space="0" w:color="auto"/>
          </w:divBdr>
        </w:div>
        <w:div w:id="1162817456">
          <w:marLeft w:val="0"/>
          <w:marRight w:val="0"/>
          <w:marTop w:val="0"/>
          <w:marBottom w:val="0"/>
          <w:divBdr>
            <w:top w:val="none" w:sz="0" w:space="0" w:color="auto"/>
            <w:left w:val="none" w:sz="0" w:space="0" w:color="auto"/>
            <w:bottom w:val="none" w:sz="0" w:space="0" w:color="auto"/>
            <w:right w:val="none" w:sz="0" w:space="0" w:color="auto"/>
          </w:divBdr>
        </w:div>
        <w:div w:id="1594167615">
          <w:marLeft w:val="0"/>
          <w:marRight w:val="0"/>
          <w:marTop w:val="0"/>
          <w:marBottom w:val="0"/>
          <w:divBdr>
            <w:top w:val="none" w:sz="0" w:space="0" w:color="auto"/>
            <w:left w:val="none" w:sz="0" w:space="0" w:color="auto"/>
            <w:bottom w:val="none" w:sz="0" w:space="0" w:color="auto"/>
            <w:right w:val="none" w:sz="0" w:space="0" w:color="auto"/>
          </w:divBdr>
        </w:div>
        <w:div w:id="1608729519">
          <w:marLeft w:val="0"/>
          <w:marRight w:val="0"/>
          <w:marTop w:val="0"/>
          <w:marBottom w:val="0"/>
          <w:divBdr>
            <w:top w:val="none" w:sz="0" w:space="0" w:color="auto"/>
            <w:left w:val="none" w:sz="0" w:space="0" w:color="auto"/>
            <w:bottom w:val="none" w:sz="0" w:space="0" w:color="auto"/>
            <w:right w:val="none" w:sz="0" w:space="0" w:color="auto"/>
          </w:divBdr>
        </w:div>
        <w:div w:id="1749766482">
          <w:marLeft w:val="0"/>
          <w:marRight w:val="0"/>
          <w:marTop w:val="0"/>
          <w:marBottom w:val="0"/>
          <w:divBdr>
            <w:top w:val="none" w:sz="0" w:space="0" w:color="auto"/>
            <w:left w:val="none" w:sz="0" w:space="0" w:color="auto"/>
            <w:bottom w:val="none" w:sz="0" w:space="0" w:color="auto"/>
            <w:right w:val="none" w:sz="0" w:space="0" w:color="auto"/>
          </w:divBdr>
        </w:div>
      </w:divsChild>
    </w:div>
    <w:div w:id="1543900964">
      <w:bodyDiv w:val="1"/>
      <w:marLeft w:val="0"/>
      <w:marRight w:val="0"/>
      <w:marTop w:val="0"/>
      <w:marBottom w:val="0"/>
      <w:divBdr>
        <w:top w:val="none" w:sz="0" w:space="0" w:color="auto"/>
        <w:left w:val="none" w:sz="0" w:space="0" w:color="auto"/>
        <w:bottom w:val="none" w:sz="0" w:space="0" w:color="auto"/>
        <w:right w:val="none" w:sz="0" w:space="0" w:color="auto"/>
      </w:divBdr>
      <w:divsChild>
        <w:div w:id="328487107">
          <w:marLeft w:val="0"/>
          <w:marRight w:val="0"/>
          <w:marTop w:val="0"/>
          <w:marBottom w:val="0"/>
          <w:divBdr>
            <w:top w:val="none" w:sz="0" w:space="0" w:color="auto"/>
            <w:left w:val="none" w:sz="0" w:space="0" w:color="auto"/>
            <w:bottom w:val="none" w:sz="0" w:space="0" w:color="auto"/>
            <w:right w:val="none" w:sz="0" w:space="0" w:color="auto"/>
          </w:divBdr>
        </w:div>
        <w:div w:id="684284824">
          <w:marLeft w:val="0"/>
          <w:marRight w:val="0"/>
          <w:marTop w:val="0"/>
          <w:marBottom w:val="0"/>
          <w:divBdr>
            <w:top w:val="none" w:sz="0" w:space="0" w:color="auto"/>
            <w:left w:val="none" w:sz="0" w:space="0" w:color="auto"/>
            <w:bottom w:val="none" w:sz="0" w:space="0" w:color="auto"/>
            <w:right w:val="none" w:sz="0" w:space="0" w:color="auto"/>
          </w:divBdr>
        </w:div>
        <w:div w:id="895120821">
          <w:marLeft w:val="0"/>
          <w:marRight w:val="0"/>
          <w:marTop w:val="0"/>
          <w:marBottom w:val="0"/>
          <w:divBdr>
            <w:top w:val="none" w:sz="0" w:space="0" w:color="auto"/>
            <w:left w:val="none" w:sz="0" w:space="0" w:color="auto"/>
            <w:bottom w:val="none" w:sz="0" w:space="0" w:color="auto"/>
            <w:right w:val="none" w:sz="0" w:space="0" w:color="auto"/>
          </w:divBdr>
        </w:div>
        <w:div w:id="1137183777">
          <w:marLeft w:val="0"/>
          <w:marRight w:val="0"/>
          <w:marTop w:val="0"/>
          <w:marBottom w:val="0"/>
          <w:divBdr>
            <w:top w:val="none" w:sz="0" w:space="0" w:color="auto"/>
            <w:left w:val="none" w:sz="0" w:space="0" w:color="auto"/>
            <w:bottom w:val="none" w:sz="0" w:space="0" w:color="auto"/>
            <w:right w:val="none" w:sz="0" w:space="0" w:color="auto"/>
          </w:divBdr>
        </w:div>
        <w:div w:id="1192569629">
          <w:marLeft w:val="0"/>
          <w:marRight w:val="0"/>
          <w:marTop w:val="0"/>
          <w:marBottom w:val="0"/>
          <w:divBdr>
            <w:top w:val="none" w:sz="0" w:space="0" w:color="auto"/>
            <w:left w:val="none" w:sz="0" w:space="0" w:color="auto"/>
            <w:bottom w:val="none" w:sz="0" w:space="0" w:color="auto"/>
            <w:right w:val="none" w:sz="0" w:space="0" w:color="auto"/>
          </w:divBdr>
        </w:div>
        <w:div w:id="1324089476">
          <w:marLeft w:val="0"/>
          <w:marRight w:val="0"/>
          <w:marTop w:val="0"/>
          <w:marBottom w:val="0"/>
          <w:divBdr>
            <w:top w:val="none" w:sz="0" w:space="0" w:color="auto"/>
            <w:left w:val="none" w:sz="0" w:space="0" w:color="auto"/>
            <w:bottom w:val="none" w:sz="0" w:space="0" w:color="auto"/>
            <w:right w:val="none" w:sz="0" w:space="0" w:color="auto"/>
          </w:divBdr>
        </w:div>
        <w:div w:id="1340691890">
          <w:marLeft w:val="0"/>
          <w:marRight w:val="0"/>
          <w:marTop w:val="0"/>
          <w:marBottom w:val="0"/>
          <w:divBdr>
            <w:top w:val="none" w:sz="0" w:space="0" w:color="auto"/>
            <w:left w:val="none" w:sz="0" w:space="0" w:color="auto"/>
            <w:bottom w:val="none" w:sz="0" w:space="0" w:color="auto"/>
            <w:right w:val="none" w:sz="0" w:space="0" w:color="auto"/>
          </w:divBdr>
        </w:div>
        <w:div w:id="1449272661">
          <w:marLeft w:val="0"/>
          <w:marRight w:val="0"/>
          <w:marTop w:val="0"/>
          <w:marBottom w:val="0"/>
          <w:divBdr>
            <w:top w:val="none" w:sz="0" w:space="0" w:color="auto"/>
            <w:left w:val="none" w:sz="0" w:space="0" w:color="auto"/>
            <w:bottom w:val="none" w:sz="0" w:space="0" w:color="auto"/>
            <w:right w:val="none" w:sz="0" w:space="0" w:color="auto"/>
          </w:divBdr>
        </w:div>
        <w:div w:id="1785730645">
          <w:marLeft w:val="0"/>
          <w:marRight w:val="0"/>
          <w:marTop w:val="0"/>
          <w:marBottom w:val="0"/>
          <w:divBdr>
            <w:top w:val="none" w:sz="0" w:space="0" w:color="auto"/>
            <w:left w:val="none" w:sz="0" w:space="0" w:color="auto"/>
            <w:bottom w:val="none" w:sz="0" w:space="0" w:color="auto"/>
            <w:right w:val="none" w:sz="0" w:space="0" w:color="auto"/>
          </w:divBdr>
        </w:div>
        <w:div w:id="1822425871">
          <w:marLeft w:val="0"/>
          <w:marRight w:val="0"/>
          <w:marTop w:val="0"/>
          <w:marBottom w:val="0"/>
          <w:divBdr>
            <w:top w:val="none" w:sz="0" w:space="0" w:color="auto"/>
            <w:left w:val="none" w:sz="0" w:space="0" w:color="auto"/>
            <w:bottom w:val="none" w:sz="0" w:space="0" w:color="auto"/>
            <w:right w:val="none" w:sz="0" w:space="0" w:color="auto"/>
          </w:divBdr>
        </w:div>
      </w:divsChild>
    </w:div>
    <w:div w:id="1564871128">
      <w:bodyDiv w:val="1"/>
      <w:marLeft w:val="0"/>
      <w:marRight w:val="0"/>
      <w:marTop w:val="0"/>
      <w:marBottom w:val="0"/>
      <w:divBdr>
        <w:top w:val="none" w:sz="0" w:space="0" w:color="auto"/>
        <w:left w:val="none" w:sz="0" w:space="0" w:color="auto"/>
        <w:bottom w:val="none" w:sz="0" w:space="0" w:color="auto"/>
        <w:right w:val="none" w:sz="0" w:space="0" w:color="auto"/>
      </w:divBdr>
    </w:div>
    <w:div w:id="1847475712">
      <w:bodyDiv w:val="1"/>
      <w:marLeft w:val="0"/>
      <w:marRight w:val="0"/>
      <w:marTop w:val="0"/>
      <w:marBottom w:val="0"/>
      <w:divBdr>
        <w:top w:val="none" w:sz="0" w:space="0" w:color="auto"/>
        <w:left w:val="none" w:sz="0" w:space="0" w:color="auto"/>
        <w:bottom w:val="none" w:sz="0" w:space="0" w:color="auto"/>
        <w:right w:val="none" w:sz="0" w:space="0" w:color="auto"/>
      </w:divBdr>
      <w:divsChild>
        <w:div w:id="964821216">
          <w:marLeft w:val="0"/>
          <w:marRight w:val="0"/>
          <w:marTop w:val="0"/>
          <w:marBottom w:val="0"/>
          <w:divBdr>
            <w:top w:val="none" w:sz="0" w:space="0" w:color="auto"/>
            <w:left w:val="none" w:sz="0" w:space="0" w:color="auto"/>
            <w:bottom w:val="none" w:sz="0" w:space="0" w:color="auto"/>
            <w:right w:val="none" w:sz="0" w:space="0" w:color="auto"/>
          </w:divBdr>
        </w:div>
        <w:div w:id="691685657">
          <w:marLeft w:val="0"/>
          <w:marRight w:val="0"/>
          <w:marTop w:val="0"/>
          <w:marBottom w:val="0"/>
          <w:divBdr>
            <w:top w:val="none" w:sz="0" w:space="0" w:color="auto"/>
            <w:left w:val="none" w:sz="0" w:space="0" w:color="auto"/>
            <w:bottom w:val="none" w:sz="0" w:space="0" w:color="auto"/>
            <w:right w:val="none" w:sz="0" w:space="0" w:color="auto"/>
          </w:divBdr>
        </w:div>
        <w:div w:id="1595555080">
          <w:marLeft w:val="0"/>
          <w:marRight w:val="0"/>
          <w:marTop w:val="0"/>
          <w:marBottom w:val="0"/>
          <w:divBdr>
            <w:top w:val="none" w:sz="0" w:space="0" w:color="auto"/>
            <w:left w:val="none" w:sz="0" w:space="0" w:color="auto"/>
            <w:bottom w:val="none" w:sz="0" w:space="0" w:color="auto"/>
            <w:right w:val="none" w:sz="0" w:space="0" w:color="auto"/>
          </w:divBdr>
        </w:div>
      </w:divsChild>
    </w:div>
    <w:div w:id="2057586369">
      <w:bodyDiv w:val="1"/>
      <w:marLeft w:val="0"/>
      <w:marRight w:val="0"/>
      <w:marTop w:val="0"/>
      <w:marBottom w:val="0"/>
      <w:divBdr>
        <w:top w:val="none" w:sz="0" w:space="0" w:color="auto"/>
        <w:left w:val="none" w:sz="0" w:space="0" w:color="auto"/>
        <w:bottom w:val="none" w:sz="0" w:space="0" w:color="auto"/>
        <w:right w:val="none" w:sz="0" w:space="0" w:color="auto"/>
      </w:divBdr>
    </w:div>
    <w:div w:id="2095517324">
      <w:bodyDiv w:val="1"/>
      <w:marLeft w:val="0"/>
      <w:marRight w:val="0"/>
      <w:marTop w:val="0"/>
      <w:marBottom w:val="0"/>
      <w:divBdr>
        <w:top w:val="none" w:sz="0" w:space="0" w:color="auto"/>
        <w:left w:val="none" w:sz="0" w:space="0" w:color="auto"/>
        <w:bottom w:val="none" w:sz="0" w:space="0" w:color="auto"/>
        <w:right w:val="none" w:sz="0" w:space="0" w:color="auto"/>
      </w:divBdr>
      <w:divsChild>
        <w:div w:id="14065348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20/10/relationships/intelligence" Target="intelligence2.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3c53e505f4a042f881d51734e556f120" PartId="c114b8e38de44e3ea8e29a56122b1f5f">
    <Part Type="pabaiga" DocPartId="a516b5e735cf4f33812b116cd2f29646" PartId="7136d16063df4e48bb55a03a0cb0e686"/>
  </Part>
</Parts>
</file>

<file path=customXml/itemProps1.xml><?xml version="1.0" encoding="utf-8"?>
<ds:datastoreItem xmlns:ds="http://schemas.openxmlformats.org/officeDocument/2006/customXml" ds:itemID="{A2524149-B974-450E-803C-C91E2DFAE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3DAFBF-4168-4F4B-81D6-AD7B89C797F1}">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9D80D3E6-36C9-4B89-A1A2-825E0CF9C319}">
  <ds:schemaRefs>
    <ds:schemaRef ds:uri="http://schemas.microsoft.com/sharepoint/v3/contenttype/forms"/>
  </ds:schemaRefs>
</ds:datastoreItem>
</file>

<file path=customXml/itemProps4.xml><?xml version="1.0" encoding="utf-8"?>
<ds:datastoreItem xmlns:ds="http://schemas.openxmlformats.org/officeDocument/2006/customXml" ds:itemID="{A1E70579-F08B-477C-94FC-C0E9F690F208}">
  <ds:schemaRefs>
    <ds:schemaRef ds:uri="http://schemas.openxmlformats.org/officeDocument/2006/bibliography"/>
  </ds:schemaRefs>
</ds:datastoreItem>
</file>

<file path=customXml/itemProps5.xml><?xml version="1.0" encoding="utf-8"?>
<ds:datastoreItem xmlns:ds="http://schemas.openxmlformats.org/officeDocument/2006/customXml" ds:itemID="{812A75F8-BE53-455C-87D6-1DE63B3A82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898</Words>
  <Characters>6221</Characters>
  <Application>Microsoft Office Word</Application>
  <DocSecurity>4</DocSecurity>
  <Lines>194</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Zita Bitvinskaitė</dc:creator>
  <lastModifiedBy>adlibuser</lastModifiedBy>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