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5 pr."/>
        <w:tag w:val="part_41622af8287548168fee1ee7b8c6b725"/>
        <w:lock w:val="sdtLocked"/>
        <w:richText/>
      </w:sdtPr>
      <w:sdtContent>
        <w:p>
          <w:pPr>
            <w:jc w:val="right"/>
            <w:rPr>
              <w:szCs w:val="24"/>
              <w:lang w:eastAsia="lt-LT"/>
            </w:rPr>
          </w:pPr>
          <w:r>
            <w:rPr>
              <w:szCs w:val="24"/>
              <w:lang w:eastAsia="lt-LT"/>
            </w:rPr>
            <w:t xml:space="preserve">Europos Sąjungos teisės aktų ir Lietuvos Respublikos teisės aktų </w:t>
          </w:r>
        </w:p>
        <w:p>
          <w:pPr>
            <w:jc w:val="right"/>
            <w:rPr>
              <w:szCs w:val="24"/>
              <w:lang w:eastAsia="lt-LT"/>
            </w:rPr>
          </w:pPr>
          <w:r>
            <w:rPr>
              <w:szCs w:val="24"/>
              <w:lang w:eastAsia="lt-LT"/>
            </w:rPr>
            <w:t xml:space="preserve">ir jų projektų atitikties lentelių pildymo rekomendacijų </w:t>
          </w:r>
        </w:p>
        <w:p>
          <w:pPr>
            <w:jc w:val="right"/>
            <w:rPr>
              <w:szCs w:val="24"/>
              <w:lang w:eastAsia="lt-LT"/>
            </w:rPr>
          </w:pPr>
          <w:sdt>
            <w:sdtPr>
              <w:alias w:val="Numeris"/>
              <w:tag w:val="nr_41622af8287548168fee1ee7b8c6b725"/>
              <w:lock w:val="sdtLocked"/>
              <w:richText/>
            </w:sdtPr>
            <w:sdtContent>
              <w:r>
                <w:rPr>
                  <w:szCs w:val="24"/>
                  <w:lang w:eastAsia="lt-LT"/>
                </w:rPr>
                <w:t>5</w:t>
              </w:r>
            </w:sdtContent>
          </w:sdt>
          <w:r>
            <w:rPr>
              <w:szCs w:val="24"/>
              <w:lang w:eastAsia="lt-LT"/>
            </w:rPr>
            <w:t xml:space="preserve"> priedas</w:t>
          </w:r>
        </w:p>
        <w:p>
          <w:pPr>
            <w:jc w:val="right"/>
            <w:rPr>
              <w:szCs w:val="24"/>
              <w:lang w:eastAsia="lt-LT"/>
            </w:rPr>
          </w:pPr>
        </w:p>
        <w:p>
          <w:pPr>
            <w:widowControl w:val="0"/>
            <w:suppressAutoHyphens/>
            <w:jc w:val="center"/>
            <w:rPr>
              <w:rFonts w:eastAsia="Arial Unicode MS"/>
              <w:b/>
              <w:bCs/>
              <w:szCs w:val="24"/>
              <w:lang w:eastAsia="lt-LT"/>
            </w:rPr>
          </w:pPr>
        </w:p>
        <w:p>
          <w:pPr>
            <w:jc w:val="center"/>
            <w:rPr>
              <w:sz w:val="20"/>
            </w:rPr>
          </w:pPr>
        </w:p>
        <w:sdt>
          <w:sdtPr>
            <w:alias w:val="Pavadinimas"/>
            <w:tag w:val="title_41622af8287548168fee1ee7b8c6b725"/>
            <w:lock w:val="sdtLocked"/>
            <w:richText/>
          </w:sdtPr>
          <w:sdtContent>
            <w:p>
              <w:pPr>
                <w:jc w:val="center"/>
                <w:textAlignment w:val="baseline"/>
                <w:rPr>
                  <w:rFonts w:ascii="Segoe UI" w:hAnsi="Segoe UI" w:cs="Segoe UI"/>
                  <w:sz w:val="18"/>
                  <w:szCs w:val="18"/>
                  <w:lang w:eastAsia="lt-LT"/>
                </w:rPr>
              </w:pPr>
              <w:r>
                <w:rPr>
                  <w:rFonts w:eastAsia="Arial Unicode MS"/>
                  <w:b/>
                  <w:bCs/>
                  <w:szCs w:val="24"/>
                  <w:lang w:eastAsia="lt-LT"/>
                </w:rPr>
                <w:t xml:space="preserve">2023 M. RUGPJŪČIO 17 D. EUROPOS PARLAMENTO IR TARYBOS REGLAMENTO (ES) 2023/1773 IR </w:t>
              </w:r>
              <w:r>
                <w:rPr>
                  <w:b/>
                  <w:bCs/>
                  <w:caps/>
                  <w:szCs w:val="24"/>
                  <w:lang w:eastAsia="lt-LT"/>
                </w:rPr>
                <w:t>LIETUVOS RESPUBLIKOS </w:t>
              </w:r>
              <w:r>
                <w:rPr>
                  <w:szCs w:val="24"/>
                  <w:lang w:eastAsia="lt-LT"/>
                </w:rPr>
                <w:t> </w:t>
              </w:r>
            </w:p>
            <w:p>
              <w:pPr>
                <w:jc w:val="center"/>
                <w:textAlignment w:val="baseline"/>
                <w:rPr>
                  <w:rFonts w:ascii="Segoe UI" w:hAnsi="Segoe UI" w:cs="Segoe UI"/>
                  <w:sz w:val="18"/>
                  <w:szCs w:val="18"/>
                  <w:lang w:eastAsia="lt-LT"/>
                </w:rPr>
              </w:pPr>
              <w:r>
                <w:rPr>
                  <w:b/>
                  <w:bCs/>
                  <w:caps/>
                  <w:szCs w:val="24"/>
                  <w:lang w:eastAsia="lt-LT"/>
                </w:rPr>
                <w:t>APLINKOS APSAUGOS ĮSTATYMO NR. I-2223 1, 37, 40</w:t>
              </w:r>
              <w:r>
                <w:rPr>
                  <w:b/>
                  <w:bCs/>
                  <w:caps/>
                  <w:sz w:val="19"/>
                  <w:szCs w:val="19"/>
                  <w:vertAlign w:val="superscript"/>
                  <w:lang w:eastAsia="lt-LT"/>
                </w:rPr>
                <w:t>1</w:t>
              </w:r>
              <w:r>
                <w:rPr>
                  <w:b/>
                  <w:bCs/>
                  <w:caps/>
                  <w:szCs w:val="24"/>
                  <w:lang w:eastAsia="lt-LT"/>
                </w:rPr>
                <w:t xml:space="preserve">, 47, 87, </w:t>
              </w:r>
              <w:r>
                <w:rPr>
                  <w:b/>
                  <w:bCs/>
                  <w:szCs w:val="24"/>
                  <w:lang w:eastAsia="lt-LT"/>
                </w:rPr>
                <w:t>109</w:t>
              </w:r>
              <w:r>
                <w:rPr>
                  <w:b/>
                  <w:bCs/>
                  <w:sz w:val="19"/>
                  <w:szCs w:val="19"/>
                  <w:vertAlign w:val="superscript"/>
                  <w:lang w:eastAsia="lt-LT"/>
                </w:rPr>
                <w:t>1</w:t>
              </w:r>
              <w:r>
                <w:rPr>
                  <w:b/>
                  <w:bCs/>
                  <w:caps/>
                  <w:szCs w:val="24"/>
                  <w:lang w:eastAsia="lt-LT"/>
                </w:rPr>
                <w:t xml:space="preserve"> , 110, </w:t>
              </w:r>
              <w:r>
                <w:rPr>
                  <w:b/>
                  <w:bCs/>
                  <w:caps/>
                  <w:color w:val="000000"/>
                  <w:szCs w:val="24"/>
                  <w:lang w:eastAsia="lt-LT"/>
                </w:rPr>
                <w:t>122</w:t>
              </w:r>
              <w:r>
                <w:rPr>
                  <w:b/>
                  <w:bCs/>
                  <w:caps/>
                  <w:color w:val="000000"/>
                  <w:sz w:val="19"/>
                  <w:szCs w:val="19"/>
                  <w:vertAlign w:val="superscript"/>
                  <w:lang w:eastAsia="lt-LT"/>
                </w:rPr>
                <w:t>4</w:t>
              </w:r>
              <w:r>
                <w:rPr>
                  <w:b/>
                  <w:bCs/>
                  <w:caps/>
                  <w:color w:val="000000"/>
                  <w:szCs w:val="24"/>
                  <w:lang w:eastAsia="lt-LT"/>
                </w:rPr>
                <w:t xml:space="preserve"> </w:t>
              </w:r>
              <w:r>
                <w:rPr>
                  <w:b/>
                  <w:bCs/>
                  <w:caps/>
                  <w:szCs w:val="24"/>
                  <w:lang w:eastAsia="lt-LT"/>
                </w:rPr>
                <w:t xml:space="preserve">STRAIPSNIų IR </w:t>
              </w:r>
              <w:r>
                <w:rPr>
                  <w:b/>
                  <w:bCs/>
                  <w:szCs w:val="24"/>
                  <w:lang w:eastAsia="lt-LT"/>
                </w:rPr>
                <w:t>PRIEDO</w:t>
              </w:r>
              <w:r>
                <w:rPr>
                  <w:b/>
                  <w:bCs/>
                  <w:caps/>
                  <w:szCs w:val="24"/>
                  <w:lang w:eastAsia="lt-LT"/>
                </w:rPr>
                <w:t xml:space="preserve"> PAKEITIMO, ĮSTATYMO PAPILDYMO 110</w:t>
              </w:r>
              <w:r>
                <w:rPr>
                  <w:b/>
                  <w:bCs/>
                  <w:caps/>
                  <w:sz w:val="19"/>
                  <w:szCs w:val="19"/>
                  <w:vertAlign w:val="superscript"/>
                  <w:lang w:eastAsia="lt-LT"/>
                </w:rPr>
                <w:t>2</w:t>
              </w:r>
              <w:r>
                <w:rPr>
                  <w:b/>
                  <w:bCs/>
                  <w:caps/>
                  <w:szCs w:val="24"/>
                  <w:lang w:eastAsia="lt-LT"/>
                </w:rPr>
                <w:t>, 110</w:t>
              </w:r>
              <w:r>
                <w:rPr>
                  <w:b/>
                  <w:bCs/>
                  <w:caps/>
                  <w:sz w:val="19"/>
                  <w:szCs w:val="19"/>
                  <w:vertAlign w:val="superscript"/>
                  <w:lang w:eastAsia="lt-LT"/>
                </w:rPr>
                <w:t>3</w:t>
              </w:r>
              <w:r>
                <w:rPr>
                  <w:b/>
                  <w:bCs/>
                  <w:caps/>
                  <w:szCs w:val="24"/>
                  <w:lang w:eastAsia="lt-LT"/>
                </w:rPr>
                <w:t>, 110</w:t>
              </w:r>
              <w:r>
                <w:rPr>
                  <w:b/>
                  <w:bCs/>
                  <w:caps/>
                  <w:sz w:val="19"/>
                  <w:szCs w:val="19"/>
                  <w:vertAlign w:val="superscript"/>
                  <w:lang w:eastAsia="lt-LT"/>
                </w:rPr>
                <w:t>4</w:t>
              </w:r>
              <w:r>
                <w:rPr>
                  <w:b/>
                  <w:bCs/>
                  <w:caps/>
                  <w:szCs w:val="24"/>
                  <w:lang w:eastAsia="lt-LT"/>
                </w:rPr>
                <w:t>, 118</w:t>
              </w:r>
              <w:r>
                <w:rPr>
                  <w:b/>
                  <w:bCs/>
                  <w:caps/>
                  <w:sz w:val="19"/>
                  <w:szCs w:val="19"/>
                  <w:vertAlign w:val="superscript"/>
                  <w:lang w:eastAsia="lt-LT"/>
                </w:rPr>
                <w:t>2 </w:t>
              </w:r>
              <w:r>
                <w:rPr>
                  <w:b/>
                  <w:bCs/>
                  <w:caps/>
                  <w:strike/>
                  <w:color w:val="0078D4"/>
                  <w:sz w:val="19"/>
                  <w:szCs w:val="19"/>
                  <w:vertAlign w:val="superscript"/>
                  <w:lang w:eastAsia="lt-LT"/>
                </w:rPr>
                <w:t xml:space="preserve"> </w:t>
              </w:r>
              <w:r>
                <w:rPr>
                  <w:b/>
                  <w:bCs/>
                  <w:caps/>
                  <w:szCs w:val="24"/>
                  <w:lang w:eastAsia="lt-LT"/>
                </w:rPr>
                <w:t>STRAIPSNIAIS  IR 110</w:t>
              </w:r>
              <w:r>
                <w:rPr>
                  <w:b/>
                  <w:bCs/>
                  <w:caps/>
                  <w:sz w:val="19"/>
                  <w:szCs w:val="19"/>
                  <w:vertAlign w:val="superscript"/>
                  <w:lang w:eastAsia="lt-LT"/>
                </w:rPr>
                <w:t xml:space="preserve">2 </w:t>
              </w:r>
              <w:r>
                <w:rPr>
                  <w:b/>
                  <w:bCs/>
                  <w:caps/>
                  <w:szCs w:val="24"/>
                  <w:lang w:eastAsia="lt-LT"/>
                </w:rPr>
                <w:t>STRAIPSNIO PRIPAŽINIMO NETEKUSIU GALIOS </w:t>
              </w:r>
              <w:r>
                <w:rPr>
                  <w:szCs w:val="24"/>
                  <w:lang w:eastAsia="lt-LT"/>
                </w:rPr>
                <w:t> </w:t>
              </w:r>
            </w:p>
            <w:p>
              <w:pPr>
                <w:widowControl w:val="0"/>
                <w:jc w:val="center"/>
                <w:rPr>
                  <w:b/>
                  <w:bCs/>
                  <w:color w:val="000000"/>
                  <w:szCs w:val="24"/>
                </w:rPr>
              </w:pPr>
              <w:r>
                <w:rPr>
                  <w:b/>
                  <w:bCs/>
                  <w:color w:val="000000"/>
                  <w:szCs w:val="24"/>
                </w:rPr>
                <w:t>ĮSTATYMO PROJEKTO ATITIKTIES LENTELĖ</w:t>
              </w:r>
            </w:p>
          </w:sdtContent>
        </w:sdt>
        <w:p>
          <w:pPr>
            <w:widowControl w:val="0"/>
            <w:jc w:val="center"/>
            <w:rPr>
              <w:sz w:val="20"/>
            </w:rPr>
          </w:pPr>
        </w:p>
        <w:p>
          <w:pPr>
            <w:widowControl w:val="0"/>
            <w:suppressAutoHyphens/>
            <w:jc w:val="center"/>
            <w:rPr>
              <w:rFonts w:eastAsia="Arial Unicode MS"/>
              <w:b/>
              <w:bCs/>
              <w:szCs w:val="24"/>
              <w:lang w:eastAsia="lt-LT"/>
            </w:rPr>
          </w:pPr>
        </w:p>
        <w:p>
          <w:pPr>
            <w:rPr>
              <w:sz w:val="10"/>
              <w:szCs w:val="10"/>
            </w:rPr>
          </w:pPr>
        </w:p>
        <w:tbl>
          <w:tblPr>
            <w:tblW w:w="0" w:type="auto"/>
            <w:tblInd w:w="197" w:type="dxa"/>
            <w:tblLayout w:type="fixed"/>
            <w:tblCellMar>
              <w:top w:w="55" w:type="dxa"/>
              <w:left w:w="55" w:type="dxa"/>
              <w:bottom w:w="55" w:type="dxa"/>
              <w:right w:w="55" w:type="dxa"/>
            </w:tblCellMar>
            <w:tblLook w:val="0000" w:firstRow="0" w:lastRow="0" w:firstColumn="0" w:lastColumn="0" w:noHBand="0" w:noVBand="0"/>
          </w:tblPr>
          <w:tblGrid>
            <w:gridCol w:w="7088"/>
            <w:gridCol w:w="5954"/>
            <w:gridCol w:w="1842"/>
          </w:tblGrid>
          <w:tr>
            <w:trPr>
              <w:trHeight w:val="114"/>
            </w:trPr>
            <w:tc>
              <w:tcPr>
                <w:tcW w:w="7088" w:type="dxa"/>
                <w:tcBorders>
                  <w:top w:val="single" w:sz="1" w:space="0" w:color="000000" w:themeColor="text1"/>
                  <w:left w:val="single" w:sz="1" w:space="0" w:color="000000" w:themeColor="text1"/>
                  <w:bottom w:val="single" w:sz="1" w:space="0" w:color="000000" w:themeColor="text1"/>
                </w:tcBorders>
              </w:tcPr>
              <w:p>
                <w:pPr>
                  <w:widowControl w:val="0"/>
                  <w:suppressAutoHyphens/>
                  <w:jc w:val="both"/>
                  <w:rPr>
                    <w:rFonts w:eastAsia="Arial Unicode MS"/>
                    <w:b/>
                    <w:bCs/>
                    <w:lang w:eastAsia="lt-LT"/>
                  </w:rPr>
                </w:pPr>
                <w:r>
                  <w:rPr>
                    <w:rFonts w:eastAsia="Arial Unicode MS"/>
                    <w:b/>
                    <w:bCs/>
                    <w:lang w:eastAsia="lt-LT"/>
                  </w:rPr>
                  <w:t xml:space="preserve">Europos Parlamento ir Tarybos reglamentas </w:t>
                </w:r>
                <w:fldSimple w:instr="HYPERLINK http://eur-lex.europa.eu/legal-content/LIT/TXT/?uri=CELEX:32023R1773&amp;locale=lt \t _blank">
                  <w:r>
                    <w:rPr>
                      <w:rFonts w:eastAsia="Arial Unicode MS"/>
                      <w:b/>
                      <w:bCs/>
                      <w:lang w:eastAsia="lt-LT"/>
                      <w:u w:val="single"/>
                      <w:color w:val="0000FF" w:themeColor="hyperlink"/>
                    </w:rPr>
                    <w:t>(ES) 2023/1773</w:t>
                  </w:r>
                </w:fldSimple>
                <w:r>
                  <w:rPr>
                    <w:rFonts w:eastAsia="Arial Unicode MS"/>
                    <w:b/>
                    <w:bCs/>
                    <w:lang w:eastAsia="lt-LT"/>
                  </w:rPr>
                  <w:t xml:space="preserve"> 2023 m. Rugpjūčio 17 d. kuriuo nustatomos Europos Parlamento ir Tarybos reglamento </w:t>
                </w:r>
                <w:fldSimple w:instr="HYPERLINK http://eur-lex.europa.eu/legal-content/LIT/TXT/?uri=CELEX:32023R0956&amp;locale=lt \t _blank">
                  <w:r>
                    <w:rPr>
                      <w:rFonts w:eastAsia="Arial Unicode MS"/>
                      <w:b/>
                      <w:bCs/>
                      <w:lang w:eastAsia="lt-LT"/>
                      <w:u w:val="single"/>
                      <w:color w:val="0000FF" w:themeColor="hyperlink"/>
                    </w:rPr>
                    <w:t>(ES) 2023/956</w:t>
                  </w:r>
                </w:fldSimple>
                <w:r>
                  <w:rPr>
                    <w:rFonts w:eastAsia="Arial Unicode MS"/>
                    <w:b/>
                    <w:bCs/>
                    <w:lang w:eastAsia="lt-LT"/>
                  </w:rPr>
                  <w:t xml:space="preserve"> taikymo taisyklės, pagal kurias pereinamuoju laikotarpiu vykdoma pareiga teikti pasienio anglies dioksido korekcinio mechanizmo ataskaitas</w:t>
                </w:r>
              </w:p>
            </w:tc>
            <w:tc>
              <w:tcPr>
                <w:tcW w:w="5954" w:type="dxa"/>
                <w:tcBorders>
                  <w:top w:val="single" w:sz="1" w:space="0" w:color="000000" w:themeColor="text1"/>
                  <w:left w:val="single" w:sz="1" w:space="0" w:color="000000" w:themeColor="text1"/>
                  <w:bottom w:val="single" w:sz="1" w:space="0" w:color="000000" w:themeColor="text1"/>
                </w:tcBorders>
              </w:tcPr>
              <w:p>
                <w:pPr>
                  <w:textAlignment w:val="baseline"/>
                  <w:rPr>
                    <w:rFonts w:ascii="Segoe UI" w:hAnsi="Segoe UI" w:cs="Segoe UI"/>
                    <w:sz w:val="18"/>
                    <w:szCs w:val="18"/>
                    <w:lang w:eastAsia="lt-LT"/>
                  </w:rPr>
                </w:pPr>
                <w:r>
                  <w:rPr>
                    <w:b/>
                    <w:bCs/>
                    <w:szCs w:val="24"/>
                    <w:lang w:eastAsia="lt-LT"/>
                  </w:rPr>
                  <w:t>Lietuvos Respublikos</w:t>
                </w:r>
              </w:p>
              <w:p>
                <w:pPr>
                  <w:textAlignment w:val="baseline"/>
                  <w:rPr>
                    <w:rFonts w:ascii="Segoe UI" w:hAnsi="Segoe UI" w:cs="Segoe UI"/>
                    <w:sz w:val="18"/>
                    <w:szCs w:val="18"/>
                    <w:lang w:eastAsia="lt-LT"/>
                  </w:rPr>
                </w:pPr>
                <w:r>
                  <w:rPr>
                    <w:b/>
                    <w:bCs/>
                    <w:szCs w:val="24"/>
                    <w:lang w:eastAsia="lt-LT"/>
                  </w:rPr>
                  <w:t>Aplinkos apsaugos įstatymo Nr. I-2223 1, 37, 40</w:t>
                </w:r>
                <w:r>
                  <w:rPr>
                    <w:b/>
                    <w:bCs/>
                    <w:caps/>
                    <w:sz w:val="19"/>
                    <w:szCs w:val="19"/>
                    <w:vertAlign w:val="superscript"/>
                    <w:lang w:eastAsia="lt-LT"/>
                  </w:rPr>
                  <w:t>1</w:t>
                </w:r>
                <w:r>
                  <w:rPr>
                    <w:b/>
                    <w:bCs/>
                    <w:caps/>
                    <w:szCs w:val="24"/>
                    <w:lang w:eastAsia="lt-LT"/>
                  </w:rPr>
                  <w:t xml:space="preserve">, 47, 87, </w:t>
                </w:r>
                <w:r>
                  <w:rPr>
                    <w:b/>
                    <w:bCs/>
                    <w:szCs w:val="24"/>
                    <w:lang w:eastAsia="lt-LT"/>
                  </w:rPr>
                  <w:t>109</w:t>
                </w:r>
                <w:r>
                  <w:rPr>
                    <w:b/>
                    <w:bCs/>
                    <w:sz w:val="19"/>
                    <w:szCs w:val="19"/>
                    <w:vertAlign w:val="superscript"/>
                    <w:lang w:eastAsia="lt-LT"/>
                  </w:rPr>
                  <w:t>1</w:t>
                </w:r>
                <w:r>
                  <w:rPr>
                    <w:b/>
                    <w:bCs/>
                    <w:caps/>
                    <w:szCs w:val="24"/>
                    <w:lang w:eastAsia="lt-LT"/>
                  </w:rPr>
                  <w:t xml:space="preserve"> , 110, </w:t>
                </w:r>
                <w:r>
                  <w:rPr>
                    <w:b/>
                    <w:bCs/>
                    <w:caps/>
                    <w:color w:val="000000"/>
                    <w:szCs w:val="24"/>
                    <w:lang w:eastAsia="lt-LT"/>
                  </w:rPr>
                  <w:t>122</w:t>
                </w:r>
                <w:r>
                  <w:rPr>
                    <w:b/>
                    <w:bCs/>
                    <w:caps/>
                    <w:color w:val="000000"/>
                    <w:sz w:val="19"/>
                    <w:szCs w:val="19"/>
                    <w:vertAlign w:val="superscript"/>
                    <w:lang w:eastAsia="lt-LT"/>
                  </w:rPr>
                  <w:t>4</w:t>
                </w:r>
                <w:r>
                  <w:rPr>
                    <w:b/>
                    <w:bCs/>
                    <w:caps/>
                    <w:color w:val="000000"/>
                    <w:szCs w:val="24"/>
                    <w:lang w:eastAsia="lt-LT"/>
                  </w:rPr>
                  <w:t xml:space="preserve"> </w:t>
                </w:r>
                <w:r>
                  <w:rPr>
                    <w:b/>
                    <w:bCs/>
                    <w:szCs w:val="24"/>
                    <w:lang w:eastAsia="lt-LT"/>
                  </w:rPr>
                  <w:t>straipsnių ir priedo pakeitimo, įstatymo papildymo 110</w:t>
                </w:r>
                <w:r>
                  <w:rPr>
                    <w:b/>
                    <w:bCs/>
                    <w:caps/>
                    <w:sz w:val="19"/>
                    <w:szCs w:val="19"/>
                    <w:vertAlign w:val="superscript"/>
                    <w:lang w:eastAsia="lt-LT"/>
                  </w:rPr>
                  <w:t>2</w:t>
                </w:r>
                <w:r>
                  <w:rPr>
                    <w:b/>
                    <w:bCs/>
                    <w:caps/>
                    <w:szCs w:val="24"/>
                    <w:lang w:eastAsia="lt-LT"/>
                  </w:rPr>
                  <w:t>, 110</w:t>
                </w:r>
                <w:r>
                  <w:rPr>
                    <w:b/>
                    <w:bCs/>
                    <w:caps/>
                    <w:sz w:val="19"/>
                    <w:szCs w:val="19"/>
                    <w:vertAlign w:val="superscript"/>
                    <w:lang w:eastAsia="lt-LT"/>
                  </w:rPr>
                  <w:t>3</w:t>
                </w:r>
                <w:r>
                  <w:rPr>
                    <w:b/>
                    <w:bCs/>
                    <w:caps/>
                    <w:szCs w:val="24"/>
                    <w:lang w:eastAsia="lt-LT"/>
                  </w:rPr>
                  <w:t>, 110</w:t>
                </w:r>
                <w:r>
                  <w:rPr>
                    <w:b/>
                    <w:bCs/>
                    <w:caps/>
                    <w:sz w:val="19"/>
                    <w:szCs w:val="19"/>
                    <w:vertAlign w:val="superscript"/>
                    <w:lang w:eastAsia="lt-LT"/>
                  </w:rPr>
                  <w:t>4</w:t>
                </w:r>
                <w:r>
                  <w:rPr>
                    <w:b/>
                    <w:bCs/>
                    <w:caps/>
                    <w:szCs w:val="24"/>
                    <w:lang w:eastAsia="lt-LT"/>
                  </w:rPr>
                  <w:t>, 118</w:t>
                </w:r>
                <w:r>
                  <w:rPr>
                    <w:b/>
                    <w:bCs/>
                    <w:caps/>
                    <w:sz w:val="19"/>
                    <w:szCs w:val="19"/>
                    <w:vertAlign w:val="superscript"/>
                    <w:lang w:eastAsia="lt-LT"/>
                  </w:rPr>
                  <w:t>2 </w:t>
                </w:r>
                <w:r>
                  <w:rPr>
                    <w:b/>
                    <w:bCs/>
                    <w:caps/>
                    <w:strike/>
                    <w:color w:val="0078D4"/>
                    <w:sz w:val="19"/>
                    <w:szCs w:val="19"/>
                    <w:vertAlign w:val="superscript"/>
                    <w:lang w:eastAsia="lt-LT"/>
                  </w:rPr>
                  <w:t xml:space="preserve"> </w:t>
                </w:r>
                <w:r>
                  <w:rPr>
                    <w:b/>
                    <w:bCs/>
                    <w:szCs w:val="24"/>
                    <w:lang w:eastAsia="lt-LT"/>
                  </w:rPr>
                  <w:t>straipsniais  ir 110</w:t>
                </w:r>
                <w:r>
                  <w:rPr>
                    <w:b/>
                    <w:bCs/>
                    <w:caps/>
                    <w:sz w:val="19"/>
                    <w:szCs w:val="19"/>
                    <w:vertAlign w:val="superscript"/>
                    <w:lang w:eastAsia="lt-LT"/>
                  </w:rPr>
                  <w:t xml:space="preserve">2 </w:t>
                </w:r>
                <w:r>
                  <w:rPr>
                    <w:b/>
                    <w:bCs/>
                    <w:szCs w:val="24"/>
                    <w:lang w:eastAsia="lt-LT"/>
                  </w:rPr>
                  <w:t>straipsnio pripažinimo netekusiu galios</w:t>
                </w:r>
              </w:p>
              <w:p>
                <w:pPr>
                  <w:widowControl w:val="0"/>
                </w:pPr>
                <w:r>
                  <w:rPr>
                    <w:b/>
                    <w:bCs/>
                    <w:color w:val="000000"/>
                  </w:rPr>
                  <w:t>įstatymo projektas (toliau – Įstatymo projektas)</w:t>
                </w:r>
              </w:p>
              <w:p>
                <w:pPr>
                  <w:widowControl w:val="0"/>
                  <w:jc w:val="both"/>
                  <w:rPr>
                    <w:b/>
                    <w:bCs/>
                    <w:color w:val="000000"/>
                    <w:szCs w:val="24"/>
                  </w:rPr>
                </w:pPr>
              </w:p>
              <w:p>
                <w:pPr>
                  <w:widowControl w:val="0"/>
                  <w:jc w:val="both"/>
                  <w:rPr>
                    <w:b/>
                    <w:bCs/>
                    <w:color w:val="000000"/>
                    <w:szCs w:val="24"/>
                  </w:rPr>
                </w:pPr>
              </w:p>
              <w:p>
                <w:pPr>
                  <w:widowControl w:val="0"/>
                  <w:suppressAutoHyphens/>
                  <w:jc w:val="both"/>
                  <w:rPr>
                    <w:lang w:eastAsia="ar-SA"/>
                  </w:rPr>
                </w:pPr>
              </w:p>
            </w:tc>
            <w:tc>
              <w:tcPr>
                <w:tcW w:w="1842" w:type="dxa"/>
                <w:tcBorders>
                  <w:top w:val="single" w:sz="1" w:space="0" w:color="000000" w:themeColor="text1"/>
                  <w:left w:val="single" w:sz="1" w:space="0" w:color="000000" w:themeColor="text1"/>
                  <w:bottom w:val="single" w:sz="1" w:space="0" w:color="000000" w:themeColor="text1"/>
                  <w:right w:val="single" w:sz="1" w:space="0" w:color="000000" w:themeColor="text1"/>
                </w:tcBorders>
              </w:tcPr>
              <w:p>
                <w:pPr>
                  <w:rPr>
                    <w:sz w:val="6"/>
                    <w:szCs w:val="6"/>
                  </w:rPr>
                </w:pPr>
              </w:p>
              <w:p>
                <w:pPr>
                  <w:widowControl w:val="0"/>
                  <w:suppressAutoHyphens/>
                  <w:jc w:val="both"/>
                  <w:rPr>
                    <w:rFonts w:eastAsia="Arial Unicode MS"/>
                    <w:b/>
                    <w:bCs/>
                    <w:szCs w:val="24"/>
                    <w:lang w:eastAsia="lt-LT"/>
                  </w:rPr>
                </w:pPr>
                <w:r>
                  <w:rPr>
                    <w:rFonts w:eastAsia="Arial Unicode MS"/>
                    <w:b/>
                    <w:szCs w:val="24"/>
                    <w:lang w:eastAsia="lt-LT"/>
                  </w:rPr>
                  <w:t>ES teisės akto įgyvendinimo lygis (visiškas, dalinis)</w:t>
                </w:r>
              </w:p>
            </w:tc>
          </w:tr>
          <w:tr>
            <w:trPr>
              <w:trHeight w:val="15"/>
            </w:trPr>
            <w:tc>
              <w:tcPr>
                <w:tcW w:w="7088" w:type="dxa"/>
                <w:tcBorders>
                  <w:left w:val="single" w:sz="1" w:space="0" w:color="000000" w:themeColor="text1"/>
                  <w:bottom w:val="single" w:sz="1" w:space="0" w:color="000000" w:themeColor="text1"/>
                </w:tcBorders>
              </w:tcPr>
              <w:p>
                <w:pPr>
                  <w:widowControl w:val="0"/>
                  <w:suppressAutoHyphens/>
                  <w:ind w:firstLine="248"/>
                  <w:jc w:val="both"/>
                  <w:rPr>
                    <w:rFonts w:eastAsia="Arial Unicode MS"/>
                    <w:lang w:eastAsia="lt-LT"/>
                  </w:rPr>
                </w:pPr>
                <w:r>
                  <w:rPr>
                    <w:rFonts w:eastAsia="Arial Unicode MS"/>
                    <w:lang w:eastAsia="lt-LT"/>
                  </w:rPr>
                  <w:t>„16 straipsnis</w:t>
                </w:r>
              </w:p>
              <w:p>
                <w:pPr>
                  <w:widowControl w:val="0"/>
                  <w:suppressAutoHyphens/>
                  <w:jc w:val="both"/>
                </w:pPr>
                <w:r>
                  <w:rPr>
                    <w:rFonts w:eastAsia="Arial Unicode MS"/>
                    <w:lang w:eastAsia="lt-LT"/>
                  </w:rPr>
                  <w:t>Baudos</w:t>
                </w:r>
              </w:p>
              <w:p>
                <w:pPr>
                  <w:widowControl w:val="0"/>
                  <w:suppressAutoHyphens/>
                  <w:jc w:val="both"/>
                </w:pPr>
                <w:r>
                  <w:rPr>
                    <w:rFonts w:eastAsia="Arial Unicode MS"/>
                    <w:lang w:eastAsia="lt-LT"/>
                  </w:rPr>
                  <w:t xml:space="preserve">1.   Valstybės narės baudas skiria šiais atvejais:</w:t>
                </w:r>
              </w:p>
              <w:p>
                <w:pPr>
                  <w:widowControl w:val="0"/>
                  <w:suppressAutoHyphens/>
                  <w:jc w:val="both"/>
                </w:pPr>
                <w:r>
                  <w:rPr>
                    <w:rFonts w:eastAsia="Arial Unicode MS"/>
                    <w:lang w:eastAsia="lt-LT"/>
                  </w:rPr>
                  <w:t>a) kai ataskaitas teikiantis deklarantas nesiėmė būtinų veiksmų, kad įvykdytų pareigą pateikti PADKM ataskaitą, arba</w:t>
                </w:r>
              </w:p>
              <w:p>
                <w:pPr>
                  <w:widowControl w:val="0"/>
                  <w:suppressAutoHyphens/>
                  <w:jc w:val="both"/>
                </w:pPr>
                <w:r>
                  <w:rPr>
                    <w:rFonts w:eastAsia="Arial Unicode MS"/>
                    <w:lang w:eastAsia="lt-LT"/>
                  </w:rPr>
                  <w:t>b) kai PADKM ataskaita yra neteisinga arba neišsami pagal 13 straipsnį, o kompetentingai institucijai pagal 14 straipsnio 4 dalį inicijavus taisymo procedūrą ataskaitas teikiantis deklarantas nesiėmė būtinų veiksmų PADKM ataskaitai pataisyti.</w:t>
                </w:r>
              </w:p>
              <w:p>
                <w:pPr>
                  <w:widowControl w:val="0"/>
                  <w:suppressAutoHyphens/>
                  <w:jc w:val="both"/>
                  <w:rPr>
                    <w:rFonts w:eastAsia="Arial Unicode MS"/>
                    <w:lang w:eastAsia="lt-LT"/>
                  </w:rPr>
                </w:pPr>
              </w:p>
              <w:p>
                <w:pPr>
                  <w:widowControl w:val="0"/>
                  <w:suppressAutoHyphens/>
                  <w:jc w:val="both"/>
                </w:pPr>
                <w:r>
                  <w:rPr>
                    <w:rFonts w:eastAsia="Arial Unicode MS"/>
                    <w:lang w:eastAsia="lt-LT"/>
                  </w:rPr>
                  <w:t xml:space="preserve">2.   Baudos dydis yra 10–50 EUR už kiekvieną išmetamo ŠESD kiekio toną, apie kurią nepranešta. Bauda didinama pagal Europos vartotojų kainų indeksą.</w:t>
                </w:r>
              </w:p>
              <w:p>
                <w:pPr>
                  <w:widowControl w:val="0"/>
                  <w:suppressAutoHyphens/>
                  <w:jc w:val="both"/>
                  <w:rPr>
                    <w:rFonts w:eastAsia="Arial Unicode MS"/>
                    <w:lang w:eastAsia="lt-LT"/>
                  </w:rPr>
                </w:pPr>
              </w:p>
              <w:p>
                <w:pPr>
                  <w:widowControl w:val="0"/>
                  <w:suppressAutoHyphens/>
                  <w:jc w:val="both"/>
                </w:pPr>
                <w:r>
                  <w:rPr>
                    <w:rFonts w:eastAsia="Arial Unicode MS"/>
                    <w:lang w:eastAsia="lt-LT"/>
                  </w:rPr>
                  <w:t xml:space="preserve">3.   Nustatydamos faktinę baudos sumą už nedeklaruotą išmetamą ŠESD kiekį, apskaičiuotą remiantis Komisijos pateiktomis ir paskelbtomis pereinamojo laikotarpio numatytosiomis vertėmis, kompetentingos institucijos atsižvelgia į šiuos veiksnius:</w:t>
                </w:r>
              </w:p>
              <w:p>
                <w:pPr>
                  <w:widowControl w:val="0"/>
                  <w:suppressAutoHyphens/>
                  <w:jc w:val="both"/>
                </w:pPr>
                <w:r>
                  <w:rPr>
                    <w:rFonts w:eastAsia="Arial Unicode MS"/>
                    <w:lang w:eastAsia="lt-LT"/>
                  </w:rPr>
                  <w:t>a) informacijos, apie kurią nepranešta, apimtį;</w:t>
                </w:r>
              </w:p>
              <w:p>
                <w:pPr>
                  <w:widowControl w:val="0"/>
                  <w:suppressAutoHyphens/>
                  <w:jc w:val="both"/>
                </w:pPr>
                <w:r>
                  <w:rPr>
                    <w:rFonts w:eastAsia="Arial Unicode MS"/>
                    <w:lang w:eastAsia="lt-LT"/>
                  </w:rPr>
                  <w:t>b) nedeklaruotus importuotų prekių kiekius ir nedeklaruotą su tomis prekėmis susijusį išmetamą ŠESD kiekį;</w:t>
                </w:r>
              </w:p>
              <w:p>
                <w:pPr>
                  <w:widowControl w:val="0"/>
                  <w:suppressAutoHyphens/>
                  <w:jc w:val="both"/>
                </w:pPr>
                <w:r>
                  <w:rPr>
                    <w:rFonts w:eastAsia="Arial Unicode MS"/>
                    <w:lang w:eastAsia="lt-LT"/>
                  </w:rPr>
                  <w:t>c) ataskaitas teikiančio deklaranto pasirengimą įvykdyti prašymus pateikti informaciją arba pataisyti PADKM ataskaitą;</w:t>
                </w:r>
              </w:p>
              <w:p>
                <w:pPr>
                  <w:widowControl w:val="0"/>
                  <w:suppressAutoHyphens/>
                  <w:jc w:val="both"/>
                </w:pPr>
                <w:r>
                  <w:rPr>
                    <w:rFonts w:eastAsia="Arial Unicode MS"/>
                    <w:lang w:eastAsia="lt-LT"/>
                  </w:rPr>
                  <w:t>d) tyčinį arba aplaidų ataskaitas teikiančio deklaranto elgesį;</w:t>
                </w:r>
              </w:p>
              <w:p>
                <w:pPr>
                  <w:widowControl w:val="0"/>
                  <w:suppressAutoHyphens/>
                  <w:jc w:val="both"/>
                </w:pPr>
                <w:r>
                  <w:rPr>
                    <w:rFonts w:eastAsia="Arial Unicode MS"/>
                    <w:lang w:eastAsia="lt-LT"/>
                  </w:rPr>
                  <w:t>e) ankstesnį ataskaitas teikiančio deklaranto elgesį, susijusį su pareigos teikti ataskaitas vykdymu;</w:t>
                </w:r>
              </w:p>
              <w:p>
                <w:pPr>
                  <w:widowControl w:val="0"/>
                  <w:suppressAutoHyphens/>
                  <w:jc w:val="both"/>
                </w:pPr>
                <w:r>
                  <w:rPr>
                    <w:rFonts w:eastAsia="Arial Unicode MS"/>
                    <w:lang w:eastAsia="lt-LT"/>
                  </w:rPr>
                  <w:t>f) ataskaitas teikiančio deklaranto bendradarbiavimo siekiant nutraukti pažeidimą lygį;</w:t>
                </w:r>
              </w:p>
              <w:p>
                <w:pPr>
                  <w:widowControl w:val="0"/>
                  <w:suppressAutoHyphens/>
                  <w:jc w:val="both"/>
                </w:pPr>
                <w:r>
                  <w:rPr>
                    <w:rFonts w:eastAsia="Arial Unicode MS"/>
                    <w:lang w:eastAsia="lt-LT"/>
                  </w:rPr>
                  <w:t>g) ar ataskaitas teikiantis deklarantas savanoriškai ėmėsi priemonių užtikrinti, kad ateityje nebūtų galima padaryti panašių pažeidimų.</w:t>
                </w:r>
              </w:p>
              <w:p>
                <w:pPr>
                  <w:widowControl w:val="0"/>
                  <w:suppressAutoHyphens/>
                  <w:jc w:val="both"/>
                  <w:rPr>
                    <w:rFonts w:eastAsia="Arial Unicode MS"/>
                    <w:lang w:eastAsia="lt-LT"/>
                  </w:rPr>
                </w:pPr>
              </w:p>
              <w:p>
                <w:pPr>
                  <w:widowControl w:val="0"/>
                  <w:suppressAutoHyphens/>
                  <w:jc w:val="both"/>
                  <w:rPr>
                    <w:rFonts w:eastAsia="Arial Unicode MS"/>
                    <w:lang w:val="en-GB" w:eastAsia="lt-LT"/>
                  </w:rPr>
                </w:pPr>
                <w:r>
                  <w:rPr>
                    <w:rFonts w:eastAsia="Arial Unicode MS"/>
                    <w:lang w:eastAsia="lt-LT"/>
                  </w:rPr>
                  <w:t xml:space="preserve">4.   Didesnės baudos skiriamos, kai iš eilės pateiktos daugiau kaip dvi neišsamios arba neteisingos ataskaitos, kaip tai suprantama 13 straipsnyje, arba jei ataskaitos neteikiamos ilgiau kaip 6 mėnesius. “</w:t>
                </w:r>
              </w:p>
            </w:tc>
            <w:tc>
              <w:tcPr>
                <w:tcW w:w="5954" w:type="dxa"/>
                <w:tcBorders>
                  <w:left w:val="single" w:sz="1" w:space="0" w:color="000000" w:themeColor="text1"/>
                  <w:bottom w:val="single" w:sz="1" w:space="0" w:color="000000" w:themeColor="text1"/>
                </w:tcBorders>
              </w:tcPr>
              <w:p>
                <w:pPr>
                  <w:widowControl w:val="0"/>
                  <w:jc w:val="both"/>
                  <w:rPr>
                    <w:color w:val="000000"/>
                    <w:szCs w:val="24"/>
                  </w:rPr>
                </w:pPr>
                <w:r>
                  <w:rPr>
                    <w:b/>
                    <w:bCs/>
                    <w:color w:val="000000"/>
                    <w:szCs w:val="24"/>
                  </w:rPr>
                  <w:t>Įstatymo projektas</w:t>
                </w:r>
              </w:p>
              <w:p>
                <w:pPr>
                  <w:widowControl w:val="0"/>
                  <w:jc w:val="both"/>
                  <w:rPr>
                    <w:color w:val="000000"/>
                    <w:szCs w:val="24"/>
                  </w:rPr>
                </w:pPr>
                <w:r>
                  <w:rPr>
                    <w:b/>
                    <w:bCs/>
                    <w:color w:val="000000"/>
                    <w:szCs w:val="24"/>
                  </w:rPr>
                  <w:t>9 straipsnis. 110</w:t>
                </w:r>
                <w:r>
                  <w:rPr>
                    <w:b/>
                    <w:bCs/>
                    <w:color w:val="000000"/>
                    <w:szCs w:val="24"/>
                    <w:vertAlign w:val="superscript"/>
                  </w:rPr>
                  <w:t>2</w:t>
                </w:r>
                <w:r>
                  <w:rPr>
                    <w:color w:val="000000"/>
                    <w:szCs w:val="24"/>
                  </w:rPr>
                  <w:t xml:space="preserve"> </w:t>
                </w:r>
                <w:r>
                  <w:rPr>
                    <w:b/>
                    <w:bCs/>
                    <w:color w:val="000000"/>
                    <w:szCs w:val="24"/>
                  </w:rPr>
                  <w:t>straipsnio 1 ir 2 dalis</w:t>
                </w:r>
                <w:r>
                  <w:rPr>
                    <w:color w:val="000000"/>
                    <w:szCs w:val="24"/>
                  </w:rPr>
                  <w:t xml:space="preserve"> </w:t>
                </w:r>
              </w:p>
              <w:p>
                <w:pPr>
                  <w:widowControl w:val="0"/>
                  <w:jc w:val="both"/>
                  <w:rPr>
                    <w:color w:val="000000"/>
                    <w:szCs w:val="24"/>
                  </w:rPr>
                </w:pPr>
              </w:p>
              <w:p>
                <w:pPr>
                  <w:widowControl w:val="0"/>
                  <w:jc w:val="both"/>
                  <w:rPr>
                    <w:color w:val="000000"/>
                    <w:szCs w:val="24"/>
                    <w:lang w:val="en-US"/>
                  </w:rPr>
                </w:pPr>
                <w:r>
                  <w:rPr>
                    <w:color w:val="000000"/>
                    <w:szCs w:val="24"/>
                  </w:rPr>
                  <w:t>9 straipsnis. Įstatymo papildymas 110</w:t>
                </w:r>
                <w:r>
                  <w:rPr>
                    <w:color w:val="000000"/>
                    <w:szCs w:val="24"/>
                    <w:vertAlign w:val="superscript"/>
                  </w:rPr>
                  <w:t>2</w:t>
                </w:r>
                <w:r>
                  <w:rPr>
                    <w:color w:val="000000"/>
                    <w:szCs w:val="24"/>
                  </w:rPr>
                  <w:t xml:space="preserve"> straipsniu </w:t>
                </w:r>
              </w:p>
              <w:p>
                <w:pPr>
                  <w:widowControl w:val="0"/>
                  <w:jc w:val="both"/>
                  <w:rPr>
                    <w:color w:val="000000"/>
                    <w:szCs w:val="24"/>
                    <w:lang w:val="en-US"/>
                  </w:rPr>
                </w:pPr>
                <w:r>
                  <w:rPr>
                    <w:color w:val="000000"/>
                    <w:szCs w:val="24"/>
                  </w:rPr>
                  <w:t>Papildyti-įstatymą 110</w:t>
                </w:r>
                <w:r>
                  <w:rPr>
                    <w:color w:val="000000"/>
                    <w:szCs w:val="24"/>
                    <w:vertAlign w:val="superscript"/>
                  </w:rPr>
                  <w:t>2</w:t>
                </w:r>
                <w:r>
                  <w:rPr>
                    <w:color w:val="000000"/>
                    <w:szCs w:val="24"/>
                  </w:rPr>
                  <w:t xml:space="preserve"> straipsniu: </w:t>
                </w:r>
              </w:p>
              <w:p>
                <w:pPr>
                  <w:widowControl w:val="0"/>
                  <w:jc w:val="both"/>
                  <w:rPr>
                    <w:color w:val="000000"/>
                    <w:szCs w:val="24"/>
                    <w:lang w:val="en-US"/>
                  </w:rPr>
                </w:pPr>
                <w:r>
                  <w:rPr>
                    <w:color w:val="000000"/>
                    <w:szCs w:val="24"/>
                  </w:rPr>
                  <w:t>„110</w:t>
                </w:r>
                <w:r>
                  <w:rPr>
                    <w:color w:val="000000"/>
                    <w:szCs w:val="24"/>
                    <w:vertAlign w:val="superscript"/>
                  </w:rPr>
                  <w:t>2</w:t>
                </w:r>
                <w:r>
                  <w:rPr>
                    <w:color w:val="000000"/>
                    <w:szCs w:val="24"/>
                  </w:rPr>
                  <w:t xml:space="preserve"> straipsnis. Juridinių asmenų atsakomybė už Reglamente </w:t>
                </w:r>
                <w:fldSimple w:instr="HYPERLINK http://eur-lex.europa.eu/legal-content/LIT/TXT/?uri=CELEX:32023R0956&amp;locale=lt \t _blank">
                  <w:r>
                    <w:rPr>
                      <w:color w:val="0000FF" w:themeColor="hyperlink"/>
                      <w:szCs w:val="24"/>
                      <w:u w:val="single"/>
                    </w:rPr>
                    <w:t>(ES) 2023/956</w:t>
                  </w:r>
                </w:fldSimple>
                <w:r>
                  <w:rPr>
                    <w:color w:val="000000"/>
                    <w:szCs w:val="24"/>
                  </w:rPr>
                  <w:t xml:space="preserve"> nustatytų pasienio anglies dioksido korekcinio mechanizmo reikalavimų pažeidimą   </w:t>
                </w:r>
              </w:p>
              <w:p>
                <w:pPr>
                  <w:jc w:val="both"/>
                  <w:textAlignment w:val="baseline"/>
                  <w:rPr>
                    <w:szCs w:val="24"/>
                    <w:lang w:eastAsia="lt-LT"/>
                  </w:rPr>
                </w:pPr>
              </w:p>
              <w:p>
                <w:pPr>
                  <w:jc w:val="both"/>
                  <w:textAlignment w:val="baseline"/>
                  <w:rPr>
                    <w:rFonts w:ascii="Segoe UI" w:hAnsi="Segoe UI" w:cs="Segoe UI"/>
                    <w:color w:val="000000"/>
                    <w:sz w:val="18"/>
                    <w:szCs w:val="18"/>
                    <w:lang w:eastAsia="lt-LT"/>
                  </w:rPr>
                </w:pPr>
                <w:r>
                  <w:rPr>
                    <w:color w:val="000000"/>
                    <w:szCs w:val="24"/>
                    <w:lang w:eastAsia="lt-LT"/>
                  </w:rPr>
                  <w:t xml:space="preserve">Reglamento </w:t>
                </w:r>
                <w:fldSimple w:instr="HYPERLINK http://eur-lex.europa.eu/legal-content/LIT/TXT/?uri=CELEX:32023R0956&amp;locale=lt \t _blank">
                  <w:r>
                    <w:rPr>
                      <w:color w:val="0000FF" w:themeColor="hyperlink"/>
                      <w:szCs w:val="24"/>
                      <w:lang w:eastAsia="lt-LT"/>
                      <w:u w:val="single"/>
                    </w:rPr>
                    <w:t>(ES) 2023/956</w:t>
                  </w:r>
                </w:fldSimple>
                <w:r>
                  <w:rPr>
                    <w:color w:val="000000"/>
                    <w:szCs w:val="24"/>
                    <w:lang w:eastAsia="lt-LT"/>
                  </w:rPr>
                  <w:t xml:space="preserve"> 32 straipsnyje nustatytos pasienio anglies dioksido korekcinio mechanizmo (toliau – PADKM) ataskaitos nepateikimas laiku  užtraukia baudą nuo dešimties iki penkiasdešimties eurų už kiekvieną nepraneštą išmetamo šiltnamio efektą sukeliančių dujų (toliau – ŠESD) kiekio toną, lygią anglies dioksido tonos ekvivalentui (toliau – CO</w:t>
                </w:r>
                <w:r>
                  <w:rPr>
                    <w:color w:val="000000"/>
                    <w:sz w:val="19"/>
                    <w:szCs w:val="19"/>
                    <w:vertAlign w:val="subscript"/>
                    <w:lang w:eastAsia="lt-LT"/>
                  </w:rPr>
                  <w:t>2</w:t>
                </w:r>
                <w:r>
                  <w:rPr>
                    <w:color w:val="000000"/>
                    <w:szCs w:val="24"/>
                    <w:lang w:eastAsia="lt-LT"/>
                  </w:rPr>
                  <w:t xml:space="preserve"> e.) arba PADKM ataskaitos nepateikimas ilgiau kaip 6 mėnesius užtraukia baudą nuo penkiasdešimties iki devyniasdešimties eurų už kiekvieną nepraneštą išmetamo ŠESD kiekio toną  CO</w:t>
                </w:r>
                <w:r>
                  <w:rPr>
                    <w:color w:val="000000"/>
                    <w:sz w:val="19"/>
                    <w:szCs w:val="19"/>
                    <w:vertAlign w:val="subscript"/>
                    <w:lang w:eastAsia="lt-LT"/>
                  </w:rPr>
                  <w:t>2</w:t>
                </w:r>
                <w:r>
                  <w:rPr>
                    <w:color w:val="000000"/>
                    <w:szCs w:val="24"/>
                    <w:lang w:eastAsia="lt-LT"/>
                  </w:rPr>
                  <w:t xml:space="preserve"> e. </w:t>
                </w:r>
              </w:p>
              <w:p>
                <w:pPr>
                  <w:ind w:firstLine="675"/>
                  <w:jc w:val="both"/>
                  <w:textAlignment w:val="baseline"/>
                  <w:rPr>
                    <w:rFonts w:ascii="Segoe UI" w:hAnsi="Segoe UI" w:cs="Segoe UI"/>
                    <w:color w:val="000000"/>
                    <w:sz w:val="18"/>
                    <w:szCs w:val="18"/>
                    <w:lang w:eastAsia="lt-LT"/>
                  </w:rPr>
                </w:pPr>
                <w:r>
                  <w:rPr>
                    <w:color w:val="000000"/>
                    <w:szCs w:val="24"/>
                    <w:lang w:eastAsia="lt-LT"/>
                  </w:rPr>
                  <w:t>Šio straipsnio 1 dalyje nurodytos neteisingos ar neišsamios Reglamento  (ES) 32 straipsnyje nurodytos PADKM ataskaitos pateikimas arba kompetentingos institucijos nurodymų pataisyti PADKM ataskaitą nevykdymas užtraukia baudą nuo dešimties iki penkiasdešimties eurų už kiekvieną nepraneštą išmetamo ŠESD kiekio toną  CO</w:t>
                </w:r>
                <w:r>
                  <w:rPr>
                    <w:color w:val="000000"/>
                    <w:sz w:val="19"/>
                    <w:szCs w:val="19"/>
                    <w:vertAlign w:val="subscript"/>
                    <w:lang w:eastAsia="lt-LT"/>
                  </w:rPr>
                  <w:t>2</w:t>
                </w:r>
                <w:r>
                  <w:rPr>
                    <w:color w:val="000000"/>
                    <w:szCs w:val="24"/>
                    <w:lang w:eastAsia="lt-LT"/>
                  </w:rPr>
                  <w:t xml:space="preserve"> e. arba daugiau kaip dviejų iš eilės einančių neteisingų ar neišsamių PADKM ataskaitų pateikimas užtraukia baudą nuo penkiasdešimt iki devyniasdešimt eurų už kiekvieną nepraneštą išmetamo ŠESD kiekio toną CO</w:t>
                </w:r>
                <w:r>
                  <w:rPr>
                    <w:color w:val="000000"/>
                    <w:sz w:val="19"/>
                    <w:szCs w:val="19"/>
                    <w:vertAlign w:val="subscript"/>
                    <w:lang w:eastAsia="lt-LT"/>
                  </w:rPr>
                  <w:t>2</w:t>
                </w:r>
                <w:r>
                  <w:rPr>
                    <w:color w:val="000000"/>
                    <w:szCs w:val="24"/>
                    <w:lang w:eastAsia="lt-LT"/>
                  </w:rPr>
                  <w:t>  e.“ </w:t>
                </w:r>
              </w:p>
              <w:p>
                <w:pPr>
                  <w:rPr>
                    <w:sz w:val="20"/>
                  </w:rPr>
                </w:pPr>
              </w:p>
              <w:p>
                <w:pPr>
                  <w:widowControl w:val="0"/>
                  <w:suppressAutoHyphens/>
                  <w:jc w:val="both"/>
                  <w:textAlignment w:val="center"/>
                  <w:rPr>
                    <w:color w:val="000000"/>
                    <w:szCs w:val="24"/>
                  </w:rPr>
                </w:pPr>
                <w:r>
                  <w:rPr>
                    <w:color w:val="000000"/>
                    <w:szCs w:val="24"/>
                  </w:rPr>
                  <w:t>&lt;...&gt;</w:t>
                </w:r>
              </w:p>
              <w:p>
                <w:pPr>
                  <w:rPr>
                    <w:sz w:val="20"/>
                  </w:rPr>
                </w:pPr>
              </w:p>
              <w:p>
                <w:pPr>
                  <w:widowControl w:val="0"/>
                  <w:suppressAutoHyphens/>
                  <w:jc w:val="both"/>
                  <w:textAlignment w:val="center"/>
                  <w:rPr>
                    <w:rFonts w:eastAsia="Arial Unicode MS"/>
                    <w:lang w:eastAsia="lt-LT"/>
                  </w:rPr>
                </w:pPr>
              </w:p>
            </w:tc>
            <w:tc>
              <w:tcPr>
                <w:tcW w:w="1842" w:type="dxa"/>
                <w:tcBorders>
                  <w:left w:val="single" w:sz="1" w:space="0" w:color="000000" w:themeColor="text1"/>
                  <w:bottom w:val="single" w:sz="1" w:space="0" w:color="000000" w:themeColor="text1"/>
                  <w:right w:val="single" w:sz="1" w:space="0" w:color="000000" w:themeColor="text1"/>
                </w:tcBorders>
              </w:tcPr>
              <w:p>
                <w:pPr>
                  <w:widowControl w:val="0"/>
                  <w:suppressLineNumbers/>
                  <w:suppressAutoHyphens/>
                  <w:jc w:val="center"/>
                  <w:rPr>
                    <w:color w:val="000000"/>
                    <w:szCs w:val="24"/>
                  </w:rPr>
                </w:pPr>
                <w:r>
                  <w:rPr>
                    <w:b/>
                    <w:bCs/>
                    <w:color w:val="000000"/>
                    <w:szCs w:val="24"/>
                  </w:rPr>
                  <w:t>Dalinis.</w:t>
                </w:r>
              </w:p>
              <w:p>
                <w:pPr>
                  <w:widowControl w:val="0"/>
                  <w:suppressLineNumbers/>
                  <w:suppressAutoHyphens/>
                  <w:jc w:val="center"/>
                </w:pPr>
                <w:r>
                  <w:rPr>
                    <w:color w:val="000000"/>
                    <w:szCs w:val="24"/>
                  </w:rPr>
                  <w:t>Sankcijos fiziniams asmenims nustatomos Administracinių nusižengimų kodekso pakeitimo projekte.</w:t>
                </w:r>
              </w:p>
            </w:tc>
          </w:tr>
        </w:tbl>
        <w:p/>
        <w:p/>
        <w:p>
          <w:pPr>
            <w:widowControl w:val="0"/>
            <w:suppressAutoHyphens/>
            <w:rPr>
              <w:rFonts w:eastAsia="Arial Unicode MS"/>
              <w:szCs w:val="24"/>
              <w:lang w:eastAsia="lt-LT"/>
            </w:rPr>
            <w:sectPr>
              <w:footnotePr>
                <w:pos w:val="beneathText"/>
              </w:footnotePr>
              <w:type w:val="continuous"/>
              <w:pgSz w:w="16837" w:h="11905" w:orient="landscape"/>
              <w:pgMar w:top="1701" w:right="567" w:bottom="1134" w:left="1134" w:header="567" w:footer="567" w:gutter="0"/>
              <w:cols w:space="1296"/>
            </w:sectPr>
          </w:pPr>
        </w:p>
        <w:p>
          <w:pPr>
            <w:rPr>
              <w:sz w:val="10"/>
              <w:szCs w:val="10"/>
            </w:rPr>
          </w:pPr>
        </w:p>
        <w:sdt>
          <w:sdtPr>
            <w:alias w:val="pabaiga"/>
            <w:tag w:val="part_b26fc81918cd42728283f2fe96693855"/>
            <w:lock w:val="sdtLocked"/>
            <w:richText/>
          </w:sdtPr>
          <w:sdtContent>
            <w:p>
              <w:pPr>
                <w:widowControl w:val="0"/>
                <w:tabs>
                  <w:tab w:val="center" w:pos="0"/>
                  <w:tab w:val="center" w:pos="4153"/>
                  <w:tab w:val="left" w:pos="7230"/>
                  <w:tab w:val="right" w:pos="8306"/>
                </w:tabs>
                <w:suppressAutoHyphens/>
                <w:jc w:val="center"/>
                <w:rPr>
                  <w:rFonts w:eastAsia="Arial Unicode MS"/>
                  <w:szCs w:val="24"/>
                  <w:lang w:eastAsia="lt-LT"/>
                </w:rPr>
              </w:pPr>
              <w:r>
                <w:rPr>
                  <w:rFonts w:eastAsia="Arial Unicode MS"/>
                  <w:szCs w:val="24"/>
                  <w:lang w:eastAsia="lt-LT"/>
                </w:rPr>
                <w:t>_________________</w:t>
              </w:r>
            </w:p>
          </w:sdtContent>
        </w:sdt>
      </w:sdtContent>
    </w:sdt>
    <w:sectPr>
      <w:footnotePr>
        <w:pos w:val="beneathText"/>
      </w:footnotePr>
      <w:type w:val="continuous"/>
      <w:pgSz w:w="16837" w:h="11905" w:orient="landscape"/>
      <w:pgMar w:top="1134" w:right="1134" w:bottom="1134" w:left="1134" w:header="567" w:footer="567" w:gutter="0"/>
      <w:cols w:space="1296"/>
    </w:sectPr>
  </w:body>
</w:document>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BA"/>
    <w:family w:val="swiss"/>
    <w:pitch w:val="variable"/>
    <w:sig w:usb0="E10022FF" w:usb1="C000E47F" w:usb2="00000029" w:usb3="00000000" w:csb0="000001DF" w:csb1="00000000"/>
  </w:font>
  <w:font w:name="MS Gothic">
    <w:altName w:val="ＭＳ ゴシック"/>
    <w:panose1 w:val="020B0609070205080204"/>
    <w:charset w:val="80"/>
    <w:family w:val="modern"/>
    <w:pitch w:val="fixed"/>
    <w:sig w:usb0="E00002FF" w:usb1="6AC7FDFB" w:usb2="00000012" w:usb3="00000000" w:csb0="0002009F" w:csb1="00000000"/>
  </w:font>
  <w:font w:name="Cambria">
    <w:panose1 w:val="02040503050406030204"/>
    <w:charset w:val="BA"/>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Arial">
    <w:panose1 w:val="020B0604020202020204"/>
    <w:charset w:val="BA"/>
    <w:family w:val="swiss"/>
    <w:pitch w:val="variable"/>
    <w:sig w:usb0="E0002AFF" w:usb1="C0007843" w:usb2="00000009" w:usb3="00000000" w:csb0="000001FF" w:csb1="00000000"/>
  </w:font>
</w:fonts>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displayBackgroundShape/>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strictFirstAndLastChars/>
  <w:footnotePr>
    <w:pos w:val="beneathText"/>
  </w:foot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40C7F"/>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47388429-34C7-47E5-ADE9-AF425B792355}"/>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083494">
      <w:bodyDiv w:val="1"/>
      <w:marLeft w:val="0"/>
      <w:marRight w:val="0"/>
      <w:marTop w:val="0"/>
      <w:marBottom w:val="0"/>
      <w:divBdr>
        <w:top w:val="none" w:sz="0" w:space="0" w:color="auto"/>
        <w:left w:val="none" w:sz="0" w:space="0" w:color="auto"/>
        <w:bottom w:val="none" w:sz="0" w:space="0" w:color="auto"/>
        <w:right w:val="none" w:sz="0" w:space="0" w:color="auto"/>
      </w:divBdr>
    </w:div>
    <w:div w:id="149635256">
      <w:bodyDiv w:val="1"/>
      <w:marLeft w:val="0"/>
      <w:marRight w:val="0"/>
      <w:marTop w:val="0"/>
      <w:marBottom w:val="0"/>
      <w:divBdr>
        <w:top w:val="none" w:sz="0" w:space="0" w:color="auto"/>
        <w:left w:val="none" w:sz="0" w:space="0" w:color="auto"/>
        <w:bottom w:val="none" w:sz="0" w:space="0" w:color="auto"/>
        <w:right w:val="none" w:sz="0" w:space="0" w:color="auto"/>
      </w:divBdr>
    </w:div>
    <w:div w:id="233904660">
      <w:bodyDiv w:val="1"/>
      <w:marLeft w:val="0"/>
      <w:marRight w:val="0"/>
      <w:marTop w:val="0"/>
      <w:marBottom w:val="0"/>
      <w:divBdr>
        <w:top w:val="none" w:sz="0" w:space="0" w:color="auto"/>
        <w:left w:val="none" w:sz="0" w:space="0" w:color="auto"/>
        <w:bottom w:val="none" w:sz="0" w:space="0" w:color="auto"/>
        <w:right w:val="none" w:sz="0" w:space="0" w:color="auto"/>
      </w:divBdr>
    </w:div>
    <w:div w:id="480854021">
      <w:bodyDiv w:val="1"/>
      <w:marLeft w:val="0"/>
      <w:marRight w:val="0"/>
      <w:marTop w:val="0"/>
      <w:marBottom w:val="0"/>
      <w:divBdr>
        <w:top w:val="none" w:sz="0" w:space="0" w:color="auto"/>
        <w:left w:val="none" w:sz="0" w:space="0" w:color="auto"/>
        <w:bottom w:val="none" w:sz="0" w:space="0" w:color="auto"/>
        <w:right w:val="none" w:sz="0" w:space="0" w:color="auto"/>
      </w:divBdr>
    </w:div>
    <w:div w:id="587351958">
      <w:bodyDiv w:val="1"/>
      <w:marLeft w:val="0"/>
      <w:marRight w:val="0"/>
      <w:marTop w:val="0"/>
      <w:marBottom w:val="0"/>
      <w:divBdr>
        <w:top w:val="none" w:sz="0" w:space="0" w:color="auto"/>
        <w:left w:val="none" w:sz="0" w:space="0" w:color="auto"/>
        <w:bottom w:val="none" w:sz="0" w:space="0" w:color="auto"/>
        <w:right w:val="none" w:sz="0" w:space="0" w:color="auto"/>
      </w:divBdr>
    </w:div>
    <w:div w:id="738751050">
      <w:bodyDiv w:val="1"/>
      <w:marLeft w:val="0"/>
      <w:marRight w:val="0"/>
      <w:marTop w:val="0"/>
      <w:marBottom w:val="0"/>
      <w:divBdr>
        <w:top w:val="none" w:sz="0" w:space="0" w:color="auto"/>
        <w:left w:val="none" w:sz="0" w:space="0" w:color="auto"/>
        <w:bottom w:val="none" w:sz="0" w:space="0" w:color="auto"/>
        <w:right w:val="none" w:sz="0" w:space="0" w:color="auto"/>
      </w:divBdr>
    </w:div>
    <w:div w:id="749354208">
      <w:bodyDiv w:val="1"/>
      <w:marLeft w:val="0"/>
      <w:marRight w:val="0"/>
      <w:marTop w:val="0"/>
      <w:marBottom w:val="0"/>
      <w:divBdr>
        <w:top w:val="none" w:sz="0" w:space="0" w:color="auto"/>
        <w:left w:val="none" w:sz="0" w:space="0" w:color="auto"/>
        <w:bottom w:val="none" w:sz="0" w:space="0" w:color="auto"/>
        <w:right w:val="none" w:sz="0" w:space="0" w:color="auto"/>
      </w:divBdr>
    </w:div>
    <w:div w:id="808743230">
      <w:bodyDiv w:val="1"/>
      <w:marLeft w:val="0"/>
      <w:marRight w:val="0"/>
      <w:marTop w:val="0"/>
      <w:marBottom w:val="0"/>
      <w:divBdr>
        <w:top w:val="none" w:sz="0" w:space="0" w:color="auto"/>
        <w:left w:val="none" w:sz="0" w:space="0" w:color="auto"/>
        <w:bottom w:val="none" w:sz="0" w:space="0" w:color="auto"/>
        <w:right w:val="none" w:sz="0" w:space="0" w:color="auto"/>
      </w:divBdr>
      <w:divsChild>
        <w:div w:id="1017317799">
          <w:marLeft w:val="0"/>
          <w:marRight w:val="0"/>
          <w:marTop w:val="0"/>
          <w:marBottom w:val="0"/>
          <w:divBdr>
            <w:top w:val="none" w:sz="0" w:space="0" w:color="auto"/>
            <w:left w:val="none" w:sz="0" w:space="0" w:color="auto"/>
            <w:bottom w:val="none" w:sz="0" w:space="0" w:color="auto"/>
            <w:right w:val="none" w:sz="0" w:space="0" w:color="auto"/>
          </w:divBdr>
        </w:div>
        <w:div w:id="1665669515">
          <w:marLeft w:val="0"/>
          <w:marRight w:val="0"/>
          <w:marTop w:val="0"/>
          <w:marBottom w:val="0"/>
          <w:divBdr>
            <w:top w:val="none" w:sz="0" w:space="0" w:color="auto"/>
            <w:left w:val="none" w:sz="0" w:space="0" w:color="auto"/>
            <w:bottom w:val="none" w:sz="0" w:space="0" w:color="auto"/>
            <w:right w:val="none" w:sz="0" w:space="0" w:color="auto"/>
          </w:divBdr>
        </w:div>
        <w:div w:id="2052877437">
          <w:marLeft w:val="0"/>
          <w:marRight w:val="0"/>
          <w:marTop w:val="0"/>
          <w:marBottom w:val="0"/>
          <w:divBdr>
            <w:top w:val="none" w:sz="0" w:space="0" w:color="auto"/>
            <w:left w:val="none" w:sz="0" w:space="0" w:color="auto"/>
            <w:bottom w:val="none" w:sz="0" w:space="0" w:color="auto"/>
            <w:right w:val="none" w:sz="0" w:space="0" w:color="auto"/>
          </w:divBdr>
        </w:div>
      </w:divsChild>
    </w:div>
    <w:div w:id="938414210">
      <w:bodyDiv w:val="1"/>
      <w:marLeft w:val="0"/>
      <w:marRight w:val="0"/>
      <w:marTop w:val="0"/>
      <w:marBottom w:val="0"/>
      <w:divBdr>
        <w:top w:val="none" w:sz="0" w:space="0" w:color="auto"/>
        <w:left w:val="none" w:sz="0" w:space="0" w:color="auto"/>
        <w:bottom w:val="none" w:sz="0" w:space="0" w:color="auto"/>
        <w:right w:val="none" w:sz="0" w:space="0" w:color="auto"/>
      </w:divBdr>
    </w:div>
    <w:div w:id="1015771403">
      <w:bodyDiv w:val="1"/>
      <w:marLeft w:val="0"/>
      <w:marRight w:val="0"/>
      <w:marTop w:val="0"/>
      <w:marBottom w:val="0"/>
      <w:divBdr>
        <w:top w:val="none" w:sz="0" w:space="0" w:color="auto"/>
        <w:left w:val="none" w:sz="0" w:space="0" w:color="auto"/>
        <w:bottom w:val="none" w:sz="0" w:space="0" w:color="auto"/>
        <w:right w:val="none" w:sz="0" w:space="0" w:color="auto"/>
      </w:divBdr>
    </w:div>
    <w:div w:id="1063136793">
      <w:bodyDiv w:val="1"/>
      <w:marLeft w:val="0"/>
      <w:marRight w:val="0"/>
      <w:marTop w:val="0"/>
      <w:marBottom w:val="0"/>
      <w:divBdr>
        <w:top w:val="none" w:sz="0" w:space="0" w:color="auto"/>
        <w:left w:val="none" w:sz="0" w:space="0" w:color="auto"/>
        <w:bottom w:val="none" w:sz="0" w:space="0" w:color="auto"/>
        <w:right w:val="none" w:sz="0" w:space="0" w:color="auto"/>
      </w:divBdr>
    </w:div>
    <w:div w:id="1184904733">
      <w:bodyDiv w:val="1"/>
      <w:marLeft w:val="0"/>
      <w:marRight w:val="0"/>
      <w:marTop w:val="0"/>
      <w:marBottom w:val="0"/>
      <w:divBdr>
        <w:top w:val="none" w:sz="0" w:space="0" w:color="auto"/>
        <w:left w:val="none" w:sz="0" w:space="0" w:color="auto"/>
        <w:bottom w:val="none" w:sz="0" w:space="0" w:color="auto"/>
        <w:right w:val="none" w:sz="0" w:space="0" w:color="auto"/>
      </w:divBdr>
    </w:div>
    <w:div w:id="1268465804">
      <w:bodyDiv w:val="1"/>
      <w:marLeft w:val="0"/>
      <w:marRight w:val="0"/>
      <w:marTop w:val="0"/>
      <w:marBottom w:val="0"/>
      <w:divBdr>
        <w:top w:val="none" w:sz="0" w:space="0" w:color="auto"/>
        <w:left w:val="none" w:sz="0" w:space="0" w:color="auto"/>
        <w:bottom w:val="none" w:sz="0" w:space="0" w:color="auto"/>
        <w:right w:val="none" w:sz="0" w:space="0" w:color="auto"/>
      </w:divBdr>
    </w:div>
    <w:div w:id="1286354149">
      <w:bodyDiv w:val="1"/>
      <w:marLeft w:val="0"/>
      <w:marRight w:val="0"/>
      <w:marTop w:val="0"/>
      <w:marBottom w:val="0"/>
      <w:divBdr>
        <w:top w:val="none" w:sz="0" w:space="0" w:color="auto"/>
        <w:left w:val="none" w:sz="0" w:space="0" w:color="auto"/>
        <w:bottom w:val="none" w:sz="0" w:space="0" w:color="auto"/>
        <w:right w:val="none" w:sz="0" w:space="0" w:color="auto"/>
      </w:divBdr>
    </w:div>
    <w:div w:id="1396972039">
      <w:bodyDiv w:val="1"/>
      <w:marLeft w:val="0"/>
      <w:marRight w:val="0"/>
      <w:marTop w:val="0"/>
      <w:marBottom w:val="0"/>
      <w:divBdr>
        <w:top w:val="none" w:sz="0" w:space="0" w:color="auto"/>
        <w:left w:val="none" w:sz="0" w:space="0" w:color="auto"/>
        <w:bottom w:val="none" w:sz="0" w:space="0" w:color="auto"/>
        <w:right w:val="none" w:sz="0" w:space="0" w:color="auto"/>
      </w:divBdr>
      <w:divsChild>
        <w:div w:id="516652929">
          <w:marLeft w:val="0"/>
          <w:marRight w:val="0"/>
          <w:marTop w:val="0"/>
          <w:marBottom w:val="0"/>
          <w:divBdr>
            <w:top w:val="none" w:sz="0" w:space="0" w:color="auto"/>
            <w:left w:val="none" w:sz="0" w:space="0" w:color="auto"/>
            <w:bottom w:val="none" w:sz="0" w:space="0" w:color="auto"/>
            <w:right w:val="none" w:sz="0" w:space="0" w:color="auto"/>
          </w:divBdr>
        </w:div>
        <w:div w:id="425731912">
          <w:marLeft w:val="0"/>
          <w:marRight w:val="0"/>
          <w:marTop w:val="0"/>
          <w:marBottom w:val="0"/>
          <w:divBdr>
            <w:top w:val="none" w:sz="0" w:space="0" w:color="auto"/>
            <w:left w:val="none" w:sz="0" w:space="0" w:color="auto"/>
            <w:bottom w:val="none" w:sz="0" w:space="0" w:color="auto"/>
            <w:right w:val="none" w:sz="0" w:space="0" w:color="auto"/>
          </w:divBdr>
        </w:div>
        <w:div w:id="2114551339">
          <w:marLeft w:val="0"/>
          <w:marRight w:val="0"/>
          <w:marTop w:val="0"/>
          <w:marBottom w:val="0"/>
          <w:divBdr>
            <w:top w:val="none" w:sz="0" w:space="0" w:color="auto"/>
            <w:left w:val="none" w:sz="0" w:space="0" w:color="auto"/>
            <w:bottom w:val="none" w:sz="0" w:space="0" w:color="auto"/>
            <w:right w:val="none" w:sz="0" w:space="0" w:color="auto"/>
          </w:divBdr>
        </w:div>
      </w:divsChild>
    </w:div>
    <w:div w:id="1404571857">
      <w:bodyDiv w:val="1"/>
      <w:marLeft w:val="0"/>
      <w:marRight w:val="0"/>
      <w:marTop w:val="0"/>
      <w:marBottom w:val="0"/>
      <w:divBdr>
        <w:top w:val="none" w:sz="0" w:space="0" w:color="auto"/>
        <w:left w:val="none" w:sz="0" w:space="0" w:color="auto"/>
        <w:bottom w:val="none" w:sz="0" w:space="0" w:color="auto"/>
        <w:right w:val="none" w:sz="0" w:space="0" w:color="auto"/>
      </w:divBdr>
    </w:div>
    <w:div w:id="1640258189">
      <w:bodyDiv w:val="1"/>
      <w:marLeft w:val="0"/>
      <w:marRight w:val="0"/>
      <w:marTop w:val="0"/>
      <w:marBottom w:val="0"/>
      <w:divBdr>
        <w:top w:val="none" w:sz="0" w:space="0" w:color="auto"/>
        <w:left w:val="none" w:sz="0" w:space="0" w:color="auto"/>
        <w:bottom w:val="none" w:sz="0" w:space="0" w:color="auto"/>
        <w:right w:val="none" w:sz="0" w:space="0" w:color="auto"/>
      </w:divBdr>
    </w:div>
    <w:div w:id="1668441923">
      <w:bodyDiv w:val="1"/>
      <w:marLeft w:val="0"/>
      <w:marRight w:val="0"/>
      <w:marTop w:val="0"/>
      <w:marBottom w:val="0"/>
      <w:divBdr>
        <w:top w:val="none" w:sz="0" w:space="0" w:color="auto"/>
        <w:left w:val="none" w:sz="0" w:space="0" w:color="auto"/>
        <w:bottom w:val="none" w:sz="0" w:space="0" w:color="auto"/>
        <w:right w:val="none" w:sz="0" w:space="0" w:color="auto"/>
      </w:divBdr>
      <w:divsChild>
        <w:div w:id="1555971515">
          <w:marLeft w:val="0"/>
          <w:marRight w:val="0"/>
          <w:marTop w:val="0"/>
          <w:marBottom w:val="0"/>
          <w:divBdr>
            <w:top w:val="none" w:sz="0" w:space="0" w:color="auto"/>
            <w:left w:val="none" w:sz="0" w:space="0" w:color="auto"/>
            <w:bottom w:val="none" w:sz="0" w:space="0" w:color="auto"/>
            <w:right w:val="none" w:sz="0" w:space="0" w:color="auto"/>
          </w:divBdr>
        </w:div>
        <w:div w:id="1241524297">
          <w:marLeft w:val="0"/>
          <w:marRight w:val="0"/>
          <w:marTop w:val="0"/>
          <w:marBottom w:val="0"/>
          <w:divBdr>
            <w:top w:val="none" w:sz="0" w:space="0" w:color="auto"/>
            <w:left w:val="none" w:sz="0" w:space="0" w:color="auto"/>
            <w:bottom w:val="none" w:sz="0" w:space="0" w:color="auto"/>
            <w:right w:val="none" w:sz="0" w:space="0" w:color="auto"/>
          </w:divBdr>
        </w:div>
        <w:div w:id="15427077">
          <w:marLeft w:val="0"/>
          <w:marRight w:val="0"/>
          <w:marTop w:val="0"/>
          <w:marBottom w:val="0"/>
          <w:divBdr>
            <w:top w:val="none" w:sz="0" w:space="0" w:color="auto"/>
            <w:left w:val="none" w:sz="0" w:space="0" w:color="auto"/>
            <w:bottom w:val="none" w:sz="0" w:space="0" w:color="auto"/>
            <w:right w:val="none" w:sz="0" w:space="0" w:color="auto"/>
          </w:divBdr>
        </w:div>
      </w:divsChild>
    </w:div>
    <w:div w:id="1726293452">
      <w:bodyDiv w:val="1"/>
      <w:marLeft w:val="0"/>
      <w:marRight w:val="0"/>
      <w:marTop w:val="0"/>
      <w:marBottom w:val="0"/>
      <w:divBdr>
        <w:top w:val="none" w:sz="0" w:space="0" w:color="auto"/>
        <w:left w:val="none" w:sz="0" w:space="0" w:color="auto"/>
        <w:bottom w:val="none" w:sz="0" w:space="0" w:color="auto"/>
        <w:right w:val="none" w:sz="0" w:space="0" w:color="auto"/>
      </w:divBdr>
    </w:div>
    <w:div w:id="1780105373">
      <w:bodyDiv w:val="1"/>
      <w:marLeft w:val="0"/>
      <w:marRight w:val="0"/>
      <w:marTop w:val="0"/>
      <w:marBottom w:val="0"/>
      <w:divBdr>
        <w:top w:val="none" w:sz="0" w:space="0" w:color="auto"/>
        <w:left w:val="none" w:sz="0" w:space="0" w:color="auto"/>
        <w:bottom w:val="none" w:sz="0" w:space="0" w:color="auto"/>
        <w:right w:val="none" w:sz="0" w:space="0" w:color="auto"/>
      </w:divBdr>
      <w:divsChild>
        <w:div w:id="1572425917">
          <w:marLeft w:val="0"/>
          <w:marRight w:val="0"/>
          <w:marTop w:val="0"/>
          <w:marBottom w:val="0"/>
          <w:divBdr>
            <w:top w:val="none" w:sz="0" w:space="0" w:color="auto"/>
            <w:left w:val="none" w:sz="0" w:space="0" w:color="auto"/>
            <w:bottom w:val="none" w:sz="0" w:space="0" w:color="auto"/>
            <w:right w:val="none" w:sz="0" w:space="0" w:color="auto"/>
          </w:divBdr>
        </w:div>
        <w:div w:id="1032993042">
          <w:marLeft w:val="0"/>
          <w:marRight w:val="0"/>
          <w:marTop w:val="0"/>
          <w:marBottom w:val="0"/>
          <w:divBdr>
            <w:top w:val="none" w:sz="0" w:space="0" w:color="auto"/>
            <w:left w:val="none" w:sz="0" w:space="0" w:color="auto"/>
            <w:bottom w:val="none" w:sz="0" w:space="0" w:color="auto"/>
            <w:right w:val="none" w:sz="0" w:space="0" w:color="auto"/>
          </w:divBdr>
        </w:div>
        <w:div w:id="422923669">
          <w:marLeft w:val="0"/>
          <w:marRight w:val="0"/>
          <w:marTop w:val="0"/>
          <w:marBottom w:val="0"/>
          <w:divBdr>
            <w:top w:val="none" w:sz="0" w:space="0" w:color="auto"/>
            <w:left w:val="none" w:sz="0" w:space="0" w:color="auto"/>
            <w:bottom w:val="none" w:sz="0" w:space="0" w:color="auto"/>
            <w:right w:val="none" w:sz="0" w:space="0" w:color="auto"/>
          </w:divBdr>
        </w:div>
      </w:divsChild>
    </w:div>
    <w:div w:id="1912158048">
      <w:bodyDiv w:val="1"/>
      <w:marLeft w:val="0"/>
      <w:marRight w:val="0"/>
      <w:marTop w:val="0"/>
      <w:marBottom w:val="0"/>
      <w:divBdr>
        <w:top w:val="none" w:sz="0" w:space="0" w:color="auto"/>
        <w:left w:val="none" w:sz="0" w:space="0" w:color="auto"/>
        <w:bottom w:val="none" w:sz="0" w:space="0" w:color="auto"/>
        <w:right w:val="none" w:sz="0" w:space="0" w:color="auto"/>
      </w:divBdr>
      <w:divsChild>
        <w:div w:id="788474055">
          <w:marLeft w:val="0"/>
          <w:marRight w:val="0"/>
          <w:marTop w:val="0"/>
          <w:marBottom w:val="0"/>
          <w:divBdr>
            <w:top w:val="none" w:sz="0" w:space="0" w:color="auto"/>
            <w:left w:val="none" w:sz="0" w:space="0" w:color="auto"/>
            <w:bottom w:val="none" w:sz="0" w:space="0" w:color="auto"/>
            <w:right w:val="none" w:sz="0" w:space="0" w:color="auto"/>
          </w:divBdr>
        </w:div>
        <w:div w:id="1834685229">
          <w:marLeft w:val="0"/>
          <w:marRight w:val="0"/>
          <w:marTop w:val="0"/>
          <w:marBottom w:val="0"/>
          <w:divBdr>
            <w:top w:val="none" w:sz="0" w:space="0" w:color="auto"/>
            <w:left w:val="none" w:sz="0" w:space="0" w:color="auto"/>
            <w:bottom w:val="none" w:sz="0" w:space="0" w:color="auto"/>
            <w:right w:val="none" w:sz="0" w:space="0" w:color="auto"/>
          </w:divBdr>
        </w:div>
        <w:div w:id="884679185">
          <w:marLeft w:val="0"/>
          <w:marRight w:val="0"/>
          <w:marTop w:val="0"/>
          <w:marBottom w:val="0"/>
          <w:divBdr>
            <w:top w:val="none" w:sz="0" w:space="0" w:color="auto"/>
            <w:left w:val="none" w:sz="0" w:space="0" w:color="auto"/>
            <w:bottom w:val="none" w:sz="0" w:space="0" w:color="auto"/>
            <w:right w:val="none" w:sz="0" w:space="0" w:color="auto"/>
          </w:divBdr>
        </w:div>
      </w:divsChild>
    </w:div>
    <w:div w:id="2096323435">
      <w:bodyDiv w:val="1"/>
      <w:marLeft w:val="0"/>
      <w:marRight w:val="0"/>
      <w:marTop w:val="0"/>
      <w:marBottom w:val="0"/>
      <w:divBdr>
        <w:top w:val="none" w:sz="0" w:space="0" w:color="auto"/>
        <w:left w:val="none" w:sz="0" w:space="0" w:color="auto"/>
        <w:bottom w:val="none" w:sz="0" w:space="0" w:color="auto"/>
        <w:right w:val="none" w:sz="0" w:space="0" w:color="auto"/>
      </w:divBdr>
    </w:div>
    <w:div w:id="21014835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50164633ED94994D9773E53D567FF5BF" ma:contentTypeVersion="14" ma:contentTypeDescription="Create a new document." ma:contentTypeScope="" ma:versionID="61ed51282d73df9eb0f6847447833eee">
  <xsd:schema xmlns:xsd="http://www.w3.org/2001/XMLSchema" xmlns:xs="http://www.w3.org/2001/XMLSchema" xmlns:p="http://schemas.microsoft.com/office/2006/metadata/properties" xmlns:ns2="47c1ea38-b788-4873-88f4-3b1f34597b9a" xmlns:ns3="0379a545-9986-45d7-9e6d-3845025712a0" targetNamespace="http://schemas.microsoft.com/office/2006/metadata/properties" ma:root="true" ma:fieldsID="9cbf64811bb342611d32b26bb80ee5bb" ns2:_="" ns3:_="">
    <xsd:import namespace="47c1ea38-b788-4873-88f4-3b1f34597b9a"/>
    <xsd:import namespace="0379a545-9986-45d7-9e6d-3845025712a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OCR" minOccurs="0"/>
                <xsd:element ref="ns2:MediaServiceGenerationTime" minOccurs="0"/>
                <xsd:element ref="ns2:MediaServiceEventHashCode"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7c1ea38-b788-4873-88f4-3b1f34597b9a"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element name="lcf76f155ced4ddcb4097134ff3c332f" ma:index="15" nillable="true" ma:taxonomy="true" ma:internalName="lcf76f155ced4ddcb4097134ff3c332f" ma:taxonomyFieldName="MediaServiceImageTags" ma:displayName="Image Tags" ma:readOnly="false" ma:fieldId="{5cf76f15-5ced-4ddc-b409-7134ff3c332f}" ma:taxonomyMulti="true" ma:sspId="b763af57-ddc4-4b49-90b1-28f02697adfa" ma:termSetId="09814cd3-568e-fe90-9814-8d621ff8fb84" ma:anchorId="fba54fb3-c3e1-fe81-a776-ca4b69148c4d" ma:open="true" ma:isKeyword="false">
      <xsd:complexType>
        <xsd:sequence>
          <xsd:element ref="pc:Terms" minOccurs="0" maxOccurs="1"/>
        </xsd:sequence>
      </xsd:complexType>
    </xsd:element>
    <xsd:element name="MediaServiceDateTaken" ma:index="17" nillable="true" ma:displayName="MediaServiceDateTaken" ma:hidden="true" ma:indexed="true" ma:internalName="MediaServiceDateTaken"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LengthInSeconds" ma:index="21"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0379a545-9986-45d7-9e6d-3845025712a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16" nillable="true" ma:displayName="Taxonomy Catch All Column" ma:hidden="true" ma:list="{3f5c7397-6a17-43fd-b0d0-62600e53cad0}" ma:internalName="TaxCatchAll" ma:showField="CatchAllData" ma:web="0379a545-9986-45d7-9e6d-3845025712a0">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SharedWithUsers xmlns="0379a545-9986-45d7-9e6d-3845025712a0">
      <UserInfo>
        <DisplayName>Vilija Augutavičienė</DisplayName>
        <AccountId>207</AccountId>
        <AccountType/>
      </UserInfo>
      <UserInfo>
        <DisplayName>Tomas Aukštinaitis</DisplayName>
        <AccountId>78</AccountId>
        <AccountType/>
      </UserInfo>
    </SharedWithUsers>
    <lcf76f155ced4ddcb4097134ff3c332f xmlns="47c1ea38-b788-4873-88f4-3b1f34597b9a">
      <Terms xmlns="http://schemas.microsoft.com/office/infopath/2007/PartnerControls"/>
    </lcf76f155ced4ddcb4097134ff3c332f>
    <TaxCatchAll xmlns="0379a545-9986-45d7-9e6d-3845025712a0"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riedas" Nr="5" Abbr="5 pr." Title="2023 M. RUGPJŪČIO 17 D. EUROPOS PARLAMENTO IR TARYBOS REGLAMENTO (ES) 2023/1773 IR LIETUVOS RESPUBLIKOS   APLINKOS APSAUGOS ĮSTATYMO NR. I-2223 1, 37, 40¹, 47, 87, 109¹ , 110, 122⁴ STRAIPSNIŲ IR PRIEDO PAKEITIMO, ĮSTATYMO PAPILDYMO 110², 110³, 110⁴, 118²  STRAIPSNIAIS  IR 110² STRAIPSNIO PRIPAŽINIMO NETEKUSIU GALIOS   ĮSTATYMO PROJEKTO ATITIKTIES LENTELĖ" DocPartId="8069cdab652a4c4e99a1eb36a4550db1" PartId="41622af8287548168fee1ee7b8c6b725">
    <Part Type="pabaiga" DocPartId="93290d200c9b4119979be4baa21cdddd" PartId="b26fc81918cd42728283f2fe96693855"/>
  </Part>
</Parts>
</file>

<file path=customXml/itemProps1.xml><?xml version="1.0" encoding="utf-8"?>
<ds:datastoreItem xmlns:ds="http://schemas.openxmlformats.org/officeDocument/2006/customXml" ds:itemID="{A3ECA488-EBE5-4BA2-BFC4-702C375FFC2E}">
  <ds:schemaRefs>
    <ds:schemaRef ds:uri="http://schemas.microsoft.com/sharepoint/v3/contenttype/forms"/>
  </ds:schemaRefs>
</ds:datastoreItem>
</file>

<file path=customXml/itemProps2.xml><?xml version="1.0" encoding="utf-8"?>
<ds:datastoreItem xmlns:ds="http://schemas.openxmlformats.org/officeDocument/2006/customXml" ds:itemID="{5F49F1BA-0C68-4486-BEB4-5F6AC796C7B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7c1ea38-b788-4873-88f4-3b1f34597b9a"/>
    <ds:schemaRef ds:uri="0379a545-9986-45d7-9e6d-3845025712a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7CDC82E2-640E-439A-A99B-5266AC6D188D}">
  <ds:schemaRefs>
    <ds:schemaRef ds:uri="http://schemas.microsoft.com/office/2006/metadata/properties"/>
    <ds:schemaRef ds:uri="http://schemas.microsoft.com/office/infopath/2007/PartnerControls"/>
    <ds:schemaRef ds:uri="0379a545-9986-45d7-9e6d-3845025712a0"/>
    <ds:schemaRef ds:uri="47c1ea38-b788-4873-88f4-3b1f34597b9a"/>
  </ds:schemaRefs>
</ds:datastoreItem>
</file>

<file path=customXml/itemProps4.xml><?xml version="1.0" encoding="utf-8"?>
<ds:datastoreItem xmlns:ds="http://schemas.openxmlformats.org/officeDocument/2006/customXml" ds:itemID="{1C24C145-EFAB-4335-B4BF-F77FD9BBA70B}">
  <ds:schemaRefs>
    <ds:schemaRef ds:uri="http://schemas.openxmlformats.org/officeDocument/2006/bibliography"/>
  </ds:schemaRefs>
</ds:datastoreItem>
</file>

<file path=customXml/itemProps5.xml><?xml version="1.0" encoding="utf-8"?>
<ds:datastoreItem xmlns:ds="http://schemas.openxmlformats.org/officeDocument/2006/customXml" ds:itemID="{D5970899-6EEA-4FAF-BAE0-A6D0E5660361}">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552</Words>
  <Characters>3800</Characters>
  <Application>Microsoft Office Word</Application>
  <DocSecurity>4</DocSecurity>
  <Lines>115</Lines>
  <Paragraphs>42</Paragraphs>
  <ScaleCrop>false</ScaleCrop>
  <Company>LRV kanceliarija</Company>
  <LinksUpToDate>false</LinksUpToDate>
  <CharactersWithSpaces>4310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2025-06-10T10:23:00Z</dcterms:created>
  <dc:creator>iepa</dc:creator>
  <lastModifiedBy>adlibuser</lastModifiedBy>
  <lastPrinted>2008-03-16T00:18:00Z</lastPrinted>
  <dcterms:modified xsi:type="dcterms:W3CDTF">2025-06-10T10:23:00Z</dcterms:modified>
  <revision>2</revision>
  <dc:title>REGLAMENTO IR LIETUVOS RESPUBLIKOS NACIONALINIO TEISĖS AKTO PROJEKTO ATITIKTIES LENTELĖ</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0x01010050164633ED94994D9773E53D567FF5BF</vt:lpwstr>
  </property>
  <property fmtid="{D5CDD505-2E9C-101B-9397-08002B2CF9AE}" pid="3" name="MediaServiceImageTags">
    <vt:lpwstr/>
  </property>
  <property fmtid="{D5CDD505-2E9C-101B-9397-08002B2CF9AE}" pid="4" name="Order">
    <vt:r8>4230500</vt:r8>
  </property>
  <property fmtid="{D5CDD505-2E9C-101B-9397-08002B2CF9AE}" pid="5" name="xd_Signature">
    <vt:bool>false</vt:bool>
  </property>
  <property fmtid="{D5CDD505-2E9C-101B-9397-08002B2CF9AE}" pid="6" name="xd_ProgID">
    <vt:lpwstr/>
  </property>
  <property fmtid="{D5CDD505-2E9C-101B-9397-08002B2CF9AE}" pid="7" name="_SourceUrl">
    <vt:lpwstr/>
  </property>
  <property fmtid="{D5CDD505-2E9C-101B-9397-08002B2CF9AE}" pid="8" name="_SharedFileIndex">
    <vt:lpwstr/>
  </property>
  <property fmtid="{D5CDD505-2E9C-101B-9397-08002B2CF9AE}" pid="9" name="ComplianceAssetId">
    <vt:lpwstr/>
  </property>
  <property fmtid="{D5CDD505-2E9C-101B-9397-08002B2CF9AE}" pid="10" name="TemplateUrl">
    <vt:lpwstr/>
  </property>
  <property fmtid="{D5CDD505-2E9C-101B-9397-08002B2CF9AE}" pid="11" name="_ExtendedDescription">
    <vt:lpwstr/>
  </property>
  <property fmtid="{D5CDD505-2E9C-101B-9397-08002B2CF9AE}" pid="12" name="TriggerFlowInfo">
    <vt:lpwstr/>
  </property>
</Properties>
</file>