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5 pr."/>
        <w:tag w:val="part_f48f60642b884edf98fed6fd2af6ea09"/>
        <w:lock w:val="sdtLocked"/>
        <w:richText/>
      </w:sdtPr>
      <w:sdtContent>
        <w:p>
          <w:pPr>
            <w:jc w:val="right"/>
            <w:rPr>
              <w:szCs w:val="24"/>
              <w:lang w:eastAsia="lt-LT"/>
            </w:rPr>
          </w:pPr>
          <w:r>
            <w:rPr>
              <w:szCs w:val="24"/>
              <w:lang w:eastAsia="lt-LT"/>
            </w:rPr>
            <w:t xml:space="preserve">Europos Sąjungos teisės aktų ir Lietuvos Respublikos teisės aktų </w:t>
          </w:r>
        </w:p>
        <w:p>
          <w:pPr>
            <w:jc w:val="right"/>
            <w:rPr>
              <w:szCs w:val="24"/>
              <w:lang w:eastAsia="lt-LT"/>
            </w:rPr>
          </w:pPr>
          <w:r>
            <w:rPr>
              <w:szCs w:val="24"/>
              <w:lang w:eastAsia="lt-LT"/>
            </w:rPr>
            <w:t xml:space="preserve">ir jų projektų atitikties lentelių pildymo rekomendacijų </w:t>
          </w:r>
        </w:p>
        <w:p>
          <w:pPr>
            <w:jc w:val="right"/>
            <w:rPr>
              <w:szCs w:val="24"/>
              <w:lang w:eastAsia="lt-LT"/>
            </w:rPr>
          </w:pPr>
          <w:sdt>
            <w:sdtPr>
              <w:alias w:val="Numeris"/>
              <w:tag w:val="nr_f48f60642b884edf98fed6fd2af6ea09"/>
              <w:lock w:val="sdtLocked"/>
              <w:richText/>
            </w:sdtPr>
            <w:sdtContent>
              <w:r>
                <w:rPr>
                  <w:szCs w:val="24"/>
                  <w:lang w:eastAsia="lt-LT"/>
                </w:rPr>
                <w:t>5</w:t>
              </w:r>
            </w:sdtContent>
          </w:sdt>
          <w:r>
            <w:rPr>
              <w:szCs w:val="24"/>
              <w:lang w:eastAsia="lt-LT"/>
            </w:rPr>
            <w:t xml:space="preserve"> priedas</w:t>
          </w:r>
        </w:p>
        <w:p>
          <w:pPr>
            <w:jc w:val="right"/>
            <w:rPr>
              <w:szCs w:val="24"/>
              <w:lang w:eastAsia="lt-LT"/>
            </w:rPr>
          </w:pPr>
        </w:p>
        <w:p>
          <w:pPr>
            <w:widowControl w:val="0"/>
            <w:suppressAutoHyphens/>
            <w:jc w:val="center"/>
            <w:rPr>
              <w:rFonts w:eastAsia="Arial Unicode MS"/>
              <w:b/>
              <w:bCs/>
              <w:szCs w:val="24"/>
              <w:lang w:eastAsia="lt-LT"/>
            </w:rPr>
          </w:pPr>
        </w:p>
        <w:p>
          <w:pPr>
            <w:jc w:val="center"/>
            <w:rPr>
              <w:sz w:val="20"/>
            </w:rPr>
          </w:pPr>
        </w:p>
        <w:p>
          <w:pPr>
            <w:rPr>
              <w:sz w:val="8"/>
              <w:szCs w:val="8"/>
            </w:rPr>
          </w:pPr>
        </w:p>
        <w:p>
          <w:pPr>
            <w:jc w:val="center"/>
            <w:textAlignment w:val="baseline"/>
            <w:rPr>
              <w:b/>
              <w:bCs/>
              <w:caps/>
              <w:szCs w:val="24"/>
              <w:lang w:eastAsia="lt-LT"/>
            </w:rPr>
          </w:pPr>
          <w:sdt>
            <w:sdtPr>
              <w:alias w:val="Pavadinimas"/>
              <w:tag w:val="title_f48f60642b884edf98fed6fd2af6ea09"/>
              <w:lock w:val="sdtLocked"/>
              <w:richText/>
            </w:sdtPr>
            <w:sdtContent>
              <w:r>
                <w:rPr>
                  <w:rFonts w:eastAsia="Arial Unicode MS"/>
                  <w:b/>
                  <w:bCs/>
                  <w:szCs w:val="24"/>
                  <w:lang w:eastAsia="lt-LT"/>
                </w:rPr>
                <w:t>2023 M. GEGUŽĖS 1</w:t>
              </w:r>
              <w:r>
                <w:rPr>
                  <w:rFonts w:eastAsia="Arial Unicode MS"/>
                  <w:b/>
                  <w:bCs/>
                  <w:szCs w:val="24"/>
                  <w:lang w:val="en-GB" w:eastAsia="lt-LT"/>
                </w:rPr>
                <w:t>0</w:t>
              </w:r>
              <w:r>
                <w:rPr>
                  <w:rFonts w:eastAsia="Arial Unicode MS"/>
                  <w:b/>
                  <w:bCs/>
                  <w:szCs w:val="24"/>
                  <w:lang w:eastAsia="lt-LT"/>
                </w:rPr>
                <w:t xml:space="preserve"> D. EUROPOS PARLAMENTO IR TARYBOS REGLAMENTO (ES) 2023/956 IR</w:t>
              </w:r>
              <w:r>
                <w:rPr>
                  <w:b/>
                  <w:bCs/>
                  <w:color w:val="000000"/>
                  <w:szCs w:val="24"/>
                  <w:lang w:eastAsia="lt-LT"/>
                </w:rPr>
                <w:t xml:space="preserve"> </w:t>
              </w:r>
              <w:r>
                <w:rPr>
                  <w:b/>
                  <w:bCs/>
                  <w:caps/>
                  <w:szCs w:val="24"/>
                  <w:lang w:eastAsia="lt-LT"/>
                </w:rPr>
                <w:t>APLINKOS APSAUGOS ĮSTATYMO NR. I-2223 1, 37, 401, 47, 87, 109</w:t>
              </w:r>
              <w:r>
                <w:rPr>
                  <w:b/>
                  <w:bCs/>
                  <w:caps/>
                  <w:szCs w:val="24"/>
                  <w:vertAlign w:val="superscript"/>
                  <w:lang w:eastAsia="lt-LT"/>
                </w:rPr>
                <w:t>1</w:t>
              </w:r>
              <w:r>
                <w:rPr>
                  <w:b/>
                  <w:bCs/>
                  <w:caps/>
                  <w:szCs w:val="24"/>
                  <w:lang w:eastAsia="lt-LT"/>
                </w:rPr>
                <w:t xml:space="preserve"> , 110, 122</w:t>
              </w:r>
              <w:r>
                <w:rPr>
                  <w:b/>
                  <w:bCs/>
                  <w:caps/>
                  <w:szCs w:val="24"/>
                  <w:vertAlign w:val="superscript"/>
                  <w:lang w:eastAsia="lt-LT"/>
                </w:rPr>
                <w:t>4</w:t>
              </w:r>
              <w:r>
                <w:rPr>
                  <w:b/>
                  <w:bCs/>
                  <w:caps/>
                  <w:szCs w:val="24"/>
                  <w:lang w:eastAsia="lt-LT"/>
                </w:rPr>
                <w:t xml:space="preserve"> STRAIPSNIų IR PRIEDO PAKEITIMO, ĮSTATYMO PAPILDYMO 110</w:t>
              </w:r>
              <w:r>
                <w:rPr>
                  <w:b/>
                  <w:bCs/>
                  <w:caps/>
                  <w:szCs w:val="24"/>
                  <w:vertAlign w:val="superscript"/>
                  <w:lang w:eastAsia="lt-LT"/>
                </w:rPr>
                <w:t>2</w:t>
              </w:r>
              <w:r>
                <w:rPr>
                  <w:b/>
                  <w:bCs/>
                  <w:caps/>
                  <w:szCs w:val="24"/>
                  <w:lang w:eastAsia="lt-LT"/>
                </w:rPr>
                <w:t>, 110</w:t>
              </w:r>
              <w:r>
                <w:rPr>
                  <w:b/>
                  <w:bCs/>
                  <w:caps/>
                  <w:szCs w:val="24"/>
                  <w:vertAlign w:val="superscript"/>
                  <w:lang w:eastAsia="lt-LT"/>
                </w:rPr>
                <w:t>3</w:t>
              </w:r>
              <w:r>
                <w:rPr>
                  <w:b/>
                  <w:bCs/>
                  <w:caps/>
                  <w:szCs w:val="24"/>
                  <w:lang w:eastAsia="lt-LT"/>
                </w:rPr>
                <w:t>, 110</w:t>
              </w:r>
              <w:r>
                <w:rPr>
                  <w:b/>
                  <w:bCs/>
                  <w:caps/>
                  <w:szCs w:val="24"/>
                  <w:vertAlign w:val="superscript"/>
                  <w:lang w:eastAsia="lt-LT"/>
                </w:rPr>
                <w:t>4</w:t>
              </w:r>
              <w:r>
                <w:rPr>
                  <w:b/>
                  <w:bCs/>
                  <w:caps/>
                  <w:szCs w:val="24"/>
                  <w:lang w:eastAsia="lt-LT"/>
                </w:rPr>
                <w:t>, 118</w:t>
              </w:r>
              <w:r>
                <w:rPr>
                  <w:b/>
                  <w:bCs/>
                  <w:caps/>
                  <w:szCs w:val="24"/>
                  <w:vertAlign w:val="superscript"/>
                  <w:lang w:eastAsia="lt-LT"/>
                </w:rPr>
                <w:t>2</w:t>
              </w:r>
              <w:r>
                <w:rPr>
                  <w:b/>
                  <w:bCs/>
                  <w:caps/>
                  <w:szCs w:val="24"/>
                  <w:lang w:eastAsia="lt-LT"/>
                </w:rPr>
                <w:t xml:space="preserve"> STRAIPSNIAIS  IR 110</w:t>
              </w:r>
              <w:r>
                <w:rPr>
                  <w:b/>
                  <w:bCs/>
                  <w:caps/>
                  <w:szCs w:val="24"/>
                  <w:vertAlign w:val="superscript"/>
                  <w:lang w:eastAsia="lt-LT"/>
                </w:rPr>
                <w:t>2</w:t>
              </w:r>
              <w:r>
                <w:rPr>
                  <w:b/>
                  <w:bCs/>
                  <w:caps/>
                  <w:szCs w:val="24"/>
                  <w:lang w:eastAsia="lt-LT"/>
                </w:rPr>
                <w:t xml:space="preserve"> STRAIPSNIO PRIPAŽINIMO NETEKUSIU GALIOS ĮSTATYMO Projekto</w:t>
              </w:r>
              <w:r>
                <w:rPr>
                  <w:b/>
                  <w:bCs/>
                  <w:color w:val="000000"/>
                  <w:szCs w:val="24"/>
                  <w:lang w:eastAsia="lt-LT"/>
                </w:rPr>
                <w:t xml:space="preserve"> ATITIKTIES LENTELĖ</w:t>
              </w:r>
            </w:sdtContent>
          </w:sdt>
        </w:p>
        <w:p>
          <w:pPr>
            <w:rPr>
              <w:sz w:val="8"/>
              <w:szCs w:val="8"/>
            </w:rPr>
          </w:pPr>
        </w:p>
        <w:p>
          <w:pPr>
            <w:widowControl w:val="0"/>
            <w:ind w:firstLine="124"/>
            <w:jc w:val="center"/>
            <w:rPr>
              <w:rFonts w:eastAsia="Arial Unicode MS"/>
              <w:b/>
              <w:bCs/>
              <w:lang w:eastAsia="lt-LT"/>
            </w:rPr>
          </w:pPr>
        </w:p>
        <w:p>
          <w:pPr>
            <w:widowControl w:val="0"/>
            <w:suppressAutoHyphens/>
            <w:jc w:val="center"/>
            <w:rPr>
              <w:rFonts w:eastAsia="Arial Unicode MS"/>
              <w:b/>
              <w:bCs/>
              <w:szCs w:val="24"/>
              <w:lang w:eastAsia="lt-LT"/>
            </w:rPr>
          </w:pPr>
        </w:p>
        <w:p>
          <w:pPr>
            <w:rPr>
              <w:sz w:val="10"/>
              <w:szCs w:val="10"/>
            </w:rPr>
          </w:pPr>
        </w:p>
        <w:tbl>
          <w:tblPr>
            <w:tblW w:w="0" w:type="auto"/>
            <w:tblInd w:w="197" w:type="dxa"/>
            <w:tblLayout w:type="fixed"/>
            <w:tblCellMar>
              <w:top w:w="55" w:type="dxa"/>
              <w:left w:w="55" w:type="dxa"/>
              <w:bottom w:w="55" w:type="dxa"/>
              <w:right w:w="55" w:type="dxa"/>
            </w:tblCellMar>
            <w:tblLook w:val="0000" w:firstRow="0" w:lastRow="0" w:firstColumn="0" w:lastColumn="0" w:noHBand="0" w:noVBand="0"/>
          </w:tblPr>
          <w:tblGrid>
            <w:gridCol w:w="7088"/>
            <w:gridCol w:w="5954"/>
            <w:gridCol w:w="1842"/>
          </w:tblGrid>
          <w:tr>
            <w:trPr>
              <w:trHeight w:val="114"/>
            </w:trPr>
            <w:tc>
              <w:tcPr>
                <w:tcW w:w="7088" w:type="dxa"/>
                <w:tcBorders>
                  <w:top w:val="single" w:sz="1" w:space="0" w:color="000000" w:themeColor="text1"/>
                  <w:left w:val="single" w:sz="1" w:space="0" w:color="000000" w:themeColor="text1"/>
                  <w:bottom w:val="single" w:sz="1" w:space="0" w:color="000000" w:themeColor="text1"/>
                </w:tcBorders>
              </w:tcPr>
              <w:p>
                <w:pPr>
                  <w:widowControl w:val="0"/>
                  <w:suppressAutoHyphens/>
                  <w:jc w:val="both"/>
                  <w:rPr>
                    <w:b/>
                    <w:bCs/>
                    <w:lang w:eastAsia="ar-SA"/>
                  </w:rPr>
                </w:pPr>
                <w:r>
                  <w:rPr>
                    <w:rFonts w:eastAsia="Arial Unicode MS"/>
                    <w:b/>
                    <w:bCs/>
                    <w:lang w:eastAsia="lt-LT"/>
                  </w:rPr>
                  <w:t xml:space="preserve">Europos Parlamento ir Tarybos reglamentas </w:t>
                </w:r>
                <w:fldSimple w:instr="HYPERLINK http://eur-lex.europa.eu/legal-content/LIT/TXT/?uri=CELEX:32023R0956&amp;locale=lt \t _blank">
                  <w:r>
                    <w:rPr>
                      <w:rFonts w:eastAsia="Arial Unicode MS"/>
                      <w:b/>
                      <w:bCs/>
                      <w:lang w:eastAsia="lt-LT"/>
                      <w:u w:val="single"/>
                      <w:color w:val="0000FF" w:themeColor="hyperlink"/>
                    </w:rPr>
                    <w:t>(ES) 2023/956</w:t>
                  </w:r>
                </w:fldSimple>
                <w:r>
                  <w:rPr>
                    <w:rFonts w:eastAsia="Arial Unicode MS"/>
                    <w:b/>
                    <w:bCs/>
                    <w:lang w:eastAsia="lt-LT"/>
                  </w:rPr>
                  <w:t xml:space="preserve"> 2023 m. gegužės 10 d. kuriuo nustatomas pasienio anglies dioksido korekcinis mechanizmas</w:t>
                </w:r>
              </w:p>
            </w:tc>
            <w:tc>
              <w:tcPr>
                <w:tcW w:w="5954" w:type="dxa"/>
                <w:tcBorders>
                  <w:top w:val="single" w:sz="1" w:space="0" w:color="000000" w:themeColor="text1"/>
                  <w:left w:val="single" w:sz="1" w:space="0" w:color="000000" w:themeColor="text1"/>
                  <w:bottom w:val="single" w:sz="1" w:space="0" w:color="000000" w:themeColor="text1"/>
                </w:tcBorders>
              </w:tcPr>
              <w:p>
                <w:pPr>
                  <w:widowControl w:val="0"/>
                </w:pPr>
                <w:r>
                  <w:rPr>
                    <w:b/>
                    <w:bCs/>
                  </w:rPr>
                  <w:t>Aplinkos apsaugos įstatymo Nr. I-2223 1, 37, 401, 47, 87, 109</w:t>
                </w:r>
                <w:r>
                  <w:rPr>
                    <w:b/>
                    <w:bCs/>
                    <w:caps/>
                    <w:vertAlign w:val="superscript"/>
                  </w:rPr>
                  <w:t>1</w:t>
                </w:r>
                <w:r>
                  <w:rPr>
                    <w:b/>
                    <w:bCs/>
                    <w:caps/>
                  </w:rPr>
                  <w:t xml:space="preserve"> , 110, 122</w:t>
                </w:r>
                <w:r>
                  <w:rPr>
                    <w:b/>
                    <w:bCs/>
                    <w:caps/>
                    <w:vertAlign w:val="superscript"/>
                  </w:rPr>
                  <w:t>4</w:t>
                </w:r>
                <w:r>
                  <w:rPr>
                    <w:b/>
                    <w:bCs/>
                  </w:rPr>
                  <w:t xml:space="preserve"> straipsnių ir priedo pakeitimo, įstatymo papildymo 110</w:t>
                </w:r>
                <w:r>
                  <w:rPr>
                    <w:b/>
                    <w:bCs/>
                    <w:caps/>
                    <w:vertAlign w:val="superscript"/>
                  </w:rPr>
                  <w:t>2</w:t>
                </w:r>
                <w:r>
                  <w:rPr>
                    <w:b/>
                    <w:bCs/>
                    <w:caps/>
                  </w:rPr>
                  <w:t>, 110</w:t>
                </w:r>
                <w:r>
                  <w:rPr>
                    <w:b/>
                    <w:bCs/>
                    <w:caps/>
                    <w:vertAlign w:val="superscript"/>
                  </w:rPr>
                  <w:t>3</w:t>
                </w:r>
                <w:r>
                  <w:rPr>
                    <w:b/>
                    <w:bCs/>
                    <w:caps/>
                  </w:rPr>
                  <w:t>, 110</w:t>
                </w:r>
                <w:r>
                  <w:rPr>
                    <w:b/>
                    <w:bCs/>
                    <w:caps/>
                    <w:vertAlign w:val="superscript"/>
                  </w:rPr>
                  <w:t>4</w:t>
                </w:r>
                <w:r>
                  <w:rPr>
                    <w:b/>
                    <w:bCs/>
                    <w:caps/>
                  </w:rPr>
                  <w:t>, 118</w:t>
                </w:r>
                <w:r>
                  <w:rPr>
                    <w:b/>
                    <w:bCs/>
                    <w:caps/>
                    <w:vertAlign w:val="superscript"/>
                  </w:rPr>
                  <w:t>2</w:t>
                </w:r>
                <w:r>
                  <w:rPr>
                    <w:b/>
                    <w:bCs/>
                  </w:rPr>
                  <w:t xml:space="preserve"> straipsniais  ir 110</w:t>
                </w:r>
                <w:r>
                  <w:rPr>
                    <w:b/>
                    <w:bCs/>
                    <w:caps/>
                    <w:vertAlign w:val="superscript"/>
                  </w:rPr>
                  <w:t>2</w:t>
                </w:r>
                <w:r>
                  <w:rPr>
                    <w:b/>
                    <w:bCs/>
                  </w:rPr>
                  <w:t xml:space="preserve"> straipsnio pripažinimo netekusiu galios</w:t>
                </w:r>
                <w:r>
                  <w:rPr>
                    <w:b/>
                    <w:bCs/>
                    <w:caps/>
                  </w:rPr>
                  <w:t xml:space="preserve"> </w:t>
                </w:r>
                <w:r>
                  <w:rPr>
                    <w:b/>
                    <w:bCs/>
                  </w:rPr>
                  <w:t>įstatymo projekto</w:t>
                </w:r>
                <w:r>
                  <w:rPr>
                    <w:b/>
                    <w:bCs/>
                    <w:color w:val="000000"/>
                    <w:szCs w:val="24"/>
                  </w:rPr>
                  <w:t xml:space="preserve"> </w:t>
                </w:r>
                <w:r>
                  <w:rPr>
                    <w:b/>
                    <w:bCs/>
                    <w:color w:val="000000"/>
                  </w:rPr>
                  <w:t>(toliau – Įstatymo projektas)</w:t>
                </w:r>
              </w:p>
              <w:p>
                <w:pPr>
                  <w:widowControl w:val="0"/>
                  <w:jc w:val="both"/>
                  <w:rPr>
                    <w:b/>
                    <w:bCs/>
                    <w:color w:val="000000"/>
                    <w:szCs w:val="24"/>
                  </w:rPr>
                </w:pPr>
              </w:p>
              <w:p>
                <w:pPr>
                  <w:widowControl w:val="0"/>
                  <w:suppressAutoHyphens/>
                  <w:jc w:val="both"/>
                  <w:rPr>
                    <w:lang w:eastAsia="ar-SA"/>
                  </w:rPr>
                </w:pPr>
              </w:p>
            </w:tc>
            <w:tc>
              <w:tcPr>
                <w:tcW w:w="1842" w:type="dxa"/>
                <w:tcBorders>
                  <w:top w:val="single" w:sz="1" w:space="0" w:color="000000" w:themeColor="text1"/>
                  <w:left w:val="single" w:sz="1" w:space="0" w:color="000000" w:themeColor="text1"/>
                  <w:bottom w:val="single" w:sz="1" w:space="0" w:color="000000" w:themeColor="text1"/>
                  <w:right w:val="single" w:sz="1" w:space="0" w:color="000000" w:themeColor="text1"/>
                </w:tcBorders>
              </w:tcPr>
              <w:p>
                <w:pPr>
                  <w:rPr>
                    <w:sz w:val="6"/>
                    <w:szCs w:val="6"/>
                  </w:rPr>
                </w:pPr>
              </w:p>
              <w:p>
                <w:pPr>
                  <w:widowControl w:val="0"/>
                  <w:suppressAutoHyphens/>
                  <w:jc w:val="both"/>
                  <w:rPr>
                    <w:rFonts w:eastAsia="Arial Unicode MS"/>
                    <w:b/>
                    <w:bCs/>
                    <w:szCs w:val="24"/>
                    <w:lang w:eastAsia="lt-LT"/>
                  </w:rPr>
                </w:pPr>
                <w:r>
                  <w:rPr>
                    <w:rFonts w:eastAsia="Arial Unicode MS"/>
                    <w:b/>
                    <w:szCs w:val="24"/>
                    <w:lang w:eastAsia="lt-LT"/>
                  </w:rPr>
                  <w:t>ES teisės akto įgyvendinimo lygis (visiškas, dalinis)</w:t>
                </w:r>
              </w:p>
            </w:tc>
          </w:tr>
          <w:tr>
            <w:trPr>
              <w:trHeight w:val="15"/>
            </w:trPr>
            <w:tc>
              <w:tcPr>
                <w:tcW w:w="7088" w:type="dxa"/>
                <w:tcBorders>
                  <w:left w:val="single" w:sz="1" w:space="0" w:color="000000" w:themeColor="text1"/>
                  <w:bottom w:val="single" w:sz="1" w:space="0" w:color="000000" w:themeColor="text1"/>
                </w:tcBorders>
              </w:tcPr>
              <w:p>
                <w:pPr>
                  <w:widowControl w:val="0"/>
                  <w:suppressAutoHyphens/>
                  <w:ind w:firstLine="248"/>
                  <w:jc w:val="both"/>
                  <w:rPr>
                    <w:rFonts w:eastAsia="Arial Unicode MS"/>
                    <w:szCs w:val="24"/>
                    <w:lang w:eastAsia="lt-LT"/>
                  </w:rPr>
                </w:pPr>
                <w:r>
                  <w:rPr>
                    <w:rFonts w:eastAsia="Arial Unicode MS"/>
                    <w:szCs w:val="24"/>
                    <w:lang w:eastAsia="lt-LT"/>
                  </w:rPr>
                  <w:t>„6 straipsio 1 dalis</w:t>
                </w:r>
              </w:p>
              <w:p>
                <w:pPr>
                  <w:widowControl w:val="0"/>
                  <w:suppressAutoHyphens/>
                  <w:ind w:left="360"/>
                  <w:jc w:val="both"/>
                  <w:rPr>
                    <w:rFonts w:eastAsia="Arial Unicode MS"/>
                    <w:szCs w:val="24"/>
                    <w:lang w:eastAsia="lt-LT"/>
                  </w:rPr>
                </w:pPr>
                <w:r>
                  <w:rPr>
                    <w:rFonts w:eastAsia="Arial Unicode MS"/>
                    <w:szCs w:val="24"/>
                    <w:lang w:eastAsia="lt-LT"/>
                  </w:rPr>
                  <w:t>Kasmet ne vėliau kaip gegužės 31 d. ir pirmą kartą – 2027 m. už 2026 metus kiekvienas įgaliotasis PADKM deklarantas, naudodamasis 14 straipsnyje nurodytu PADKM registru, pateikia PADKM deklaraciją už praėjusius kalendorinius metus.</w:t>
                </w:r>
              </w:p>
              <w:p>
                <w:pPr>
                  <w:widowControl w:val="0"/>
                  <w:suppressAutoHyphens/>
                  <w:ind w:left="720"/>
                  <w:jc w:val="both"/>
                  <w:rPr>
                    <w:rFonts w:eastAsia="Arial Unicode MS"/>
                    <w:szCs w:val="24"/>
                    <w:lang w:eastAsia="lt-LT"/>
                  </w:rPr>
                </w:pPr>
              </w:p>
              <w:p>
                <w:pPr>
                  <w:widowControl w:val="0"/>
                  <w:suppressAutoHyphens/>
                  <w:ind w:left="720" w:hanging="360"/>
                  <w:jc w:val="both"/>
                  <w:rPr>
                    <w:rFonts w:eastAsia="Arial Unicode MS"/>
                    <w:szCs w:val="24"/>
                    <w:lang w:eastAsia="lt-LT"/>
                  </w:rPr>
                </w:pPr>
                <w:r>
                  <w:rPr>
                    <w:rFonts w:eastAsia="Arial Unicode MS"/>
                    <w:szCs w:val="24"/>
                    <w:lang w:eastAsia="lt-LT"/>
                  </w:rPr>
                  <w:t>35</w:t>
                  <w:tab/>
                  <w:t>straipsnis 1 dalis</w:t>
                </w:r>
              </w:p>
              <w:p>
                <w:pPr>
                  <w:widowControl w:val="0"/>
                  <w:suppressAutoHyphens/>
                  <w:jc w:val="both"/>
                  <w:rPr>
                    <w:rFonts w:eastAsia="Arial Unicode MS"/>
                    <w:szCs w:val="24"/>
                    <w:lang w:eastAsia="lt-LT"/>
                  </w:rPr>
                </w:pPr>
              </w:p>
              <w:p>
                <w:pPr>
                  <w:widowControl w:val="0"/>
                  <w:suppressAutoHyphens/>
                  <w:ind w:left="720" w:hanging="360"/>
                  <w:jc w:val="both"/>
                  <w:rPr>
                    <w:rFonts w:eastAsia="Arial Unicode MS"/>
                    <w:szCs w:val="24"/>
                    <w:lang w:val="en-GB" w:eastAsia="lt-LT"/>
                  </w:rPr>
                </w:pPr>
                <w:r>
                  <w:rPr>
                    <w:rFonts w:eastAsia="Arial Unicode MS"/>
                    <w:szCs w:val="24"/>
                    <w:lang w:val="en-GB" w:eastAsia="lt-LT"/>
                  </w:rPr>
                  <w:t>1.</w:t>
                  <w:tab/>
                </w:r>
                <w:r>
                  <w:rPr>
                    <w:rFonts w:eastAsia="Arial Unicode MS"/>
                    <w:szCs w:val="24"/>
                    <w:lang w:eastAsia="lt-LT"/>
                  </w:rPr>
                  <w:t>Kiekvienas importuotojas arba – atvejais, kuriais taikomas 32 straipsnis – netiesioginis atstovas muitinėje, atitinkamą kalendorinių metų ketvirtį importavęs prekes, ne vėliau kaip per vieną mėnesį nuo kiekvieno ketvirčio pabaigos pateikia Komisijai ataskaitą už tą ketvirtį (toliau – PADKM ataskaita), kurioje nurodoma informacija apie per tą ketvirtį importuotas prekes.“</w:t>
                </w:r>
              </w:p>
            </w:tc>
            <w:tc>
              <w:tcPr>
                <w:tcW w:w="5954" w:type="dxa"/>
                <w:tcBorders>
                  <w:left w:val="single" w:sz="1" w:space="0" w:color="000000" w:themeColor="text1"/>
                  <w:bottom w:val="single" w:sz="1" w:space="0" w:color="000000" w:themeColor="text1"/>
                </w:tcBorders>
              </w:tcPr>
              <w:p>
                <w:pPr>
                  <w:widowControl w:val="0"/>
                  <w:suppressAutoHyphens/>
                  <w:jc w:val="both"/>
                  <w:textAlignment w:val="center"/>
                  <w:rPr>
                    <w:rFonts w:eastAsia="Arial Unicode MS"/>
                    <w:b/>
                    <w:bCs/>
                    <w:lang w:eastAsia="lt-LT"/>
                  </w:rPr>
                </w:pPr>
                <w:r>
                  <w:rPr>
                    <w:rFonts w:eastAsia="Arial Unicode MS"/>
                    <w:b/>
                    <w:bCs/>
                    <w:lang w:eastAsia="lt-LT"/>
                  </w:rPr>
                  <w:t>Įstatymo projektas</w:t>
                </w:r>
              </w:p>
              <w:p>
                <w:pPr>
                  <w:widowControl w:val="0"/>
                  <w:suppressAutoHyphens/>
                  <w:jc w:val="both"/>
                  <w:textAlignment w:val="center"/>
                  <w:rPr>
                    <w:rFonts w:eastAsia="Arial Unicode MS"/>
                    <w:b/>
                    <w:bCs/>
                    <w:lang w:eastAsia="lt-LT"/>
                  </w:rPr>
                </w:pPr>
                <w:r>
                  <w:rPr>
                    <w:rFonts w:eastAsia="Arial Unicode MS"/>
                    <w:b/>
                    <w:bCs/>
                    <w:lang w:eastAsia="lt-LT"/>
                  </w:rPr>
                  <w:t xml:space="preserve">11 straipsnis. </w:t>
                </w:r>
                <w:r>
                  <w:rPr>
                    <w:b/>
                    <w:bCs/>
                    <w:color w:val="000000"/>
                  </w:rPr>
                  <w:t>110</w:t>
                </w:r>
                <w:r>
                  <w:rPr>
                    <w:b/>
                    <w:bCs/>
                    <w:color w:val="000000"/>
                    <w:vertAlign w:val="superscript"/>
                  </w:rPr>
                  <w:t>3</w:t>
                </w:r>
                <w:r>
                  <w:t xml:space="preserve"> </w:t>
                </w:r>
                <w:r>
                  <w:rPr>
                    <w:rFonts w:eastAsia="Arial Unicode MS"/>
                    <w:b/>
                    <w:bCs/>
                    <w:lang w:eastAsia="lt-LT"/>
                  </w:rPr>
                  <w:t>straipsnio 1 dalis</w:t>
                </w:r>
              </w:p>
              <w:p>
                <w:pPr>
                  <w:widowControl w:val="0"/>
                  <w:jc w:val="both"/>
                  <w:rPr>
                    <w:rFonts w:eastAsia="Arial Unicode MS"/>
                    <w:b/>
                    <w:bCs/>
                    <w:lang w:eastAsia="lt-LT"/>
                  </w:rPr>
                </w:pPr>
              </w:p>
              <w:p>
                <w:pPr>
                  <w:widowControl w:val="0"/>
                  <w:suppressAutoHyphens/>
                  <w:jc w:val="both"/>
                  <w:textAlignment w:val="center"/>
                  <w:rPr>
                    <w:rFonts w:eastAsia="Arial Unicode MS"/>
                    <w:lang w:eastAsia="lt-LT"/>
                  </w:rPr>
                </w:pPr>
                <w:r>
                  <w:rPr>
                    <w:rFonts w:eastAsia="Arial Unicode MS"/>
                    <w:lang w:eastAsia="lt-LT"/>
                  </w:rPr>
                  <w:t xml:space="preserve">11 straipsnis. Įstatymo papildymas </w:t>
                </w:r>
                <w:r>
                  <w:rPr>
                    <w:color w:val="000000"/>
                  </w:rPr>
                  <w:t>110</w:t>
                </w:r>
                <w:r>
                  <w:rPr>
                    <w:color w:val="000000"/>
                    <w:vertAlign w:val="superscript"/>
                  </w:rPr>
                  <w:t>3</w:t>
                </w:r>
                <w:r>
                  <w:rPr>
                    <w:rFonts w:eastAsia="Arial Unicode MS"/>
                    <w:lang w:eastAsia="lt-LT"/>
                  </w:rPr>
                  <w:t xml:space="preserve"> straipsniu</w:t>
                </w:r>
              </w:p>
              <w:p>
                <w:pPr>
                  <w:widowControl w:val="0"/>
                  <w:suppressAutoHyphens/>
                  <w:jc w:val="both"/>
                  <w:textAlignment w:val="center"/>
                </w:pPr>
                <w:r>
                  <w:rPr>
                    <w:rFonts w:eastAsia="Arial Unicode MS"/>
                    <w:lang w:eastAsia="lt-LT"/>
                  </w:rPr>
                  <w:t xml:space="preserve">Papildyti įstatymą </w:t>
                </w:r>
                <w:r>
                  <w:rPr>
                    <w:color w:val="000000"/>
                  </w:rPr>
                  <w:t>110</w:t>
                </w:r>
                <w:r>
                  <w:rPr>
                    <w:color w:val="000000"/>
                    <w:vertAlign w:val="superscript"/>
                  </w:rPr>
                  <w:t>3</w:t>
                </w:r>
                <w:r>
                  <w:rPr>
                    <w:rFonts w:eastAsia="Arial Unicode MS"/>
                    <w:lang w:eastAsia="lt-LT"/>
                  </w:rPr>
                  <w:t xml:space="preserve"> straipsniu:</w:t>
                </w:r>
              </w:p>
              <w:p>
                <w:pPr>
                  <w:widowControl w:val="0"/>
                  <w:suppressAutoHyphens/>
                  <w:jc w:val="both"/>
                  <w:textAlignment w:val="center"/>
                  <w:rPr>
                    <w:rFonts w:eastAsia="Arial Unicode MS"/>
                    <w:b/>
                    <w:bCs/>
                    <w:lang w:eastAsia="lt-LT"/>
                  </w:rPr>
                </w:pPr>
                <w:r>
                  <w:rPr>
                    <w:b/>
                    <w:bCs/>
                    <w:color w:val="000000"/>
                  </w:rPr>
                  <w:t>110</w:t>
                </w:r>
                <w:r>
                  <w:rPr>
                    <w:b/>
                    <w:bCs/>
                    <w:color w:val="000000"/>
                    <w:vertAlign w:val="superscript"/>
                  </w:rPr>
                  <w:t>3</w:t>
                </w:r>
                <w:r>
                  <w:rPr>
                    <w:rFonts w:eastAsia="Arial Unicode MS"/>
                    <w:b/>
                    <w:bCs/>
                    <w:vertAlign w:val="superscript"/>
                    <w:lang w:eastAsia="lt-LT"/>
                  </w:rPr>
                  <w:t xml:space="preserve"> </w:t>
                </w:r>
                <w:r>
                  <w:rPr>
                    <w:rFonts w:eastAsia="Arial Unicode MS"/>
                    <w:b/>
                    <w:bCs/>
                    <w:lang w:eastAsia="lt-LT"/>
                  </w:rPr>
                  <w:t xml:space="preserve">straipsnis. Juridinių asmenų atsakomybė už Reglamente </w:t>
                </w:r>
                <w:fldSimple w:instr="HYPERLINK http://eur-lex.europa.eu/legal-content/LIT/TXT/?uri=CELEX:32956R2023&amp;locale=lt \t _blank">
                  <w:r>
                    <w:rPr>
                      <w:rFonts w:eastAsia="Arial Unicode MS"/>
                      <w:b/>
                      <w:bCs/>
                      <w:lang w:eastAsia="lt-LT"/>
                      <w:u w:val="single"/>
                      <w:color w:val="0000FF" w:themeColor="hyperlink"/>
                    </w:rPr>
                    <w:t>(ES) Nr. 2023/956</w:t>
                  </w:r>
                </w:fldSimple>
                <w:r>
                  <w:rPr>
                    <w:rFonts w:eastAsia="Arial Unicode MS"/>
                    <w:b/>
                    <w:bCs/>
                    <w:lang w:eastAsia="lt-LT"/>
                  </w:rPr>
                  <w:t xml:space="preserve"> nustatytų pasienio anglies dioksido korekcinio mechanizmo reikalavimų pažeidimą</w:t>
                </w:r>
              </w:p>
              <w:p>
                <w:pPr>
                  <w:widowControl w:val="0"/>
                  <w:suppressAutoHyphens/>
                  <w:jc w:val="both"/>
                  <w:textAlignment w:val="center"/>
                  <w:rPr>
                    <w:rFonts w:eastAsia="Arial Unicode MS"/>
                    <w:lang w:eastAsia="lt-LT"/>
                  </w:rPr>
                </w:pPr>
              </w:p>
              <w:p>
                <w:pPr>
                  <w:widowControl w:val="0"/>
                  <w:jc w:val="both"/>
                  <w:rPr>
                    <w:rFonts w:eastAsia="Arial Unicode MS"/>
                    <w:lang w:eastAsia="lt-LT"/>
                  </w:rPr>
                </w:pPr>
                <w:r>
                  <w:rPr>
                    <w:rFonts w:eastAsia="Arial Unicode MS"/>
                    <w:lang w:eastAsia="lt-LT"/>
                  </w:rPr>
                  <w:t xml:space="preserve">Reglamento </w:t>
                </w:r>
                <w:fldSimple w:instr="HYPERLINK http://eur-lex.europa.eu/legal-content/LIT/TXT/?uri=CELEX:32023R0956&amp;locale=lt \t _blank">
                  <w:r>
                    <w:rPr>
                      <w:rFonts w:eastAsia="Arial Unicode MS"/>
                      <w:lang w:eastAsia="lt-LT"/>
                      <w:u w:val="single"/>
                      <w:color w:val="0000FF" w:themeColor="hyperlink"/>
                    </w:rPr>
                    <w:t>(ES) 2023/956</w:t>
                  </w:r>
                </w:fldSimple>
                <w:r>
                  <w:rPr>
                    <w:rFonts w:eastAsia="Arial Unicode MS"/>
                    <w:lang w:eastAsia="lt-LT"/>
                  </w:rPr>
                  <w:t xml:space="preserve"> 6 straipsnyje nustatytos pasienio anglies dioksido korekcinio mechanizmo (toliau – PADKM) PADKM deklaracijos nepateikimas laiku  užtraukia baudą nuo dešimties iki penkiasdešimties eurų už kiekvieną nepraneštą išmetamo šiltnamio efektą sukeliančių dujų (toliau – ŠESD) kiekio toną, lygią anglies dioksido tonos ekvivalentui (toliau – CO2 e.) arba  PADKM deklaracijos nepateikimas ilgiau kaip 6 mėnesius užtraukia baudą nuo penkiasdešimt iki devyniasdešimt eurų už kiekvieną nepraneštą išmetamo ŠESD kiekio toną  CO2 e.  </w:t>
                </w:r>
              </w:p>
              <w:p>
                <w:pPr>
                  <w:widowControl w:val="0"/>
                  <w:suppressAutoHyphens/>
                  <w:jc w:val="both"/>
                  <w:textAlignment w:val="center"/>
                  <w:rPr>
                    <w:rFonts w:eastAsia="Arial Unicode MS"/>
                    <w:lang w:eastAsia="lt-LT"/>
                  </w:rPr>
                </w:pPr>
                <w:r>
                  <w:rPr>
                    <w:rFonts w:eastAsia="Arial Unicode MS"/>
                    <w:lang w:eastAsia="lt-LT"/>
                  </w:rPr>
                  <w:t>&lt;...&gt;</w:t>
                </w:r>
              </w:p>
            </w:tc>
            <w:tc>
              <w:tcPr>
                <w:tcW w:w="1842" w:type="dxa"/>
                <w:tcBorders>
                  <w:left w:val="single" w:sz="1" w:space="0" w:color="000000" w:themeColor="text1"/>
                  <w:bottom w:val="single" w:sz="1" w:space="0" w:color="000000" w:themeColor="text1"/>
                  <w:right w:val="single" w:sz="1" w:space="0" w:color="000000" w:themeColor="text1"/>
                </w:tcBorders>
              </w:tcPr>
              <w:p>
                <w:pPr>
                  <w:widowControl w:val="0"/>
                  <w:suppressLineNumbers/>
                  <w:suppressAutoHyphens/>
                  <w:jc w:val="center"/>
                  <w:rPr>
                    <w:color w:val="000000"/>
                    <w:szCs w:val="24"/>
                  </w:rPr>
                </w:pPr>
                <w:r>
                  <w:rPr>
                    <w:b/>
                    <w:bCs/>
                    <w:color w:val="000000"/>
                    <w:szCs w:val="24"/>
                  </w:rPr>
                  <w:t>Dalinis.</w:t>
                </w:r>
              </w:p>
              <w:p>
                <w:pPr>
                  <w:widowControl w:val="0"/>
                  <w:suppressLineNumbers/>
                  <w:suppressAutoHyphens/>
                  <w:jc w:val="center"/>
                </w:pPr>
                <w:r>
                  <w:rPr>
                    <w:color w:val="000000"/>
                    <w:szCs w:val="24"/>
                  </w:rPr>
                  <w:t>Sankcijos fiziniams asmenims nustatomos Administracinių nusižengimų kodekso pakeitimo projekte.</w:t>
                </w:r>
              </w:p>
            </w:tc>
          </w:tr>
          <w:tr>
            <w:trPr>
              <w:trHeight w:val="15"/>
            </w:trPr>
            <w:tc>
              <w:tcPr>
                <w:tcW w:w="7088" w:type="dxa"/>
                <w:tcBorders>
                  <w:left w:val="single" w:sz="1" w:space="0" w:color="000000" w:themeColor="text1"/>
                  <w:bottom w:val="single" w:sz="1" w:space="0" w:color="000000" w:themeColor="text1"/>
                </w:tcBorders>
              </w:tcPr>
              <w:p>
                <w:pPr>
                  <w:widowControl w:val="0"/>
                  <w:suppressAutoHyphens/>
                  <w:ind w:left="360"/>
                  <w:jc w:val="both"/>
                  <w:rPr>
                    <w:rFonts w:eastAsia="Arial Unicode MS"/>
                    <w:szCs w:val="24"/>
                    <w:lang w:val="en-GB" w:eastAsia="lt-LT"/>
                  </w:rPr>
                </w:pPr>
                <w:r>
                  <w:rPr>
                    <w:rFonts w:eastAsia="Arial Unicode MS"/>
                    <w:szCs w:val="24"/>
                    <w:lang w:val="en-GB" w:eastAsia="lt-LT"/>
                  </w:rPr>
                  <w:t>“35 straipsnis 4 ir 5 dalis</w:t>
                </w:r>
              </w:p>
              <w:p>
                <w:pPr>
                  <w:widowControl w:val="0"/>
                  <w:suppressAutoHyphens/>
                  <w:ind w:left="360"/>
                  <w:jc w:val="both"/>
                  <w:rPr>
                    <w:rFonts w:eastAsia="Arial Unicode MS"/>
                    <w:szCs w:val="24"/>
                    <w:lang w:eastAsia="lt-LT"/>
                  </w:rPr>
                </w:pPr>
                <w:r>
                  <w:rPr>
                    <w:rFonts w:eastAsia="Arial Unicode MS"/>
                    <w:szCs w:val="24"/>
                    <w:lang w:val="en-GB" w:eastAsia="lt-LT"/>
                  </w:rPr>
                  <w:t xml:space="preserve">4. </w:t>
                </w:r>
                <w:r>
                  <w:rPr>
                    <w:rFonts w:eastAsia="Arial Unicode MS"/>
                    <w:szCs w:val="24"/>
                    <w:lang w:eastAsia="lt-LT"/>
                  </w:rPr>
                  <w:t>Jei Komisija mano, kad PADKM ataskaita yra neišsami arba neteisinga, ji valstybės narės, kurioje importuotojas yra įsisteigęs arba – atvejais, kuriais taikomas 32 straipsnis – netiesioginis atstovas muitinėje yra įsisteigęs, kompetentingai institucijai pateikia papildomą informaciją, kurią ji laiko būtina ataskaitai papildyti arba ištaisyti. Tokia informacija teikiama orientaciniais tikslais ir nedarant poveikio galutiniam sprendimui, kurį turi priimti ta kompetentinga institucija. Ta kompetentinga institucija inicijuoja koregavimo procedūrą ir praneša importuotojui arba – atvejais, kuriais taikomas 32 straipsnis – netiesioginiam atstovui muitinėje, papildomą informaciją, būtiną šiai ataskaitai ištaisyti. Atitinkamais atvejais tas importuotojas arba tas netiesioginis atstovas muitinėje atitinkamai kompetentingai institucijai ir Komisijai pateikia pataisytą ataskaitą.</w:t>
                </w:r>
              </w:p>
              <w:p>
                <w:pPr>
                  <w:widowControl w:val="0"/>
                  <w:suppressAutoHyphens/>
                  <w:ind w:left="360"/>
                  <w:jc w:val="both"/>
                  <w:rPr>
                    <w:rFonts w:eastAsia="Arial Unicode MS"/>
                    <w:szCs w:val="24"/>
                    <w:lang w:eastAsia="lt-LT"/>
                  </w:rPr>
                </w:pPr>
                <w:r>
                  <w:rPr>
                    <w:rFonts w:eastAsia="Arial Unicode MS"/>
                    <w:szCs w:val="24"/>
                    <w:lang w:eastAsia="lt-LT"/>
                  </w:rPr>
                  <w:t xml:space="preserve">5. Jeigu šio straipsnio 4 dalyje nurodyta valstybės narės kompetentinga institucija inicijuoja koregavimo procedūrą, be kita ko, atsižvelgdama į pagal šio straipsnio 4 dalį gautą informaciją, ir nustato, kad importuotojas arba – kai taikoma, pagal 32 straipsnį – netiesioginis atstovas muitinėje nesiėmė būtinų veiksmų PADKM ataskaitai ištaisyti, arba jei atitinkama kompetentinga institucija, be kita ko, atsižvelgdama į pagal šio straipsnio 3 dalį gautą informaciją, nustato, kad importuotojas arba – kai taikoma pagal 32 straipsnį – netiesioginis atstovas muitinėje neįvykdė šio straipsnio 1 dalyje nurodytos pareigos pateikti PADKM ataskaitą, ta kompetentinga institucija importuotojui arba – kai taikoma, pagal 32 straipsnį – netiesioginiam atstovui muitinėje skiria veiksmingą, proporcingą ir atgrasomą baudą . Tuo tikslu kompetentinga institucija praneša importuotojui arba – kai taikoma, pagal 32 straipsnį – netiesioginiam atstovui muitinėje ir informuoja Komisiją apie: </w:t>
                </w:r>
              </w:p>
              <w:p>
                <w:pPr>
                  <w:widowControl w:val="0"/>
                  <w:suppressAutoHyphens/>
                  <w:ind w:left="360"/>
                  <w:jc w:val="both"/>
                  <w:rPr>
                    <w:rFonts w:eastAsia="Arial Unicode MS"/>
                    <w:szCs w:val="24"/>
                    <w:lang w:eastAsia="lt-LT"/>
                  </w:rPr>
                </w:pPr>
                <w:r>
                  <w:rPr>
                    <w:rFonts w:eastAsia="Arial Unicode MS"/>
                    <w:szCs w:val="24"/>
                    <w:lang w:eastAsia="lt-LT"/>
                  </w:rPr>
                  <w:t xml:space="preserve">a) išvadą ir tos išvados priežastis, kad importuotojas arba – kai taikoma, pagal 32 straipsnį – netiesioginis atstovas muitinėje neįvykdė pareigos pateikti ataskaitą už tam tikrą ketvirtį arba nesiėmė būtinų veiksmų ataskaitai ištaisyti; </w:t>
                </w:r>
              </w:p>
              <w:p>
                <w:pPr>
                  <w:widowControl w:val="0"/>
                  <w:suppressAutoHyphens/>
                  <w:ind w:left="360"/>
                  <w:jc w:val="both"/>
                  <w:rPr>
                    <w:rFonts w:eastAsia="Arial Unicode MS"/>
                    <w:szCs w:val="24"/>
                    <w:lang w:eastAsia="lt-LT"/>
                  </w:rPr>
                </w:pPr>
                <w:r>
                  <w:rPr>
                    <w:rFonts w:eastAsia="Arial Unicode MS"/>
                    <w:szCs w:val="24"/>
                    <w:lang w:eastAsia="lt-LT"/>
                  </w:rPr>
                  <w:t xml:space="preserve">b) baudos, skirtos importuotojui arba – kai taikoma, pagal 32 straipsnį – netiesioginiam atstovui muitinėje, dydį; </w:t>
                </w:r>
              </w:p>
              <w:p>
                <w:pPr>
                  <w:widowControl w:val="0"/>
                  <w:suppressAutoHyphens/>
                  <w:ind w:left="360"/>
                  <w:jc w:val="both"/>
                  <w:rPr>
                    <w:rFonts w:eastAsia="Arial Unicode MS"/>
                    <w:szCs w:val="24"/>
                    <w:lang w:eastAsia="lt-LT"/>
                  </w:rPr>
                </w:pPr>
                <w:r>
                  <w:rPr>
                    <w:rFonts w:eastAsia="Arial Unicode MS"/>
                    <w:szCs w:val="24"/>
                    <w:lang w:eastAsia="lt-LT"/>
                  </w:rPr>
                  <w:t xml:space="preserve">c) datą, nuo kurios turi būti sumokėta bauda; </w:t>
                </w:r>
              </w:p>
              <w:p>
                <w:pPr>
                  <w:widowControl w:val="0"/>
                  <w:suppressAutoHyphens/>
                  <w:ind w:left="360"/>
                  <w:jc w:val="both"/>
                  <w:rPr>
                    <w:rFonts w:eastAsia="Arial Unicode MS"/>
                    <w:szCs w:val="24"/>
                    <w:lang w:eastAsia="lt-LT"/>
                  </w:rPr>
                </w:pPr>
                <w:r>
                  <w:rPr>
                    <w:rFonts w:eastAsia="Arial Unicode MS"/>
                    <w:szCs w:val="24"/>
                    <w:lang w:eastAsia="lt-LT"/>
                  </w:rPr>
                  <w:t xml:space="preserve">d) veiksmus, kurių turi imtis importuotojas arba – kai taikoma, pagal 32 straipsnį – netiesioginis atstovas muitinėje, kad sumokėtų baudą, ir </w:t>
                </w:r>
              </w:p>
              <w:p>
                <w:pPr>
                  <w:widowControl w:val="0"/>
                  <w:suppressAutoHyphens/>
                  <w:jc w:val="both"/>
                  <w:rPr>
                    <w:rFonts w:eastAsia="Arial Unicode MS"/>
                    <w:szCs w:val="24"/>
                    <w:lang w:eastAsia="lt-LT"/>
                  </w:rPr>
                </w:pPr>
                <w:r>
                  <w:rPr>
                    <w:rFonts w:eastAsia="Arial Unicode MS"/>
                    <w:szCs w:val="24"/>
                    <w:lang w:eastAsia="lt-LT"/>
                  </w:rPr>
                  <w:t>e) importuotojo arba – kai taikoma, pagal 32 straipsnį – netiesioginio atstovo muitinėje teisę pateikti skundą.“</w:t>
                </w:r>
              </w:p>
            </w:tc>
            <w:tc>
              <w:tcPr>
                <w:tcW w:w="5954" w:type="dxa"/>
                <w:tcBorders>
                  <w:left w:val="single" w:sz="1" w:space="0" w:color="000000" w:themeColor="text1"/>
                  <w:bottom w:val="single" w:sz="1" w:space="0" w:color="000000" w:themeColor="text1"/>
                </w:tcBorders>
              </w:tcPr>
              <w:p>
                <w:pPr>
                  <w:widowControl w:val="0"/>
                  <w:suppressAutoHyphens/>
                  <w:jc w:val="both"/>
                  <w:textAlignment w:val="center"/>
                  <w:rPr>
                    <w:rFonts w:eastAsia="Arial Unicode MS"/>
                    <w:lang w:eastAsia="lt-LT"/>
                  </w:rPr>
                </w:pPr>
                <w:r>
                  <w:rPr>
                    <w:rFonts w:eastAsia="Arial Unicode MS"/>
                    <w:b/>
                    <w:bCs/>
                    <w:lang w:eastAsia="lt-LT"/>
                  </w:rPr>
                  <w:t>Įstatymo projektas</w:t>
                </w:r>
              </w:p>
              <w:p>
                <w:pPr>
                  <w:widowControl w:val="0"/>
                  <w:suppressAutoHyphens/>
                  <w:jc w:val="both"/>
                  <w:textAlignment w:val="center"/>
                  <w:rPr>
                    <w:rFonts w:eastAsia="Arial Unicode MS"/>
                    <w:lang w:eastAsia="lt-LT"/>
                  </w:rPr>
                </w:pPr>
                <w:r>
                  <w:rPr>
                    <w:rFonts w:eastAsia="Arial Unicode MS"/>
                    <w:b/>
                    <w:bCs/>
                    <w:lang w:eastAsia="lt-LT"/>
                  </w:rPr>
                  <w:t xml:space="preserve">9 straipsnis. </w:t>
                </w:r>
                <w:r>
                  <w:rPr>
                    <w:b/>
                    <w:bCs/>
                    <w:color w:val="000000"/>
                  </w:rPr>
                  <w:t>110</w:t>
                </w:r>
                <w:r>
                  <w:rPr>
                    <w:b/>
                    <w:bCs/>
                    <w:color w:val="000000"/>
                    <w:vertAlign w:val="superscript"/>
                  </w:rPr>
                  <w:t>2</w:t>
                </w:r>
                <w:r>
                  <w:t xml:space="preserve"> </w:t>
                </w:r>
                <w:r>
                  <w:rPr>
                    <w:rFonts w:eastAsia="Arial Unicode MS"/>
                    <w:b/>
                    <w:bCs/>
                    <w:lang w:eastAsia="lt-LT"/>
                  </w:rPr>
                  <w:t>straipsnio 1 ir 2 dalis</w:t>
                </w:r>
                <w:r>
                  <w:rPr>
                    <w:rFonts w:eastAsia="Arial Unicode MS"/>
                    <w:lang w:eastAsia="lt-LT"/>
                  </w:rPr>
                  <w:t xml:space="preserve"> </w:t>
                </w:r>
              </w:p>
              <w:p>
                <w:pPr>
                  <w:widowControl w:val="0"/>
                  <w:suppressAutoHyphens/>
                  <w:jc w:val="both"/>
                  <w:textAlignment w:val="center"/>
                  <w:rPr>
                    <w:rFonts w:eastAsia="Arial Unicode MS"/>
                    <w:szCs w:val="24"/>
                    <w:lang w:eastAsia="lt-LT"/>
                  </w:rPr>
                </w:pPr>
              </w:p>
              <w:p>
                <w:pPr>
                  <w:widowControl w:val="0"/>
                  <w:suppressAutoHyphens/>
                  <w:jc w:val="both"/>
                  <w:textAlignment w:val="center"/>
                  <w:rPr>
                    <w:rFonts w:eastAsia="Arial Unicode MS"/>
                    <w:lang w:eastAsia="lt-LT"/>
                  </w:rPr>
                </w:pPr>
                <w:r>
                  <w:rPr>
                    <w:rFonts w:eastAsia="Arial Unicode MS"/>
                    <w:lang w:eastAsia="lt-LT"/>
                  </w:rPr>
                  <w:t>9 straipsnis. Įstatymo papildymas 110</w:t>
                </w:r>
                <w:r>
                  <w:rPr>
                    <w:rFonts w:eastAsia="Arial Unicode MS"/>
                    <w:vertAlign w:val="superscript"/>
                    <w:lang w:eastAsia="lt-LT"/>
                  </w:rPr>
                  <w:t>2</w:t>
                </w:r>
                <w:r>
                  <w:rPr>
                    <w:rFonts w:eastAsia="Arial Unicode MS"/>
                    <w:lang w:eastAsia="lt-LT"/>
                  </w:rPr>
                  <w:t xml:space="preserve"> straipsniu </w:t>
                </w:r>
              </w:p>
              <w:p>
                <w:pPr>
                  <w:widowControl w:val="0"/>
                  <w:suppressAutoHyphens/>
                  <w:jc w:val="both"/>
                  <w:textAlignment w:val="center"/>
                </w:pPr>
                <w:r>
                  <w:rPr>
                    <w:rFonts w:eastAsia="Arial Unicode MS"/>
                    <w:lang w:eastAsia="lt-LT"/>
                  </w:rPr>
                  <w:t>Papildyti-įstatymą 110</w:t>
                </w:r>
                <w:r>
                  <w:rPr>
                    <w:rFonts w:eastAsia="Arial Unicode MS"/>
                    <w:vertAlign w:val="superscript"/>
                    <w:lang w:eastAsia="lt-LT"/>
                  </w:rPr>
                  <w:t>2</w:t>
                </w:r>
                <w:r>
                  <w:rPr>
                    <w:rFonts w:eastAsia="Arial Unicode MS"/>
                    <w:lang w:eastAsia="lt-LT"/>
                  </w:rPr>
                  <w:t xml:space="preserve"> straipsniu: </w:t>
                </w:r>
              </w:p>
              <w:p>
                <w:pPr>
                  <w:widowControl w:val="0"/>
                  <w:suppressAutoHyphens/>
                  <w:jc w:val="both"/>
                  <w:textAlignment w:val="center"/>
                </w:pPr>
                <w:r>
                  <w:rPr>
                    <w:rFonts w:eastAsia="Arial Unicode MS"/>
                    <w:lang w:eastAsia="lt-LT"/>
                  </w:rPr>
                  <w:t>„110</w:t>
                </w:r>
                <w:r>
                  <w:rPr>
                    <w:rFonts w:eastAsia="Arial Unicode MS"/>
                    <w:vertAlign w:val="superscript"/>
                    <w:lang w:eastAsia="lt-LT"/>
                  </w:rPr>
                  <w:t>2</w:t>
                </w:r>
                <w:r>
                  <w:rPr>
                    <w:rFonts w:eastAsia="Arial Unicode MS"/>
                    <w:lang w:eastAsia="lt-LT"/>
                  </w:rPr>
                  <w:t xml:space="preserve"> straipsnis. Juridinių asmenų atsakomybė už Reglamente </w:t>
                </w:r>
                <w:fldSimple w:instr="HYPERLINK http://eur-lex.europa.eu/legal-content/LIT/TXT/?uri=CELEX:32023R0956&amp;locale=lt \t _blank">
                  <w:r>
                    <w:rPr>
                      <w:rFonts w:eastAsia="Arial Unicode MS"/>
                      <w:lang w:eastAsia="lt-LT"/>
                      <w:u w:val="single"/>
                      <w:color w:val="0000FF" w:themeColor="hyperlink"/>
                    </w:rPr>
                    <w:t>(ES) 2023/956</w:t>
                  </w:r>
                </w:fldSimple>
                <w:r>
                  <w:rPr>
                    <w:rFonts w:eastAsia="Arial Unicode MS"/>
                    <w:lang w:eastAsia="lt-LT"/>
                  </w:rPr>
                  <w:t xml:space="preserve"> nustatytų pasienio anglies dioksido korekcinio mechanizmo reikalavimų pažeidimą   </w:t>
                </w:r>
              </w:p>
              <w:p>
                <w:pPr>
                  <w:widowControl w:val="0"/>
                  <w:suppressAutoHyphens/>
                  <w:jc w:val="both"/>
                  <w:textAlignment w:val="center"/>
                </w:pPr>
                <w:r>
                  <w:rPr>
                    <w:rFonts w:eastAsia="Arial Unicode MS"/>
                    <w:lang w:eastAsia="lt-LT"/>
                  </w:rPr>
                  <w:t xml:space="preserve">Reglamentoe (ES) 2023/956 32 straipsnyje nustatytos pasienio anglies dioksido korekcinio mechanizmo (toliau – PADKM) ataskaitos nepateikimas laiku  užtraukia baudą nuo dešimties iki penkiasdešimties eurų už kiekvieną nepraneštą išmetamo šiltnamio efektą sukeliančių dujų (toliau – ŠESD) kiekio toną, lygią anglies dioksido tonos ekvivalentui (toliau – CO2 e.) arba PADKM ataskaitos nepateikimas ilgiau kaip 6 mėnesius užtraukia baudą nuo penkiasdešimt iki devyniasdešimt eurų už kiekvieną nepraneštą išmetamo ŠESD kiekio toną  CO2 e. </w:t>
                </w:r>
              </w:p>
              <w:p>
                <w:pPr>
                  <w:widowControl w:val="0"/>
                  <w:suppressAutoHyphens/>
                  <w:jc w:val="both"/>
                  <w:textAlignment w:val="center"/>
                </w:pPr>
                <w:r>
                  <w:rPr>
                    <w:rFonts w:eastAsia="Arial Unicode MS"/>
                    <w:lang w:eastAsia="lt-LT"/>
                  </w:rPr>
                  <w:t xml:space="preserve">Šio straipsnio 1 dalyje nurodytos neteisingos ar neišsamios Reglamento  (ES) 32 straipsnyje nurodytos PADKM ataskaitos pateikimas arba kompetentingos institucijos nurodymų dėl PADKM ataskaitos pataisymo nevykdymas užtraukia baudą nuo dešimties iki penkiasdešimties eurų už kiekvieną nepraneštą išmetamo ŠESD kiekio toną  CO2 e. arba daugiau kaip dvejų iš eilės einančių neteisingų ar neišsamių PADKM ataskaitų pateikimas užtraukia baudą nuo penkiasdešimties iki devyniasdešimties eurų už kiekvieną nepraneštą išmetamo ŠESD kiekio toną CO2  e.</w:t>
                </w:r>
              </w:p>
            </w:tc>
            <w:tc>
              <w:tcPr>
                <w:tcW w:w="1842" w:type="dxa"/>
                <w:tcBorders>
                  <w:left w:val="single" w:sz="1" w:space="0" w:color="000000" w:themeColor="text1"/>
                  <w:bottom w:val="single" w:sz="1" w:space="0" w:color="000000" w:themeColor="text1"/>
                  <w:right w:val="single" w:sz="1" w:space="0" w:color="000000" w:themeColor="text1"/>
                </w:tcBorders>
              </w:tcPr>
              <w:p>
                <w:pPr>
                  <w:widowControl w:val="0"/>
                  <w:suppressLineNumbers/>
                  <w:suppressAutoHyphens/>
                  <w:jc w:val="center"/>
                  <w:rPr>
                    <w:color w:val="000000"/>
                    <w:szCs w:val="24"/>
                  </w:rPr>
                </w:pPr>
                <w:r>
                  <w:rPr>
                    <w:b/>
                    <w:bCs/>
                    <w:color w:val="000000"/>
                    <w:szCs w:val="24"/>
                  </w:rPr>
                  <w:t>Dalinis.</w:t>
                </w:r>
              </w:p>
              <w:p>
                <w:pPr>
                  <w:widowControl w:val="0"/>
                  <w:suppressLineNumbers/>
                  <w:suppressAutoHyphens/>
                  <w:jc w:val="center"/>
                </w:pPr>
                <w:r>
                  <w:rPr>
                    <w:color w:val="000000"/>
                    <w:szCs w:val="24"/>
                  </w:rPr>
                  <w:t>Sankcijos fiziniams asmenims nustatomos Administracinių nusižengimų kodekso pakeitimo projekte.</w:t>
                </w:r>
              </w:p>
            </w:tc>
          </w:tr>
          <w:tr>
            <w:trPr>
              <w:trHeight w:val="15"/>
            </w:trPr>
            <w:tc>
              <w:tcPr>
                <w:tcW w:w="7088" w:type="dxa"/>
                <w:tcBorders>
                  <w:left w:val="single" w:sz="1" w:space="0" w:color="000000" w:themeColor="text1"/>
                  <w:bottom w:val="single" w:sz="1" w:space="0" w:color="000000" w:themeColor="text1"/>
                </w:tcBorders>
              </w:tcPr>
              <w:p>
                <w:pPr>
                  <w:widowControl w:val="0"/>
                  <w:suppressAutoHyphens/>
                  <w:jc w:val="both"/>
                  <w:rPr>
                    <w:rFonts w:eastAsia="Arial Unicode MS"/>
                    <w:szCs w:val="24"/>
                    <w:lang w:eastAsia="lt-LT"/>
                  </w:rPr>
                </w:pPr>
                <w:r>
                  <w:rPr>
                    <w:rFonts w:eastAsia="Arial Unicode MS"/>
                    <w:szCs w:val="24"/>
                    <w:lang w:eastAsia="lt-LT"/>
                  </w:rPr>
                  <w:t>„26 straipsnio 1 dalis</w:t>
                </w:r>
              </w:p>
              <w:p>
                <w:pPr>
                  <w:widowControl w:val="0"/>
                  <w:suppressAutoHyphens/>
                  <w:jc w:val="both"/>
                  <w:rPr>
                    <w:rFonts w:eastAsia="Arial Unicode MS"/>
                    <w:szCs w:val="24"/>
                    <w:lang w:eastAsia="lt-LT"/>
                  </w:rPr>
                </w:pPr>
                <w:r>
                  <w:rPr>
                    <w:rFonts w:eastAsia="Arial Unicode MS"/>
                    <w:szCs w:val="24"/>
                    <w:lang w:eastAsia="lt-LT"/>
                  </w:rPr>
                  <w:t xml:space="preserve">1. Jeigu ne vėliau kaip kiekvienų metų gegužės 31 d. įgaliotasis PADKM deklarantas neatsisako per praėjusius kalendorinius metus importuotoms prekėms būdingą išmetamą ŠESD kiekį atitinkančio PADKM sertifikatų skaičiaus, jis privalo sumokėti baudą. Tokia bauda yra lygi Direktyvos </w:t>
                </w:r>
                <w:fldSimple w:instr="HYPERLINK http://eur-lex.europa.eu/legal-content/LIT/TXT/?uri=CELEX:32003L0087&amp;locale=lt \t _blank">
                  <w:r>
                    <w:rPr>
                      <w:rFonts w:eastAsia="Arial Unicode MS"/>
                      <w:szCs w:val="24"/>
                      <w:lang w:eastAsia="lt-LT"/>
                      <w:u w:val="single"/>
                      <w:color w:val="0000FF" w:themeColor="hyperlink"/>
                    </w:rPr>
                    <w:t>2003/87/EB</w:t>
                  </w:r>
                </w:fldSimple>
                <w:r>
                  <w:rPr>
                    <w:rFonts w:eastAsia="Arial Unicode MS"/>
                    <w:szCs w:val="24"/>
                    <w:lang w:eastAsia="lt-LT"/>
                  </w:rPr>
                  <w:t xml:space="preserve"> 16 straipsnio 3 dalyje nustatytai baudai už perteklinį išmestą ŠESD kiekį, padidintai pagal tos direktyvos 16 straipsnio 4 dalį, kuri taikoma prekių importo metais. Tokia bauda taikoma už kiekvieną PADKM sertifikatą, kurio įgaliotasis PADKM deklarantas neatsisakė.“</w:t>
                </w:r>
              </w:p>
            </w:tc>
            <w:tc>
              <w:tcPr>
                <w:tcW w:w="5954" w:type="dxa"/>
                <w:tcBorders>
                  <w:left w:val="single" w:sz="1" w:space="0" w:color="000000" w:themeColor="text1"/>
                  <w:bottom w:val="single" w:sz="1" w:space="0" w:color="000000" w:themeColor="text1"/>
                </w:tcBorders>
              </w:tcPr>
              <w:p>
                <w:pPr>
                  <w:widowControl w:val="0"/>
                  <w:suppressAutoHyphens/>
                  <w:jc w:val="both"/>
                  <w:textAlignment w:val="center"/>
                  <w:rPr>
                    <w:rFonts w:eastAsia="Arial Unicode MS"/>
                    <w:lang w:eastAsia="lt-LT"/>
                  </w:rPr>
                </w:pPr>
                <w:r>
                  <w:rPr>
                    <w:rFonts w:eastAsia="Arial Unicode MS"/>
                    <w:b/>
                    <w:bCs/>
                    <w:lang w:eastAsia="lt-LT"/>
                  </w:rPr>
                  <w:t>Įstatymo projektas</w:t>
                </w:r>
              </w:p>
              <w:p>
                <w:pPr>
                  <w:widowControl w:val="0"/>
                  <w:suppressAutoHyphens/>
                  <w:jc w:val="both"/>
                  <w:textAlignment w:val="center"/>
                  <w:rPr>
                    <w:rFonts w:eastAsia="Arial Unicode MS"/>
                    <w:lang w:eastAsia="lt-LT"/>
                  </w:rPr>
                </w:pPr>
                <w:r>
                  <w:rPr>
                    <w:b/>
                    <w:bCs/>
                    <w:color w:val="000000"/>
                  </w:rPr>
                  <w:t>11 straipsnis. 110</w:t>
                </w:r>
                <w:r>
                  <w:rPr>
                    <w:b/>
                    <w:bCs/>
                    <w:color w:val="000000"/>
                    <w:vertAlign w:val="superscript"/>
                  </w:rPr>
                  <w:t>3</w:t>
                </w:r>
                <w:r>
                  <w:rPr>
                    <w:rFonts w:eastAsia="Arial Unicode MS"/>
                    <w:b/>
                    <w:bCs/>
                    <w:lang w:eastAsia="lt-LT"/>
                  </w:rPr>
                  <w:t xml:space="preserve"> straipsnio 2 dalis</w:t>
                </w:r>
                <w:r>
                  <w:rPr>
                    <w:rFonts w:eastAsia="Arial Unicode MS"/>
                    <w:lang w:eastAsia="lt-LT"/>
                  </w:rPr>
                  <w:t xml:space="preserve"> </w:t>
                </w:r>
              </w:p>
              <w:p>
                <w:pPr>
                  <w:widowControl w:val="0"/>
                  <w:suppressAutoHyphens/>
                  <w:jc w:val="both"/>
                  <w:textAlignment w:val="center"/>
                  <w:rPr>
                    <w:rFonts w:eastAsia="Arial Unicode MS"/>
                    <w:lang w:eastAsia="lt-LT"/>
                  </w:rPr>
                </w:pPr>
                <w:r>
                  <w:rPr>
                    <w:rFonts w:eastAsia="Arial Unicode MS"/>
                    <w:lang w:eastAsia="lt-LT"/>
                  </w:rPr>
                  <w:t>&lt;...&gt;</w:t>
                </w:r>
              </w:p>
              <w:p>
                <w:pPr>
                  <w:widowControl w:val="0"/>
                  <w:suppressAutoHyphens/>
                  <w:jc w:val="both"/>
                  <w:textAlignment w:val="center"/>
                  <w:rPr>
                    <w:rFonts w:eastAsia="Arial Unicode MS"/>
                    <w:lang w:eastAsia="lt-LT"/>
                  </w:rPr>
                </w:pPr>
                <w:r>
                  <w:rPr>
                    <w:color w:val="000000"/>
                    <w:shd w:val="clear" w:color="auto" w:fill="FFFFFF"/>
                  </w:rPr>
                  <w:t xml:space="preserve">Pagal Reglamento </w:t>
                </w:r>
                <w:fldSimple w:instr="HYPERLINK http://eur-lex.europa.eu/legal-content/LIT/TXT/?uri=CELEX:32023R0956&amp;locale=lt \t _blank">
                  <w:r>
                    <w:rPr>
                      <w:color w:val="0000FF" w:themeColor="hyperlink"/>
                      <w:shd w:val="clear" w:color="auto" w:fill="FFFFFF"/>
                      <w:u w:val="single"/>
                    </w:rPr>
                    <w:t>(ES) 2023/956</w:t>
                  </w:r>
                </w:fldSimple>
                <w:r>
                  <w:rPr>
                    <w:color w:val="000000"/>
                    <w:shd w:val="clear" w:color="auto" w:fill="FFFFFF"/>
                  </w:rPr>
                  <w:t xml:space="preserve"> 26 straipsnio 1 dalį įgaliotajam PADKM deklarantui neatsisakius laiku PADKM sertifikatų, atitinkančių per praėjusius kalendorinius metus importuotoms prekėms būdingo išmesto ŠESD kiekio, užtraukia vieno šimto eurų baudą už kiekvieną neatsisakytą PADKM sertifikatą, baudą atitinkamai padidinant pagal Europos vartotojų kainų indeksą, kuris taikomas prekių importo metais. </w:t>
                </w:r>
                <w:r>
                  <w:rPr>
                    <w:rFonts w:eastAsia="Arial Unicode MS"/>
                    <w:lang w:eastAsia="lt-LT"/>
                  </w:rPr>
                  <w:t xml:space="preserve"> &lt;...&gt;</w:t>
                </w:r>
              </w:p>
            </w:tc>
            <w:tc>
              <w:tcPr>
                <w:tcW w:w="1842" w:type="dxa"/>
                <w:tcBorders>
                  <w:left w:val="single" w:sz="1" w:space="0" w:color="000000" w:themeColor="text1"/>
                  <w:bottom w:val="single" w:sz="1" w:space="0" w:color="000000" w:themeColor="text1"/>
                  <w:right w:val="single" w:sz="1" w:space="0" w:color="000000" w:themeColor="text1"/>
                </w:tcBorders>
              </w:tcPr>
              <w:p>
                <w:pPr>
                  <w:widowControl w:val="0"/>
                  <w:suppressLineNumbers/>
                  <w:suppressAutoHyphens/>
                  <w:jc w:val="center"/>
                  <w:rPr>
                    <w:color w:val="000000"/>
                    <w:szCs w:val="24"/>
                  </w:rPr>
                </w:pPr>
                <w:r>
                  <w:rPr>
                    <w:b/>
                    <w:bCs/>
                    <w:color w:val="000000"/>
                    <w:szCs w:val="24"/>
                  </w:rPr>
                  <w:t>Dalinis.</w:t>
                </w:r>
              </w:p>
              <w:p>
                <w:pPr>
                  <w:widowControl w:val="0"/>
                  <w:suppressLineNumbers/>
                  <w:suppressAutoHyphens/>
                  <w:jc w:val="center"/>
                </w:pPr>
                <w:r>
                  <w:rPr>
                    <w:color w:val="000000"/>
                    <w:szCs w:val="24"/>
                  </w:rPr>
                  <w:t>Sankcijos fiziniams asmenims nustatomos Administracinių nusižengimų kodekso pakeitimo projekte.</w:t>
                </w:r>
              </w:p>
            </w:tc>
          </w:tr>
          <w:tr>
            <w:trPr>
              <w:trHeight w:val="15"/>
            </w:trPr>
            <w:tc>
              <w:tcPr>
                <w:tcW w:w="7088" w:type="dxa"/>
                <w:tcBorders>
                  <w:left w:val="single" w:sz="1" w:space="0" w:color="000000" w:themeColor="text1"/>
                  <w:bottom w:val="single" w:sz="1" w:space="0" w:color="000000" w:themeColor="text1"/>
                </w:tcBorders>
              </w:tcPr>
              <w:p>
                <w:pPr>
                  <w:widowControl w:val="0"/>
                  <w:suppressAutoHyphens/>
                  <w:jc w:val="both"/>
                  <w:rPr>
                    <w:rFonts w:eastAsia="Arial Unicode MS"/>
                    <w:szCs w:val="24"/>
                    <w:lang w:eastAsia="lt-LT"/>
                  </w:rPr>
                </w:pPr>
                <w:r>
                  <w:rPr>
                    <w:rFonts w:eastAsia="Arial Unicode MS"/>
                    <w:szCs w:val="24"/>
                    <w:lang w:eastAsia="lt-LT"/>
                  </w:rPr>
                  <w:t>„26 straipsnio 2 dalis</w:t>
                </w:r>
              </w:p>
              <w:p>
                <w:pPr>
                  <w:widowControl w:val="0"/>
                  <w:suppressAutoHyphens/>
                  <w:jc w:val="both"/>
                  <w:rPr>
                    <w:rFonts w:eastAsia="Arial Unicode MS"/>
                    <w:szCs w:val="24"/>
                    <w:lang w:eastAsia="lt-LT"/>
                  </w:rPr>
                </w:pPr>
                <w:r>
                  <w:rPr>
                    <w:rFonts w:eastAsia="Arial Unicode MS"/>
                    <w:szCs w:val="24"/>
                    <w:lang w:eastAsia="lt-LT"/>
                  </w:rPr>
                  <w:t>2.Kai asmuo, kuris nėra įgaliotasis PADKM deklarantas, įveža prekes į Sąjungos muitų teritoriją nesilaikydamas šiame reglamente nustatytų pareigų, jis privalo sumokėti baudą. Tokia bauda turi būti veiksminga, proporcinga ir atgrasanti ir, visų pirma, atsižvelgiant į tokio nesilaikymo trukmę, sunkumą, mastą, tarptautinį pobūdį ir pasikartojimą bei asmens bendradarbiavimo su kompetentinga institucija lygį, yra nuo trijų iki penkių kartų didesnė už 1 dalyje nurodytą baudą, taikomą prekių įvežimo metais už kiekvieną PADKM sertifikatą, kurio asmuo neatsisakė.“</w:t>
                </w:r>
              </w:p>
            </w:tc>
            <w:tc>
              <w:tcPr>
                <w:tcW w:w="5954" w:type="dxa"/>
                <w:tcBorders>
                  <w:left w:val="single" w:sz="1" w:space="0" w:color="000000" w:themeColor="text1"/>
                  <w:bottom w:val="single" w:sz="1" w:space="0" w:color="000000" w:themeColor="text1"/>
                </w:tcBorders>
              </w:tcPr>
              <w:p>
                <w:pPr>
                  <w:widowControl w:val="0"/>
                  <w:suppressAutoHyphens/>
                  <w:jc w:val="both"/>
                  <w:textAlignment w:val="center"/>
                  <w:rPr>
                    <w:rFonts w:eastAsia="Arial Unicode MS"/>
                    <w:lang w:eastAsia="lt-LT"/>
                  </w:rPr>
                </w:pPr>
                <w:r>
                  <w:rPr>
                    <w:rFonts w:eastAsia="Arial Unicode MS"/>
                    <w:b/>
                    <w:bCs/>
                    <w:lang w:eastAsia="lt-LT"/>
                  </w:rPr>
                  <w:t>Įstatymo projektas</w:t>
                </w:r>
              </w:p>
              <w:p>
                <w:pPr>
                  <w:widowControl w:val="0"/>
                  <w:suppressAutoHyphens/>
                  <w:jc w:val="both"/>
                  <w:textAlignment w:val="center"/>
                  <w:rPr>
                    <w:rFonts w:eastAsia="Arial Unicode MS"/>
                    <w:lang w:eastAsia="lt-LT"/>
                  </w:rPr>
                </w:pPr>
                <w:r>
                  <w:rPr>
                    <w:b/>
                    <w:bCs/>
                    <w:color w:val="000000"/>
                  </w:rPr>
                  <w:t>11 straipsnis. 110</w:t>
                </w:r>
                <w:r>
                  <w:rPr>
                    <w:b/>
                    <w:bCs/>
                    <w:color w:val="000000"/>
                    <w:vertAlign w:val="superscript"/>
                  </w:rPr>
                  <w:t>3</w:t>
                </w:r>
                <w:r>
                  <w:t xml:space="preserve"> </w:t>
                </w:r>
                <w:r>
                  <w:rPr>
                    <w:rFonts w:eastAsia="Arial Unicode MS"/>
                    <w:b/>
                    <w:bCs/>
                    <w:lang w:eastAsia="lt-LT"/>
                  </w:rPr>
                  <w:t>straipsnio 3 dalis</w:t>
                </w:r>
                <w:r>
                  <w:rPr>
                    <w:rFonts w:eastAsia="Arial Unicode MS"/>
                    <w:lang w:eastAsia="lt-LT"/>
                  </w:rPr>
                  <w:t xml:space="preserve"> </w:t>
                </w:r>
              </w:p>
              <w:p>
                <w:pPr>
                  <w:widowControl w:val="0"/>
                  <w:suppressAutoHyphens/>
                  <w:jc w:val="both"/>
                  <w:textAlignment w:val="center"/>
                  <w:rPr>
                    <w:rFonts w:eastAsia="Arial Unicode MS"/>
                    <w:lang w:eastAsia="lt-LT"/>
                  </w:rPr>
                </w:pPr>
                <w:r>
                  <w:rPr>
                    <w:rFonts w:eastAsia="Arial Unicode MS"/>
                    <w:lang w:eastAsia="lt-LT"/>
                  </w:rPr>
                  <w:t>&lt;...&gt;</w:t>
                </w:r>
              </w:p>
              <w:p>
                <w:pPr>
                  <w:widowControl w:val="0"/>
                  <w:suppressAutoHyphens/>
                  <w:jc w:val="both"/>
                  <w:textAlignment w:val="center"/>
                  <w:rPr>
                    <w:szCs w:val="24"/>
                  </w:rPr>
                </w:pPr>
                <w:r>
                  <w:rPr>
                    <w:color w:val="000000"/>
                    <w:szCs w:val="24"/>
                  </w:rPr>
                  <w:t>Prekių įvežimas į Europos Sąjungos muitų teritoriją asmens, kuris nėra įgaliotasis PADKM deklarantas, užtraukia baudą nuo trijų iki penkių kartų didesnę už šio straipsnio 3 dalyje nurodytą baudą taikomą už kiekvieną neatsisakytą PADKM sertifikatą.</w:t>
                </w:r>
              </w:p>
            </w:tc>
            <w:tc>
              <w:tcPr>
                <w:tcW w:w="1842" w:type="dxa"/>
                <w:tcBorders>
                  <w:left w:val="single" w:sz="1" w:space="0" w:color="000000" w:themeColor="text1"/>
                  <w:bottom w:val="single" w:sz="1" w:space="0" w:color="000000" w:themeColor="text1"/>
                  <w:right w:val="single" w:sz="1" w:space="0" w:color="000000" w:themeColor="text1"/>
                </w:tcBorders>
              </w:tcPr>
              <w:p>
                <w:pPr>
                  <w:widowControl w:val="0"/>
                  <w:suppressLineNumbers/>
                  <w:suppressAutoHyphens/>
                  <w:jc w:val="center"/>
                  <w:rPr>
                    <w:color w:val="000000"/>
                    <w:szCs w:val="24"/>
                  </w:rPr>
                </w:pPr>
                <w:r>
                  <w:rPr>
                    <w:b/>
                    <w:bCs/>
                    <w:color w:val="000000"/>
                    <w:szCs w:val="24"/>
                  </w:rPr>
                  <w:t>Dalinis.</w:t>
                </w:r>
              </w:p>
              <w:p>
                <w:pPr>
                  <w:widowControl w:val="0"/>
                  <w:suppressLineNumbers/>
                  <w:suppressAutoHyphens/>
                  <w:jc w:val="center"/>
                </w:pPr>
                <w:r>
                  <w:rPr>
                    <w:color w:val="000000"/>
                    <w:szCs w:val="24"/>
                  </w:rPr>
                  <w:t>Sankcijos fiziniams asmenims nustatomos Administracinių nusižengimų kodekso pakeitimo projekte.</w:t>
                </w:r>
              </w:p>
            </w:tc>
          </w:tr>
        </w:tbl>
        <w:p>
          <w:pPr>
            <w:widowControl w:val="0"/>
            <w:suppressAutoHyphens/>
            <w:rPr>
              <w:rFonts w:eastAsia="Arial Unicode MS"/>
              <w:szCs w:val="24"/>
              <w:lang w:eastAsia="lt-LT"/>
            </w:rPr>
            <w:sectPr>
              <w:footnotePr>
                <w:pos w:val="beneathText"/>
              </w:footnotePr>
              <w:type w:val="continuous"/>
              <w:pgSz w:w="16837" w:h="11905" w:orient="landscape"/>
              <w:pgMar w:top="1701" w:right="567" w:bottom="1134" w:left="1134" w:header="567" w:footer="567" w:gutter="0"/>
              <w:cols w:space="1296"/>
            </w:sectPr>
          </w:pPr>
        </w:p>
        <w:p>
          <w:pPr>
            <w:rPr>
              <w:sz w:val="10"/>
              <w:szCs w:val="10"/>
            </w:rPr>
          </w:pPr>
        </w:p>
        <w:sdt>
          <w:sdtPr>
            <w:alias w:val="pabaiga"/>
            <w:tag w:val="part_bec08920c9384f048e097bf548e7b237"/>
            <w:lock w:val="sdtLocked"/>
            <w:richText/>
          </w:sdtPr>
          <w:sdtContent>
            <w:p>
              <w:pPr>
                <w:widowControl w:val="0"/>
                <w:tabs>
                  <w:tab w:val="center" w:pos="0"/>
                  <w:tab w:val="center" w:pos="4153"/>
                  <w:tab w:val="left" w:pos="7230"/>
                  <w:tab w:val="right" w:pos="8306"/>
                </w:tabs>
                <w:suppressAutoHyphens/>
                <w:jc w:val="center"/>
                <w:rPr>
                  <w:rFonts w:eastAsia="Arial Unicode MS"/>
                  <w:szCs w:val="24"/>
                  <w:lang w:eastAsia="lt-LT"/>
                </w:rPr>
              </w:pPr>
              <w:r>
                <w:rPr>
                  <w:rFonts w:eastAsia="Arial Unicode MS"/>
                  <w:szCs w:val="24"/>
                  <w:lang w:eastAsia="lt-LT"/>
                </w:rPr>
                <w:t>_________________</w:t>
              </w:r>
            </w:p>
          </w:sdtContent>
        </w:sdt>
      </w:sdtContent>
    </w:sdt>
    <w:sectPr>
      <w:footnotePr>
        <w:pos w:val="beneathText"/>
      </w:footnotePr>
      <w:type w:val="continuous"/>
      <w:pgSz w:w="16837" w:h="11905" w:orient="landscape"/>
      <w:pgMar w:top="1134" w:right="1134" w:bottom="1134" w:left="1134" w:header="567" w:footer="567" w:gutter="0"/>
      <w:cols w:space="1296"/>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09"/>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pos w:val="beneathText"/>
  </w:foot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0C7F"/>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7388429-34C7-47E5-ADE9-AF425B79235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69083494">
      <w:bodyDiv w:val="1"/>
      <w:marLeft w:val="0"/>
      <w:marRight w:val="0"/>
      <w:marTop w:val="0"/>
      <w:marBottom w:val="0"/>
      <w:divBdr>
        <w:top w:val="none" w:sz="0" w:space="0" w:color="auto"/>
        <w:left w:val="none" w:sz="0" w:space="0" w:color="auto"/>
        <w:bottom w:val="none" w:sz="0" w:space="0" w:color="auto"/>
        <w:right w:val="none" w:sz="0" w:space="0" w:color="auto"/>
      </w:divBdr>
    </w:div>
    <w:div w:id="149635256">
      <w:bodyDiv w:val="1"/>
      <w:marLeft w:val="0"/>
      <w:marRight w:val="0"/>
      <w:marTop w:val="0"/>
      <w:marBottom w:val="0"/>
      <w:divBdr>
        <w:top w:val="none" w:sz="0" w:space="0" w:color="auto"/>
        <w:left w:val="none" w:sz="0" w:space="0" w:color="auto"/>
        <w:bottom w:val="none" w:sz="0" w:space="0" w:color="auto"/>
        <w:right w:val="none" w:sz="0" w:space="0" w:color="auto"/>
      </w:divBdr>
    </w:div>
    <w:div w:id="233904660">
      <w:bodyDiv w:val="1"/>
      <w:marLeft w:val="0"/>
      <w:marRight w:val="0"/>
      <w:marTop w:val="0"/>
      <w:marBottom w:val="0"/>
      <w:divBdr>
        <w:top w:val="none" w:sz="0" w:space="0" w:color="auto"/>
        <w:left w:val="none" w:sz="0" w:space="0" w:color="auto"/>
        <w:bottom w:val="none" w:sz="0" w:space="0" w:color="auto"/>
        <w:right w:val="none" w:sz="0" w:space="0" w:color="auto"/>
      </w:divBdr>
    </w:div>
    <w:div w:id="480854021">
      <w:bodyDiv w:val="1"/>
      <w:marLeft w:val="0"/>
      <w:marRight w:val="0"/>
      <w:marTop w:val="0"/>
      <w:marBottom w:val="0"/>
      <w:divBdr>
        <w:top w:val="none" w:sz="0" w:space="0" w:color="auto"/>
        <w:left w:val="none" w:sz="0" w:space="0" w:color="auto"/>
        <w:bottom w:val="none" w:sz="0" w:space="0" w:color="auto"/>
        <w:right w:val="none" w:sz="0" w:space="0" w:color="auto"/>
      </w:divBdr>
    </w:div>
    <w:div w:id="587351958">
      <w:bodyDiv w:val="1"/>
      <w:marLeft w:val="0"/>
      <w:marRight w:val="0"/>
      <w:marTop w:val="0"/>
      <w:marBottom w:val="0"/>
      <w:divBdr>
        <w:top w:val="none" w:sz="0" w:space="0" w:color="auto"/>
        <w:left w:val="none" w:sz="0" w:space="0" w:color="auto"/>
        <w:bottom w:val="none" w:sz="0" w:space="0" w:color="auto"/>
        <w:right w:val="none" w:sz="0" w:space="0" w:color="auto"/>
      </w:divBdr>
    </w:div>
    <w:div w:id="738751050">
      <w:bodyDiv w:val="1"/>
      <w:marLeft w:val="0"/>
      <w:marRight w:val="0"/>
      <w:marTop w:val="0"/>
      <w:marBottom w:val="0"/>
      <w:divBdr>
        <w:top w:val="none" w:sz="0" w:space="0" w:color="auto"/>
        <w:left w:val="none" w:sz="0" w:space="0" w:color="auto"/>
        <w:bottom w:val="none" w:sz="0" w:space="0" w:color="auto"/>
        <w:right w:val="none" w:sz="0" w:space="0" w:color="auto"/>
      </w:divBdr>
    </w:div>
    <w:div w:id="749354208">
      <w:bodyDiv w:val="1"/>
      <w:marLeft w:val="0"/>
      <w:marRight w:val="0"/>
      <w:marTop w:val="0"/>
      <w:marBottom w:val="0"/>
      <w:divBdr>
        <w:top w:val="none" w:sz="0" w:space="0" w:color="auto"/>
        <w:left w:val="none" w:sz="0" w:space="0" w:color="auto"/>
        <w:bottom w:val="none" w:sz="0" w:space="0" w:color="auto"/>
        <w:right w:val="none" w:sz="0" w:space="0" w:color="auto"/>
      </w:divBdr>
    </w:div>
    <w:div w:id="808743230">
      <w:bodyDiv w:val="1"/>
      <w:marLeft w:val="0"/>
      <w:marRight w:val="0"/>
      <w:marTop w:val="0"/>
      <w:marBottom w:val="0"/>
      <w:divBdr>
        <w:top w:val="none" w:sz="0" w:space="0" w:color="auto"/>
        <w:left w:val="none" w:sz="0" w:space="0" w:color="auto"/>
        <w:bottom w:val="none" w:sz="0" w:space="0" w:color="auto"/>
        <w:right w:val="none" w:sz="0" w:space="0" w:color="auto"/>
      </w:divBdr>
      <w:divsChild>
        <w:div w:id="1017317799">
          <w:marLeft w:val="0"/>
          <w:marRight w:val="0"/>
          <w:marTop w:val="0"/>
          <w:marBottom w:val="0"/>
          <w:divBdr>
            <w:top w:val="none" w:sz="0" w:space="0" w:color="auto"/>
            <w:left w:val="none" w:sz="0" w:space="0" w:color="auto"/>
            <w:bottom w:val="none" w:sz="0" w:space="0" w:color="auto"/>
            <w:right w:val="none" w:sz="0" w:space="0" w:color="auto"/>
          </w:divBdr>
        </w:div>
        <w:div w:id="1665669515">
          <w:marLeft w:val="0"/>
          <w:marRight w:val="0"/>
          <w:marTop w:val="0"/>
          <w:marBottom w:val="0"/>
          <w:divBdr>
            <w:top w:val="none" w:sz="0" w:space="0" w:color="auto"/>
            <w:left w:val="none" w:sz="0" w:space="0" w:color="auto"/>
            <w:bottom w:val="none" w:sz="0" w:space="0" w:color="auto"/>
            <w:right w:val="none" w:sz="0" w:space="0" w:color="auto"/>
          </w:divBdr>
        </w:div>
        <w:div w:id="2052877437">
          <w:marLeft w:val="0"/>
          <w:marRight w:val="0"/>
          <w:marTop w:val="0"/>
          <w:marBottom w:val="0"/>
          <w:divBdr>
            <w:top w:val="none" w:sz="0" w:space="0" w:color="auto"/>
            <w:left w:val="none" w:sz="0" w:space="0" w:color="auto"/>
            <w:bottom w:val="none" w:sz="0" w:space="0" w:color="auto"/>
            <w:right w:val="none" w:sz="0" w:space="0" w:color="auto"/>
          </w:divBdr>
        </w:div>
      </w:divsChild>
    </w:div>
    <w:div w:id="938414210">
      <w:bodyDiv w:val="1"/>
      <w:marLeft w:val="0"/>
      <w:marRight w:val="0"/>
      <w:marTop w:val="0"/>
      <w:marBottom w:val="0"/>
      <w:divBdr>
        <w:top w:val="none" w:sz="0" w:space="0" w:color="auto"/>
        <w:left w:val="none" w:sz="0" w:space="0" w:color="auto"/>
        <w:bottom w:val="none" w:sz="0" w:space="0" w:color="auto"/>
        <w:right w:val="none" w:sz="0" w:space="0" w:color="auto"/>
      </w:divBdr>
    </w:div>
    <w:div w:id="1015771403">
      <w:bodyDiv w:val="1"/>
      <w:marLeft w:val="0"/>
      <w:marRight w:val="0"/>
      <w:marTop w:val="0"/>
      <w:marBottom w:val="0"/>
      <w:divBdr>
        <w:top w:val="none" w:sz="0" w:space="0" w:color="auto"/>
        <w:left w:val="none" w:sz="0" w:space="0" w:color="auto"/>
        <w:bottom w:val="none" w:sz="0" w:space="0" w:color="auto"/>
        <w:right w:val="none" w:sz="0" w:space="0" w:color="auto"/>
      </w:divBdr>
    </w:div>
    <w:div w:id="1063136793">
      <w:bodyDiv w:val="1"/>
      <w:marLeft w:val="0"/>
      <w:marRight w:val="0"/>
      <w:marTop w:val="0"/>
      <w:marBottom w:val="0"/>
      <w:divBdr>
        <w:top w:val="none" w:sz="0" w:space="0" w:color="auto"/>
        <w:left w:val="none" w:sz="0" w:space="0" w:color="auto"/>
        <w:bottom w:val="none" w:sz="0" w:space="0" w:color="auto"/>
        <w:right w:val="none" w:sz="0" w:space="0" w:color="auto"/>
      </w:divBdr>
    </w:div>
    <w:div w:id="1184904733">
      <w:bodyDiv w:val="1"/>
      <w:marLeft w:val="0"/>
      <w:marRight w:val="0"/>
      <w:marTop w:val="0"/>
      <w:marBottom w:val="0"/>
      <w:divBdr>
        <w:top w:val="none" w:sz="0" w:space="0" w:color="auto"/>
        <w:left w:val="none" w:sz="0" w:space="0" w:color="auto"/>
        <w:bottom w:val="none" w:sz="0" w:space="0" w:color="auto"/>
        <w:right w:val="none" w:sz="0" w:space="0" w:color="auto"/>
      </w:divBdr>
    </w:div>
    <w:div w:id="1193807989">
      <w:bodyDiv w:val="1"/>
      <w:marLeft w:val="0"/>
      <w:marRight w:val="0"/>
      <w:marTop w:val="0"/>
      <w:marBottom w:val="0"/>
      <w:divBdr>
        <w:top w:val="none" w:sz="0" w:space="0" w:color="auto"/>
        <w:left w:val="none" w:sz="0" w:space="0" w:color="auto"/>
        <w:bottom w:val="none" w:sz="0" w:space="0" w:color="auto"/>
        <w:right w:val="none" w:sz="0" w:space="0" w:color="auto"/>
      </w:divBdr>
      <w:divsChild>
        <w:div w:id="407844014">
          <w:marLeft w:val="0"/>
          <w:marRight w:val="0"/>
          <w:marTop w:val="0"/>
          <w:marBottom w:val="0"/>
          <w:divBdr>
            <w:top w:val="none" w:sz="0" w:space="0" w:color="auto"/>
            <w:left w:val="none" w:sz="0" w:space="0" w:color="auto"/>
            <w:bottom w:val="none" w:sz="0" w:space="0" w:color="auto"/>
            <w:right w:val="none" w:sz="0" w:space="0" w:color="auto"/>
          </w:divBdr>
        </w:div>
        <w:div w:id="2142503858">
          <w:marLeft w:val="0"/>
          <w:marRight w:val="0"/>
          <w:marTop w:val="0"/>
          <w:marBottom w:val="0"/>
          <w:divBdr>
            <w:top w:val="none" w:sz="0" w:space="0" w:color="auto"/>
            <w:left w:val="none" w:sz="0" w:space="0" w:color="auto"/>
            <w:bottom w:val="none" w:sz="0" w:space="0" w:color="auto"/>
            <w:right w:val="none" w:sz="0" w:space="0" w:color="auto"/>
          </w:divBdr>
        </w:div>
      </w:divsChild>
    </w:div>
    <w:div w:id="1268465804">
      <w:bodyDiv w:val="1"/>
      <w:marLeft w:val="0"/>
      <w:marRight w:val="0"/>
      <w:marTop w:val="0"/>
      <w:marBottom w:val="0"/>
      <w:divBdr>
        <w:top w:val="none" w:sz="0" w:space="0" w:color="auto"/>
        <w:left w:val="none" w:sz="0" w:space="0" w:color="auto"/>
        <w:bottom w:val="none" w:sz="0" w:space="0" w:color="auto"/>
        <w:right w:val="none" w:sz="0" w:space="0" w:color="auto"/>
      </w:divBdr>
    </w:div>
    <w:div w:id="1286354149">
      <w:bodyDiv w:val="1"/>
      <w:marLeft w:val="0"/>
      <w:marRight w:val="0"/>
      <w:marTop w:val="0"/>
      <w:marBottom w:val="0"/>
      <w:divBdr>
        <w:top w:val="none" w:sz="0" w:space="0" w:color="auto"/>
        <w:left w:val="none" w:sz="0" w:space="0" w:color="auto"/>
        <w:bottom w:val="none" w:sz="0" w:space="0" w:color="auto"/>
        <w:right w:val="none" w:sz="0" w:space="0" w:color="auto"/>
      </w:divBdr>
    </w:div>
    <w:div w:id="1329018102">
      <w:bodyDiv w:val="1"/>
      <w:marLeft w:val="0"/>
      <w:marRight w:val="0"/>
      <w:marTop w:val="0"/>
      <w:marBottom w:val="0"/>
      <w:divBdr>
        <w:top w:val="none" w:sz="0" w:space="0" w:color="auto"/>
        <w:left w:val="none" w:sz="0" w:space="0" w:color="auto"/>
        <w:bottom w:val="none" w:sz="0" w:space="0" w:color="auto"/>
        <w:right w:val="none" w:sz="0" w:space="0" w:color="auto"/>
      </w:divBdr>
      <w:divsChild>
        <w:div w:id="979916349">
          <w:marLeft w:val="0"/>
          <w:marRight w:val="0"/>
          <w:marTop w:val="0"/>
          <w:marBottom w:val="0"/>
          <w:divBdr>
            <w:top w:val="none" w:sz="0" w:space="0" w:color="auto"/>
            <w:left w:val="none" w:sz="0" w:space="0" w:color="auto"/>
            <w:bottom w:val="none" w:sz="0" w:space="0" w:color="auto"/>
            <w:right w:val="none" w:sz="0" w:space="0" w:color="auto"/>
          </w:divBdr>
        </w:div>
        <w:div w:id="1976711374">
          <w:marLeft w:val="0"/>
          <w:marRight w:val="0"/>
          <w:marTop w:val="0"/>
          <w:marBottom w:val="0"/>
          <w:divBdr>
            <w:top w:val="none" w:sz="0" w:space="0" w:color="auto"/>
            <w:left w:val="none" w:sz="0" w:space="0" w:color="auto"/>
            <w:bottom w:val="none" w:sz="0" w:space="0" w:color="auto"/>
            <w:right w:val="none" w:sz="0" w:space="0" w:color="auto"/>
          </w:divBdr>
        </w:div>
      </w:divsChild>
    </w:div>
    <w:div w:id="1404571857">
      <w:bodyDiv w:val="1"/>
      <w:marLeft w:val="0"/>
      <w:marRight w:val="0"/>
      <w:marTop w:val="0"/>
      <w:marBottom w:val="0"/>
      <w:divBdr>
        <w:top w:val="none" w:sz="0" w:space="0" w:color="auto"/>
        <w:left w:val="none" w:sz="0" w:space="0" w:color="auto"/>
        <w:bottom w:val="none" w:sz="0" w:space="0" w:color="auto"/>
        <w:right w:val="none" w:sz="0" w:space="0" w:color="auto"/>
      </w:divBdr>
    </w:div>
    <w:div w:id="1459647275">
      <w:bodyDiv w:val="1"/>
      <w:marLeft w:val="0"/>
      <w:marRight w:val="0"/>
      <w:marTop w:val="0"/>
      <w:marBottom w:val="0"/>
      <w:divBdr>
        <w:top w:val="none" w:sz="0" w:space="0" w:color="auto"/>
        <w:left w:val="none" w:sz="0" w:space="0" w:color="auto"/>
        <w:bottom w:val="none" w:sz="0" w:space="0" w:color="auto"/>
        <w:right w:val="none" w:sz="0" w:space="0" w:color="auto"/>
      </w:divBdr>
      <w:divsChild>
        <w:div w:id="1233732046">
          <w:marLeft w:val="0"/>
          <w:marRight w:val="0"/>
          <w:marTop w:val="0"/>
          <w:marBottom w:val="0"/>
          <w:divBdr>
            <w:top w:val="none" w:sz="0" w:space="0" w:color="auto"/>
            <w:left w:val="none" w:sz="0" w:space="0" w:color="auto"/>
            <w:bottom w:val="none" w:sz="0" w:space="0" w:color="auto"/>
            <w:right w:val="none" w:sz="0" w:space="0" w:color="auto"/>
          </w:divBdr>
        </w:div>
        <w:div w:id="277756514">
          <w:marLeft w:val="0"/>
          <w:marRight w:val="0"/>
          <w:marTop w:val="0"/>
          <w:marBottom w:val="0"/>
          <w:divBdr>
            <w:top w:val="none" w:sz="0" w:space="0" w:color="auto"/>
            <w:left w:val="none" w:sz="0" w:space="0" w:color="auto"/>
            <w:bottom w:val="none" w:sz="0" w:space="0" w:color="auto"/>
            <w:right w:val="none" w:sz="0" w:space="0" w:color="auto"/>
          </w:divBdr>
        </w:div>
      </w:divsChild>
    </w:div>
    <w:div w:id="1640258189">
      <w:bodyDiv w:val="1"/>
      <w:marLeft w:val="0"/>
      <w:marRight w:val="0"/>
      <w:marTop w:val="0"/>
      <w:marBottom w:val="0"/>
      <w:divBdr>
        <w:top w:val="none" w:sz="0" w:space="0" w:color="auto"/>
        <w:left w:val="none" w:sz="0" w:space="0" w:color="auto"/>
        <w:bottom w:val="none" w:sz="0" w:space="0" w:color="auto"/>
        <w:right w:val="none" w:sz="0" w:space="0" w:color="auto"/>
      </w:divBdr>
    </w:div>
    <w:div w:id="1726293452">
      <w:bodyDiv w:val="1"/>
      <w:marLeft w:val="0"/>
      <w:marRight w:val="0"/>
      <w:marTop w:val="0"/>
      <w:marBottom w:val="0"/>
      <w:divBdr>
        <w:top w:val="none" w:sz="0" w:space="0" w:color="auto"/>
        <w:left w:val="none" w:sz="0" w:space="0" w:color="auto"/>
        <w:bottom w:val="none" w:sz="0" w:space="0" w:color="auto"/>
        <w:right w:val="none" w:sz="0" w:space="0" w:color="auto"/>
      </w:divBdr>
    </w:div>
    <w:div w:id="1780105373">
      <w:bodyDiv w:val="1"/>
      <w:marLeft w:val="0"/>
      <w:marRight w:val="0"/>
      <w:marTop w:val="0"/>
      <w:marBottom w:val="0"/>
      <w:divBdr>
        <w:top w:val="none" w:sz="0" w:space="0" w:color="auto"/>
        <w:left w:val="none" w:sz="0" w:space="0" w:color="auto"/>
        <w:bottom w:val="none" w:sz="0" w:space="0" w:color="auto"/>
        <w:right w:val="none" w:sz="0" w:space="0" w:color="auto"/>
      </w:divBdr>
      <w:divsChild>
        <w:div w:id="1572425917">
          <w:marLeft w:val="0"/>
          <w:marRight w:val="0"/>
          <w:marTop w:val="0"/>
          <w:marBottom w:val="0"/>
          <w:divBdr>
            <w:top w:val="none" w:sz="0" w:space="0" w:color="auto"/>
            <w:left w:val="none" w:sz="0" w:space="0" w:color="auto"/>
            <w:bottom w:val="none" w:sz="0" w:space="0" w:color="auto"/>
            <w:right w:val="none" w:sz="0" w:space="0" w:color="auto"/>
          </w:divBdr>
        </w:div>
        <w:div w:id="1032993042">
          <w:marLeft w:val="0"/>
          <w:marRight w:val="0"/>
          <w:marTop w:val="0"/>
          <w:marBottom w:val="0"/>
          <w:divBdr>
            <w:top w:val="none" w:sz="0" w:space="0" w:color="auto"/>
            <w:left w:val="none" w:sz="0" w:space="0" w:color="auto"/>
            <w:bottom w:val="none" w:sz="0" w:space="0" w:color="auto"/>
            <w:right w:val="none" w:sz="0" w:space="0" w:color="auto"/>
          </w:divBdr>
        </w:div>
        <w:div w:id="422923669">
          <w:marLeft w:val="0"/>
          <w:marRight w:val="0"/>
          <w:marTop w:val="0"/>
          <w:marBottom w:val="0"/>
          <w:divBdr>
            <w:top w:val="none" w:sz="0" w:space="0" w:color="auto"/>
            <w:left w:val="none" w:sz="0" w:space="0" w:color="auto"/>
            <w:bottom w:val="none" w:sz="0" w:space="0" w:color="auto"/>
            <w:right w:val="none" w:sz="0" w:space="0" w:color="auto"/>
          </w:divBdr>
        </w:div>
      </w:divsChild>
    </w:div>
    <w:div w:id="2096323435">
      <w:bodyDiv w:val="1"/>
      <w:marLeft w:val="0"/>
      <w:marRight w:val="0"/>
      <w:marTop w:val="0"/>
      <w:marBottom w:val="0"/>
      <w:divBdr>
        <w:top w:val="none" w:sz="0" w:space="0" w:color="auto"/>
        <w:left w:val="none" w:sz="0" w:space="0" w:color="auto"/>
        <w:bottom w:val="none" w:sz="0" w:space="0" w:color="auto"/>
        <w:right w:val="none" w:sz="0" w:space="0" w:color="auto"/>
      </w:divBdr>
    </w:div>
    <w:div w:id="2101483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50164633ED94994D9773E53D567FF5BF" ma:contentTypeVersion="14" ma:contentTypeDescription="Create a new document." ma:contentTypeScope="" ma:versionID="61ed51282d73df9eb0f6847447833eee">
  <xsd:schema xmlns:xsd="http://www.w3.org/2001/XMLSchema" xmlns:xs="http://www.w3.org/2001/XMLSchema" xmlns:p="http://schemas.microsoft.com/office/2006/metadata/properties" xmlns:ns2="47c1ea38-b788-4873-88f4-3b1f34597b9a" xmlns:ns3="0379a545-9986-45d7-9e6d-3845025712a0" targetNamespace="http://schemas.microsoft.com/office/2006/metadata/properties" ma:root="true" ma:fieldsID="9cbf64811bb342611d32b26bb80ee5bb" ns2:_="" ns3:_="">
    <xsd:import namespace="47c1ea38-b788-4873-88f4-3b1f34597b9a"/>
    <xsd:import namespace="0379a545-9986-45d7-9e6d-3845025712a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c1ea38-b788-4873-88f4-3b1f34597b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0379a545-9986-45d7-9e6d-3845025712a0"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3f5c7397-6a17-43fd-b0d0-62600e53cad0}" ma:internalName="TaxCatchAll" ma:showField="CatchAllData" ma:web="0379a545-9986-45d7-9e6d-3845025712a0">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haredWithUsers xmlns="0379a545-9986-45d7-9e6d-3845025712a0">
      <UserInfo>
        <DisplayName>Vilija Augutavičienė</DisplayName>
        <AccountId>207</AccountId>
        <AccountType/>
      </UserInfo>
      <UserInfo>
        <DisplayName>Tomas Aukštinaitis</DisplayName>
        <AccountId>78</AccountId>
        <AccountType/>
      </UserInfo>
    </SharedWithUsers>
    <lcf76f155ced4ddcb4097134ff3c332f xmlns="47c1ea38-b788-4873-88f4-3b1f34597b9a">
      <Terms xmlns="http://schemas.microsoft.com/office/infopath/2007/PartnerControls"/>
    </lcf76f155ced4ddcb4097134ff3c332f>
    <TaxCatchAll xmlns="0379a545-9986-45d7-9e6d-3845025712a0"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riedas" Nr="5" Abbr="5 pr." Title="2023 M. GEGUŽĖS 10 D. EUROPOS PARLAMENTO IR TARYBOS REGLAMENTO (ES) 2023/956 IR APLINKOS APSAUGOS ĮSTATYMO NR. I-2223 1, 37, 401, 47, 87, 109¹ , 110, 122⁴ STRAIPSNIŲ IR PRIEDO PAKEITIMO, ĮSTATYMO PAPILDYMO 110², 110³, 110⁴, 118² STRAIPSNIAIS  IR 110² STRAIPSNIO PRIPAŽINIMO NETEKUSIU GALIOS ĮSTATYMO PROJEKTO ATITIKTIES LENTELĖ" DocPartId="3871fe3ac7bb44d691dcc121798a5f9b" PartId="f48f60642b884edf98fed6fd2af6ea09">
    <Part Type="pabaiga" DocPartId="ef335203d3e04ec9b1cc3ab458816fba" PartId="bec08920c9384f048e097bf548e7b237"/>
  </Part>
</Parts>
</file>

<file path=customXml/itemProps1.xml><?xml version="1.0" encoding="utf-8"?>
<ds:datastoreItem xmlns:ds="http://schemas.openxmlformats.org/officeDocument/2006/customXml" ds:itemID="{A3ECA488-EBE5-4BA2-BFC4-702C375FFC2E}">
  <ds:schemaRefs>
    <ds:schemaRef ds:uri="http://schemas.microsoft.com/sharepoint/v3/contenttype/forms"/>
  </ds:schemaRefs>
</ds:datastoreItem>
</file>

<file path=customXml/itemProps2.xml><?xml version="1.0" encoding="utf-8"?>
<ds:datastoreItem xmlns:ds="http://schemas.openxmlformats.org/officeDocument/2006/customXml" ds:itemID="{F4EAED38-7B6B-40FA-8EED-48407ACF76D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c1ea38-b788-4873-88f4-3b1f34597b9a"/>
    <ds:schemaRef ds:uri="0379a545-9986-45d7-9e6d-3845025712a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CDC82E2-640E-439A-A99B-5266AC6D188D}">
  <ds:schemaRefs>
    <ds:schemaRef ds:uri="http://schemas.microsoft.com/office/2006/metadata/properties"/>
    <ds:schemaRef ds:uri="http://schemas.microsoft.com/office/infopath/2007/PartnerControls"/>
    <ds:schemaRef ds:uri="0379a545-9986-45d7-9e6d-3845025712a0"/>
    <ds:schemaRef ds:uri="47c1ea38-b788-4873-88f4-3b1f34597b9a"/>
  </ds:schemaRefs>
</ds:datastoreItem>
</file>

<file path=customXml/itemProps4.xml><?xml version="1.0" encoding="utf-8"?>
<ds:datastoreItem xmlns:ds="http://schemas.openxmlformats.org/officeDocument/2006/customXml" ds:itemID="{5D36F7C1-0466-4480-9826-2EE833963556}">
  <ds:schemaRefs>
    <ds:schemaRef ds:uri="http://schemas.openxmlformats.org/officeDocument/2006/bibliography"/>
  </ds:schemaRefs>
</ds:datastoreItem>
</file>

<file path=customXml/itemProps5.xml><?xml version="1.0" encoding="utf-8"?>
<ds:datastoreItem xmlns:ds="http://schemas.openxmlformats.org/officeDocument/2006/customXml" ds:itemID="{80C394AD-810C-4884-BF33-8D1B2311347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1116</Words>
  <Characters>7658</Characters>
  <Application>Microsoft Office Word</Application>
  <DocSecurity>4</DocSecurity>
  <Lines>212</Lines>
  <Paragraphs>62</Paragraphs>
  <ScaleCrop>false</ScaleCrop>
  <Company>LRV kanceliarija</Company>
  <LinksUpToDate>false</LinksUpToDate>
  <CharactersWithSpaces>8712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2025-06-10T10:23:00Z</dcterms:created>
  <dc:creator>iepa</dc:creator>
  <lastModifiedBy>adlibuser</lastModifiedBy>
  <lastPrinted>2008-03-16T00:18:00Z</lastPrinted>
  <dcterms:modified xsi:type="dcterms:W3CDTF">2025-06-10T10:23:00Z</dcterms:modified>
  <revision>2</revision>
  <dc:title>REGLAMENTO IR LIETUVOS RESPUBLIKOS NACIONALINIO TEISĖS AKTO PROJEKTO ATITIKTIES LENTELĖ</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0x01010050164633ED94994D9773E53D567FF5BF</vt:lpwstr>
  </property>
  <property fmtid="{D5CDD505-2E9C-101B-9397-08002B2CF9AE}" pid="3" name="MediaServiceImageTags">
    <vt:lpwstr/>
  </property>
  <property fmtid="{D5CDD505-2E9C-101B-9397-08002B2CF9AE}" pid="4" name="Order">
    <vt:r8>4187300</vt:r8>
  </property>
  <property fmtid="{D5CDD505-2E9C-101B-9397-08002B2CF9AE}" pid="5" name="xd_Signature">
    <vt:bool>false</vt:bool>
  </property>
  <property fmtid="{D5CDD505-2E9C-101B-9397-08002B2CF9AE}" pid="6" name="xd_ProgID">
    <vt:lpwstr/>
  </property>
  <property fmtid="{D5CDD505-2E9C-101B-9397-08002B2CF9AE}" pid="7" name="_SourceUrl">
    <vt:lpwstr/>
  </property>
  <property fmtid="{D5CDD505-2E9C-101B-9397-08002B2CF9AE}" pid="8" name="_SharedFileIndex">
    <vt:lpwstr/>
  </property>
  <property fmtid="{D5CDD505-2E9C-101B-9397-08002B2CF9AE}" pid="9" name="ComplianceAssetId">
    <vt:lpwstr/>
  </property>
  <property fmtid="{D5CDD505-2E9C-101B-9397-08002B2CF9AE}" pid="10" name="TemplateUrl">
    <vt:lpwstr/>
  </property>
  <property fmtid="{D5CDD505-2E9C-101B-9397-08002B2CF9AE}" pid="11" name="_ExtendedDescription">
    <vt:lpwstr/>
  </property>
  <property fmtid="{D5CDD505-2E9C-101B-9397-08002B2CF9AE}" pid="12" name="TriggerFlowInfo">
    <vt:lpwstr/>
  </property>
</Properties>
</file>