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lentele"/>
        <w:tag w:val="part_92e822a62f57486caccfb4d259858be6"/>
        <w:lock w:val="sdtLocked"/>
        <w:richText/>
      </w:sdtPr>
      <w:sdtContent>
        <w:p>
          <w:pPr>
            <w:widowControl w:val="0"/>
            <w:tabs>
              <w:tab w:val="center" w:pos="4320"/>
              <w:tab w:val="right" w:pos="8640"/>
            </w:tabs>
            <w:suppressAutoHyphens/>
            <w:rPr>
              <w:rFonts w:eastAsia="Lucida Sans Unicode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>2024 M. BALANDŽIO 11 D. EUROPOS PARLAMENTO IR TARYBOS DIREKTYVOS (ES) 2024/1203 DĖL APLINKOS APSAUGOS BAUDŽIAMOSIOS TEISĖS PRIEMONĖMIS, KURIA PAKEIČIAMOS DIREKTYVOS 2008/99/EB IR 2009/123/EB</w:t>
          </w:r>
          <w:r>
            <w:rPr>
              <w:rFonts w:eastAsia="Lucida Sans Unicode"/>
              <w:b/>
              <w:bCs/>
              <w:szCs w:val="24"/>
            </w:rPr>
            <w:t xml:space="preserve"> IR LIETUVOS RESPUBLIKOS APLINKOS APSAUGOS ĮSTATYMO NR. I-2223 1, 37, 40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1</w:t>
          </w:r>
          <w:r>
            <w:rPr>
              <w:rFonts w:eastAsia="Lucida Sans Unicode"/>
              <w:b/>
              <w:bCs/>
              <w:szCs w:val="24"/>
            </w:rPr>
            <w:t>, 47, 87, 109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1</w:t>
          </w:r>
          <w:r>
            <w:rPr>
              <w:rFonts w:eastAsia="Lucida Sans Unicode"/>
              <w:b/>
              <w:bCs/>
              <w:szCs w:val="24"/>
            </w:rPr>
            <w:t>, 110, 122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4</w:t>
          </w:r>
          <w:r>
            <w:rPr>
              <w:rFonts w:eastAsia="Lucida Sans Unicode"/>
              <w:b/>
              <w:bCs/>
              <w:szCs w:val="24"/>
            </w:rPr>
            <w:t xml:space="preserve"> STRAIPSNIŲ IR PRIEDO PAKEITIMO, ĮSTATYMO PAPILDYMO 110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2</w:t>
          </w:r>
          <w:r>
            <w:rPr>
              <w:rFonts w:eastAsia="Lucida Sans Unicode"/>
              <w:b/>
              <w:bCs/>
              <w:szCs w:val="24"/>
            </w:rPr>
            <w:t>, 110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3</w:t>
          </w:r>
          <w:r>
            <w:rPr>
              <w:rFonts w:eastAsia="Lucida Sans Unicode"/>
              <w:b/>
              <w:bCs/>
              <w:szCs w:val="24"/>
            </w:rPr>
            <w:t>, 110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>4</w:t>
          </w:r>
          <w:r>
            <w:rPr>
              <w:rFonts w:eastAsia="Lucida Sans Unicode"/>
              <w:b/>
              <w:bCs/>
              <w:szCs w:val="24"/>
            </w:rPr>
            <w:t>, 118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 xml:space="preserve">2 </w:t>
          </w:r>
          <w:r>
            <w:rPr>
              <w:rFonts w:eastAsia="Lucida Sans Unicode"/>
              <w:b/>
              <w:bCs/>
              <w:szCs w:val="24"/>
            </w:rPr>
            <w:t>STRAIPSNIAIS IR 110</w:t>
          </w:r>
          <w:r>
            <w:rPr>
              <w:rFonts w:eastAsia="Lucida Sans Unicode"/>
              <w:b/>
              <w:bCs/>
              <w:szCs w:val="24"/>
              <w:vertAlign w:val="superscript"/>
            </w:rPr>
            <w:t xml:space="preserve">2 </w:t>
          </w:r>
          <w:r>
            <w:rPr>
              <w:rFonts w:eastAsia="Lucida Sans Unicode"/>
              <w:b/>
              <w:bCs/>
              <w:szCs w:val="24"/>
            </w:rPr>
            <w:t xml:space="preserve">STRAIPSNIO PRIPAŽINIMO NETEKUSIU GALIOS ĮSTATYMO PROJEKTO 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ATITIKTIES LENTELĖ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6025" w:type="dxa"/>
            <w:tblInd w:w="-135" w:type="dxa"/>
            <w:tblLayout w:type="fixed"/>
            <w:tblCellMar>
              <w:top w:w="57" w:type="dxa"/>
              <w:left w:w="57" w:type="dxa"/>
              <w:bottom w:w="57" w:type="dxa"/>
              <w:right w:w="57" w:type="dxa"/>
            </w:tblCellMar>
            <w:tblLook w:val="0000" w:firstRow="0" w:lastRow="0" w:firstColumn="0" w:lastColumn="0" w:noHBand="0" w:noVBand="0"/>
          </w:tblPr>
          <w:tblGrid>
            <w:gridCol w:w="7126"/>
            <w:gridCol w:w="7056"/>
            <w:gridCol w:w="1843"/>
          </w:tblGrid>
          <w:tr>
            <w:tc>
              <w:tcPr>
                <w:tcW w:w="7126" w:type="dxa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bCs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2024 m. balandžio 11 d. Europos Parlamento ir Tarybos Direktyvos </w:t>
                </w:r>
                <w:fldSimple w:instr="HYPERLINK http://eur-lex.europa.eu/legal-content/LIT/TXT/?uri=CELEX:32024L1203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(ES) 2024/1203</w:t>
                  </w:r>
                </w:fldSimple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 dėl aplinkos apsaugos baudžiamosios teisės priemonėmis, kuria pakeičiamos direktyvos </w:t>
                </w:r>
                <w:fldSimple w:instr="HYPERLINK http://eur-lex.europa.eu/legal-content/LIT/TXT/?uri=CELEX:32008L0099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2008/99/EB</w:t>
                  </w:r>
                </w:fldSimple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 ir </w:t>
                </w:r>
                <w:fldSimple w:instr="HYPERLINK http://eur-lex.europa.eu/legal-content/LIT/TXT/?uri=CELEX:32009L0123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2009/123/EB</w:t>
                  </w:r>
                </w:fldSimple>
              </w:p>
            </w:tc>
            <w:tc>
              <w:tcPr>
                <w:tcW w:w="7056" w:type="dxa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bCs/>
                  </w:rPr>
                </w:pPr>
                <w:r>
                  <w:rPr>
                    <w:rFonts w:eastAsia="Lucida Sans Unicode"/>
                    <w:b/>
                    <w:bCs/>
                  </w:rPr>
                  <w:t>Lietuvos Respublikos aplinkos apsaugos įstatymo Nr. I-2223 1, 37, 40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1</w:t>
                </w:r>
                <w:r>
                  <w:rPr>
                    <w:rFonts w:eastAsia="Lucida Sans Unicode"/>
                    <w:b/>
                    <w:bCs/>
                  </w:rPr>
                  <w:t>, 47, 87, 109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1</w:t>
                </w:r>
                <w:r>
                  <w:rPr>
                    <w:rFonts w:eastAsia="Lucida Sans Unicode"/>
                    <w:b/>
                    <w:bCs/>
                  </w:rPr>
                  <w:t>, 110, 122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4</w:t>
                </w:r>
                <w:r>
                  <w:rPr>
                    <w:rFonts w:eastAsia="Lucida Sans Unicode"/>
                    <w:b/>
                    <w:bCs/>
                  </w:rPr>
                  <w:t xml:space="preserve"> straipsnių ir priedo pakeitimo, įstatymo papildymo 110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2</w:t>
                </w:r>
                <w:r>
                  <w:rPr>
                    <w:rFonts w:eastAsia="Lucida Sans Unicode"/>
                    <w:b/>
                    <w:bCs/>
                  </w:rPr>
                  <w:t>, 110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3</w:t>
                </w:r>
                <w:r>
                  <w:rPr>
                    <w:rFonts w:eastAsia="Lucida Sans Unicode"/>
                    <w:b/>
                    <w:bCs/>
                  </w:rPr>
                  <w:t>, 110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4</w:t>
                </w:r>
                <w:r>
                  <w:rPr>
                    <w:rFonts w:eastAsia="Lucida Sans Unicode"/>
                    <w:b/>
                    <w:bCs/>
                  </w:rPr>
                  <w:t>, 118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 xml:space="preserve">2 </w:t>
                </w:r>
                <w:r>
                  <w:rPr>
                    <w:rFonts w:eastAsia="Lucida Sans Unicode"/>
                    <w:b/>
                    <w:bCs/>
                  </w:rPr>
                  <w:t>straipsniais ir 110</w:t>
                </w:r>
                <w:r>
                  <w:rPr>
                    <w:rFonts w:eastAsia="Lucida Sans Unicode"/>
                    <w:b/>
                    <w:bCs/>
                    <w:vertAlign w:val="superscript"/>
                  </w:rPr>
                  <w:t>2</w:t>
                </w:r>
                <w:r>
                  <w:rPr>
                    <w:rFonts w:eastAsia="Lucida Sans Unicode"/>
                    <w:b/>
                    <w:bCs/>
                  </w:rPr>
                  <w:t xml:space="preserve"> straipsnio pripažinimo netekusiu galios įstatymo projektas (toliau – Įstatymo projektas)</w:t>
                </w:r>
              </w:p>
            </w:tc>
            <w:tc>
              <w:tcPr>
                <w:tcW w:w="1843" w:type="dxa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  <w:p>
                <w:pPr>
                  <w:keepNext/>
                  <w:widowControl w:val="0"/>
                  <w:suppressAutoHyphens/>
                  <w:snapToGrid w:val="0"/>
                  <w:outlineLvl w:val="7"/>
                  <w:rPr>
                    <w:rFonts w:eastAsia="Lucida Sans Unicode"/>
                    <w:b/>
                    <w:bCs/>
                    <w:szCs w:val="22"/>
                  </w:rPr>
                </w:pPr>
                <w:r>
                  <w:rPr>
                    <w:rFonts w:eastAsia="Lucida Sans Unicode"/>
                    <w:b/>
                    <w:bCs/>
                    <w:szCs w:val="22"/>
                  </w:rPr>
                  <w:t>Direktyvos perkėlimo lygis</w:t>
                </w:r>
              </w:p>
            </w:tc>
          </w:tr>
          <w:tr>
            <w:tc>
              <w:tcPr>
                <w:tcW w:w="7126" w:type="dxa"/>
                <w:tcBorders>
                  <w:left w:val="single" w:sz="4" w:space="0" w:color="000000" w:themeColor="text1"/>
                </w:tcBorders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28 straipsnis „Perkėlimas į nacionalinę teisę“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&lt;...&gt;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 xml:space="preserve">Valstybės narės, priimdamos tas nuostatas, daro jose nuorodą į šią direktyvą arba tokia nuoroda daroma jas oficialiai skelbiant. Nuorodos darymo tvarką nustato valstybės narės. 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&lt;...&gt;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rFonts w:eastAsia="Lucida Sans Unicode"/>
                  </w:rPr>
                </w:pPr>
              </w:p>
            </w:tc>
            <w:tc>
              <w:tcPr>
                <w:tcW w:w="7056" w:type="dxa"/>
                <w:tcBorders>
                  <w:left w:val="single" w:sz="4" w:space="0" w:color="000000" w:themeColor="text1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</w:rPr>
                  <w:t>Įstatymo projekto priedas „Įgyvendinamieji Europos Sąjungos teisės aktai“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szCs w:val="24"/>
                  </w:rPr>
                </w:pP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</w:rPr>
                  <w:t>„&lt;...&gt;</w:t>
                </w:r>
              </w:p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bCs/>
                  </w:rPr>
                </w:pPr>
                <w:r>
                  <w:rPr>
                    <w:rFonts w:eastAsia="Lucida Sans Unicode"/>
                    <w:b/>
                    <w:bCs/>
                    <w:shd w:val="clear" w:color="auto" w:fill="FFFFFF"/>
                  </w:rPr>
                  <w:t xml:space="preserve">20. 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2024 m. balandžio 11 d. Europos Parlamento ir Tarybos Direktyvos </w:t>
                </w:r>
                <w:fldSimple w:instr="HYPERLINK http://eur-lex.europa.eu/legal-content/LIT/TXT/?uri=CELEX:32024L1203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(ES) 2024/1203</w:t>
                  </w:r>
                </w:fldSimple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 dėl aplinkos apsaugos baudžiamosios teisės priemonėmis, kuria pakeičiamos direktyvos </w:t>
                </w:r>
                <w:fldSimple w:instr="HYPERLINK http://eur-lex.europa.eu/legal-content/LIT/TXT/?uri=CELEX:32008L0099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2008/99/EB</w:t>
                  </w:r>
                </w:fldSimple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lt-LT"/>
                  </w:rPr>
                  <w:t xml:space="preserve"> ir </w:t>
                </w:r>
                <w:fldSimple w:instr="HYPERLINK http://eur-lex.europa.eu/legal-content/LIT/TXT/?uri=CELEX:32009L0123&amp;locale=lt \t _blank">
                  <w:r>
                    <w:rPr>
                      <w:rFonts w:eastAsia="Lucida Sans Unicode"/>
                      <w:b/>
                      <w:bCs/>
                      <w:color w:val="0000FF" w:themeColor="hyperlink"/>
                      <w:szCs w:val="24"/>
                      <w:lang w:eastAsia="lt-LT"/>
                      <w:u w:val="single"/>
                    </w:rPr>
                    <w:t>2009/123/EB</w:t>
                  </w:r>
                </w:fldSimple>
                <w:r>
                  <w:rPr>
                    <w:rFonts w:eastAsia="Lucida Sans Unicode"/>
                    <w:b/>
                    <w:bCs/>
                  </w:rPr>
                  <w:t>.“</w:t>
                </w:r>
              </w:p>
            </w:tc>
            <w:tc>
              <w:tcPr>
                <w:tcW w:w="1843" w:type="dxa"/>
                <w:tcBorders>
                  <w:left w:val="single" w:sz="4" w:space="0" w:color="000000" w:themeColor="text1"/>
                  <w:right w:val="single" w:sz="4" w:space="0" w:color="000000" w:themeColor="text1"/>
                </w:tcBorders>
              </w:tcPr>
              <w:p>
                <w:pPr>
                  <w:widowControl w:val="0"/>
                  <w:suppressAutoHyphens/>
                  <w:snapToGrid w:val="0"/>
                  <w:rPr>
                    <w:rFonts w:eastAsia="Lucida Sans Unicode"/>
                    <w:b/>
                    <w:bCs/>
                  </w:rPr>
                </w:pPr>
                <w:r>
                  <w:rPr>
                    <w:rFonts w:eastAsia="Lucida Sans Unicode"/>
                    <w:b/>
                    <w:bCs/>
                  </w:rPr>
                  <w:t>Višiskas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Lucida Sans Unicode"/>
                  </w:rPr>
                </w:pPr>
              </w:p>
              <w:p>
                <w:pPr>
                  <w:widowControl w:val="0"/>
                  <w:suppressAutoHyphens/>
                  <w:snapToGrid w:val="0"/>
                  <w:rPr>
                    <w:rFonts w:eastAsia="Lucida Sans Unicode"/>
                  </w:rPr>
                </w:pPr>
              </w:p>
            </w:tc>
          </w:tr>
        </w:tbl>
        <w:p>
          <w:pPr>
            <w:widowControl w:val="0"/>
            <w:pBdr>
              <w:bottom w:val="single" w:sz="4" w:space="1" w:color="auto"/>
            </w:pBdr>
            <w:suppressAutoHyphens/>
            <w:rPr>
              <w:rFonts w:eastAsia="Lucida Sans Unicode"/>
            </w:rPr>
          </w:pPr>
        </w:p>
        <w:p/>
        <w:p>
          <w:pPr>
            <w:widowControl w:val="0"/>
            <w:suppressAutoHyphens/>
            <w:rPr>
              <w:rFonts w:eastAsia="Lucida Sans Unicode"/>
            </w:rPr>
          </w:pPr>
        </w:p>
      </w:sdtContent>
    </w:sdt>
    <w:sdt>
      <w:sdtPr>
        <w:alias w:val="pastraipa"/>
        <w:tag w:val="part_d66e7a4753314970a49f2b56f24d3ff8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rFonts w:eastAsia="Lucida Sans Unicode"/>
            </w:rPr>
          </w:pPr>
          <w:r>
            <w:rPr>
              <w:rFonts w:eastAsia="Lucida Sans Unicode"/>
            </w:rPr>
            <w:t>_____________________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7" w:h="11905" w:orient="landscape"/>
      <w:pgMar w:top="1134" w:right="639" w:bottom="1134" w:left="627" w:header="720" w:footer="720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uppressAutoHyphens/>
      <w:rPr>
        <w:szCs w:val="24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uppressAutoHyphens/>
      <w:rPr>
        <w:szCs w:val="24"/>
        <w:lang w:val="en-US"/>
      </w:rPr>
    </w:pPr>
    <w:r>
      <w:rPr>
        <w:szCs w:val="24"/>
        <w:lang w:val="en-US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3BF18188" wp14:editId="435F63FC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168275"/>
              <wp:effectExtent l="0" t="635" r="0" b="2540"/>
              <wp:wrapSquare wrapText="largest"/>
              <wp:docPr id="58205864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6827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tabs>
                              <w:tab w:val="center" w:pos="4320"/>
                              <w:tab w:val="right" w:pos="8640"/>
                            </w:tabs>
                            <w:suppressAutoHyphens/>
                            <w:rPr>
                              <w:szCs w:val="24"/>
                              <w:lang w:val="en-US"/>
                            </w:rPr>
                          </w:pPr>
                          <w:r>
                            <w:rPr>
                              <w:szCs w:val="24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szCs w:val="24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szCs w:val="24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szCs w:val="24"/>
                              <w:lang w:val="en-US"/>
                            </w:rPr>
                            <w:t>2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F18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13.2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0yHXkAIAACIFAAAOAAAAZHJzL2Uyb0RvYy54bWysVNuO2yAQfa/Uf0C8Z32Rk9jWOqvdpKkq bS/Sbj+A2DhGxUCBxN5W++8dIM5u2peqqh/wAMPhzMwZrm/GnqMj1YZJUeHkKsaIilo2TOwr/PVx O8sxMpaIhnApaIWfqME3q7dvrgdV0lR2kjdUIwARphxUhTtrVRlFpu5oT8yVVFTAZit1TyxM9T5q NBkAvedRGseLaJC6UVrW1BhY3YRNvPL4bUtr+7ltDbWIVxi4WT9qP+7cGK2uSbnXRHWsPtEg/8Ci J0zApWeoDbEEHTT7A6pntZZGtvaqln0k25bV1McA0STxb9E8dERRHwskx6hzmsz/g60/Hb9oxJoK z/M0nueLLMNIkB5K9UhHi+7kiBKXpUGZEpwfFLjbEZah2j5io+5l/c0gIdcdEXt6q7UcOkoaYOlP Rq+OBhzjQHbDR9nANeRgpQcaW927FEJSEKBDtZ7OFXJUalhcLqDoGNWwkyzydDl31CJSTmeVNvY9 lT1yRoU11N9jk+O9scF1cnFXGclZs2Wc+4ne79ZcoyMBrWz9F85y1ZGw6vUC15ng6q++wODCIQnp MMN1YQX4AwG35yLxwvhZJGkW36XFbLvIl7Nsm81nxTLOZ3FS3BWLOCuyzfbZMUiysmNNQ8U9E3QS aZL9nQhO7RLk5WWKhgoX83Tug7tgfwrrFGvsvlN+L9x6ZqFnOesrnJ+dSOlq/k40EDYpLWE82NEl fZ8yyMH091nxCnGiCPKw424EFCebnWyeQCtaQjGh7vDQgNFJ/QOjAZq2wub7gWiKEf8gQG+uwydD T8ZuMoio4WiFLUbBXNvwEhyUZvsOkIOihbwFTbbMC+aFBVB2E2hET/70aLhOfz33Xi9P2+oXAAAA //8DAFBLAwQUAAYACAAAACEAe/J1/tcAAAADAQAADwAAAGRycy9kb3ducmV2LnhtbEyPwU7DMBBE 70j8g7VI3KhDkEIbsqnaIrgi0kq9uvE2jhKvo9htw9/jnOA4O6uZN8V6sr240uhbxwjPiwQEce10 yw3CYf/xtAThg2KteseE8EMe1uX9XaFy7W78TdcqNCKGsM8VgglhyKX0tSGr/MINxNE7u9GqEOXY SD2qWwy3vUyTJJNWtRwbjBpoZ6juqotFePlKX4/+s3rfDUdadUu/7c5sEB8fps0biEBT+HuGGT+i QxmZTu7C2oseIQ4J81XMXhrVCSHNMpBlIf+zl78AAAD//wMAUEsBAi0AFAAGAAgAAAAhALaDOJL+ AAAA4QEAABMAAAAAAAAAAAAAAAAAAAAAAFtDb250ZW50X1R5cGVzXS54bWxQSwECLQAUAAYACAAA ACEAOP0h/9YAAACUAQAACwAAAAAAAAAAAAAAAAAvAQAAX3JlbHMvLnJlbHNQSwECLQAUAAYACAAA ACEAJdMh15ACAAAiBQAADgAAAAAAAAAAAAAAAAAuAgAAZHJzL2Uyb0RvYy54bWxQSwECLQAUAAYA CAAAACEAe/J1/tcAAAADAQAADwAAAAAAAAAAAAAAAADqBAAAZHJzL2Rvd25yZXYueG1sUEsFBgAA AAAEAAQA8wAAAO4FAAAAAA== " stroked="f">
              <v:fill opacity="0"/>
              <v:textbox inset="0,0,0,0">
                <w:txbxContent>
                  <w:p w14:paraId="6220D268" w14:textId="77777777">
                    <w:pPr>
                      <w:tabs>
                        <w:tab w:val="center" w:leader="none" w:pos="4320"/>
                        <w:tab w:val="right" w:leader="none" w:pos="8640"/>
                      </w:tabs>
                      <w:suppressAutoHyphens w:val="1"/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</w:pPr>
                    <w:r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  <w:fldChar w:fldCharType="begin"/>
                    </w:r>
                    <w:r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  <w:t>2</w:t>
                    </w:r>
                    <w:r>
                      <w:rPr>
                        <w:rFonts w:ascii="Times New Roman" w:hAnsi="Times New Roman" w:eastAsia="Times New Roman" w:cs="Times New Roman"/>
                        <w:szCs w:val="24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uppressAutoHyphens/>
      <w:rPr>
        <w:szCs w:val="24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320"/>
        <w:tab w:val="right" w:pos="8640"/>
      </w:tabs>
      <w:suppressAutoHyphens/>
      <w:rPr>
        <w:rFonts w:eastAsia="Lucida Sans Unicod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320"/>
        <w:tab w:val="right" w:pos="8640"/>
      </w:tabs>
      <w:suppressAutoHyphens/>
      <w:jc w:val="center"/>
      <w:rPr>
        <w:rFonts w:eastAsia="Lucida Sans Unicode"/>
      </w:rPr>
    </w:pPr>
    <w:r>
      <w:rPr>
        <w:rFonts w:eastAsia="Lucida Sans Unicode"/>
      </w:rPr>
      <w:fldChar w:fldCharType="begin"/>
    </w:r>
    <w:r>
      <w:rPr>
        <w:rFonts w:eastAsia="Lucida Sans Unicode"/>
      </w:rPr>
      <w:instrText xml:space="preserve"> PAGE   \* MERGEFORMAT </w:instrText>
    </w:r>
    <w:r>
      <w:rPr>
        <w:rFonts w:eastAsia="Lucida Sans Unicode"/>
      </w:rPr>
      <w:fldChar w:fldCharType="separate"/>
    </w:r>
    <w:r>
      <w:rPr>
        <w:rFonts w:eastAsia="Lucida Sans Unicode"/>
      </w:rPr>
      <w:t>2</w:t>
    </w:r>
    <w:r>
      <w:rPr>
        <w:rFonts w:eastAsia="Lucida Sans Unicode"/>
      </w:rPr>
      <w:fldChar w:fldCharType="end"/>
    </w:r>
  </w:p>
  <w:p>
    <w:pPr>
      <w:widowControl w:val="0"/>
      <w:tabs>
        <w:tab w:val="center" w:pos="4320"/>
        <w:tab w:val="right" w:pos="8640"/>
      </w:tabs>
      <w:suppressAutoHyphens/>
      <w:rPr>
        <w:rFonts w:eastAsia="Lucida Sans Unicod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320"/>
        <w:tab w:val="right" w:pos="8640"/>
      </w:tabs>
      <w:suppressAutoHyphens/>
      <w:rPr>
        <w:rFonts w:eastAsia="Lucida Sans Unicod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DC7F5EF-9D33-40E6-814F-5389AD2D4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45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73445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76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32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56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9560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38289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473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8026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5aad5d0-9c26-490e-8743-a6c7ceabd501">
      <Terms xmlns="http://schemas.microsoft.com/office/infopath/2007/PartnerControls"/>
    </lcf76f155ced4ddcb4097134ff3c332f>
    <TaxCatchAll xmlns="19cf09c5-daa1-4028-a0ff-74a0be4ec5c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4" ma:contentTypeDescription="Create a new document." ma:contentTypeScope="" ma:versionID="d2bc7d94e0fdd6257c7d135845e2192a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ca837404b1ccc1fb26cc1e8af066edfe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d413371-acda-413a-967f-24b530484914}" ma:internalName="TaxCatchAll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lentele" DocPartId="02ca0dc20d0a48138ce289570f3f7b48" PartId="92e822a62f57486caccfb4d259858be6"/>
  <Part Type="pastraipa" DocPartId="50cb09a740814411a803f4c5b9bac788" PartId="d66e7a4753314970a49f2b56f24d3ff8"/>
</Parts>
</file>

<file path=customXml/itemProps1.xml><?xml version="1.0" encoding="utf-8"?>
<ds:datastoreItem xmlns:ds="http://schemas.openxmlformats.org/officeDocument/2006/customXml" ds:itemID="{DDA94947-9C41-4B65-98F0-C6FA85D131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A121B1-D2EA-4514-97B9-3D77DEC958F3}">
  <ds:schemaRefs>
    <ds:schemaRef ds:uri="http://purl.org/dc/dcmitype/"/>
    <ds:schemaRef ds:uri="http://schemas.microsoft.com/office/2006/documentManagement/types"/>
    <ds:schemaRef ds:uri="http://purl.org/dc/elements/1.1/"/>
    <ds:schemaRef ds:uri="f5aad5d0-9c26-490e-8743-a6c7ceabd501"/>
    <ds:schemaRef ds:uri="http://www.w3.org/XML/1998/namespace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19cf09c5-daa1-4028-a0ff-74a0be4ec5cc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E4371A98-3D5E-479B-809B-F832193A14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A841EA-FDA2-455C-8B26-1F7194C70D1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A88FDFE-A3D3-43E5-81A1-6B8D37451A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1327</Characters>
  <Application>Microsoft Office Word</Application>
  <DocSecurity>4</DocSecurity>
  <Lines>40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2004 M</vt:lpstr>
    </vt:vector>
  </TitlesOfParts>
  <Company/>
  <LinksUpToDate>false</LinksUpToDate>
  <CharactersWithSpaces>1506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2025-06-10T10:23:00Z</dcterms:created>
  <dc:creator>A</dc:creator>
  <lastModifiedBy>adlibuser</lastModifiedBy>
  <lastPrinted>2007-04-04T06:51:00Z</lastPrinted>
  <dcterms:modified xsi:type="dcterms:W3CDTF">2025-06-10T10:23:00Z</dcterms:modified>
  <revision>2</revision>
  <dc:title>2004 M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MediaServiceImageTags">
    <vt:lpwstr/>
  </property>
  <property fmtid="{D5CDD505-2E9C-101B-9397-08002B2CF9AE}" pid="5" name="ContentTypeId">
    <vt:lpwstr>0x010100AA351E0ECF89C14A900DE8C04996CFDF</vt:lpwstr>
  </property>
</Properties>
</file>