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lentele"/>
        <w:tag w:val="part_23a73c0b31b64906bb0ec2ee59d8397d"/>
        <w:lock w:val="sdtLocked"/>
        <w:richText/>
      </w:sdtPr>
      <w:sdtContent>
        <w:p>
          <w:pPr>
            <w:widowControl w:val="0"/>
            <w:tabs>
              <w:tab w:val="center" w:pos="4819"/>
              <w:tab w:val="right" w:pos="9638"/>
            </w:tabs>
            <w:suppressAutoHyphens/>
            <w:rPr>
              <w:rFonts w:eastAsia="Lucida Sans Unicode"/>
              <w:szCs w:val="24"/>
              <w:lang w:val="x-none"/>
            </w:rPr>
          </w:pPr>
        </w:p>
        <w:p>
          <w:pPr>
            <w:widowControl w:val="0"/>
            <w:tabs>
              <w:tab w:val="center" w:pos="4819"/>
              <w:tab w:val="right" w:pos="9638"/>
            </w:tabs>
            <w:suppressAutoHyphens/>
            <w:jc w:val="center"/>
            <w:rPr>
              <w:rFonts w:eastAsia="Lucida Sans Unicode"/>
              <w:szCs w:val="24"/>
              <w:lang w:val="x-none"/>
            </w:rPr>
          </w:pPr>
        </w:p>
        <w:p>
          <w:pPr>
            <w:widowControl w:val="0"/>
            <w:suppressAutoHyphens/>
            <w:jc w:val="center"/>
            <w:rPr>
              <w:b/>
              <w:szCs w:val="24"/>
              <w:lang w:val="en-US"/>
            </w:rPr>
          </w:pPr>
          <w:r>
            <w:rPr>
              <w:rFonts w:eastAsia="Lucida Sans Unicode"/>
              <w:b/>
              <w:kern w:val="1"/>
              <w:szCs w:val="24"/>
              <w:lang w:eastAsia="ar-SA"/>
            </w:rPr>
            <w:t xml:space="preserve">REGLAMENTO </w:t>
          </w:r>
          <w:r>
            <w:rPr>
              <w:rFonts w:eastAsia="Lucida Sans Unicode"/>
              <w:b/>
              <w:bCs/>
              <w:kern w:val="1"/>
              <w:szCs w:val="24"/>
              <w:lang w:eastAsia="ar-SA"/>
            </w:rPr>
            <w:t xml:space="preserve">(ES) NR. 2024/1157 </w:t>
          </w:r>
          <w:r>
            <w:rPr>
              <w:b/>
              <w:szCs w:val="24"/>
            </w:rPr>
            <w:t>IR</w:t>
          </w:r>
          <w:r>
            <w:rPr>
              <w:b/>
              <w:bCs/>
              <w:caps/>
              <w:szCs w:val="24"/>
            </w:rPr>
            <w:t xml:space="preserve"> </w:t>
          </w:r>
          <w:r>
            <w:rPr>
              <w:b/>
              <w:bCs/>
              <w:szCs w:val="24"/>
            </w:rPr>
            <w:t>LIETUVOS RESPUBLIKOS</w:t>
          </w:r>
        </w:p>
        <w:p>
          <w:pPr>
            <w:widowControl w:val="0"/>
            <w:suppressAutoHyphens/>
            <w:jc w:val="center"/>
            <w:rPr>
              <w:b/>
              <w:szCs w:val="24"/>
              <w:lang w:val="en-US"/>
            </w:rPr>
          </w:pPr>
          <w:r>
            <w:rPr>
              <w:b/>
              <w:bCs/>
              <w:szCs w:val="24"/>
            </w:rPr>
            <w:t>APLINKOS APSAUGOS ĮSTATYMO NR. I-2223 1, 37, 40</w:t>
          </w:r>
          <w:r>
            <w:rPr>
              <w:b/>
              <w:bCs/>
              <w:szCs w:val="24"/>
              <w:vertAlign w:val="superscript"/>
            </w:rPr>
            <w:t>1</w:t>
          </w:r>
          <w:r>
            <w:rPr>
              <w:b/>
              <w:bCs/>
              <w:szCs w:val="24"/>
            </w:rPr>
            <w:t>, 47, 87, 109</w:t>
          </w:r>
          <w:r>
            <w:rPr>
              <w:b/>
              <w:bCs/>
              <w:szCs w:val="24"/>
              <w:vertAlign w:val="superscript"/>
            </w:rPr>
            <w:t>1</w:t>
          </w:r>
          <w:r>
            <w:rPr>
              <w:b/>
              <w:bCs/>
              <w:szCs w:val="24"/>
            </w:rPr>
            <w:t xml:space="preserve"> , 110, 122</w:t>
          </w:r>
          <w:r>
            <w:rPr>
              <w:b/>
              <w:bCs/>
              <w:szCs w:val="24"/>
              <w:vertAlign w:val="superscript"/>
            </w:rPr>
            <w:t>4</w:t>
          </w:r>
          <w:r>
            <w:rPr>
              <w:b/>
              <w:bCs/>
              <w:szCs w:val="24"/>
            </w:rPr>
            <w:t xml:space="preserve"> STRAIPSNIŲ IR PRIEDO PAKEITIMO, ĮSTATYMO PAPILDYMO 110</w:t>
          </w:r>
          <w:r>
            <w:rPr>
              <w:b/>
              <w:bCs/>
              <w:szCs w:val="24"/>
              <w:vertAlign w:val="superscript"/>
            </w:rPr>
            <w:t>2</w:t>
          </w:r>
          <w:r>
            <w:rPr>
              <w:b/>
              <w:bCs/>
              <w:szCs w:val="24"/>
            </w:rPr>
            <w:t>, 110</w:t>
          </w:r>
          <w:r>
            <w:rPr>
              <w:b/>
              <w:bCs/>
              <w:szCs w:val="24"/>
              <w:vertAlign w:val="superscript"/>
            </w:rPr>
            <w:t>3</w:t>
          </w:r>
          <w:r>
            <w:rPr>
              <w:b/>
              <w:bCs/>
              <w:szCs w:val="24"/>
            </w:rPr>
            <w:t>, 110</w:t>
          </w:r>
          <w:r>
            <w:rPr>
              <w:b/>
              <w:bCs/>
              <w:szCs w:val="24"/>
              <w:vertAlign w:val="superscript"/>
            </w:rPr>
            <w:t>4</w:t>
          </w:r>
          <w:r>
            <w:rPr>
              <w:b/>
              <w:bCs/>
              <w:szCs w:val="24"/>
            </w:rPr>
            <w:t>, 118</w:t>
          </w:r>
          <w:r>
            <w:rPr>
              <w:b/>
              <w:bCs/>
              <w:szCs w:val="24"/>
              <w:vertAlign w:val="superscript"/>
            </w:rPr>
            <w:t xml:space="preserve">2 </w:t>
          </w:r>
          <w:r>
            <w:rPr>
              <w:b/>
              <w:bCs/>
              <w:szCs w:val="24"/>
            </w:rPr>
            <w:t>STRAIPSNIAIS  IR 110</w:t>
          </w:r>
          <w:r>
            <w:rPr>
              <w:b/>
              <w:bCs/>
              <w:szCs w:val="24"/>
              <w:vertAlign w:val="superscript"/>
            </w:rPr>
            <w:t xml:space="preserve">2 </w:t>
          </w:r>
          <w:r>
            <w:rPr>
              <w:b/>
              <w:bCs/>
              <w:szCs w:val="24"/>
            </w:rPr>
            <w:t xml:space="preserve">STRAIPSNIO PRIPAŽINIMO NETEKUSIUGALIOS ĮSTATYMO </w:t>
          </w:r>
          <w:r>
            <w:rPr>
              <w:b/>
            </w:rPr>
            <w:t>PROJEKTO</w:t>
          </w:r>
        </w:p>
        <w:p>
          <w:pPr>
            <w:widowControl w:val="0"/>
            <w:suppressAutoHyphens/>
            <w:jc w:val="center"/>
            <w:rPr>
              <w:rFonts w:eastAsia="Lucida Sans Unicode"/>
              <w:b/>
              <w:szCs w:val="24"/>
            </w:rPr>
          </w:pPr>
          <w:r>
            <w:rPr>
              <w:rFonts w:eastAsia="Lucida Sans Unicode"/>
              <w:b/>
              <w:bCs/>
              <w:szCs w:val="24"/>
            </w:rPr>
            <w:t>ATITIKTIES LENTELĖ</w:t>
          </w:r>
        </w:p>
        <w:p>
          <w:pPr>
            <w:widowControl w:val="0"/>
            <w:suppressAutoHyphens/>
            <w:jc w:val="center"/>
            <w:rPr>
              <w:rFonts w:eastAsia="Lucida Sans Unicode"/>
              <w:szCs w:val="24"/>
            </w:rPr>
          </w:pPr>
        </w:p>
        <w:tbl>
          <w:tblPr>
            <w:tblW w:w="149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56"/>
            <w:gridCol w:w="8505"/>
            <w:gridCol w:w="3232"/>
          </w:tblGrid>
          <w:tr>
            <w:tc>
              <w:tcPr>
                <w:tcW w:w="3256" w:type="dxa"/>
              </w:tcPr>
              <w:p>
                <w:pPr>
                  <w:jc w:val="both"/>
                  <w:rPr>
                    <w:rFonts w:eastAsia="Lucida Sans Unicode"/>
                    <w:b/>
                    <w:bCs/>
                    <w:kern w:val="1"/>
                    <w:sz w:val="20"/>
                    <w:lang w:eastAsia="ar-SA"/>
                  </w:rPr>
                </w:pPr>
                <w:r>
                  <w:rPr>
                    <w:rFonts w:eastAsia="Lucida Sans Unicode"/>
                    <w:b/>
                    <w:bCs/>
                    <w:color w:val="000000"/>
                    <w:sz w:val="20"/>
                    <w:lang w:val="en-US"/>
                  </w:rPr>
                  <w:t xml:space="preserve">2024 m. </w:t>
                </w:r>
                <w:r>
                  <w:rPr>
                    <w:rFonts w:eastAsia="Lucida Sans Unicode"/>
                    <w:b/>
                    <w:bCs/>
                    <w:color w:val="000000"/>
                    <w:sz w:val="20"/>
                  </w:rPr>
                  <w:t xml:space="preserve">balandžio </w:t>
                </w:r>
                <w:r>
                  <w:rPr>
                    <w:rFonts w:eastAsia="Lucida Sans Unicode"/>
                    <w:b/>
                    <w:bCs/>
                    <w:color w:val="000000"/>
                    <w:sz w:val="20"/>
                    <w:lang w:val="en-US"/>
                  </w:rPr>
                  <w:t xml:space="preserve">11 d. </w:t>
                </w:r>
                <w:r>
                  <w:rPr>
                    <w:rFonts w:eastAsia="Lucida Sans Unicode"/>
                    <w:b/>
                    <w:bCs/>
                    <w:color w:val="000000"/>
                    <w:sz w:val="20"/>
                  </w:rPr>
                  <w:t xml:space="preserve">Europos Parlamento ir Tarybos reglamentas </w:t>
                </w:r>
                <w:fldSimple w:instr="HYPERLINK http://eur-lex.europa.eu/legal-content/LIT/TXT/?uri=CELEX:32024R1157&amp;locale=lt \t _blank">
                  <w:r>
                    <w:rPr>
                      <w:rFonts w:eastAsia="Lucida Sans Unicode"/>
                      <w:b/>
                      <w:bCs/>
                      <w:sz w:val="20"/>
                      <w:u w:val="single"/>
                      <w:color w:val="0000FF" w:themeColor="hyperlink"/>
                    </w:rPr>
                    <w:t>(ES) 2024/1157</w:t>
                  </w:r>
                </w:fldSimple>
                <w:r>
                  <w:rPr>
                    <w:rFonts w:eastAsia="Lucida Sans Unicode"/>
                    <w:b/>
                    <w:bCs/>
                    <w:color w:val="000000"/>
                    <w:sz w:val="20"/>
                  </w:rPr>
                  <w:t xml:space="preserve"> dėl atliekų vežimo, kuriuo iš dalies keičiami Reglamentai </w:t>
                </w:r>
                <w:fldSimple w:instr="HYPERLINK http://eur-lex.europa.eu/legal-content/LIT/TXT/?uri=CELEX:32013R1257&amp;locale=lt \t _blank">
                  <w:r>
                    <w:rPr>
                      <w:rFonts w:eastAsia="Lucida Sans Unicode"/>
                      <w:b/>
                      <w:bCs/>
                      <w:sz w:val="20"/>
                      <w:u w:val="single"/>
                      <w:color w:val="0000FF" w:themeColor="hyperlink"/>
                    </w:rPr>
                    <w:t>(ES) Nr. 1257/2013</w:t>
                  </w:r>
                </w:fldSimple>
                <w:r>
                  <w:rPr>
                    <w:rFonts w:eastAsia="Lucida Sans Unicode"/>
                    <w:b/>
                    <w:bCs/>
                    <w:color w:val="000000"/>
                    <w:sz w:val="20"/>
                  </w:rPr>
                  <w:t xml:space="preserve"> ir </w:t>
                </w:r>
                <w:fldSimple w:instr="HYPERLINK http://eur-lex.europa.eu/legal-content/LIT/TXT/?uri=CELEX:32020R1056&amp;locale=lt \t _blank">
                  <w:r>
                    <w:rPr>
                      <w:rFonts w:eastAsia="Lucida Sans Unicode"/>
                      <w:b/>
                      <w:bCs/>
                      <w:sz w:val="20"/>
                      <w:u w:val="single"/>
                      <w:color w:val="0000FF" w:themeColor="hyperlink"/>
                    </w:rPr>
                    <w:t>(ES) 2020/1056</w:t>
                  </w:r>
                </w:fldSimple>
                <w:r>
                  <w:rPr>
                    <w:rFonts w:eastAsia="Lucida Sans Unicode"/>
                    <w:b/>
                    <w:bCs/>
                    <w:color w:val="000000"/>
                    <w:sz w:val="20"/>
                  </w:rPr>
                  <w:t xml:space="preserve"> ir panaikinamas Reglamentas </w:t>
                </w:r>
                <w:fldSimple w:instr="HYPERLINK http://eur-lex.europa.eu/legal-content/LIT/TXT/?uri=CELEX:32006R1013&amp;locale=lt \t _blank">
                  <w:r>
                    <w:rPr>
                      <w:rFonts w:eastAsia="Lucida Sans Unicode"/>
                      <w:b/>
                      <w:bCs/>
                      <w:sz w:val="20"/>
                      <w:u w:val="single"/>
                      <w:color w:val="0000FF" w:themeColor="hyperlink"/>
                    </w:rPr>
                    <w:t>(EB) Nr. 1013/2006</w:t>
                  </w:r>
                </w:fldSimple>
              </w:p>
            </w:tc>
            <w:tc>
              <w:tcPr>
                <w:tcW w:w="8505" w:type="dxa"/>
              </w:tcPr>
              <w:p>
                <w:pPr>
                  <w:widowControl w:val="0"/>
                  <w:suppressAutoHyphens/>
                  <w:jc w:val="both"/>
                  <w:rPr>
                    <w:rFonts w:eastAsia="Lucida Sans Unicode"/>
                    <w:b/>
                    <w:bCs/>
                    <w:color w:val="000000"/>
                    <w:sz w:val="20"/>
                  </w:rPr>
                </w:pPr>
                <w:r>
                  <w:rPr>
                    <w:rFonts w:eastAsia="Lucida Sans Unicode"/>
                    <w:b/>
                    <w:bCs/>
                    <w:color w:val="000000"/>
                    <w:sz w:val="20"/>
                  </w:rPr>
                  <w:t>Lietuvos Respublikos aplinkos apsaugos įstatymo Nr. I-2223 37, 40</w:t>
                </w:r>
                <w:r>
                  <w:rPr>
                    <w:rFonts w:eastAsia="Lucida Sans Unicode"/>
                    <w:b/>
                    <w:bCs/>
                    <w:color w:val="000000"/>
                    <w:sz w:val="20"/>
                    <w:vertAlign w:val="superscript"/>
                  </w:rPr>
                  <w:t>1</w:t>
                </w:r>
                <w:r>
                  <w:rPr>
                    <w:rFonts w:eastAsia="Lucida Sans Unicode"/>
                    <w:b/>
                    <w:bCs/>
                    <w:color w:val="000000"/>
                    <w:sz w:val="20"/>
                  </w:rPr>
                  <w:t>, 47, 87, 109</w:t>
                </w:r>
                <w:r>
                  <w:rPr>
                    <w:rFonts w:eastAsia="Lucida Sans Unicode"/>
                    <w:b/>
                    <w:bCs/>
                    <w:color w:val="000000"/>
                    <w:sz w:val="20"/>
                    <w:vertAlign w:val="superscript"/>
                  </w:rPr>
                  <w:t>1</w:t>
                </w:r>
                <w:r>
                  <w:rPr>
                    <w:rFonts w:eastAsia="Lucida Sans Unicode"/>
                    <w:b/>
                    <w:bCs/>
                    <w:color w:val="000000"/>
                    <w:sz w:val="20"/>
                  </w:rPr>
                  <w:t>, 110, 122</w:t>
                </w:r>
                <w:r>
                  <w:rPr>
                    <w:rFonts w:eastAsia="Lucida Sans Unicode"/>
                    <w:b/>
                    <w:bCs/>
                    <w:color w:val="000000"/>
                    <w:sz w:val="20"/>
                    <w:vertAlign w:val="superscript"/>
                  </w:rPr>
                  <w:t>4</w:t>
                </w:r>
                <w:r>
                  <w:rPr>
                    <w:rFonts w:eastAsia="Lucida Sans Unicode"/>
                    <w:b/>
                    <w:bCs/>
                    <w:color w:val="000000"/>
                    <w:sz w:val="20"/>
                  </w:rPr>
                  <w:t>straipsnių ir priedo pakeitimo, įstatymo papildymo 110</w:t>
                </w:r>
                <w:r>
                  <w:rPr>
                    <w:rFonts w:eastAsia="Lucida Sans Unicode"/>
                    <w:b/>
                    <w:bCs/>
                    <w:color w:val="000000"/>
                    <w:sz w:val="20"/>
                    <w:vertAlign w:val="superscript"/>
                  </w:rPr>
                  <w:t>2</w:t>
                </w:r>
                <w:r>
                  <w:rPr>
                    <w:rFonts w:eastAsia="Lucida Sans Unicode"/>
                    <w:b/>
                    <w:bCs/>
                    <w:color w:val="000000"/>
                    <w:sz w:val="20"/>
                  </w:rPr>
                  <w:t>, 110</w:t>
                </w:r>
                <w:r>
                  <w:rPr>
                    <w:rFonts w:eastAsia="Lucida Sans Unicode"/>
                    <w:b/>
                    <w:bCs/>
                    <w:color w:val="000000"/>
                    <w:sz w:val="20"/>
                    <w:vertAlign w:val="superscript"/>
                  </w:rPr>
                  <w:t>3</w:t>
                </w:r>
                <w:r>
                  <w:rPr>
                    <w:rFonts w:eastAsia="Lucida Sans Unicode"/>
                    <w:b/>
                    <w:bCs/>
                    <w:color w:val="000000"/>
                    <w:sz w:val="20"/>
                  </w:rPr>
                  <w:t>, 110</w:t>
                </w:r>
                <w:r>
                  <w:rPr>
                    <w:rFonts w:eastAsia="Lucida Sans Unicode"/>
                    <w:b/>
                    <w:bCs/>
                    <w:color w:val="000000"/>
                    <w:sz w:val="20"/>
                    <w:vertAlign w:val="superscript"/>
                  </w:rPr>
                  <w:t>4</w:t>
                </w:r>
                <w:r>
                  <w:rPr>
                    <w:rFonts w:eastAsia="Lucida Sans Unicode"/>
                    <w:b/>
                    <w:bCs/>
                    <w:color w:val="000000"/>
                    <w:sz w:val="20"/>
                  </w:rPr>
                  <w:t>, 118</w:t>
                </w:r>
                <w:r>
                  <w:rPr>
                    <w:rFonts w:eastAsia="Lucida Sans Unicode"/>
                    <w:b/>
                    <w:bCs/>
                    <w:color w:val="000000"/>
                    <w:sz w:val="20"/>
                    <w:vertAlign w:val="superscript"/>
                  </w:rPr>
                  <w:t>2 </w:t>
                </w:r>
                <w:r>
                  <w:rPr>
                    <w:rFonts w:eastAsia="Lucida Sans Unicode"/>
                    <w:b/>
                    <w:bCs/>
                    <w:color w:val="000000"/>
                    <w:sz w:val="20"/>
                  </w:rPr>
                  <w:t>, 118</w:t>
                </w:r>
                <w:r>
                  <w:rPr>
                    <w:rFonts w:eastAsia="Lucida Sans Unicode"/>
                    <w:b/>
                    <w:bCs/>
                    <w:color w:val="000000"/>
                    <w:sz w:val="20"/>
                    <w:vertAlign w:val="superscript"/>
                  </w:rPr>
                  <w:t>2</w:t>
                </w:r>
                <w:r>
                  <w:rPr>
                    <w:rFonts w:eastAsia="Lucida Sans Unicode"/>
                    <w:b/>
                    <w:bCs/>
                    <w:color w:val="000000"/>
                    <w:sz w:val="20"/>
                  </w:rPr>
                  <w:t xml:space="preserve"> straipsniais  ir 110</w:t>
                </w:r>
                <w:r>
                  <w:rPr>
                    <w:rFonts w:eastAsia="Lucida Sans Unicode"/>
                    <w:b/>
                    <w:bCs/>
                    <w:color w:val="000000"/>
                    <w:sz w:val="20"/>
                    <w:vertAlign w:val="superscript"/>
                  </w:rPr>
                  <w:t>2</w:t>
                </w:r>
                <w:r>
                  <w:rPr>
                    <w:rFonts w:eastAsia="Lucida Sans Unicode"/>
                    <w:b/>
                    <w:bCs/>
                    <w:color w:val="000000"/>
                    <w:sz w:val="20"/>
                  </w:rPr>
                  <w:t xml:space="preserve"> straipsnio pripažinimo netekusiu galios įstatymo projektas (toliau – AAĮ keitimo projektas).</w:t>
                </w:r>
              </w:p>
              <w:p>
                <w:pPr>
                  <w:widowControl w:val="0"/>
                  <w:suppressAutoHyphens/>
                  <w:jc w:val="both"/>
                  <w:rPr>
                    <w:rFonts w:eastAsia="Lucida Sans Unicode"/>
                    <w:b/>
                    <w:bCs/>
                    <w:color w:val="000000"/>
                    <w:sz w:val="20"/>
                  </w:rPr>
                </w:pPr>
              </w:p>
              <w:p>
                <w:pPr>
                  <w:widowControl w:val="0"/>
                  <w:suppressAutoHyphens/>
                  <w:jc w:val="both"/>
                  <w:rPr>
                    <w:rFonts w:eastAsia="Lucida Sans Unicode"/>
                    <w:b/>
                    <w:bCs/>
                    <w:color w:val="000000"/>
                    <w:sz w:val="20"/>
                  </w:rPr>
                </w:pPr>
                <w:r>
                  <w:rPr>
                    <w:rFonts w:eastAsia="Lucida Sans Unicode"/>
                    <w:b/>
                    <w:bCs/>
                    <w:color w:val="000000"/>
                    <w:sz w:val="20"/>
                  </w:rPr>
                  <w:t>Šiuo metu galiojantys teisės aktai:</w:t>
                </w:r>
              </w:p>
              <w:p>
                <w:pPr>
                  <w:widowControl w:val="0"/>
                  <w:suppressAutoHyphens/>
                  <w:jc w:val="both"/>
                  <w:rPr>
                    <w:rFonts w:eastAsia="Lucida Sans Unicode"/>
                    <w:b/>
                    <w:bCs/>
                    <w:color w:val="000000"/>
                    <w:sz w:val="20"/>
                  </w:rPr>
                </w:pPr>
                <w:r>
                  <w:rPr>
                    <w:rFonts w:eastAsia="Lucida Sans Unicode"/>
                    <w:b/>
                    <w:bCs/>
                    <w:color w:val="000000"/>
                    <w:sz w:val="20"/>
                  </w:rPr>
                  <w:t>Lietuvos Respublikos aplinkos apsaugos įstatymas (toliau – AAĮ)</w:t>
                </w:r>
              </w:p>
              <w:p>
                <w:pPr>
                  <w:widowControl w:val="0"/>
                  <w:suppressAutoHyphens/>
                  <w:jc w:val="both"/>
                  <w:rPr>
                    <w:rFonts w:eastAsia="Lucida Sans Unicode"/>
                    <w:b/>
                    <w:bCs/>
                    <w:color w:val="000000"/>
                    <w:sz w:val="20"/>
                  </w:rPr>
                </w:pPr>
                <w:r>
                  <w:rPr>
                    <w:rFonts w:eastAsia="Lucida Sans Unicode"/>
                    <w:b/>
                    <w:bCs/>
                    <w:color w:val="000000"/>
                    <w:sz w:val="20"/>
                  </w:rPr>
                  <w:t>Lietuvos Respublikos administracinių nusižengimų kodeksas (toliau – ANK)</w:t>
                </w:r>
              </w:p>
              <w:p>
                <w:pPr>
                  <w:widowControl w:val="0"/>
                  <w:suppressAutoHyphens/>
                  <w:jc w:val="both"/>
                  <w:rPr>
                    <w:rFonts w:eastAsia="Lucida Sans Unicode"/>
                    <w:b/>
                    <w:bCs/>
                    <w:color w:val="000000"/>
                    <w:sz w:val="20"/>
                  </w:rPr>
                </w:pPr>
                <w:r>
                  <w:rPr>
                    <w:rFonts w:eastAsia="Lucida Sans Unicode"/>
                    <w:b/>
                    <w:bCs/>
                    <w:color w:val="000000"/>
                    <w:sz w:val="20"/>
                  </w:rPr>
                  <w:t>Lietuvos respublikos baudžiamasis kodeksas (toliau – BK)</w:t>
                </w:r>
              </w:p>
            </w:tc>
            <w:tc>
              <w:tcPr>
                <w:tcW w:w="3232" w:type="dxa"/>
              </w:tcPr>
              <w:p>
                <w:pPr>
                  <w:widowControl w:val="0"/>
                  <w:suppressAutoHyphens/>
                  <w:rPr>
                    <w:rFonts w:eastAsia="Lucida Sans Unicode"/>
                    <w:b/>
                    <w:bCs/>
                    <w:sz w:val="20"/>
                  </w:rPr>
                </w:pPr>
                <w:r>
                  <w:rPr>
                    <w:rFonts w:eastAsia="Lucida Sans Unicode"/>
                    <w:b/>
                    <w:bCs/>
                    <w:sz w:val="20"/>
                  </w:rPr>
                  <w:t>Reglamento įgyvendinimo lygis</w:t>
                </w:r>
              </w:p>
            </w:tc>
          </w:tr>
          <w:tr>
            <w:tc>
              <w:tcPr>
                <w:tcW w:w="3256" w:type="dxa"/>
              </w:tcPr>
              <w:p>
                <w:pPr>
                  <w:jc w:val="both"/>
                  <w:rPr>
                    <w:b/>
                    <w:bCs/>
                    <w:color w:val="000000"/>
                    <w:sz w:val="20"/>
                    <w:lang w:eastAsia="ar-SA"/>
                  </w:rPr>
                </w:pPr>
                <w:r>
                  <w:rPr>
                    <w:b/>
                    <w:bCs/>
                    <w:color w:val="000000"/>
                    <w:sz w:val="20"/>
                    <w:lang w:eastAsia="ar-SA"/>
                  </w:rPr>
                  <w:t>63 straipsnio 1 dalis</w:t>
                </w:r>
              </w:p>
              <w:p>
                <w:pPr>
                  <w:jc w:val="both"/>
                  <w:rPr>
                    <w:color w:val="000000"/>
                    <w:sz w:val="20"/>
                    <w:lang w:eastAsia="ar-SA"/>
                  </w:rPr>
                </w:pPr>
                <w:r>
                  <w:rPr>
                    <w:color w:val="000000"/>
                    <w:sz w:val="20"/>
                    <w:lang w:eastAsia="ar-SA"/>
                  </w:rPr>
                  <w:t xml:space="preserve">1. Nedarant poveikio valstybių narių įsipareigojimams pagal Direktyvą </w:t>
                </w:r>
                <w:fldSimple w:instr="HYPERLINK http://eur-lex.europa.eu/legal-content/LIT/TXT/?uri=CELEX:32008L0099&amp;locale=lt \t _blank">
                  <w:r>
                    <w:rPr>
                      <w:color w:val="0000FF" w:themeColor="hyperlink"/>
                      <w:sz w:val="20"/>
                      <w:lang w:eastAsia="ar-SA"/>
                      <w:u w:val="single"/>
                    </w:rPr>
                    <w:t>2008/99/EB</w:t>
                  </w:r>
                </w:fldSimple>
                <w:r>
                  <w:rPr>
                    <w:color w:val="000000"/>
                    <w:sz w:val="20"/>
                    <w:lang w:eastAsia="ar-SA"/>
                  </w:rPr>
                  <w:t>, valstybės narės nustato sankcijų, taikomų pažeidus šį reglamentą, taisykles ir imasi visų būtinų priemonių užtikrinti, kad šios sankcijos būtų taikomos. Numatytos sankcijos turi būti veiksmingos, proporcingos ir atgrasančios</w:t>
                </w:r>
              </w:p>
            </w:tc>
            <w:tc>
              <w:tcPr>
                <w:tcW w:w="8505" w:type="dxa"/>
              </w:tcPr>
              <w:p>
                <w:pPr>
                  <w:widowControl w:val="0"/>
                  <w:spacing w:line="276" w:lineRule="auto"/>
                  <w:jc w:val="both"/>
                  <w:rPr>
                    <w:b/>
                    <w:bCs/>
                    <w:color w:val="000000"/>
                    <w:sz w:val="20"/>
                    <w:lang w:eastAsia="lt-LT"/>
                  </w:rPr>
                </w:pPr>
                <w:r>
                  <w:rPr>
                    <w:b/>
                    <w:bCs/>
                    <w:color w:val="000000"/>
                    <w:sz w:val="20"/>
                    <w:lang w:eastAsia="lt-LT"/>
                  </w:rPr>
                  <w:t>AAĮ keitimo projektas</w:t>
                </w:r>
              </w:p>
              <w:p>
                <w:pPr>
                  <w:widowControl w:val="0"/>
                  <w:spacing w:line="276" w:lineRule="auto"/>
                  <w:ind w:firstLine="720"/>
                  <w:jc w:val="both"/>
                  <w:rPr>
                    <w:b/>
                    <w:bCs/>
                    <w:color w:val="000000"/>
                    <w:sz w:val="20"/>
                    <w:lang w:eastAsia="lt-LT"/>
                  </w:rPr>
                </w:pPr>
                <w:r>
                  <w:rPr>
                    <w:b/>
                    <w:bCs/>
                    <w:color w:val="000000"/>
                    <w:sz w:val="20"/>
                    <w:lang w:eastAsia="lt-LT"/>
                  </w:rPr>
                  <w:t>5 straipsnis. 87 straipsnio pakeitimas</w:t>
                </w:r>
              </w:p>
              <w:p>
                <w:pPr>
                  <w:widowControl w:val="0"/>
                  <w:spacing w:line="276" w:lineRule="auto"/>
                  <w:ind w:firstLine="709"/>
                  <w:jc w:val="both"/>
                  <w:rPr>
                    <w:color w:val="000000"/>
                    <w:sz w:val="20"/>
                    <w:lang w:eastAsia="lt-LT"/>
                  </w:rPr>
                </w:pPr>
                <w:r>
                  <w:rPr>
                    <w:color w:val="000000"/>
                    <w:sz w:val="20"/>
                    <w:lang w:eastAsia="lt-LT"/>
                  </w:rPr>
                  <w:t>Pakeisti 87 straipsnį ir jį išdėstyti taip:</w:t>
                </w:r>
              </w:p>
              <w:p>
                <w:pPr>
                  <w:widowControl w:val="0"/>
                  <w:suppressAutoHyphens/>
                  <w:ind w:firstLine="709"/>
                  <w:jc w:val="both"/>
                  <w:rPr>
                    <w:color w:val="000000"/>
                    <w:sz w:val="20"/>
                    <w:lang w:eastAsia="lt-LT"/>
                  </w:rPr>
                </w:pPr>
                <w:r>
                  <w:rPr>
                    <w:color w:val="000000"/>
                    <w:sz w:val="20"/>
                    <w:lang w:eastAsia="lt-LT"/>
                  </w:rPr>
                  <w:t>„87 straipsnis. Juridinių asmenų atsakomybė už reikalavimų, susijusių su atliekų įvežimu, importu, išvežimu, eksportu, pažeidimą</w:t>
                </w:r>
              </w:p>
              <w:p>
                <w:pPr>
                  <w:widowControl w:val="0"/>
                  <w:suppressAutoHyphens/>
                  <w:spacing w:line="276" w:lineRule="auto"/>
                  <w:ind w:firstLine="709"/>
                  <w:jc w:val="both"/>
                  <w:rPr>
                    <w:color w:val="000000"/>
                    <w:sz w:val="20"/>
                    <w:lang w:eastAsia="lt-LT"/>
                  </w:rPr>
                </w:pPr>
                <w:r>
                  <w:rPr>
                    <w:color w:val="000000"/>
                    <w:sz w:val="20"/>
                    <w:lang w:eastAsia="lt-LT"/>
                  </w:rPr>
                  <w:t xml:space="preserve">Reglamento </w:t>
                </w:r>
                <w:fldSimple w:instr="HYPERLINK http://eur-lex.europa.eu/legal-content/LIT/TXT/?uri=CELEX:32024R1157&amp;locale=lt \t _blank">
                  <w:r>
                    <w:rPr>
                      <w:color w:val="0000FF" w:themeColor="hyperlink"/>
                      <w:sz w:val="20"/>
                      <w:lang w:eastAsia="lt-LT"/>
                      <w:u w:val="single"/>
                    </w:rPr>
                    <w:t>(ES) 2024/1157</w:t>
                  </w:r>
                </w:fldSimple>
                <w:r>
                  <w:rPr>
                    <w:color w:val="000000"/>
                    <w:sz w:val="20"/>
                    <w:lang w:eastAsia="lt-LT"/>
                  </w:rPr>
                  <w:t xml:space="preserve"> IB priedų (toliau – Judėjimo dokumentas) ar Reglamento </w:t>
                </w:r>
                <w:fldSimple w:instr="HYPERLINK http://eur-lex.europa.eu/legal-content/LIT/TXT/?uri=CELEX:32024R1157&amp;locale=lt \t _blank">
                  <w:r>
                    <w:rPr>
                      <w:color w:val="0000FF" w:themeColor="hyperlink"/>
                      <w:sz w:val="20"/>
                      <w:lang w:eastAsia="lt-LT"/>
                      <w:u w:val="single"/>
                    </w:rPr>
                    <w:t>(ES) 2024/1157</w:t>
                  </w:r>
                </w:fldSimple>
                <w:r>
                  <w:rPr>
                    <w:color w:val="000000"/>
                    <w:sz w:val="20"/>
                    <w:lang w:eastAsia="lt-LT"/>
                  </w:rPr>
                  <w:t xml:space="preserve"> VII priedų, patvirtinančių įvežtų, importuotų atliekų gavimą, panaudojimą ir (ar) šalinimą, ir (ar) Pranešimo dokumentų apie planuojamą atliekų išvežimą, eksportą nepateikimas kompetentingoms institucijoms, ir kitiems su vežimu susijusiems fiziniams ir (ar) juridiniams asmenims Reglamento </w:t>
                </w:r>
                <w:fldSimple w:instr="HYPERLINK http://eur-lex.europa.eu/legal-content/LIT/TXT/?uri=CELEX:32024R1157&amp;locale=lt \t _blank">
                  <w:r>
                    <w:rPr>
                      <w:color w:val="0000FF" w:themeColor="hyperlink"/>
                      <w:sz w:val="20"/>
                      <w:lang w:eastAsia="lt-LT"/>
                      <w:u w:val="single"/>
                    </w:rPr>
                    <w:t>(ES) 2024/1157</w:t>
                  </w:r>
                </w:fldSimple>
                <w:r>
                  <w:rPr>
                    <w:color w:val="000000"/>
                    <w:sz w:val="20"/>
                    <w:lang w:eastAsia="lt-LT"/>
                  </w:rPr>
                  <w:t xml:space="preserve"> 16 straipsnio 1, 2, 5, 6 dalyse nustatyta tvarka ir terminais Reglamento </w:t>
                </w:r>
                <w:fldSimple w:instr="HYPERLINK http://eur-lex.europa.eu/legal-content/LIT/TXT/?uri=CELEX:32024R1157&amp;locale=lt \t _blank">
                  <w:r>
                    <w:rPr>
                      <w:color w:val="0000FF" w:themeColor="hyperlink"/>
                      <w:sz w:val="20"/>
                      <w:lang w:eastAsia="lt-LT"/>
                      <w:u w:val="single"/>
                    </w:rPr>
                    <w:t>(ES) 2024/1157</w:t>
                  </w:r>
                </w:fldSimple>
                <w:r>
                  <w:rPr>
                    <w:color w:val="000000"/>
                    <w:sz w:val="20"/>
                    <w:lang w:eastAsia="lt-LT"/>
                  </w:rPr>
                  <w:t xml:space="preserve"> IA priede (toliau – Pranešimo dokumentas), Judėjimo dokumente ar Reglamento </w:t>
                </w:r>
                <w:fldSimple w:instr="HYPERLINK http://eur-lex.europa.eu/legal-content/LIT/TXT/?uri=CELEX:32024R1157&amp;locale=lt \t _blank">
                  <w:r>
                    <w:rPr>
                      <w:color w:val="0000FF" w:themeColor="hyperlink"/>
                      <w:sz w:val="20"/>
                      <w:lang w:eastAsia="lt-LT"/>
                      <w:u w:val="single"/>
                    </w:rPr>
                    <w:t>(ES) 2024/1157</w:t>
                  </w:r>
                </w:fldSimple>
                <w:r>
                  <w:rPr>
                    <w:color w:val="000000"/>
                    <w:sz w:val="20"/>
                    <w:lang w:eastAsia="lt-LT"/>
                  </w:rPr>
                  <w:t xml:space="preserve"> VII priede pateikimas užtraukia baudą nuo šešių šimtų iki vieno tūkstančio dviejų šimtų eurų.</w:t>
                </w:r>
              </w:p>
              <w:p>
                <w:pPr>
                  <w:spacing w:line="276" w:lineRule="auto"/>
                  <w:ind w:firstLine="709"/>
                  <w:jc w:val="both"/>
                  <w:rPr>
                    <w:color w:val="000000"/>
                    <w:sz w:val="20"/>
                    <w:lang w:eastAsia="lt-LT"/>
                  </w:rPr>
                </w:pPr>
                <w:r>
                  <w:rPr>
                    <w:color w:val="000000"/>
                    <w:sz w:val="20"/>
                    <w:lang w:eastAsia="lt-LT"/>
                  </w:rPr>
                  <w:t>Šio straipsnio trečioje dalyje numatytas pažeidimas, padarytas pakartotinai, užtraukia baudą nuo vieno tūkstančio keturių šimtų iki trijų tūkstančių eurų.</w:t>
                </w:r>
              </w:p>
              <w:p>
                <w:pPr>
                  <w:spacing w:line="276" w:lineRule="auto"/>
                  <w:ind w:firstLine="709"/>
                  <w:jc w:val="both"/>
                  <w:rPr>
                    <w:color w:val="000000"/>
                    <w:sz w:val="20"/>
                    <w:lang w:eastAsia="lt-LT"/>
                  </w:rPr>
                </w:pPr>
                <w:r>
                  <w:rPr>
                    <w:color w:val="000000"/>
                    <w:sz w:val="20"/>
                    <w:lang w:eastAsia="lt-LT"/>
                  </w:rPr>
                  <w:t xml:space="preserve">Neteisėtas atliekų vežimas, kaip numatyta Reglamento </w:t>
                </w:r>
                <w:fldSimple w:instr="HYPERLINK http://eur-lex.europa.eu/legal-content/LIT/TXT/?uri=CELEX:32024R1157&amp;locale=lt \t _blank">
                  <w:r>
                    <w:rPr>
                      <w:color w:val="0000FF" w:themeColor="hyperlink"/>
                      <w:sz w:val="20"/>
                      <w:lang w:eastAsia="lt-LT"/>
                      <w:u w:val="single"/>
                    </w:rPr>
                    <w:t>(ES) 2024/1157</w:t>
                  </w:r>
                </w:fldSimple>
                <w:r>
                  <w:rPr>
                    <w:color w:val="000000"/>
                    <w:sz w:val="20"/>
                    <w:lang w:eastAsia="lt-LT"/>
                  </w:rPr>
                  <w:t xml:space="preserve"> 3 straipsnio 26 dalį, užtraukia baudą nuo vieno tūkstančio dviejų šimtų eurų iki dviejų tūkstančių keturių šimtų eurų.</w:t>
                </w:r>
              </w:p>
              <w:p>
                <w:pPr>
                  <w:spacing w:line="276" w:lineRule="auto"/>
                  <w:ind w:firstLine="709"/>
                  <w:jc w:val="both"/>
                  <w:rPr>
                    <w:color w:val="000000"/>
                    <w:sz w:val="20"/>
                    <w:lang w:eastAsia="lt-LT"/>
                  </w:rPr>
                </w:pPr>
                <w:r>
                  <w:rPr>
                    <w:color w:val="000000"/>
                    <w:sz w:val="20"/>
                    <w:lang w:eastAsia="lt-LT"/>
                  </w:rPr>
                  <w:t>Šio straipsnio ketvirtoje dalyje numatytas pažeidimas, padarytas pakartotinai užtraukia baudą nuo dviejų tūkstančių keturių šimtų iki keturių tūkstančių aštuonių šimtų eurų.“</w:t>
                </w:r>
              </w:p>
            </w:tc>
            <w:tc>
              <w:tcPr>
                <w:tcW w:w="3232" w:type="dxa"/>
              </w:tcPr>
              <w:p>
                <w:pPr>
                  <w:widowControl w:val="0"/>
                  <w:suppressAutoHyphens/>
                  <w:rPr>
                    <w:rFonts w:eastAsia="Lucida Sans Unicode"/>
                    <w:b/>
                    <w:bCs/>
                    <w:sz w:val="20"/>
                  </w:rPr>
                </w:pPr>
                <w:r>
                  <w:rPr>
                    <w:rFonts w:eastAsia="Lucida Sans Unicode"/>
                    <w:b/>
                    <w:bCs/>
                    <w:sz w:val="20"/>
                  </w:rPr>
                  <w:t>Visiškas</w:t>
                </w:r>
              </w:p>
            </w:tc>
          </w:tr>
          <w:tr>
            <w:tc>
              <w:tcPr>
                <w:tcW w:w="3256" w:type="dxa"/>
              </w:tcPr>
              <w:p>
                <w:pPr>
                  <w:jc w:val="both"/>
                  <w:rPr>
                    <w:b/>
                    <w:bCs/>
                    <w:color w:val="000000"/>
                    <w:sz w:val="20"/>
                    <w:lang w:eastAsia="ar-SA"/>
                  </w:rPr>
                </w:pPr>
                <w:r>
                  <w:rPr>
                    <w:b/>
                    <w:bCs/>
                    <w:color w:val="000000"/>
                    <w:sz w:val="20"/>
                    <w:lang w:eastAsia="ar-SA"/>
                  </w:rPr>
                  <w:t>63 straipsnio 2 dalis</w:t>
                </w:r>
              </w:p>
              <w:p>
                <w:pPr>
                  <w:jc w:val="both"/>
                  <w:rPr>
                    <w:b/>
                    <w:bCs/>
                    <w:color w:val="000000"/>
                    <w:sz w:val="20"/>
                    <w:lang w:eastAsia="ar-SA"/>
                  </w:rPr>
                </w:pPr>
                <w:r>
                  <w:rPr>
                    <w:color w:val="000000"/>
                    <w:sz w:val="20"/>
                    <w:lang w:eastAsia="lt-LT"/>
                  </w:rPr>
                  <w:t>2. Valstybės narės užtikrina, kad pagal šį straipsnį nustatytomis sankcijomis būtų tinkamai atsižvelgiama į atitinkamai: a) pažeidimo pobūdį, sunkumą ir mastą; b) atitinkamais atvejais tai, ar pažeidimas padarytas tyčia ar dėl aplaidumo; c) atsakingu laikomo fizinio ar juridinio asmens finansinį pajėgumą; d) ekonominę naudą, gaunamą atsakingu laikomam fiziniam ar juridiniam asmeniui įvykdžius pažeidimą, jei ją galima nustatyti; e) dėl pažeidimo padarytą žalą aplinkai; f) bet kokius veiksmus, kurių ėmėsi atsakingas fizinis ar juridinis asmuo, siekdamas sušvelninti ar atlyginti padarytą žalą; g) tai, ar pažeidimas yra kartotinis, ar pavienis; h) bet kokį kitą sunkinantį ar lengvinantį veiksnį, taikomą atvejo aplinkybėmis.</w:t>
                </w:r>
              </w:p>
            </w:tc>
            <w:tc>
              <w:tcPr>
                <w:tcW w:w="8505" w:type="dxa"/>
              </w:tcPr>
              <w:p>
                <w:pPr>
                  <w:spacing w:line="276" w:lineRule="auto"/>
                  <w:jc w:val="both"/>
                  <w:rPr>
                    <w:b/>
                    <w:bCs/>
                    <w:sz w:val="20"/>
                  </w:rPr>
                </w:pPr>
                <w:r>
                  <w:rPr>
                    <w:b/>
                    <w:bCs/>
                    <w:sz w:val="20"/>
                  </w:rPr>
                  <w:t>BK</w:t>
                </w:r>
              </w:p>
              <w:p>
                <w:pPr>
                  <w:spacing w:line="276" w:lineRule="auto"/>
                  <w:ind w:firstLine="709"/>
                  <w:jc w:val="both"/>
                  <w:rPr>
                    <w:sz w:val="20"/>
                    <w:lang w:val="en-US"/>
                  </w:rPr>
                </w:pPr>
                <w:r>
                  <w:rPr>
                    <w:b/>
                    <w:bCs/>
                    <w:sz w:val="20"/>
                    <w:lang w:val="en-US"/>
                  </w:rPr>
                  <w:t>59</w:t>
                </w:r>
                <w:r>
                  <w:rPr>
                    <w:sz w:val="20"/>
                    <w:lang w:val="en-US"/>
                  </w:rPr>
                  <w:t xml:space="preserve"> </w:t>
                </w:r>
                <w:r>
                  <w:rPr>
                    <w:b/>
                    <w:bCs/>
                    <w:sz w:val="20"/>
                  </w:rPr>
                  <w:t>straipsnis. Atsakomybę lengvinančios aplinkybės</w:t>
                </w:r>
              </w:p>
              <w:p>
                <w:pPr>
                  <w:spacing w:line="276" w:lineRule="auto"/>
                  <w:ind w:firstLine="709"/>
                  <w:jc w:val="both"/>
                  <w:rPr>
                    <w:sz w:val="20"/>
                    <w:lang w:val="en-US"/>
                  </w:rPr>
                </w:pPr>
                <w:r>
                  <w:rPr>
                    <w:sz w:val="20"/>
                  </w:rPr>
                  <w:t>1. Atsakomybę lengvinančios aplinkybės yra šios:</w:t>
                </w:r>
              </w:p>
              <w:p>
                <w:pPr>
                  <w:spacing w:line="276" w:lineRule="auto"/>
                  <w:ind w:firstLine="709"/>
                  <w:jc w:val="both"/>
                  <w:rPr>
                    <w:sz w:val="20"/>
                    <w:lang w:val="en-US"/>
                  </w:rPr>
                </w:pPr>
                <w:r>
                  <w:rPr>
                    <w:sz w:val="20"/>
                  </w:rPr>
                  <w:t>1) kaltininkas suteikė nukentėjusiam asmeniui pagalbą arba kitais aktyviais veiksmais išvengė ar bandė išvengti sunkesnių padarinių;</w:t>
                </w:r>
              </w:p>
              <w:p>
                <w:pPr>
                  <w:spacing w:line="276" w:lineRule="auto"/>
                  <w:ind w:firstLine="709"/>
                  <w:jc w:val="both"/>
                  <w:rPr>
                    <w:sz w:val="20"/>
                    <w:lang w:val="en-US"/>
                  </w:rPr>
                </w:pPr>
                <w:r>
                  <w:rPr>
                    <w:sz w:val="20"/>
                  </w:rPr>
                  <w:t>2) kaltininkas prisipažino padaręs baudžiamojo įstatymo numatytą veiką ir nuoširdžiai gailisi arba padėjo išaiškinti šią veiką ar joje dalyvavusius asmenis;</w:t>
                </w:r>
              </w:p>
              <w:p>
                <w:pPr>
                  <w:spacing w:line="276" w:lineRule="auto"/>
                  <w:ind w:firstLine="709"/>
                  <w:jc w:val="both"/>
                  <w:rPr>
                    <w:sz w:val="20"/>
                    <w:lang w:val="en-US"/>
                  </w:rPr>
                </w:pPr>
                <w:r>
                  <w:rPr>
                    <w:sz w:val="20"/>
                  </w:rPr>
                  <w:t>3) kaltininkas savo noru atlygino ar pašalino padarytą žalą;</w:t>
                </w:r>
              </w:p>
              <w:p>
                <w:pPr>
                  <w:spacing w:line="276" w:lineRule="auto"/>
                  <w:ind w:firstLine="709"/>
                  <w:jc w:val="both"/>
                  <w:rPr>
                    <w:sz w:val="20"/>
                    <w:lang w:val="en-US"/>
                  </w:rPr>
                </w:pPr>
                <w:r>
                  <w:rPr>
                    <w:sz w:val="20"/>
                  </w:rPr>
                  <w:t>4) nusikalstama veika padaryta dėl labai sunkios turtinės arba beviltiškos kaltininko padėties;</w:t>
                </w:r>
              </w:p>
              <w:p>
                <w:pPr>
                  <w:spacing w:line="276" w:lineRule="auto"/>
                  <w:ind w:firstLine="709"/>
                  <w:jc w:val="both"/>
                  <w:rPr>
                    <w:sz w:val="20"/>
                    <w:lang w:val="en-US"/>
                  </w:rPr>
                </w:pPr>
                <w:r>
                  <w:rPr>
                    <w:sz w:val="20"/>
                  </w:rPr>
                  <w:t>5) veika padaryta dėl psichinės ar fizinės prievartos, jeigu tokia prievarta nepašalina baudžiamosios atsakomybės;</w:t>
                </w:r>
              </w:p>
              <w:p>
                <w:pPr>
                  <w:spacing w:line="276" w:lineRule="auto"/>
                  <w:ind w:firstLine="709"/>
                  <w:jc w:val="both"/>
                  <w:rPr>
                    <w:sz w:val="20"/>
                    <w:lang w:val="en-US"/>
                  </w:rPr>
                </w:pPr>
                <w:r>
                  <w:rPr>
                    <w:sz w:val="20"/>
                  </w:rPr>
                  <w:t>6) veikos padarymui įtakos turėjo provokuojantis ar rizikingas nukentėjusio asmens elgesys;</w:t>
                </w:r>
              </w:p>
              <w:p>
                <w:pPr>
                  <w:spacing w:line="276" w:lineRule="auto"/>
                  <w:ind w:firstLine="709"/>
                  <w:jc w:val="both"/>
                  <w:rPr>
                    <w:sz w:val="20"/>
                    <w:lang w:val="en-US"/>
                  </w:rPr>
                </w:pPr>
                <w:r>
                  <w:rPr>
                    <w:sz w:val="20"/>
                    <w:lang w:val="x-none"/>
                  </w:rPr>
                  <w:t>7) veika padaryta nukentėjusio asmens, kurio būklė beviltiška, prašymu;</w:t>
                </w:r>
              </w:p>
              <w:p>
                <w:pPr>
                  <w:spacing w:line="276" w:lineRule="auto"/>
                  <w:ind w:firstLine="709"/>
                  <w:jc w:val="both"/>
                  <w:rPr>
                    <w:sz w:val="20"/>
                    <w:lang w:val="en-US"/>
                  </w:rPr>
                </w:pPr>
                <w:r>
                  <w:rPr>
                    <w:sz w:val="20"/>
                  </w:rPr>
                  <w:t>8) veika padaryta pažeidžiant nusikalstamą veiką padariusio asmens sulaikymo, būtinojo reikalingumo, profesinės pareigos arba teisėsaugos institucijų užduoties vykdymo, įsakymo vykdymo, gamybinės ar ūkinės rizikos, mokslinio eksperimento teisėtumo sąlygas;</w:t>
                </w:r>
              </w:p>
              <w:p>
                <w:pPr>
                  <w:spacing w:line="276" w:lineRule="auto"/>
                  <w:ind w:firstLine="709"/>
                  <w:jc w:val="both"/>
                  <w:rPr>
                    <w:sz w:val="20"/>
                    <w:lang w:val="en-US"/>
                  </w:rPr>
                </w:pPr>
                <w:r>
                  <w:rPr>
                    <w:sz w:val="20"/>
                  </w:rPr>
                  <w:t>9) veika padaryta peržengiant būtinosios ginties ribas, kai baudžiamasis įstatymas numato atsakomybę už būtinosios ginties ribų peržengimą;</w:t>
                </w:r>
              </w:p>
              <w:p>
                <w:pPr>
                  <w:spacing w:line="276" w:lineRule="auto"/>
                  <w:ind w:firstLine="709"/>
                  <w:jc w:val="both"/>
                  <w:rPr>
                    <w:sz w:val="20"/>
                    <w:lang w:val="en-US"/>
                  </w:rPr>
                </w:pPr>
                <w:r>
                  <w:rPr>
                    <w:sz w:val="20"/>
                  </w:rPr>
                  <w:t>10) veika padaryta dėl didelio susijaudinimo, kurį nulėmė neteisėti nukentėjusio asmens veiksmai;</w:t>
                </w:r>
              </w:p>
              <w:p>
                <w:pPr>
                  <w:spacing w:line="276" w:lineRule="auto"/>
                  <w:ind w:firstLine="709"/>
                  <w:jc w:val="both"/>
                  <w:rPr>
                    <w:sz w:val="20"/>
                    <w:lang w:val="en-US"/>
                  </w:rPr>
                </w:pPr>
                <w:r>
                  <w:rPr>
                    <w:sz w:val="20"/>
                  </w:rPr>
                  <w:t>11) veiką padarė ribotai pakaltinamas asmuo;</w:t>
                </w:r>
              </w:p>
              <w:p>
                <w:pPr>
                  <w:spacing w:line="276" w:lineRule="auto"/>
                  <w:ind w:firstLine="709"/>
                  <w:jc w:val="both"/>
                  <w:rPr>
                    <w:sz w:val="20"/>
                    <w:lang w:val="en-US"/>
                  </w:rPr>
                </w:pPr>
                <w:r>
                  <w:rPr>
                    <w:sz w:val="20"/>
                  </w:rPr>
                  <w:t>12) veiką padarė prieš jo valią nugirdytas ar apsvaigintas asmuo;</w:t>
                </w:r>
              </w:p>
              <w:p>
                <w:pPr>
                  <w:spacing w:line="276" w:lineRule="auto"/>
                  <w:ind w:firstLine="709"/>
                  <w:jc w:val="both"/>
                  <w:rPr>
                    <w:sz w:val="20"/>
                    <w:lang w:val="en-US"/>
                  </w:rPr>
                </w:pPr>
                <w:r>
                  <w:rPr>
                    <w:sz w:val="20"/>
                  </w:rPr>
                  <w:t>13) nepavykęs savanoriškas atsisakymas padaryti nusikalstamą veiką.</w:t>
                </w:r>
              </w:p>
              <w:p>
                <w:pPr>
                  <w:spacing w:line="276" w:lineRule="auto"/>
                  <w:ind w:firstLine="709"/>
                  <w:jc w:val="both"/>
                  <w:rPr>
                    <w:sz w:val="20"/>
                    <w:lang w:val="en-US"/>
                  </w:rPr>
                </w:pPr>
              </w:p>
              <w:p>
                <w:pPr>
                  <w:spacing w:line="276" w:lineRule="auto"/>
                  <w:ind w:firstLine="709"/>
                  <w:jc w:val="both"/>
                  <w:rPr>
                    <w:sz w:val="20"/>
                    <w:lang w:val="en-US"/>
                  </w:rPr>
                </w:pPr>
                <w:r>
                  <w:rPr>
                    <w:b/>
                    <w:bCs/>
                    <w:sz w:val="20"/>
                  </w:rPr>
                  <w:t>60 straipsnis. Atsakomybę sunkinančios aplinkybės</w:t>
                </w:r>
              </w:p>
              <w:p>
                <w:pPr>
                  <w:spacing w:line="276" w:lineRule="auto"/>
                  <w:ind w:firstLine="709"/>
                  <w:jc w:val="both"/>
                  <w:rPr>
                    <w:sz w:val="20"/>
                    <w:lang w:val="en-US"/>
                  </w:rPr>
                </w:pPr>
                <w:r>
                  <w:rPr>
                    <w:sz w:val="20"/>
                  </w:rPr>
                  <w:t>1. Atsakomybę sunkinančios aplinkybės yra šios:</w:t>
                </w:r>
              </w:p>
              <w:p>
                <w:pPr>
                  <w:spacing w:line="276" w:lineRule="auto"/>
                  <w:ind w:firstLine="709"/>
                  <w:jc w:val="both"/>
                  <w:rPr>
                    <w:sz w:val="20"/>
                    <w:lang w:val="en-US"/>
                  </w:rPr>
                </w:pPr>
                <w:r>
                  <w:rPr>
                    <w:sz w:val="20"/>
                  </w:rPr>
                  <w:t>1) veiką padarė bendrininkų grupė. Teismas, atsižvelgdamas į kiekvieno bendrininko dalyvavimo darant nusikalstamą veiką pobūdį ir laipsnį, gali nepripažinti šios aplinkybės atsakomybę sunkinančia;</w:t>
                </w:r>
              </w:p>
              <w:p>
                <w:pPr>
                  <w:spacing w:line="276" w:lineRule="auto"/>
                  <w:ind w:firstLine="709"/>
                  <w:jc w:val="both"/>
                  <w:rPr>
                    <w:sz w:val="20"/>
                    <w:lang w:val="en-US"/>
                  </w:rPr>
                </w:pPr>
                <w:r>
                  <w:rPr>
                    <w:sz w:val="20"/>
                  </w:rPr>
                  <w:t>2) veiką padarė organizuota grupė;</w:t>
                </w:r>
              </w:p>
              <w:p>
                <w:pPr>
                  <w:spacing w:line="276" w:lineRule="auto"/>
                  <w:ind w:firstLine="709"/>
                  <w:jc w:val="both"/>
                  <w:rPr>
                    <w:sz w:val="20"/>
                    <w:lang w:val="en-US"/>
                  </w:rPr>
                </w:pPr>
                <w:r>
                  <w:rPr>
                    <w:sz w:val="20"/>
                  </w:rPr>
                  <w:t>3) veika padaryta dėl chuliganiškų ar savanaudiškų paskatų;</w:t>
                </w:r>
              </w:p>
              <w:p>
                <w:pPr>
                  <w:spacing w:line="276" w:lineRule="auto"/>
                  <w:ind w:firstLine="709"/>
                  <w:jc w:val="both"/>
                  <w:rPr>
                    <w:sz w:val="20"/>
                    <w:lang w:val="en-US"/>
                  </w:rPr>
                </w:pPr>
                <w:r>
                  <w:rPr>
                    <w:sz w:val="20"/>
                  </w:rPr>
                  <w:t>4) veika padaryta kankinant nukentėjusį asmenį ar kitaip itin žiauriai elgiantis arba tyčiojantis iš jo;</w:t>
                </w:r>
              </w:p>
              <w:p>
                <w:pPr>
                  <w:spacing w:line="276" w:lineRule="auto"/>
                  <w:ind w:firstLine="709"/>
                  <w:jc w:val="both"/>
                  <w:rPr>
                    <w:sz w:val="20"/>
                    <w:lang w:val="en-US"/>
                  </w:rPr>
                </w:pPr>
                <w:r>
                  <w:rPr>
                    <w:sz w:val="20"/>
                  </w:rPr>
                  <w:t>5) veika padaryta mažamečiui;</w:t>
                </w:r>
              </w:p>
              <w:p>
                <w:pPr>
                  <w:spacing w:line="276" w:lineRule="auto"/>
                  <w:ind w:firstLine="709"/>
                  <w:jc w:val="both"/>
                  <w:rPr>
                    <w:sz w:val="20"/>
                    <w:lang w:val="en-US"/>
                  </w:rPr>
                </w:pPr>
                <w:r>
                  <w:rPr>
                    <w:sz w:val="20"/>
                  </w:rPr>
                  <w:t>6) veika padaryta asmeniui, kuris dėl ligos, negalios, senatvės ar kitų priežasčių buvo bejėgiškos būklės, be jo prašymo arba veika padaryta nepilnamečiam asmeniui, pasinaudojus jo priklausomumu ar piktnaudžiaujant pasitikėjimu, autoritetu ar įtaka;</w:t>
                </w:r>
              </w:p>
              <w:p>
                <w:pPr>
                  <w:spacing w:line="276" w:lineRule="auto"/>
                  <w:ind w:firstLine="709"/>
                  <w:jc w:val="both"/>
                  <w:rPr>
                    <w:sz w:val="20"/>
                    <w:lang w:val="en-US"/>
                  </w:rPr>
                </w:pPr>
                <w:r>
                  <w:rPr>
                    <w:sz w:val="20"/>
                  </w:rPr>
                  <w:t>7) veika padaryta nėščiai moteriai, kai akivaizdu kad ji nėščia;</w:t>
                </w:r>
              </w:p>
              <w:p>
                <w:pPr>
                  <w:spacing w:line="276" w:lineRule="auto"/>
                  <w:ind w:firstLine="709"/>
                  <w:jc w:val="both"/>
                  <w:rPr>
                    <w:sz w:val="20"/>
                    <w:lang w:val="en-US"/>
                  </w:rPr>
                </w:pPr>
                <w:r>
                  <w:rPr>
                    <w:sz w:val="20"/>
                  </w:rPr>
                  <w:t>8) veika padaryta pasinaudojant visuomenine ar kito asmens nelaime;</w:t>
                </w:r>
              </w:p>
              <w:p>
                <w:pPr>
                  <w:spacing w:line="276" w:lineRule="auto"/>
                  <w:ind w:firstLine="709"/>
                  <w:jc w:val="both"/>
                  <w:rPr>
                    <w:sz w:val="20"/>
                    <w:lang w:val="en-US"/>
                  </w:rPr>
                </w:pPr>
                <w:r>
                  <w:rPr>
                    <w:sz w:val="20"/>
                  </w:rPr>
                  <w:t>9) veiką padarė asmuo, apsvaigęs nuo alkoholio, narkotinių, psichotropinių ar kitų psichiką veikiančių medžiagų, jeigu šios aplinkybės turėjo įtakos nusikalstamos veikos padarymui;</w:t>
                </w:r>
              </w:p>
              <w:p>
                <w:pPr>
                  <w:spacing w:line="276" w:lineRule="auto"/>
                  <w:ind w:firstLine="709"/>
                  <w:jc w:val="both"/>
                  <w:rPr>
                    <w:sz w:val="20"/>
                    <w:lang w:val="en-US"/>
                  </w:rPr>
                </w:pPr>
                <w:r>
                  <w:rPr>
                    <w:sz w:val="20"/>
                  </w:rPr>
                  <w:t>10) veika padaryta visuotinai pavojingu būdu arba naudojant sprogmenis, sprogstamąsias medžiagas arba šaunamuosius ginklus;</w:t>
                </w:r>
              </w:p>
              <w:p>
                <w:pPr>
                  <w:spacing w:line="276" w:lineRule="auto"/>
                  <w:ind w:firstLine="709"/>
                  <w:jc w:val="both"/>
                  <w:rPr>
                    <w:sz w:val="20"/>
                    <w:lang w:val="en-US"/>
                  </w:rPr>
                </w:pPr>
                <w:r>
                  <w:rPr>
                    <w:sz w:val="20"/>
                  </w:rPr>
                  <w:t>11) dėl padarytos veikos atsirado sunkių padarinių arba kilo reali grėsmė nukentėjusio asmens gyvybei;</w:t>
                </w:r>
              </w:p>
              <w:p>
                <w:pPr>
                  <w:spacing w:line="276" w:lineRule="auto"/>
                  <w:ind w:firstLine="709"/>
                  <w:jc w:val="both"/>
                  <w:rPr>
                    <w:sz w:val="20"/>
                    <w:lang w:val="en-US"/>
                  </w:rPr>
                </w:pPr>
                <w:r>
                  <w:rPr>
                    <w:sz w:val="20"/>
                  </w:rPr>
                  <w:t>12) veika padaryta siekiant išreikšti neapykantą asmenų grupei ar jai priklausančiam asmeniui dėl amžiaus, lyties, seksualinės orientacijos, negalios, rasės, odos spalvos, tautybės, kalbos, kilmės, etninės kilmės, socialinės padėties, tikėjimo, religijos arba įsitikinimų ar pažiūrų;</w:t>
                </w:r>
              </w:p>
              <w:p>
                <w:pPr>
                  <w:spacing w:line="276" w:lineRule="auto"/>
                  <w:ind w:firstLine="709"/>
                  <w:jc w:val="both"/>
                  <w:rPr>
                    <w:sz w:val="20"/>
                    <w:lang w:val="en-US"/>
                  </w:rPr>
                </w:pPr>
                <w:r>
                  <w:rPr>
                    <w:sz w:val="20"/>
                  </w:rPr>
                  <w:t>13) veiką padarė recidyvistas;</w:t>
                </w:r>
              </w:p>
              <w:p>
                <w:pPr>
                  <w:spacing w:line="276" w:lineRule="auto"/>
                  <w:ind w:firstLine="709"/>
                  <w:jc w:val="both"/>
                  <w:rPr>
                    <w:sz w:val="20"/>
                    <w:lang w:val="en-US"/>
                  </w:rPr>
                </w:pPr>
                <w:r>
                  <w:rPr>
                    <w:sz w:val="20"/>
                  </w:rPr>
                  <w:t>14) 149 straipsnio 3 ir 4 dalyse, 150 straipsnio 3 ir 4 dalyse, 151 straipsnio 2 dalyje, 151</w:t>
                </w:r>
                <w:r>
                  <w:rPr>
                    <w:sz w:val="20"/>
                    <w:vertAlign w:val="superscript"/>
                  </w:rPr>
                  <w:t>1</w:t>
                </w:r>
                <w:r>
                  <w:rPr>
                    <w:sz w:val="20"/>
                  </w:rPr>
                  <w:t>, 152</w:t>
                </w:r>
                <w:r>
                  <w:rPr>
                    <w:sz w:val="20"/>
                    <w:vertAlign w:val="superscript"/>
                  </w:rPr>
                  <w:t>1</w:t>
                </w:r>
                <w:r>
                  <w:rPr>
                    <w:sz w:val="20"/>
                  </w:rPr>
                  <w:t>, 153, 162 straipsniuose, 307 straipsnio 3 dalyje, 308 straipsnio 3 dalyje, 309 straipsnio 2 ir 3 dalyse numatytas veikas padarė nukentėjusio nepilnamečio artimasis giminaitis, šeimos narys ar kartu gyvenantis asmuo.</w:t>
                </w:r>
              </w:p>
              <w:p>
                <w:pPr>
                  <w:spacing w:line="276" w:lineRule="auto"/>
                  <w:ind w:firstLine="709"/>
                  <w:jc w:val="both"/>
                  <w:rPr>
                    <w:sz w:val="20"/>
                    <w:lang w:val="en-US"/>
                  </w:rPr>
                </w:pPr>
              </w:p>
              <w:p>
                <w:pPr>
                  <w:spacing w:line="276" w:lineRule="auto"/>
                  <w:jc w:val="both"/>
                  <w:rPr>
                    <w:b/>
                    <w:bCs/>
                    <w:sz w:val="20"/>
                  </w:rPr>
                </w:pPr>
                <w:r>
                  <w:rPr>
                    <w:b/>
                    <w:bCs/>
                    <w:sz w:val="20"/>
                  </w:rPr>
                  <w:t>ANK</w:t>
                </w:r>
              </w:p>
              <w:p>
                <w:pPr>
                  <w:spacing w:line="276" w:lineRule="auto"/>
                  <w:ind w:firstLine="709"/>
                  <w:jc w:val="both"/>
                  <w:rPr>
                    <w:b/>
                    <w:bCs/>
                    <w:sz w:val="20"/>
                    <w:lang w:val="en-US"/>
                  </w:rPr>
                </w:pPr>
                <w:r>
                  <w:rPr>
                    <w:b/>
                    <w:bCs/>
                    <w:sz w:val="20"/>
                  </w:rPr>
                  <w:t>8 straipsnis. Administracinio nusižengimo padarymas tyčia</w:t>
                </w:r>
              </w:p>
              <w:p>
                <w:pPr>
                  <w:spacing w:line="276" w:lineRule="auto"/>
                  <w:ind w:firstLine="709"/>
                  <w:jc w:val="both"/>
                  <w:rPr>
                    <w:sz w:val="20"/>
                    <w:lang w:val="en-US"/>
                  </w:rPr>
                </w:pPr>
                <w:r>
                  <w:rPr>
                    <w:sz w:val="20"/>
                  </w:rPr>
                  <w:t>1. Administracinis nusižengimas yra tyčinis, jeigu jis padarytas tiesiogine ar netiesiogine tyčia.</w:t>
                </w:r>
              </w:p>
              <w:p>
                <w:pPr>
                  <w:spacing w:line="276" w:lineRule="auto"/>
                  <w:ind w:firstLine="709"/>
                  <w:jc w:val="both"/>
                  <w:rPr>
                    <w:sz w:val="20"/>
                    <w:lang w:val="en-US"/>
                  </w:rPr>
                </w:pPr>
                <w:r>
                  <w:rPr>
                    <w:sz w:val="20"/>
                  </w:rPr>
                  <w:t>2. Administracinis nusižengimas yra padarytas tiesiogine tyčia, jeigu:</w:t>
                </w:r>
              </w:p>
              <w:p>
                <w:pPr>
                  <w:spacing w:line="276" w:lineRule="auto"/>
                  <w:ind w:firstLine="709"/>
                  <w:jc w:val="both"/>
                  <w:rPr>
                    <w:sz w:val="20"/>
                    <w:lang w:val="en-US"/>
                  </w:rPr>
                </w:pPr>
                <w:r>
                  <w:rPr>
                    <w:sz w:val="20"/>
                  </w:rPr>
                  <w:t>1) jį darydamas asmuo suvokė pavojingą veikos pobūdį ir norėjo taip veikti;</w:t>
                </w:r>
              </w:p>
              <w:p>
                <w:pPr>
                  <w:spacing w:line="276" w:lineRule="auto"/>
                  <w:ind w:firstLine="709"/>
                  <w:jc w:val="both"/>
                  <w:rPr>
                    <w:sz w:val="20"/>
                    <w:lang w:val="en-US"/>
                  </w:rPr>
                </w:pPr>
                <w:r>
                  <w:rPr>
                    <w:sz w:val="20"/>
                  </w:rPr>
                  <w:t>2) jį darydamas asmuo suvokė pavojingą veikos pobūdį, numatė, kad dėl jo veikimo ar neveikimo gali atsirasti šiame kodekse numatytų padarinių, ir jų norėjo.</w:t>
                </w:r>
              </w:p>
              <w:p>
                <w:pPr>
                  <w:spacing w:line="276" w:lineRule="auto"/>
                  <w:ind w:firstLine="709"/>
                  <w:jc w:val="both"/>
                  <w:rPr>
                    <w:sz w:val="20"/>
                    <w:lang w:val="en-US"/>
                  </w:rPr>
                </w:pPr>
                <w:r>
                  <w:rPr>
                    <w:sz w:val="20"/>
                  </w:rPr>
                  <w:t>3. Administracinis nusižengimas yra padarytas netiesiogine tyčia, jeigu jį darydamas asmuo suvokė pavojingą veikos pobūdį, numatė, kad dėl jo veikimo ar neveikimo gali atsirasti šiame kodekse numatytų padarinių, ir nors jų nenorėjo, bet sąmoningai leido jiems atsirasti.</w:t>
                </w:r>
              </w:p>
              <w:p>
                <w:pPr>
                  <w:spacing w:line="276" w:lineRule="auto"/>
                  <w:ind w:firstLine="709"/>
                  <w:jc w:val="both"/>
                  <w:rPr>
                    <w:sz w:val="20"/>
                    <w:lang w:val="en-US"/>
                  </w:rPr>
                </w:pPr>
              </w:p>
              <w:p>
                <w:pPr>
                  <w:spacing w:line="276" w:lineRule="auto"/>
                  <w:ind w:firstLine="709"/>
                  <w:jc w:val="both"/>
                  <w:rPr>
                    <w:b/>
                    <w:bCs/>
                    <w:sz w:val="20"/>
                    <w:lang w:val="en-US"/>
                  </w:rPr>
                </w:pPr>
                <w:r>
                  <w:rPr>
                    <w:b/>
                    <w:bCs/>
                    <w:sz w:val="20"/>
                  </w:rPr>
                  <w:t>9 straipsnis. Administracinio nusižengimo padarymas dėl neatsargumo</w:t>
                </w:r>
              </w:p>
              <w:p>
                <w:pPr>
                  <w:spacing w:line="276" w:lineRule="auto"/>
                  <w:ind w:firstLine="709"/>
                  <w:jc w:val="both"/>
                  <w:rPr>
                    <w:sz w:val="20"/>
                    <w:lang w:val="en-US"/>
                  </w:rPr>
                </w:pPr>
                <w:r>
                  <w:rPr>
                    <w:sz w:val="20"/>
                  </w:rPr>
                  <w:t>1. Administracinis nusižengimas yra padarytas dėl neatsargumo, jeigu jis padarytas dėl nepagrįsto pasitikėjimo arba nerūpestingumo.</w:t>
                </w:r>
              </w:p>
              <w:p>
                <w:pPr>
                  <w:spacing w:line="276" w:lineRule="auto"/>
                  <w:ind w:firstLine="709"/>
                  <w:jc w:val="both"/>
                  <w:rPr>
                    <w:sz w:val="20"/>
                    <w:lang w:val="en-US"/>
                  </w:rPr>
                </w:pPr>
                <w:r>
                  <w:rPr>
                    <w:sz w:val="20"/>
                  </w:rPr>
                  <w:t>2. Administracinis nusižengimas yra padarytas dėl nepagrįsto pasitikėjimo, jeigu jį padaręs asmuo numatė, kad dėl jo veikimo ar neveikimo gali atsirasti šiame kodekse numatytų padarinių, tačiau lengvabūdiškai tikėjosi jų išvengti.</w:t>
                </w:r>
              </w:p>
              <w:p>
                <w:pPr>
                  <w:spacing w:line="276" w:lineRule="auto"/>
                  <w:ind w:firstLine="709"/>
                  <w:jc w:val="both"/>
                  <w:rPr>
                    <w:sz w:val="20"/>
                    <w:lang w:val="en-US"/>
                  </w:rPr>
                </w:pPr>
                <w:r>
                  <w:rPr>
                    <w:sz w:val="20"/>
                  </w:rPr>
                  <w:t>3. Administracinis nusižengimas yra padarytas dėl nerūpestingumo, jeigu jį padaręs asmuo nenumatė, kad dėl jo veikimo ar neveikimo gali atsirasti šiame kodekse numatytų padarinių, nors pagal veikos aplinkybes ir savo asmenines savybes galėjo ir turėjo tai numatyti.</w:t>
                </w:r>
              </w:p>
              <w:p>
                <w:pPr>
                  <w:spacing w:line="276" w:lineRule="auto"/>
                  <w:ind w:firstLine="709"/>
                  <w:jc w:val="both"/>
                  <w:rPr>
                    <w:b/>
                    <w:bCs/>
                    <w:sz w:val="20"/>
                  </w:rPr>
                </w:pPr>
              </w:p>
              <w:p>
                <w:pPr>
                  <w:spacing w:line="276" w:lineRule="auto"/>
                  <w:ind w:firstLine="709"/>
                  <w:jc w:val="both"/>
                  <w:rPr>
                    <w:b/>
                    <w:bCs/>
                    <w:sz w:val="20"/>
                  </w:rPr>
                </w:pPr>
                <w:r>
                  <w:rPr>
                    <w:b/>
                    <w:bCs/>
                    <w:sz w:val="20"/>
                  </w:rPr>
                  <w:t>35 straipsnis. Atsakomybę lengvinančios aplinkybės</w:t>
                </w:r>
              </w:p>
              <w:p>
                <w:pPr>
                  <w:spacing w:line="276" w:lineRule="auto"/>
                  <w:ind w:firstLine="709"/>
                  <w:jc w:val="both"/>
                  <w:rPr>
                    <w:sz w:val="20"/>
                    <w:lang w:val="en-US"/>
                  </w:rPr>
                </w:pPr>
                <w:r>
                  <w:rPr>
                    <w:sz w:val="20"/>
                  </w:rPr>
                  <w:t>1. Atsakomybę lengvinančios aplinkybės yra šios:</w:t>
                </w:r>
              </w:p>
              <w:p>
                <w:pPr>
                  <w:spacing w:line="276" w:lineRule="auto"/>
                  <w:ind w:firstLine="709"/>
                  <w:jc w:val="both"/>
                  <w:rPr>
                    <w:sz w:val="20"/>
                    <w:lang w:val="en-US"/>
                  </w:rPr>
                </w:pPr>
                <w:r>
                  <w:rPr>
                    <w:sz w:val="20"/>
                  </w:rPr>
                  <w:t>1) kaltininkas prisipažino padaręs šiame kodekse numatytą administracinį nusižengimą ir nuoširdžiai gailisi arba padėjo jį išaiškinti;</w:t>
                </w:r>
              </w:p>
              <w:p>
                <w:pPr>
                  <w:spacing w:line="276" w:lineRule="auto"/>
                  <w:ind w:firstLine="709"/>
                  <w:jc w:val="both"/>
                  <w:rPr>
                    <w:sz w:val="20"/>
                    <w:lang w:val="en-US"/>
                  </w:rPr>
                </w:pPr>
                <w:r>
                  <w:rPr>
                    <w:sz w:val="20"/>
                  </w:rPr>
                  <w:t>2) kaltininkas savo noru atlygino nuostolius ar pašalino padarytą žalą;</w:t>
                </w:r>
              </w:p>
              <w:p>
                <w:pPr>
                  <w:spacing w:line="276" w:lineRule="auto"/>
                  <w:ind w:firstLine="709"/>
                  <w:jc w:val="both"/>
                  <w:rPr>
                    <w:sz w:val="20"/>
                  </w:rPr>
                </w:pPr>
                <w:r>
                  <w:rPr>
                    <w:sz w:val="20"/>
                  </w:rPr>
                  <w:t>3) administracinis nusižengimas padarytas dėl labai sunkios kaltininko materialinės padėties;</w:t>
                </w:r>
              </w:p>
              <w:p>
                <w:pPr>
                  <w:spacing w:line="276" w:lineRule="auto"/>
                  <w:ind w:firstLine="709"/>
                  <w:jc w:val="both"/>
                  <w:rPr>
                    <w:sz w:val="20"/>
                    <w:lang w:val="en-US"/>
                  </w:rPr>
                </w:pPr>
                <w:r>
                  <w:rPr>
                    <w:sz w:val="20"/>
                  </w:rPr>
                  <w:t>4) administracinis nusižengimas padarytas dėl psichinės ar fizinės prievartos;</w:t>
                </w:r>
              </w:p>
              <w:p>
                <w:pPr>
                  <w:spacing w:line="276" w:lineRule="auto"/>
                  <w:ind w:firstLine="709"/>
                  <w:jc w:val="both"/>
                  <w:rPr>
                    <w:sz w:val="20"/>
                    <w:lang w:val="en-US"/>
                  </w:rPr>
                </w:pPr>
                <w:r>
                  <w:rPr>
                    <w:sz w:val="20"/>
                  </w:rPr>
                  <w:t>5) administracinis nusižengimas padarytas pažeidžiant įstatymų uždraustą veiką padariusio asmens sulaikymo, profesinių pareigų atlikimo arba teisėsaugos institucijos užduoties vykdymo, būtinojo reikalingumo, pateisinamos</w:t>
                </w:r>
                <w:r>
                  <w:rPr>
                    <w:b/>
                    <w:bCs/>
                    <w:sz w:val="20"/>
                  </w:rPr>
                  <w:t> </w:t>
                </w:r>
                <w:r>
                  <w:rPr>
                    <w:sz w:val="20"/>
                  </w:rPr>
                  <w:t>profesinės ar ūkinės rizikos, mokslinio eksperimento teisėtumo sąlygas;</w:t>
                </w:r>
              </w:p>
              <w:p>
                <w:pPr>
                  <w:spacing w:line="276" w:lineRule="auto"/>
                  <w:ind w:firstLine="709"/>
                  <w:jc w:val="both"/>
                  <w:rPr>
                    <w:sz w:val="20"/>
                    <w:lang w:val="en-US"/>
                  </w:rPr>
                </w:pPr>
                <w:r>
                  <w:rPr>
                    <w:sz w:val="20"/>
                  </w:rPr>
                  <w:t>6) administracinis nusižengimas padarytas peržengiant būtinosios ginties ribas;</w:t>
                </w:r>
              </w:p>
              <w:p>
                <w:pPr>
                  <w:spacing w:line="276" w:lineRule="auto"/>
                  <w:ind w:firstLine="709"/>
                  <w:jc w:val="both"/>
                  <w:rPr>
                    <w:sz w:val="20"/>
                    <w:lang w:val="en-US"/>
                  </w:rPr>
                </w:pPr>
                <w:r>
                  <w:rPr>
                    <w:sz w:val="20"/>
                  </w:rPr>
                  <w:t>7) administracinis nusižengimas padarytas dėl didelio susijaudinimo, kurį sukėlė neteisėti nukentėjusio asmens veiksmai;</w:t>
                </w:r>
              </w:p>
              <w:p>
                <w:pPr>
                  <w:spacing w:line="276" w:lineRule="auto"/>
                  <w:ind w:firstLine="709"/>
                  <w:jc w:val="both"/>
                  <w:rPr>
                    <w:sz w:val="20"/>
                    <w:lang w:val="en-US"/>
                  </w:rPr>
                </w:pPr>
                <w:r>
                  <w:rPr>
                    <w:sz w:val="20"/>
                  </w:rPr>
                  <w:t>8) administracinį nusižengimą padarė nėščia moteris, jeigu ši aplinkybė turėjo įtakos nusižengimo padarymui;</w:t>
                </w:r>
              </w:p>
              <w:p>
                <w:pPr>
                  <w:spacing w:line="276" w:lineRule="auto"/>
                  <w:ind w:firstLine="709"/>
                  <w:jc w:val="both"/>
                  <w:rPr>
                    <w:sz w:val="20"/>
                    <w:lang w:val="en-US"/>
                  </w:rPr>
                </w:pPr>
                <w:r>
                  <w:rPr>
                    <w:sz w:val="20"/>
                  </w:rPr>
                  <w:t>9) administracinį nusižengimą padarė asmuo, kuriam nustatytas 0–40 procentų darbingumo lygis arba didelių ar vidutinių specialiųjų poreikių lygis, arba 65 metų sulaukęs asmuo;</w:t>
                </w:r>
              </w:p>
              <w:p>
                <w:pPr>
                  <w:spacing w:line="276" w:lineRule="auto"/>
                  <w:ind w:firstLine="709"/>
                  <w:jc w:val="both"/>
                  <w:rPr>
                    <w:sz w:val="20"/>
                    <w:lang w:val="en-US"/>
                  </w:rPr>
                </w:pPr>
                <w:r>
                  <w:rPr>
                    <w:sz w:val="20"/>
                  </w:rPr>
                  <w:t>10) asmuo sutinka dalyvauti alkoholizmo ir narkomanijos prevencijos, ankstyvosios intervencijos, sveikatos priežiūros, resocializacijos, bendravimo su vaikais tobulinimo, smurtinio elgesio keitimo ar kitose programose (kursuose).</w:t>
                </w:r>
              </w:p>
              <w:p>
                <w:pPr>
                  <w:spacing w:line="276" w:lineRule="auto"/>
                  <w:ind w:firstLine="709"/>
                  <w:jc w:val="both"/>
                  <w:rPr>
                    <w:sz w:val="20"/>
                    <w:lang w:val="en-US"/>
                  </w:rPr>
                </w:pPr>
                <w:r>
                  <w:rPr>
                    <w:sz w:val="20"/>
                  </w:rPr>
                  <w:t>2. Teismas ar administracinio nusižengimo bylą ne teismo tvarka nagrinėjanti institucija (pareigūnas) gali ir kitas šio straipsnio 1 dalyje nenurodytas aplinkybes pripažinti atsakomybę lengvinančiomis aplinkybėmis.</w:t>
                </w:r>
              </w:p>
              <w:p>
                <w:pPr>
                  <w:spacing w:line="276" w:lineRule="auto"/>
                  <w:ind w:firstLine="709"/>
                  <w:jc w:val="both"/>
                  <w:rPr>
                    <w:sz w:val="20"/>
                    <w:lang w:val="en-US"/>
                  </w:rPr>
                </w:pPr>
              </w:p>
              <w:p>
                <w:pPr>
                  <w:spacing w:line="276" w:lineRule="auto"/>
                  <w:ind w:firstLine="709"/>
                  <w:jc w:val="both"/>
                  <w:rPr>
                    <w:b/>
                    <w:bCs/>
                    <w:sz w:val="20"/>
                  </w:rPr>
                </w:pPr>
                <w:r>
                  <w:rPr>
                    <w:b/>
                    <w:bCs/>
                    <w:sz w:val="20"/>
                  </w:rPr>
                  <w:t>36 straipsnis. Atsakomybę sunkinančios aplinkybės</w:t>
                </w:r>
              </w:p>
              <w:p>
                <w:pPr>
                  <w:spacing w:line="276" w:lineRule="auto"/>
                  <w:ind w:firstLine="709"/>
                  <w:jc w:val="both"/>
                  <w:rPr>
                    <w:sz w:val="20"/>
                    <w:lang w:val="en-US"/>
                  </w:rPr>
                </w:pPr>
                <w:r>
                  <w:rPr>
                    <w:sz w:val="20"/>
                  </w:rPr>
                  <w:t>1. Atsakomybę sunkinančios aplinkybės yra šios:</w:t>
                </w:r>
              </w:p>
              <w:p>
                <w:pPr>
                  <w:spacing w:line="276" w:lineRule="auto"/>
                  <w:ind w:firstLine="709"/>
                  <w:jc w:val="both"/>
                  <w:rPr>
                    <w:sz w:val="20"/>
                    <w:lang w:val="en-US"/>
                  </w:rPr>
                </w:pPr>
                <w:r>
                  <w:rPr>
                    <w:sz w:val="20"/>
                  </w:rPr>
                  <w:t>1) administracinį nusižengimą padarė du ar daugiau susitariusių asmenų. Teismas ar administracinio nusižengimo bylą ne teismo tvarka nagrinėjanti institucija (pareigūnas), atsižvelgdami į asmens dalyvavimo padarant administracinį nusižengimą pobūdį ir mastą ar paramą nustatant administracinio nusižengimo padarymo aplinkybes ir jį padarant dalyvavusius asmenis, gali šios aplinkybės nepripažinti atsakomybę sunkinančia;</w:t>
                </w:r>
              </w:p>
              <w:p>
                <w:pPr>
                  <w:spacing w:line="276" w:lineRule="auto"/>
                  <w:ind w:firstLine="709"/>
                  <w:jc w:val="both"/>
                  <w:rPr>
                    <w:sz w:val="20"/>
                    <w:lang w:val="en-US"/>
                  </w:rPr>
                </w:pPr>
                <w:r>
                  <w:rPr>
                    <w:sz w:val="20"/>
                  </w:rPr>
                  <w:t>2) administracinis nusižengimas padarytas pasinaudojant visuomenės ar kito asmens nelaime;</w:t>
                </w:r>
              </w:p>
              <w:p>
                <w:pPr>
                  <w:spacing w:line="276" w:lineRule="auto"/>
                  <w:ind w:firstLine="709"/>
                  <w:jc w:val="both"/>
                  <w:rPr>
                    <w:sz w:val="20"/>
                    <w:lang w:val="en-US"/>
                  </w:rPr>
                </w:pPr>
                <w:r>
                  <w:rPr>
                    <w:sz w:val="20"/>
                  </w:rPr>
                  <w:t>3) dėl administracinio nusižengimo atsirado sunkių padarinių;</w:t>
                </w:r>
              </w:p>
              <w:p>
                <w:pPr>
                  <w:spacing w:line="276" w:lineRule="auto"/>
                  <w:ind w:firstLine="709"/>
                  <w:jc w:val="both"/>
                  <w:rPr>
                    <w:sz w:val="20"/>
                    <w:lang w:val="en-US"/>
                  </w:rPr>
                </w:pPr>
                <w:r>
                  <w:rPr>
                    <w:sz w:val="20"/>
                  </w:rPr>
                  <w:t>4) administracinis nusižengimas padarytas nėščiai moteriai, kai buvo žinoma ar akivaizdu, kad ji nėščia, arba neįgaliam asmeniui, kai buvo žinoma ar akivaizdu, kad jis neįgalus;</w:t>
                </w:r>
              </w:p>
              <w:p>
                <w:pPr>
                  <w:spacing w:line="276" w:lineRule="auto"/>
                  <w:ind w:firstLine="709"/>
                  <w:jc w:val="both"/>
                  <w:rPr>
                    <w:sz w:val="20"/>
                    <w:lang w:val="en-US"/>
                  </w:rPr>
                </w:pPr>
                <w:r>
                  <w:rPr>
                    <w:sz w:val="20"/>
                  </w:rPr>
                  <w:t>5) į administracinio nusižengimo padarymą įtrauktas nepilnametis ir jį įtraukė pilnametis;</w:t>
                </w:r>
              </w:p>
              <w:p>
                <w:pPr>
                  <w:spacing w:line="276" w:lineRule="auto"/>
                  <w:ind w:firstLine="709"/>
                  <w:jc w:val="both"/>
                  <w:rPr>
                    <w:sz w:val="20"/>
                    <w:lang w:val="en-US"/>
                  </w:rPr>
                </w:pPr>
                <w:r>
                  <w:rPr>
                    <w:sz w:val="20"/>
                  </w:rPr>
                  <w:t>6) administracinis nusižengimas padarytas mažamečiui;</w:t>
                </w:r>
              </w:p>
              <w:p>
                <w:pPr>
                  <w:spacing w:line="276" w:lineRule="auto"/>
                  <w:ind w:firstLine="709"/>
                  <w:jc w:val="both"/>
                  <w:rPr>
                    <w:sz w:val="20"/>
                    <w:lang w:val="en-US"/>
                  </w:rPr>
                </w:pPr>
                <w:r>
                  <w:rPr>
                    <w:sz w:val="20"/>
                  </w:rPr>
                  <w:t>7) administracinis nusižengimas padarytas reiškiant neapykantą asmeniui (asmenims) ar diskriminuojant asmenį (asmenis) dėl lyties, rasės, tautybės, kalbos, kilmės, socialinės padėties, tikėjimo, įsitikinimų, pažiūrų ar kitais pagrindais;</w:t>
                </w:r>
              </w:p>
              <w:p>
                <w:pPr>
                  <w:spacing w:line="276" w:lineRule="auto"/>
                  <w:ind w:firstLine="709"/>
                  <w:jc w:val="both"/>
                  <w:rPr>
                    <w:sz w:val="20"/>
                    <w:lang w:val="en-US"/>
                  </w:rPr>
                </w:pPr>
                <w:r>
                  <w:rPr>
                    <w:sz w:val="20"/>
                  </w:rPr>
                  <w:t>8) administracinį nusižengimą padarė neblaivus ar apsvaigęs nuo narkotinių, psichotropinių ar kitų psichiką veikiančių medžiagų asmuo ir šios aplinkybės turėjo įtakos administracinio nusižengimo padarymui;</w:t>
                </w:r>
              </w:p>
              <w:p>
                <w:pPr>
                  <w:spacing w:line="276" w:lineRule="auto"/>
                  <w:ind w:firstLine="709"/>
                  <w:jc w:val="both"/>
                  <w:rPr>
                    <w:sz w:val="20"/>
                    <w:lang w:val="en-US"/>
                  </w:rPr>
                </w:pPr>
                <w:r>
                  <w:rPr>
                    <w:sz w:val="20"/>
                  </w:rPr>
                  <w:t>9) administracinis nusižengimas padarytas kankinant asmenį ar tyčiojantis iš jo;</w:t>
                </w:r>
              </w:p>
              <w:p>
                <w:pPr>
                  <w:spacing w:line="276" w:lineRule="auto"/>
                  <w:ind w:firstLine="709"/>
                  <w:jc w:val="both"/>
                  <w:rPr>
                    <w:sz w:val="20"/>
                    <w:lang w:val="en-US"/>
                  </w:rPr>
                </w:pPr>
                <w:r>
                  <w:rPr>
                    <w:sz w:val="20"/>
                  </w:rPr>
                  <w:t>10) administracinis nusižengimas padarytas visuotinai pavojingu būdu arba naudojant sprogmenis, sprogstamąsias medžiagas arba šaunamuosius ginklus;</w:t>
                </w:r>
              </w:p>
              <w:p>
                <w:pPr>
                  <w:spacing w:line="276" w:lineRule="auto"/>
                  <w:ind w:firstLine="709"/>
                  <w:jc w:val="both"/>
                  <w:rPr>
                    <w:sz w:val="20"/>
                    <w:lang w:val="en-US"/>
                  </w:rPr>
                </w:pPr>
                <w:r>
                  <w:rPr>
                    <w:sz w:val="20"/>
                  </w:rPr>
                  <w:t>11) administracinis nusižengimas padarytas iš chuliganiškų ar savanaudiškų paskatų;</w:t>
                </w:r>
              </w:p>
              <w:p>
                <w:pPr>
                  <w:spacing w:line="276" w:lineRule="auto"/>
                  <w:ind w:firstLine="709"/>
                  <w:jc w:val="both"/>
                  <w:rPr>
                    <w:sz w:val="20"/>
                    <w:lang w:val="en-US"/>
                  </w:rPr>
                </w:pPr>
                <w:r>
                  <w:rPr>
                    <w:sz w:val="20"/>
                  </w:rPr>
                  <w:t>12) tame pačiame šio kodekso straipsnyje numatytas administracinis nusižengimas padarytas pakartotinai, kol dar nepasibaigęs šio kodekso 40 straipsnyje nustatytas terminas.</w:t>
                </w:r>
              </w:p>
              <w:p>
                <w:pPr>
                  <w:spacing w:line="276" w:lineRule="auto"/>
                  <w:ind w:firstLine="709"/>
                  <w:jc w:val="both"/>
                  <w:rPr>
                    <w:b/>
                    <w:bCs/>
                    <w:sz w:val="20"/>
                  </w:rPr>
                </w:pPr>
              </w:p>
              <w:p>
                <w:pPr>
                  <w:spacing w:line="276" w:lineRule="auto"/>
                  <w:jc w:val="both"/>
                  <w:rPr>
                    <w:b/>
                    <w:bCs/>
                    <w:sz w:val="20"/>
                  </w:rPr>
                </w:pPr>
                <w:r>
                  <w:rPr>
                    <w:b/>
                    <w:bCs/>
                    <w:sz w:val="20"/>
                  </w:rPr>
                  <w:t>AAĮ</w:t>
                </w:r>
              </w:p>
              <w:p>
                <w:pPr>
                  <w:spacing w:line="276" w:lineRule="auto"/>
                  <w:ind w:firstLine="709"/>
                  <w:jc w:val="both"/>
                  <w:rPr>
                    <w:b/>
                    <w:bCs/>
                    <w:sz w:val="20"/>
                  </w:rPr>
                </w:pPr>
                <w:r>
                  <w:rPr>
                    <w:b/>
                    <w:bCs/>
                    <w:sz w:val="20"/>
                  </w:rPr>
                  <w:t>51 straipsnis. Ekonominės sankcijos skyrimas juridiniam asmeniui</w:t>
                </w:r>
              </w:p>
              <w:p>
                <w:pPr>
                  <w:spacing w:line="276" w:lineRule="auto"/>
                  <w:ind w:firstLine="709"/>
                  <w:jc w:val="both"/>
                  <w:rPr>
                    <w:sz w:val="20"/>
                    <w:lang w:val="en-US"/>
                  </w:rPr>
                </w:pPr>
                <w:r>
                  <w:rPr>
                    <w:sz w:val="20"/>
                  </w:rPr>
                  <w:t>Skiriant juridiniam asmeniui ekonominę sankciją, atsižvelgiama į padaryto teisės pažeidimo pobūdį, juridinio asmens atsakomybę lengvinančias ar sunkinančias aplinkybes.</w:t>
                </w:r>
              </w:p>
              <w:p>
                <w:pPr>
                  <w:spacing w:line="276" w:lineRule="auto"/>
                  <w:ind w:firstLine="709"/>
                  <w:jc w:val="both"/>
                  <w:rPr>
                    <w:sz w:val="20"/>
                    <w:lang w:val="en-US"/>
                  </w:rPr>
                </w:pPr>
                <w:r>
                  <w:rPr>
                    <w:sz w:val="20"/>
                  </w:rPr>
                  <w:t>Atsakomybę lengvinančiomis aplinkybėmis laikoma tai, kad padaręs pažeidimą juridinis asmuo savo noru ėmėsi visų būtinų veiksmų, siekdamas užkirsti kelią žalingiems pažeidimo padariniams arba juos sumažinti ir likviduoti, atlygino padarytą žalą (nuostolius) aplinkai ir kitiems asmenims, padėjo tyrimo metu.</w:t>
                </w:r>
              </w:p>
              <w:p>
                <w:pPr>
                  <w:spacing w:line="276" w:lineRule="auto"/>
                  <w:ind w:firstLine="709"/>
                  <w:jc w:val="both"/>
                  <w:rPr>
                    <w:sz w:val="20"/>
                  </w:rPr>
                </w:pPr>
                <w:r>
                  <w:rPr>
                    <w:sz w:val="20"/>
                  </w:rPr>
                  <w:t>Atsakomybę sunkinančiomis aplinkybėmis laikoma tai, kad juridinis asmuo kliudė vykdyti pažeidimo tyrimą, slėpė padarytą pažeidimą arba tęsė pažeidimą, nepaisydamas kompetentingos institucijos įpareigojimo nutraukti neteisėtus veiksmus, pažeidimas sukėlė žalą aplinkai (išskyrus mažareikšmę žalą aplinkai), pažeidimas padarytas asmeniui siekiant gauti ekonominės</w:t>
                </w:r>
                <w:r>
                  <w:rPr>
                    <w:b/>
                    <w:bCs/>
                    <w:sz w:val="20"/>
                  </w:rPr>
                  <w:t xml:space="preserve"> </w:t>
                </w:r>
                <w:r>
                  <w:rPr>
                    <w:sz w:val="20"/>
                  </w:rPr>
                  <w:t>naudos, pažeidimas padarytas pakartotinai. Skiriant ekonominę sankciją neatsižvelgiama į tokią atsakomybę sunkinančią aplinkybę, kuri yra padaryto šio įstatymo 55–128</w:t>
                </w:r>
                <w:r>
                  <w:rPr>
                    <w:sz w:val="20"/>
                    <w:vertAlign w:val="superscript"/>
                  </w:rPr>
                  <w:t xml:space="preserve">1 </w:t>
                </w:r>
                <w:r>
                  <w:rPr>
                    <w:sz w:val="20"/>
                  </w:rPr>
                  <w:t>straipsniuose numatyto pažeidimo sudėties požymis.</w:t>
                </w:r>
              </w:p>
              <w:p>
                <w:pPr>
                  <w:spacing w:line="276" w:lineRule="auto"/>
                  <w:ind w:firstLine="709"/>
                  <w:jc w:val="both"/>
                  <w:rPr>
                    <w:sz w:val="20"/>
                    <w:lang w:val="en-US"/>
                  </w:rPr>
                </w:pPr>
                <w:r>
                  <w:rPr>
                    <w:sz w:val="20"/>
                  </w:rPr>
                  <w:t>Laikoma, kad pažeidimas padarytas pakartotinai, jeigu asmuo, kuriam buvo paskirta ekonominė sankcija, per vienus metus nuo nutarimo byloje dėl ekonominės sankcijos skyrimo įsigaliojimo dienos padarė tame pačiame straipsnyje numatytą pažeidimą.</w:t>
                </w:r>
              </w:p>
              <w:p>
                <w:pPr>
                  <w:spacing w:line="276" w:lineRule="auto"/>
                  <w:ind w:firstLine="709"/>
                  <w:jc w:val="both"/>
                  <w:rPr>
                    <w:sz w:val="20"/>
                  </w:rPr>
                </w:pPr>
              </w:p>
            </w:tc>
            <w:tc>
              <w:tcPr>
                <w:tcW w:w="3232" w:type="dxa"/>
              </w:tcPr>
              <w:p>
                <w:pPr>
                  <w:widowControl w:val="0"/>
                  <w:suppressAutoHyphens/>
                  <w:rPr>
                    <w:rFonts w:eastAsia="Lucida Sans Unicode"/>
                    <w:b/>
                    <w:bCs/>
                    <w:sz w:val="20"/>
                  </w:rPr>
                </w:pPr>
                <w:r>
                  <w:rPr>
                    <w:rFonts w:eastAsia="Lucida Sans Unicode"/>
                    <w:b/>
                    <w:bCs/>
                    <w:sz w:val="20"/>
                  </w:rPr>
                  <w:t>Visiškas</w:t>
                </w:r>
              </w:p>
            </w:tc>
          </w:tr>
          <w:tr>
            <w:tc>
              <w:tcPr>
                <w:tcW w:w="3256" w:type="dxa"/>
              </w:tcPr>
              <w:p>
                <w:pPr>
                  <w:jc w:val="both"/>
                  <w:rPr>
                    <w:b/>
                    <w:bCs/>
                    <w:color w:val="000000"/>
                    <w:sz w:val="20"/>
                    <w:lang w:eastAsia="ar-SA"/>
                  </w:rPr>
                </w:pPr>
                <w:r>
                  <w:rPr>
                    <w:b/>
                    <w:bCs/>
                    <w:color w:val="000000"/>
                    <w:sz w:val="20"/>
                    <w:lang w:eastAsia="ar-SA"/>
                  </w:rPr>
                  <w:t>63 straipsnio 3 dalis</w:t>
                </w:r>
              </w:p>
              <w:p>
                <w:pPr>
                  <w:shd w:val="clear" w:color="auto" w:fill="FFFFFF"/>
                  <w:jc w:val="both"/>
                  <w:rPr>
                    <w:color w:val="000000"/>
                    <w:sz w:val="20"/>
                    <w:lang w:eastAsia="lt-LT"/>
                  </w:rPr>
                </w:pPr>
                <w:r>
                  <w:rPr>
                    <w:color w:val="000000"/>
                    <w:sz w:val="20"/>
                    <w:lang w:eastAsia="lt-LT"/>
                  </w:rPr>
                  <w:t>3. Pažeidus šį reglamentą, valstybės narės turėtų galėti taikyti, kai aktualu, bent šias sankcijas: a) baudas; b) su atliekų tvarkymu ir vežimu susijusios veiklos leidimo panaikinimą arba laikiną sustabdymą, jei ši veikla patenka į šio reglamento taikymo sritį; c) laikiną pašalinimą iš viešųjų pirkimų procedūrų</w:t>
                </w:r>
              </w:p>
            </w:tc>
            <w:tc>
              <w:tcPr>
                <w:tcW w:w="8505" w:type="dxa"/>
              </w:tcPr>
              <w:p>
                <w:pPr>
                  <w:widowControl w:val="0"/>
                  <w:spacing w:line="276" w:lineRule="auto"/>
                  <w:ind w:firstLine="720"/>
                  <w:jc w:val="both"/>
                  <w:rPr>
                    <w:b/>
                    <w:bCs/>
                    <w:color w:val="000000"/>
                    <w:sz w:val="20"/>
                    <w:lang w:eastAsia="lt-LT"/>
                  </w:rPr>
                </w:pPr>
                <w:r>
                  <w:rPr>
                    <w:b/>
                    <w:bCs/>
                    <w:color w:val="000000"/>
                    <w:sz w:val="20"/>
                    <w:lang w:eastAsia="lt-LT"/>
                  </w:rPr>
                  <w:t>5 straipsnis. 87 straipsnio pakeitimas</w:t>
                </w:r>
              </w:p>
              <w:p>
                <w:pPr>
                  <w:widowControl w:val="0"/>
                  <w:spacing w:line="276" w:lineRule="auto"/>
                  <w:ind w:firstLine="709"/>
                  <w:jc w:val="both"/>
                  <w:rPr>
                    <w:color w:val="000000"/>
                    <w:sz w:val="20"/>
                    <w:lang w:eastAsia="lt-LT"/>
                  </w:rPr>
                </w:pPr>
                <w:r>
                  <w:rPr>
                    <w:color w:val="000000"/>
                    <w:sz w:val="20"/>
                    <w:lang w:eastAsia="lt-LT"/>
                  </w:rPr>
                  <w:t>Pakeisti 87 straipsnį ir jį išdėstyti taip:</w:t>
                </w:r>
              </w:p>
              <w:p>
                <w:pPr>
                  <w:widowControl w:val="0"/>
                  <w:suppressAutoHyphens/>
                  <w:ind w:firstLine="709"/>
                  <w:jc w:val="both"/>
                  <w:rPr>
                    <w:color w:val="000000"/>
                    <w:sz w:val="20"/>
                    <w:lang w:eastAsia="lt-LT"/>
                  </w:rPr>
                </w:pPr>
                <w:r>
                  <w:rPr>
                    <w:color w:val="000000"/>
                    <w:sz w:val="20"/>
                    <w:lang w:eastAsia="lt-LT"/>
                  </w:rPr>
                  <w:t>„87 straipsnis. Juridinių asmenų atsakomybė už reikalavimų, susijusių su atliekų įvežimu, importu, išvežimu, eksportu, pažeidimą</w:t>
                </w:r>
              </w:p>
              <w:p>
                <w:pPr>
                  <w:widowControl w:val="0"/>
                  <w:suppressAutoHyphens/>
                  <w:spacing w:line="276" w:lineRule="auto"/>
                  <w:ind w:firstLine="709"/>
                  <w:jc w:val="both"/>
                  <w:rPr>
                    <w:color w:val="000000"/>
                    <w:sz w:val="20"/>
                    <w:lang w:eastAsia="lt-LT"/>
                  </w:rPr>
                </w:pPr>
                <w:r>
                  <w:rPr>
                    <w:color w:val="000000"/>
                    <w:sz w:val="20"/>
                    <w:lang w:eastAsia="lt-LT"/>
                  </w:rPr>
                  <w:t xml:space="preserve">Reglamento </w:t>
                </w:r>
                <w:fldSimple w:instr="HYPERLINK http://eur-lex.europa.eu/legal-content/LIT/TXT/?uri=CELEX:32024R1157&amp;locale=lt \t _blank">
                  <w:r>
                    <w:rPr>
                      <w:color w:val="0000FF" w:themeColor="hyperlink"/>
                      <w:sz w:val="20"/>
                      <w:lang w:eastAsia="lt-LT"/>
                      <w:u w:val="single"/>
                    </w:rPr>
                    <w:t>(ES) 2024/1157</w:t>
                  </w:r>
                </w:fldSimple>
                <w:r>
                  <w:rPr>
                    <w:color w:val="000000"/>
                    <w:sz w:val="20"/>
                    <w:lang w:eastAsia="lt-LT"/>
                  </w:rPr>
                  <w:t xml:space="preserve"> IB priedų (toliau – Judėjimo dokumentas) ar Reglamento </w:t>
                </w:r>
                <w:fldSimple w:instr="HYPERLINK http://eur-lex.europa.eu/legal-content/LIT/TXT/?uri=CELEX:32024R1157&amp;locale=lt \t _blank">
                  <w:r>
                    <w:rPr>
                      <w:color w:val="0000FF" w:themeColor="hyperlink"/>
                      <w:sz w:val="20"/>
                      <w:lang w:eastAsia="lt-LT"/>
                      <w:u w:val="single"/>
                    </w:rPr>
                    <w:t>(ES) 2024/1157</w:t>
                  </w:r>
                </w:fldSimple>
                <w:r>
                  <w:rPr>
                    <w:color w:val="000000"/>
                    <w:sz w:val="20"/>
                    <w:lang w:eastAsia="lt-LT"/>
                  </w:rPr>
                  <w:t xml:space="preserve"> VII priedų, patvirtinančių įvežtų, importuotų atliekų gavimą, panaudojimą ir (ar) šalinimą, ir (ar) Pranešimo dokumentų apie planuojamą atliekų išvežimą, eksportą nepateikimas kompetentingoms institucijoms, ir kitiems su vežimu susijusiems fiziniams ir (ar) juridiniams asmenims Reglamento </w:t>
                </w:r>
                <w:fldSimple w:instr="HYPERLINK http://eur-lex.europa.eu/legal-content/LIT/TXT/?uri=CELEX:32024R1157&amp;locale=lt \t _blank">
                  <w:r>
                    <w:rPr>
                      <w:color w:val="0000FF" w:themeColor="hyperlink"/>
                      <w:sz w:val="20"/>
                      <w:lang w:eastAsia="lt-LT"/>
                      <w:u w:val="single"/>
                    </w:rPr>
                    <w:t>(ES) 2024/1157</w:t>
                  </w:r>
                </w:fldSimple>
                <w:r>
                  <w:rPr>
                    <w:color w:val="000000"/>
                    <w:sz w:val="20"/>
                    <w:lang w:eastAsia="lt-LT"/>
                  </w:rPr>
                  <w:t xml:space="preserve"> 16 straipsnio 1, 2, 5, 6 dalyse nustatyta tvarka ir terminais Reglamento </w:t>
                </w:r>
                <w:fldSimple w:instr="HYPERLINK http://eur-lex.europa.eu/legal-content/LIT/TXT/?uri=CELEX:32024R1157&amp;locale=lt \t _blank">
                  <w:r>
                    <w:rPr>
                      <w:color w:val="0000FF" w:themeColor="hyperlink"/>
                      <w:sz w:val="20"/>
                      <w:lang w:eastAsia="lt-LT"/>
                      <w:u w:val="single"/>
                    </w:rPr>
                    <w:t>(ES) 2024/1157</w:t>
                  </w:r>
                </w:fldSimple>
                <w:r>
                  <w:rPr>
                    <w:color w:val="000000"/>
                    <w:sz w:val="20"/>
                    <w:lang w:eastAsia="lt-LT"/>
                  </w:rPr>
                  <w:t xml:space="preserve"> IA priede (toliau – Pranešimo dokumentas), Judėjimo dokumente ar Reglamento </w:t>
                </w:r>
                <w:fldSimple w:instr="HYPERLINK http://eur-lex.europa.eu/legal-content/LIT/TXT/?uri=CELEX:32024R1157&amp;locale=lt \t _blank">
                  <w:r>
                    <w:rPr>
                      <w:color w:val="0000FF" w:themeColor="hyperlink"/>
                      <w:sz w:val="20"/>
                      <w:lang w:eastAsia="lt-LT"/>
                      <w:u w:val="single"/>
                    </w:rPr>
                    <w:t>(ES) 2024/1157</w:t>
                  </w:r>
                </w:fldSimple>
                <w:r>
                  <w:rPr>
                    <w:color w:val="000000"/>
                    <w:sz w:val="20"/>
                    <w:lang w:eastAsia="lt-LT"/>
                  </w:rPr>
                  <w:t xml:space="preserve"> VII priede pateikimas užtraukia baudą nuo šešių šimtų iki vieno tūkstančio dviejų šimtų eurų.</w:t>
                </w:r>
              </w:p>
              <w:p>
                <w:pPr>
                  <w:spacing w:line="276" w:lineRule="auto"/>
                  <w:ind w:firstLine="709"/>
                  <w:jc w:val="both"/>
                  <w:rPr>
                    <w:color w:val="000000"/>
                    <w:sz w:val="20"/>
                    <w:lang w:eastAsia="lt-LT"/>
                  </w:rPr>
                </w:pPr>
                <w:r>
                  <w:rPr>
                    <w:color w:val="000000"/>
                    <w:sz w:val="20"/>
                    <w:lang w:eastAsia="lt-LT"/>
                  </w:rPr>
                  <w:t>Šio straipsnio trečioje dalyje numatytas pažeidimas, padarytas pakartotinai, užtraukia baudą nuo vieno tūkstančio keturių šimtų iki trijų tūkstančių eurų.</w:t>
                </w:r>
              </w:p>
              <w:p>
                <w:pPr>
                  <w:spacing w:line="276" w:lineRule="auto"/>
                  <w:ind w:firstLine="709"/>
                  <w:jc w:val="both"/>
                  <w:rPr>
                    <w:color w:val="000000"/>
                    <w:sz w:val="20"/>
                    <w:lang w:eastAsia="lt-LT"/>
                  </w:rPr>
                </w:pPr>
                <w:r>
                  <w:rPr>
                    <w:color w:val="000000"/>
                    <w:sz w:val="20"/>
                    <w:lang w:eastAsia="lt-LT"/>
                  </w:rPr>
                  <w:t xml:space="preserve">Neteisėtas atliekų vežimas, kaip numatyta Reglamento </w:t>
                </w:r>
                <w:fldSimple w:instr="HYPERLINK http://eur-lex.europa.eu/legal-content/LIT/TXT/?uri=CELEX:32024R1157&amp;locale=lt \t _blank">
                  <w:r>
                    <w:rPr>
                      <w:color w:val="0000FF" w:themeColor="hyperlink"/>
                      <w:sz w:val="20"/>
                      <w:lang w:eastAsia="lt-LT"/>
                      <w:u w:val="single"/>
                    </w:rPr>
                    <w:t>(ES) 2024/1157</w:t>
                  </w:r>
                </w:fldSimple>
                <w:r>
                  <w:rPr>
                    <w:color w:val="000000"/>
                    <w:sz w:val="20"/>
                    <w:lang w:eastAsia="lt-LT"/>
                  </w:rPr>
                  <w:t xml:space="preserve"> 3 straipsnio 26 dalį, užtraukia baudą nuo vieno tūkstančio dviejų šimtų eurų iki dviejų tūkstančių keturių šimtų eurų.</w:t>
                </w:r>
              </w:p>
              <w:p>
                <w:pPr>
                  <w:ind w:firstLine="709"/>
                  <w:jc w:val="both"/>
                  <w:rPr>
                    <w:sz w:val="20"/>
                    <w:lang w:val="en-US"/>
                  </w:rPr>
                </w:pPr>
                <w:r>
                  <w:rPr>
                    <w:color w:val="000000"/>
                    <w:sz w:val="20"/>
                    <w:lang w:eastAsia="lt-LT"/>
                  </w:rPr>
                  <w:t>Šio straipsnio ketvirtoje dalyje numatytas pažeidimas, padarytas pakartotinai užtraukia baudą nuo dviejų tūkstančių keturių šimtų iki keturių tūkstančių aštuonių šimtų eurų.“</w:t>
                </w:r>
              </w:p>
            </w:tc>
            <w:tc>
              <w:tcPr>
                <w:tcW w:w="3232" w:type="dxa"/>
              </w:tcPr>
              <w:p>
                <w:pPr>
                  <w:widowControl w:val="0"/>
                  <w:suppressAutoHyphens/>
                  <w:rPr>
                    <w:rFonts w:eastAsia="Lucida Sans Unicode"/>
                    <w:b/>
                    <w:bCs/>
                    <w:sz w:val="20"/>
                  </w:rPr>
                </w:pPr>
                <w:r>
                  <w:rPr>
                    <w:rFonts w:eastAsia="Lucida Sans Unicode"/>
                    <w:b/>
                    <w:bCs/>
                    <w:sz w:val="20"/>
                  </w:rPr>
                  <w:t>Visiškas</w:t>
                </w:r>
              </w:p>
              <w:p>
                <w:pPr>
                  <w:widowControl w:val="0"/>
                  <w:suppressAutoHyphens/>
                  <w:rPr>
                    <w:rFonts w:eastAsia="Lucida Sans Unicode"/>
                    <w:b/>
                    <w:bCs/>
                    <w:sz w:val="20"/>
                  </w:rPr>
                </w:pPr>
              </w:p>
            </w:tc>
          </w:tr>
        </w:tbl>
        <w:p/>
      </w:sdtContent>
    </w:sdt>
    <w:sdt>
      <w:sdtPr>
        <w:alias w:val="pastraipa"/>
        <w:tag w:val="part_ea6e1c0948884d298d2033cedfc5ca15"/>
        <w:lock w:val="sdtLocked"/>
        <w:richText/>
      </w:sdtPr>
      <w:sdtContent>
        <w:p>
          <w:pPr>
            <w:widowControl w:val="0"/>
            <w:shd w:val="clear" w:color="auto" w:fill="FFFFFF"/>
            <w:suppressAutoHyphens/>
            <w:jc w:val="center"/>
            <w:rPr>
              <w:rFonts w:eastAsia="Lucida Sans Unicode"/>
              <w:szCs w:val="24"/>
            </w:rPr>
          </w:pPr>
          <w:r>
            <w:rPr>
              <w:rFonts w:eastAsia="Lucida Sans Unicode"/>
              <w:szCs w:val="24"/>
            </w:rPr>
            <w:t>_______________________________</w:t>
          </w:r>
        </w:p>
      </w:sdtContent>
    </w:sdt>
    <w:sectPr>
      <w:headerReference w:type="even" r:id="rId10"/>
      <w:headerReference w:type="default" r:id="rId11"/>
      <w:footerReference w:type="even" r:id="rId12"/>
      <w:footerReference w:type="default" r:id="rId13"/>
      <w:headerReference w:type="first" r:id="rId14"/>
      <w:footerReference w:type="first" r:id="rId15"/>
      <w:pgSz w:w="16838" w:h="11906" w:orient="landscape"/>
      <w:pgMar w:top="426" w:right="1701" w:bottom="567" w:left="1134"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widowControl w:val="0"/>
        <w:suppressAutoHyphens/>
        <w:rPr>
          <w:rFonts w:eastAsia="Lucida Sans Unicode"/>
          <w:szCs w:val="24"/>
        </w:rPr>
      </w:pPr>
      <w:r>
        <w:rPr>
          <w:rFonts w:eastAsia="Lucida Sans Unicode"/>
          <w:szCs w:val="24"/>
        </w:rPr>
        <w:separator/>
      </w:r>
    </w:p>
  </w:endnote>
  <w:endnote w:type="continuationSeparator" w:id="0">
    <w:p>
      <w:pPr>
        <w:widowControl w:val="0"/>
        <w:suppressAutoHyphens/>
        <w:rPr>
          <w:rFonts w:eastAsia="Lucida Sans Unicode"/>
          <w:szCs w:val="24"/>
        </w:rPr>
      </w:pPr>
      <w:r>
        <w:rPr>
          <w:rFonts w:eastAsia="Lucida Sans Unicode"/>
          <w:szCs w:val="24"/>
        </w:rPr>
        <w:continuationSeparator/>
      </w:r>
    </w:p>
  </w:endnote>
  <w:endnote w:type="continuationNotice" w:id="1">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MS Gothic">
    <w:altName w:val="ＭＳ ゴシック"/>
    <w:panose1 w:val="020B0609070205080204"/>
    <w:charset w:val="80"/>
    <w:family w:val="modern"/>
    <w:pitch w:val="fixed"/>
    <w:sig w:usb0="E00002FF" w:usb1="6AC7FDFB" w:usb2="00000012" w:usb3="00000000" w:csb0="0002009F" w:csb1="00000000"/>
  </w:font>
  <w:font w:name="Cambria">
    <w:panose1 w:val="02040503050406030204"/>
    <w:charset w:val="BA"/>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Calibri">
    <w:panose1 w:val="020F0502020204030204"/>
    <w:charset w:val="BA"/>
    <w:family w:val="swiss"/>
    <w:pitch w:val="variable"/>
    <w:sig w:usb0="E00002FF" w:usb1="4000ACFF" w:usb2="00000001" w:usb3="00000000" w:csb0="0000019F" w:csb1="00000000"/>
  </w:font>
  <w:font w:name="Arial">
    <w:panose1 w:val="020B0604020202020204"/>
    <w:charset w:val="BA"/>
    <w:family w:val="swiss"/>
    <w:pitch w:val="variable"/>
    <w:sig w:usb0="E0002AFF" w:usb1="C0007843"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widowControl w:val="0"/>
      <w:tabs>
        <w:tab w:val="center" w:pos="4819"/>
        <w:tab w:val="right" w:pos="9638"/>
      </w:tabs>
      <w:suppressAutoHyphens/>
      <w:rPr>
        <w:rFonts w:eastAsia="Lucida Sans Unicode"/>
        <w:szCs w:val="24"/>
        <w:lang w:val="x-none"/>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widowControl w:val="0"/>
      <w:tabs>
        <w:tab w:val="center" w:pos="4819"/>
        <w:tab w:val="right" w:pos="9638"/>
      </w:tabs>
      <w:suppressAutoHyphens/>
      <w:rPr>
        <w:rFonts w:eastAsia="Lucida Sans Unicode"/>
        <w:szCs w:val="24"/>
        <w:lang w:val="x-none"/>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widowControl w:val="0"/>
      <w:tabs>
        <w:tab w:val="center" w:pos="4819"/>
        <w:tab w:val="right" w:pos="9638"/>
      </w:tabs>
      <w:suppressAutoHyphens/>
      <w:rPr>
        <w:rFonts w:eastAsia="Lucida Sans Unicode"/>
        <w:szCs w:val="24"/>
        <w:lang w:val="x-none"/>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widowControl w:val="0"/>
        <w:suppressAutoHyphens/>
        <w:rPr>
          <w:rFonts w:eastAsia="Lucida Sans Unicode"/>
          <w:szCs w:val="24"/>
        </w:rPr>
      </w:pPr>
      <w:r>
        <w:rPr>
          <w:rFonts w:eastAsia="Lucida Sans Unicode"/>
          <w:szCs w:val="24"/>
        </w:rPr>
        <w:separator/>
      </w:r>
    </w:p>
  </w:footnote>
  <w:footnote w:type="continuationSeparator" w:id="0">
    <w:p>
      <w:pPr>
        <w:widowControl w:val="0"/>
        <w:suppressAutoHyphens/>
        <w:rPr>
          <w:rFonts w:eastAsia="Lucida Sans Unicode"/>
          <w:szCs w:val="24"/>
        </w:rPr>
      </w:pPr>
      <w:r>
        <w:rPr>
          <w:rFonts w:eastAsia="Lucida Sans Unicode"/>
          <w:szCs w:val="24"/>
        </w:rPr>
        <w:continuationSeparator/>
      </w:r>
    </w:p>
  </w:footnote>
  <w:footnote w:type="continuationNotice" w:id="1">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widowControl w:val="0"/>
      <w:tabs>
        <w:tab w:val="center" w:pos="4819"/>
        <w:tab w:val="right" w:pos="9638"/>
      </w:tabs>
      <w:suppressAutoHyphens/>
      <w:rPr>
        <w:rFonts w:eastAsia="Lucida Sans Unicode"/>
        <w:szCs w:val="24"/>
        <w:lang w:val="x-none"/>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widowControl w:val="0"/>
      <w:tabs>
        <w:tab w:val="center" w:pos="4819"/>
        <w:tab w:val="right" w:pos="9638"/>
      </w:tabs>
      <w:suppressAutoHyphens/>
      <w:jc w:val="center"/>
      <w:rPr>
        <w:rFonts w:eastAsia="Lucida Sans Unicode"/>
        <w:szCs w:val="24"/>
        <w:lang w:val="x-none"/>
      </w:rPr>
    </w:pPr>
    <w:r>
      <w:rPr>
        <w:rFonts w:eastAsia="Lucida Sans Unicode"/>
        <w:szCs w:val="24"/>
        <w:lang w:val="x-none"/>
      </w:rPr>
      <w:fldChar w:fldCharType="begin"/>
    </w:r>
    <w:r>
      <w:rPr>
        <w:rFonts w:eastAsia="Lucida Sans Unicode"/>
        <w:szCs w:val="24"/>
        <w:lang w:val="x-none"/>
      </w:rPr>
      <w:instrText xml:space="preserve"> PAGE   \* MERGEFORMAT </w:instrText>
    </w:r>
    <w:r>
      <w:rPr>
        <w:rFonts w:eastAsia="Lucida Sans Unicode"/>
        <w:szCs w:val="24"/>
        <w:lang w:val="x-none"/>
      </w:rPr>
      <w:fldChar w:fldCharType="separate"/>
    </w:r>
    <w:r>
      <w:rPr>
        <w:rFonts w:eastAsia="Lucida Sans Unicode"/>
        <w:szCs w:val="24"/>
        <w:lang w:val="x-none"/>
      </w:rPr>
      <w:t>4</w:t>
    </w:r>
    <w:r>
      <w:rPr>
        <w:rFonts w:eastAsia="Lucida Sans Unicode"/>
        <w:szCs w:val="24"/>
        <w:lang w:val="x-none"/>
      </w:rPr>
      <w:fldChar w:fldCharType="end"/>
    </w:r>
  </w:p>
  <w:p>
    <w:pPr>
      <w:widowControl w:val="0"/>
      <w:tabs>
        <w:tab w:val="center" w:pos="4819"/>
        <w:tab w:val="right" w:pos="9638"/>
      </w:tabs>
      <w:suppressAutoHyphens/>
      <w:rPr>
        <w:rFonts w:eastAsia="Lucida Sans Unicode"/>
        <w:szCs w:val="24"/>
        <w:lang w:val="x-none"/>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rFonts w:eastAsia="Lucida Sans Unicode"/>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drawingGridHorizontalSpacing w:val="120"/>
  <w:displayHorizontalDrawingGridEvery w:val="2"/>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1653B"/>
  </w:rsids>
  <m:mathPr>
    <m:mathFont m:val="Cambria Math"/>
    <m:brkBin m:val="before"/>
    <m:brkBinSub m:val="--"/>
    <m:smallFrac m:val="0"/>
    <m:dispDef/>
    <m:lMargin m:val="0"/>
    <m:rMargin m:val="0"/>
    <m:defJc m:val="centerGroup"/>
    <m:wrapIndent m:val="1440"/>
    <m:intLim m:val="subSup"/>
    <m:naryLim m:val="undOvr"/>
  </m:mathPr>
  <w:themeFontLang w:val="lt-LT"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97871567-2A34-49F0-BCFF-03AECC94A22B}"/>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2154933">
      <w:bodyDiv w:val="1"/>
      <w:marLeft w:val="0"/>
      <w:marRight w:val="0"/>
      <w:marTop w:val="0"/>
      <w:marBottom w:val="0"/>
      <w:divBdr>
        <w:top w:val="none" w:sz="0" w:space="0" w:color="auto"/>
        <w:left w:val="none" w:sz="0" w:space="0" w:color="auto"/>
        <w:bottom w:val="none" w:sz="0" w:space="0" w:color="auto"/>
        <w:right w:val="none" w:sz="0" w:space="0" w:color="auto"/>
      </w:divBdr>
      <w:divsChild>
        <w:div w:id="860321202">
          <w:marLeft w:val="0"/>
          <w:marRight w:val="0"/>
          <w:marTop w:val="0"/>
          <w:marBottom w:val="0"/>
          <w:divBdr>
            <w:top w:val="none" w:sz="0" w:space="0" w:color="auto"/>
            <w:left w:val="none" w:sz="0" w:space="0" w:color="auto"/>
            <w:bottom w:val="none" w:sz="0" w:space="0" w:color="auto"/>
            <w:right w:val="none" w:sz="0" w:space="0" w:color="auto"/>
          </w:divBdr>
        </w:div>
        <w:div w:id="1752314296">
          <w:marLeft w:val="0"/>
          <w:marRight w:val="0"/>
          <w:marTop w:val="0"/>
          <w:marBottom w:val="0"/>
          <w:divBdr>
            <w:top w:val="none" w:sz="0" w:space="0" w:color="auto"/>
            <w:left w:val="none" w:sz="0" w:space="0" w:color="auto"/>
            <w:bottom w:val="none" w:sz="0" w:space="0" w:color="auto"/>
            <w:right w:val="none" w:sz="0" w:space="0" w:color="auto"/>
          </w:divBdr>
        </w:div>
      </w:divsChild>
    </w:div>
    <w:div w:id="12341516">
      <w:bodyDiv w:val="1"/>
      <w:marLeft w:val="390"/>
      <w:marRight w:val="390"/>
      <w:marTop w:val="390"/>
      <w:marBottom w:val="0"/>
      <w:divBdr>
        <w:top w:val="none" w:sz="0" w:space="0" w:color="auto"/>
        <w:left w:val="none" w:sz="0" w:space="0" w:color="auto"/>
        <w:bottom w:val="none" w:sz="0" w:space="0" w:color="auto"/>
        <w:right w:val="none" w:sz="0" w:space="0" w:color="auto"/>
      </w:divBdr>
    </w:div>
    <w:div w:id="95903706">
      <w:bodyDiv w:val="1"/>
      <w:marLeft w:val="0"/>
      <w:marRight w:val="0"/>
      <w:marTop w:val="0"/>
      <w:marBottom w:val="0"/>
      <w:divBdr>
        <w:top w:val="none" w:sz="0" w:space="0" w:color="auto"/>
        <w:left w:val="none" w:sz="0" w:space="0" w:color="auto"/>
        <w:bottom w:val="none" w:sz="0" w:space="0" w:color="auto"/>
        <w:right w:val="none" w:sz="0" w:space="0" w:color="auto"/>
      </w:divBdr>
      <w:divsChild>
        <w:div w:id="711268150">
          <w:marLeft w:val="0"/>
          <w:marRight w:val="0"/>
          <w:marTop w:val="0"/>
          <w:marBottom w:val="0"/>
          <w:divBdr>
            <w:top w:val="none" w:sz="0" w:space="0" w:color="auto"/>
            <w:left w:val="none" w:sz="0" w:space="0" w:color="auto"/>
            <w:bottom w:val="none" w:sz="0" w:space="0" w:color="auto"/>
            <w:right w:val="none" w:sz="0" w:space="0" w:color="auto"/>
          </w:divBdr>
        </w:div>
      </w:divsChild>
    </w:div>
    <w:div w:id="194076334">
      <w:bodyDiv w:val="1"/>
      <w:marLeft w:val="0"/>
      <w:marRight w:val="0"/>
      <w:marTop w:val="0"/>
      <w:marBottom w:val="0"/>
      <w:divBdr>
        <w:top w:val="none" w:sz="0" w:space="0" w:color="auto"/>
        <w:left w:val="none" w:sz="0" w:space="0" w:color="auto"/>
        <w:bottom w:val="none" w:sz="0" w:space="0" w:color="auto"/>
        <w:right w:val="none" w:sz="0" w:space="0" w:color="auto"/>
      </w:divBdr>
    </w:div>
    <w:div w:id="200896475">
      <w:bodyDiv w:val="1"/>
      <w:marLeft w:val="0"/>
      <w:marRight w:val="0"/>
      <w:marTop w:val="0"/>
      <w:marBottom w:val="0"/>
      <w:divBdr>
        <w:top w:val="none" w:sz="0" w:space="0" w:color="auto"/>
        <w:left w:val="none" w:sz="0" w:space="0" w:color="auto"/>
        <w:bottom w:val="none" w:sz="0" w:space="0" w:color="auto"/>
        <w:right w:val="none" w:sz="0" w:space="0" w:color="auto"/>
      </w:divBdr>
    </w:div>
    <w:div w:id="274993552">
      <w:bodyDiv w:val="1"/>
      <w:marLeft w:val="0"/>
      <w:marRight w:val="0"/>
      <w:marTop w:val="0"/>
      <w:marBottom w:val="0"/>
      <w:divBdr>
        <w:top w:val="none" w:sz="0" w:space="0" w:color="auto"/>
        <w:left w:val="none" w:sz="0" w:space="0" w:color="auto"/>
        <w:bottom w:val="none" w:sz="0" w:space="0" w:color="auto"/>
        <w:right w:val="none" w:sz="0" w:space="0" w:color="auto"/>
      </w:divBdr>
      <w:divsChild>
        <w:div w:id="1455560982">
          <w:marLeft w:val="0"/>
          <w:marRight w:val="0"/>
          <w:marTop w:val="0"/>
          <w:marBottom w:val="0"/>
          <w:divBdr>
            <w:top w:val="none" w:sz="0" w:space="0" w:color="auto"/>
            <w:left w:val="none" w:sz="0" w:space="0" w:color="auto"/>
            <w:bottom w:val="none" w:sz="0" w:space="0" w:color="auto"/>
            <w:right w:val="none" w:sz="0" w:space="0" w:color="auto"/>
          </w:divBdr>
        </w:div>
        <w:div w:id="18513452">
          <w:marLeft w:val="0"/>
          <w:marRight w:val="0"/>
          <w:marTop w:val="0"/>
          <w:marBottom w:val="0"/>
          <w:divBdr>
            <w:top w:val="none" w:sz="0" w:space="0" w:color="auto"/>
            <w:left w:val="none" w:sz="0" w:space="0" w:color="auto"/>
            <w:bottom w:val="none" w:sz="0" w:space="0" w:color="auto"/>
            <w:right w:val="none" w:sz="0" w:space="0" w:color="auto"/>
          </w:divBdr>
        </w:div>
        <w:div w:id="110827652">
          <w:marLeft w:val="0"/>
          <w:marRight w:val="0"/>
          <w:marTop w:val="0"/>
          <w:marBottom w:val="0"/>
          <w:divBdr>
            <w:top w:val="none" w:sz="0" w:space="0" w:color="auto"/>
            <w:left w:val="none" w:sz="0" w:space="0" w:color="auto"/>
            <w:bottom w:val="none" w:sz="0" w:space="0" w:color="auto"/>
            <w:right w:val="none" w:sz="0" w:space="0" w:color="auto"/>
          </w:divBdr>
        </w:div>
      </w:divsChild>
    </w:div>
    <w:div w:id="295717947">
      <w:bodyDiv w:val="1"/>
      <w:marLeft w:val="0"/>
      <w:marRight w:val="0"/>
      <w:marTop w:val="0"/>
      <w:marBottom w:val="0"/>
      <w:divBdr>
        <w:top w:val="none" w:sz="0" w:space="0" w:color="auto"/>
        <w:left w:val="none" w:sz="0" w:space="0" w:color="auto"/>
        <w:bottom w:val="none" w:sz="0" w:space="0" w:color="auto"/>
        <w:right w:val="none" w:sz="0" w:space="0" w:color="auto"/>
      </w:divBdr>
      <w:divsChild>
        <w:div w:id="123087595">
          <w:marLeft w:val="0"/>
          <w:marRight w:val="0"/>
          <w:marTop w:val="0"/>
          <w:marBottom w:val="0"/>
          <w:divBdr>
            <w:top w:val="none" w:sz="0" w:space="0" w:color="auto"/>
            <w:left w:val="none" w:sz="0" w:space="0" w:color="auto"/>
            <w:bottom w:val="none" w:sz="0" w:space="0" w:color="auto"/>
            <w:right w:val="none" w:sz="0" w:space="0" w:color="auto"/>
          </w:divBdr>
          <w:divsChild>
            <w:div w:id="1595087741">
              <w:marLeft w:val="0"/>
              <w:marRight w:val="0"/>
              <w:marTop w:val="0"/>
              <w:marBottom w:val="0"/>
              <w:divBdr>
                <w:top w:val="none" w:sz="0" w:space="0" w:color="auto"/>
                <w:left w:val="none" w:sz="0" w:space="0" w:color="auto"/>
                <w:bottom w:val="none" w:sz="0" w:space="0" w:color="auto"/>
                <w:right w:val="none" w:sz="0" w:space="0" w:color="auto"/>
              </w:divBdr>
            </w:div>
            <w:div w:id="345059899">
              <w:marLeft w:val="0"/>
              <w:marRight w:val="0"/>
              <w:marTop w:val="0"/>
              <w:marBottom w:val="0"/>
              <w:divBdr>
                <w:top w:val="none" w:sz="0" w:space="0" w:color="auto"/>
                <w:left w:val="none" w:sz="0" w:space="0" w:color="auto"/>
                <w:bottom w:val="none" w:sz="0" w:space="0" w:color="auto"/>
                <w:right w:val="none" w:sz="0" w:space="0" w:color="auto"/>
              </w:divBdr>
            </w:div>
            <w:div w:id="198052338">
              <w:marLeft w:val="0"/>
              <w:marRight w:val="0"/>
              <w:marTop w:val="0"/>
              <w:marBottom w:val="0"/>
              <w:divBdr>
                <w:top w:val="none" w:sz="0" w:space="0" w:color="auto"/>
                <w:left w:val="none" w:sz="0" w:space="0" w:color="auto"/>
                <w:bottom w:val="none" w:sz="0" w:space="0" w:color="auto"/>
                <w:right w:val="none" w:sz="0" w:space="0" w:color="auto"/>
              </w:divBdr>
            </w:div>
            <w:div w:id="423456271">
              <w:marLeft w:val="0"/>
              <w:marRight w:val="0"/>
              <w:marTop w:val="0"/>
              <w:marBottom w:val="0"/>
              <w:divBdr>
                <w:top w:val="none" w:sz="0" w:space="0" w:color="auto"/>
                <w:left w:val="none" w:sz="0" w:space="0" w:color="auto"/>
                <w:bottom w:val="none" w:sz="0" w:space="0" w:color="auto"/>
                <w:right w:val="none" w:sz="0" w:space="0" w:color="auto"/>
              </w:divBdr>
            </w:div>
            <w:div w:id="1774011700">
              <w:marLeft w:val="0"/>
              <w:marRight w:val="0"/>
              <w:marTop w:val="0"/>
              <w:marBottom w:val="0"/>
              <w:divBdr>
                <w:top w:val="none" w:sz="0" w:space="0" w:color="auto"/>
                <w:left w:val="none" w:sz="0" w:space="0" w:color="auto"/>
                <w:bottom w:val="none" w:sz="0" w:space="0" w:color="auto"/>
                <w:right w:val="none" w:sz="0" w:space="0" w:color="auto"/>
              </w:divBdr>
            </w:div>
            <w:div w:id="2034307700">
              <w:marLeft w:val="0"/>
              <w:marRight w:val="0"/>
              <w:marTop w:val="0"/>
              <w:marBottom w:val="0"/>
              <w:divBdr>
                <w:top w:val="none" w:sz="0" w:space="0" w:color="auto"/>
                <w:left w:val="none" w:sz="0" w:space="0" w:color="auto"/>
                <w:bottom w:val="none" w:sz="0" w:space="0" w:color="auto"/>
                <w:right w:val="none" w:sz="0" w:space="0" w:color="auto"/>
              </w:divBdr>
            </w:div>
            <w:div w:id="26564901">
              <w:marLeft w:val="0"/>
              <w:marRight w:val="0"/>
              <w:marTop w:val="0"/>
              <w:marBottom w:val="0"/>
              <w:divBdr>
                <w:top w:val="none" w:sz="0" w:space="0" w:color="auto"/>
                <w:left w:val="none" w:sz="0" w:space="0" w:color="auto"/>
                <w:bottom w:val="none" w:sz="0" w:space="0" w:color="auto"/>
                <w:right w:val="none" w:sz="0" w:space="0" w:color="auto"/>
              </w:divBdr>
            </w:div>
          </w:divsChild>
        </w:div>
        <w:div w:id="2121367408">
          <w:marLeft w:val="0"/>
          <w:marRight w:val="0"/>
          <w:marTop w:val="0"/>
          <w:marBottom w:val="0"/>
          <w:divBdr>
            <w:top w:val="none" w:sz="0" w:space="0" w:color="auto"/>
            <w:left w:val="none" w:sz="0" w:space="0" w:color="auto"/>
            <w:bottom w:val="none" w:sz="0" w:space="0" w:color="auto"/>
            <w:right w:val="none" w:sz="0" w:space="0" w:color="auto"/>
          </w:divBdr>
        </w:div>
      </w:divsChild>
    </w:div>
    <w:div w:id="389772771">
      <w:bodyDiv w:val="1"/>
      <w:marLeft w:val="0"/>
      <w:marRight w:val="0"/>
      <w:marTop w:val="0"/>
      <w:marBottom w:val="0"/>
      <w:divBdr>
        <w:top w:val="none" w:sz="0" w:space="0" w:color="auto"/>
        <w:left w:val="none" w:sz="0" w:space="0" w:color="auto"/>
        <w:bottom w:val="none" w:sz="0" w:space="0" w:color="auto"/>
        <w:right w:val="none" w:sz="0" w:space="0" w:color="auto"/>
      </w:divBdr>
      <w:divsChild>
        <w:div w:id="944195906">
          <w:marLeft w:val="0"/>
          <w:marRight w:val="0"/>
          <w:marTop w:val="0"/>
          <w:marBottom w:val="0"/>
          <w:divBdr>
            <w:top w:val="none" w:sz="0" w:space="0" w:color="auto"/>
            <w:left w:val="none" w:sz="0" w:space="0" w:color="auto"/>
            <w:bottom w:val="none" w:sz="0" w:space="0" w:color="auto"/>
            <w:right w:val="none" w:sz="0" w:space="0" w:color="auto"/>
          </w:divBdr>
        </w:div>
      </w:divsChild>
    </w:div>
    <w:div w:id="480585537">
      <w:bodyDiv w:val="1"/>
      <w:marLeft w:val="0"/>
      <w:marRight w:val="0"/>
      <w:marTop w:val="0"/>
      <w:marBottom w:val="0"/>
      <w:divBdr>
        <w:top w:val="none" w:sz="0" w:space="0" w:color="auto"/>
        <w:left w:val="none" w:sz="0" w:space="0" w:color="auto"/>
        <w:bottom w:val="none" w:sz="0" w:space="0" w:color="auto"/>
        <w:right w:val="none" w:sz="0" w:space="0" w:color="auto"/>
      </w:divBdr>
      <w:divsChild>
        <w:div w:id="2134473037">
          <w:marLeft w:val="0"/>
          <w:marRight w:val="0"/>
          <w:marTop w:val="0"/>
          <w:marBottom w:val="0"/>
          <w:divBdr>
            <w:top w:val="none" w:sz="0" w:space="0" w:color="auto"/>
            <w:left w:val="none" w:sz="0" w:space="0" w:color="auto"/>
            <w:bottom w:val="none" w:sz="0" w:space="0" w:color="auto"/>
            <w:right w:val="none" w:sz="0" w:space="0" w:color="auto"/>
          </w:divBdr>
        </w:div>
        <w:div w:id="1911768628">
          <w:marLeft w:val="0"/>
          <w:marRight w:val="0"/>
          <w:marTop w:val="0"/>
          <w:marBottom w:val="0"/>
          <w:divBdr>
            <w:top w:val="none" w:sz="0" w:space="0" w:color="auto"/>
            <w:left w:val="none" w:sz="0" w:space="0" w:color="auto"/>
            <w:bottom w:val="none" w:sz="0" w:space="0" w:color="auto"/>
            <w:right w:val="none" w:sz="0" w:space="0" w:color="auto"/>
          </w:divBdr>
          <w:divsChild>
            <w:div w:id="994185594">
              <w:marLeft w:val="0"/>
              <w:marRight w:val="0"/>
              <w:marTop w:val="0"/>
              <w:marBottom w:val="0"/>
              <w:divBdr>
                <w:top w:val="none" w:sz="0" w:space="0" w:color="auto"/>
                <w:left w:val="none" w:sz="0" w:space="0" w:color="auto"/>
                <w:bottom w:val="none" w:sz="0" w:space="0" w:color="auto"/>
                <w:right w:val="none" w:sz="0" w:space="0" w:color="auto"/>
              </w:divBdr>
            </w:div>
            <w:div w:id="2100371865">
              <w:marLeft w:val="0"/>
              <w:marRight w:val="0"/>
              <w:marTop w:val="0"/>
              <w:marBottom w:val="0"/>
              <w:divBdr>
                <w:top w:val="none" w:sz="0" w:space="0" w:color="auto"/>
                <w:left w:val="none" w:sz="0" w:space="0" w:color="auto"/>
                <w:bottom w:val="none" w:sz="0" w:space="0" w:color="auto"/>
                <w:right w:val="none" w:sz="0" w:space="0" w:color="auto"/>
              </w:divBdr>
            </w:div>
          </w:divsChild>
        </w:div>
        <w:div w:id="1131167382">
          <w:marLeft w:val="0"/>
          <w:marRight w:val="0"/>
          <w:marTop w:val="0"/>
          <w:marBottom w:val="0"/>
          <w:divBdr>
            <w:top w:val="none" w:sz="0" w:space="0" w:color="auto"/>
            <w:left w:val="none" w:sz="0" w:space="0" w:color="auto"/>
            <w:bottom w:val="none" w:sz="0" w:space="0" w:color="auto"/>
            <w:right w:val="none" w:sz="0" w:space="0" w:color="auto"/>
          </w:divBdr>
        </w:div>
      </w:divsChild>
    </w:div>
    <w:div w:id="506790165">
      <w:bodyDiv w:val="1"/>
      <w:marLeft w:val="0"/>
      <w:marRight w:val="0"/>
      <w:marTop w:val="0"/>
      <w:marBottom w:val="0"/>
      <w:divBdr>
        <w:top w:val="none" w:sz="0" w:space="0" w:color="auto"/>
        <w:left w:val="none" w:sz="0" w:space="0" w:color="auto"/>
        <w:bottom w:val="none" w:sz="0" w:space="0" w:color="auto"/>
        <w:right w:val="none" w:sz="0" w:space="0" w:color="auto"/>
      </w:divBdr>
      <w:divsChild>
        <w:div w:id="240869600">
          <w:marLeft w:val="0"/>
          <w:marRight w:val="0"/>
          <w:marTop w:val="0"/>
          <w:marBottom w:val="0"/>
          <w:divBdr>
            <w:top w:val="none" w:sz="0" w:space="0" w:color="auto"/>
            <w:left w:val="none" w:sz="0" w:space="0" w:color="auto"/>
            <w:bottom w:val="none" w:sz="0" w:space="0" w:color="auto"/>
            <w:right w:val="none" w:sz="0" w:space="0" w:color="auto"/>
          </w:divBdr>
          <w:divsChild>
            <w:div w:id="1477916375">
              <w:marLeft w:val="0"/>
              <w:marRight w:val="0"/>
              <w:marTop w:val="0"/>
              <w:marBottom w:val="0"/>
              <w:divBdr>
                <w:top w:val="none" w:sz="0" w:space="0" w:color="auto"/>
                <w:left w:val="none" w:sz="0" w:space="0" w:color="auto"/>
                <w:bottom w:val="none" w:sz="0" w:space="0" w:color="auto"/>
                <w:right w:val="none" w:sz="0" w:space="0" w:color="auto"/>
              </w:divBdr>
            </w:div>
            <w:div w:id="23213942">
              <w:marLeft w:val="0"/>
              <w:marRight w:val="0"/>
              <w:marTop w:val="0"/>
              <w:marBottom w:val="0"/>
              <w:divBdr>
                <w:top w:val="none" w:sz="0" w:space="0" w:color="auto"/>
                <w:left w:val="none" w:sz="0" w:space="0" w:color="auto"/>
                <w:bottom w:val="none" w:sz="0" w:space="0" w:color="auto"/>
                <w:right w:val="none" w:sz="0" w:space="0" w:color="auto"/>
              </w:divBdr>
            </w:div>
            <w:div w:id="9902518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44635917">
      <w:bodyDiv w:val="1"/>
      <w:marLeft w:val="0"/>
      <w:marRight w:val="0"/>
      <w:marTop w:val="0"/>
      <w:marBottom w:val="0"/>
      <w:divBdr>
        <w:top w:val="none" w:sz="0" w:space="0" w:color="auto"/>
        <w:left w:val="none" w:sz="0" w:space="0" w:color="auto"/>
        <w:bottom w:val="none" w:sz="0" w:space="0" w:color="auto"/>
        <w:right w:val="none" w:sz="0" w:space="0" w:color="auto"/>
      </w:divBdr>
      <w:divsChild>
        <w:div w:id="2001078168">
          <w:marLeft w:val="0"/>
          <w:marRight w:val="0"/>
          <w:marTop w:val="0"/>
          <w:marBottom w:val="0"/>
          <w:divBdr>
            <w:top w:val="none" w:sz="0" w:space="0" w:color="auto"/>
            <w:left w:val="none" w:sz="0" w:space="0" w:color="auto"/>
            <w:bottom w:val="none" w:sz="0" w:space="0" w:color="auto"/>
            <w:right w:val="none" w:sz="0" w:space="0" w:color="auto"/>
          </w:divBdr>
        </w:div>
        <w:div w:id="1348943184">
          <w:marLeft w:val="0"/>
          <w:marRight w:val="0"/>
          <w:marTop w:val="0"/>
          <w:marBottom w:val="0"/>
          <w:divBdr>
            <w:top w:val="none" w:sz="0" w:space="0" w:color="auto"/>
            <w:left w:val="none" w:sz="0" w:space="0" w:color="auto"/>
            <w:bottom w:val="none" w:sz="0" w:space="0" w:color="auto"/>
            <w:right w:val="none" w:sz="0" w:space="0" w:color="auto"/>
          </w:divBdr>
        </w:div>
        <w:div w:id="1189296053">
          <w:marLeft w:val="0"/>
          <w:marRight w:val="0"/>
          <w:marTop w:val="0"/>
          <w:marBottom w:val="0"/>
          <w:divBdr>
            <w:top w:val="none" w:sz="0" w:space="0" w:color="auto"/>
            <w:left w:val="none" w:sz="0" w:space="0" w:color="auto"/>
            <w:bottom w:val="none" w:sz="0" w:space="0" w:color="auto"/>
            <w:right w:val="none" w:sz="0" w:space="0" w:color="auto"/>
          </w:divBdr>
        </w:div>
      </w:divsChild>
    </w:div>
    <w:div w:id="568224420">
      <w:bodyDiv w:val="1"/>
      <w:marLeft w:val="0"/>
      <w:marRight w:val="0"/>
      <w:marTop w:val="0"/>
      <w:marBottom w:val="0"/>
      <w:divBdr>
        <w:top w:val="none" w:sz="0" w:space="0" w:color="auto"/>
        <w:left w:val="none" w:sz="0" w:space="0" w:color="auto"/>
        <w:bottom w:val="none" w:sz="0" w:space="0" w:color="auto"/>
        <w:right w:val="none" w:sz="0" w:space="0" w:color="auto"/>
      </w:divBdr>
    </w:div>
    <w:div w:id="647248851">
      <w:bodyDiv w:val="1"/>
      <w:marLeft w:val="390"/>
      <w:marRight w:val="390"/>
      <w:marTop w:val="390"/>
      <w:marBottom w:val="0"/>
      <w:divBdr>
        <w:top w:val="none" w:sz="0" w:space="0" w:color="auto"/>
        <w:left w:val="none" w:sz="0" w:space="0" w:color="auto"/>
        <w:bottom w:val="none" w:sz="0" w:space="0" w:color="auto"/>
        <w:right w:val="none" w:sz="0" w:space="0" w:color="auto"/>
      </w:divBdr>
      <w:divsChild>
        <w:div w:id="280691103">
          <w:marLeft w:val="480"/>
          <w:marRight w:val="0"/>
          <w:marTop w:val="0"/>
          <w:marBottom w:val="0"/>
          <w:divBdr>
            <w:top w:val="none" w:sz="0" w:space="0" w:color="auto"/>
            <w:left w:val="none" w:sz="0" w:space="0" w:color="auto"/>
            <w:bottom w:val="none" w:sz="0" w:space="0" w:color="auto"/>
            <w:right w:val="none" w:sz="0" w:space="0" w:color="auto"/>
          </w:divBdr>
        </w:div>
        <w:div w:id="911625916">
          <w:marLeft w:val="480"/>
          <w:marRight w:val="0"/>
          <w:marTop w:val="0"/>
          <w:marBottom w:val="0"/>
          <w:divBdr>
            <w:top w:val="none" w:sz="0" w:space="0" w:color="auto"/>
            <w:left w:val="none" w:sz="0" w:space="0" w:color="auto"/>
            <w:bottom w:val="none" w:sz="0" w:space="0" w:color="auto"/>
            <w:right w:val="none" w:sz="0" w:space="0" w:color="auto"/>
          </w:divBdr>
        </w:div>
      </w:divsChild>
    </w:div>
    <w:div w:id="773746668">
      <w:bodyDiv w:val="1"/>
      <w:marLeft w:val="390"/>
      <w:marRight w:val="390"/>
      <w:marTop w:val="390"/>
      <w:marBottom w:val="0"/>
      <w:divBdr>
        <w:top w:val="none" w:sz="0" w:space="0" w:color="auto"/>
        <w:left w:val="none" w:sz="0" w:space="0" w:color="auto"/>
        <w:bottom w:val="none" w:sz="0" w:space="0" w:color="auto"/>
        <w:right w:val="none" w:sz="0" w:space="0" w:color="auto"/>
      </w:divBdr>
    </w:div>
    <w:div w:id="795484321">
      <w:bodyDiv w:val="1"/>
      <w:marLeft w:val="0"/>
      <w:marRight w:val="0"/>
      <w:marTop w:val="0"/>
      <w:marBottom w:val="0"/>
      <w:divBdr>
        <w:top w:val="none" w:sz="0" w:space="0" w:color="auto"/>
        <w:left w:val="none" w:sz="0" w:space="0" w:color="auto"/>
        <w:bottom w:val="none" w:sz="0" w:space="0" w:color="auto"/>
        <w:right w:val="none" w:sz="0" w:space="0" w:color="auto"/>
      </w:divBdr>
      <w:divsChild>
        <w:div w:id="2060475949">
          <w:marLeft w:val="0"/>
          <w:marRight w:val="0"/>
          <w:marTop w:val="0"/>
          <w:marBottom w:val="0"/>
          <w:divBdr>
            <w:top w:val="none" w:sz="0" w:space="0" w:color="auto"/>
            <w:left w:val="none" w:sz="0" w:space="0" w:color="auto"/>
            <w:bottom w:val="none" w:sz="0" w:space="0" w:color="auto"/>
            <w:right w:val="none" w:sz="0" w:space="0" w:color="auto"/>
          </w:divBdr>
        </w:div>
        <w:div w:id="184756668">
          <w:marLeft w:val="0"/>
          <w:marRight w:val="0"/>
          <w:marTop w:val="0"/>
          <w:marBottom w:val="0"/>
          <w:divBdr>
            <w:top w:val="none" w:sz="0" w:space="0" w:color="auto"/>
            <w:left w:val="none" w:sz="0" w:space="0" w:color="auto"/>
            <w:bottom w:val="none" w:sz="0" w:space="0" w:color="auto"/>
            <w:right w:val="none" w:sz="0" w:space="0" w:color="auto"/>
          </w:divBdr>
          <w:divsChild>
            <w:div w:id="417797394">
              <w:marLeft w:val="0"/>
              <w:marRight w:val="0"/>
              <w:marTop w:val="0"/>
              <w:marBottom w:val="0"/>
              <w:divBdr>
                <w:top w:val="none" w:sz="0" w:space="0" w:color="auto"/>
                <w:left w:val="none" w:sz="0" w:space="0" w:color="auto"/>
                <w:bottom w:val="none" w:sz="0" w:space="0" w:color="auto"/>
                <w:right w:val="none" w:sz="0" w:space="0" w:color="auto"/>
              </w:divBdr>
            </w:div>
            <w:div w:id="1511214279">
              <w:marLeft w:val="0"/>
              <w:marRight w:val="0"/>
              <w:marTop w:val="0"/>
              <w:marBottom w:val="0"/>
              <w:divBdr>
                <w:top w:val="none" w:sz="0" w:space="0" w:color="auto"/>
                <w:left w:val="none" w:sz="0" w:space="0" w:color="auto"/>
                <w:bottom w:val="none" w:sz="0" w:space="0" w:color="auto"/>
                <w:right w:val="none" w:sz="0" w:space="0" w:color="auto"/>
              </w:divBdr>
            </w:div>
          </w:divsChild>
        </w:div>
        <w:div w:id="310528777">
          <w:marLeft w:val="0"/>
          <w:marRight w:val="0"/>
          <w:marTop w:val="0"/>
          <w:marBottom w:val="0"/>
          <w:divBdr>
            <w:top w:val="none" w:sz="0" w:space="0" w:color="auto"/>
            <w:left w:val="none" w:sz="0" w:space="0" w:color="auto"/>
            <w:bottom w:val="none" w:sz="0" w:space="0" w:color="auto"/>
            <w:right w:val="none" w:sz="0" w:space="0" w:color="auto"/>
          </w:divBdr>
        </w:div>
      </w:divsChild>
    </w:div>
    <w:div w:id="867448376">
      <w:bodyDiv w:val="1"/>
      <w:marLeft w:val="0"/>
      <w:marRight w:val="0"/>
      <w:marTop w:val="0"/>
      <w:marBottom w:val="0"/>
      <w:divBdr>
        <w:top w:val="none" w:sz="0" w:space="0" w:color="auto"/>
        <w:left w:val="none" w:sz="0" w:space="0" w:color="auto"/>
        <w:bottom w:val="none" w:sz="0" w:space="0" w:color="auto"/>
        <w:right w:val="none" w:sz="0" w:space="0" w:color="auto"/>
      </w:divBdr>
      <w:divsChild>
        <w:div w:id="1343120608">
          <w:marLeft w:val="0"/>
          <w:marRight w:val="0"/>
          <w:marTop w:val="0"/>
          <w:marBottom w:val="0"/>
          <w:divBdr>
            <w:top w:val="none" w:sz="0" w:space="0" w:color="auto"/>
            <w:left w:val="none" w:sz="0" w:space="0" w:color="auto"/>
            <w:bottom w:val="none" w:sz="0" w:space="0" w:color="auto"/>
            <w:right w:val="none" w:sz="0" w:space="0" w:color="auto"/>
          </w:divBdr>
          <w:divsChild>
            <w:div w:id="941961686">
              <w:marLeft w:val="0"/>
              <w:marRight w:val="0"/>
              <w:marTop w:val="0"/>
              <w:marBottom w:val="0"/>
              <w:divBdr>
                <w:top w:val="none" w:sz="0" w:space="0" w:color="auto"/>
                <w:left w:val="none" w:sz="0" w:space="0" w:color="auto"/>
                <w:bottom w:val="none" w:sz="0" w:space="0" w:color="auto"/>
                <w:right w:val="none" w:sz="0" w:space="0" w:color="auto"/>
              </w:divBdr>
            </w:div>
            <w:div w:id="121848962">
              <w:marLeft w:val="0"/>
              <w:marRight w:val="0"/>
              <w:marTop w:val="0"/>
              <w:marBottom w:val="0"/>
              <w:divBdr>
                <w:top w:val="none" w:sz="0" w:space="0" w:color="auto"/>
                <w:left w:val="none" w:sz="0" w:space="0" w:color="auto"/>
                <w:bottom w:val="none" w:sz="0" w:space="0" w:color="auto"/>
                <w:right w:val="none" w:sz="0" w:space="0" w:color="auto"/>
              </w:divBdr>
            </w:div>
            <w:div w:id="1311059675">
              <w:marLeft w:val="0"/>
              <w:marRight w:val="0"/>
              <w:marTop w:val="0"/>
              <w:marBottom w:val="0"/>
              <w:divBdr>
                <w:top w:val="none" w:sz="0" w:space="0" w:color="auto"/>
                <w:left w:val="none" w:sz="0" w:space="0" w:color="auto"/>
                <w:bottom w:val="none" w:sz="0" w:space="0" w:color="auto"/>
                <w:right w:val="none" w:sz="0" w:space="0" w:color="auto"/>
              </w:divBdr>
            </w:div>
            <w:div w:id="572010359">
              <w:marLeft w:val="0"/>
              <w:marRight w:val="0"/>
              <w:marTop w:val="0"/>
              <w:marBottom w:val="0"/>
              <w:divBdr>
                <w:top w:val="none" w:sz="0" w:space="0" w:color="auto"/>
                <w:left w:val="none" w:sz="0" w:space="0" w:color="auto"/>
                <w:bottom w:val="none" w:sz="0" w:space="0" w:color="auto"/>
                <w:right w:val="none" w:sz="0" w:space="0" w:color="auto"/>
              </w:divBdr>
            </w:div>
            <w:div w:id="89352465">
              <w:marLeft w:val="0"/>
              <w:marRight w:val="0"/>
              <w:marTop w:val="0"/>
              <w:marBottom w:val="0"/>
              <w:divBdr>
                <w:top w:val="none" w:sz="0" w:space="0" w:color="auto"/>
                <w:left w:val="none" w:sz="0" w:space="0" w:color="auto"/>
                <w:bottom w:val="none" w:sz="0" w:space="0" w:color="auto"/>
                <w:right w:val="none" w:sz="0" w:space="0" w:color="auto"/>
              </w:divBdr>
            </w:div>
            <w:div w:id="1416248500">
              <w:marLeft w:val="0"/>
              <w:marRight w:val="0"/>
              <w:marTop w:val="0"/>
              <w:marBottom w:val="0"/>
              <w:divBdr>
                <w:top w:val="none" w:sz="0" w:space="0" w:color="auto"/>
                <w:left w:val="none" w:sz="0" w:space="0" w:color="auto"/>
                <w:bottom w:val="none" w:sz="0" w:space="0" w:color="auto"/>
                <w:right w:val="none" w:sz="0" w:space="0" w:color="auto"/>
              </w:divBdr>
            </w:div>
            <w:div w:id="1547642915">
              <w:marLeft w:val="0"/>
              <w:marRight w:val="0"/>
              <w:marTop w:val="0"/>
              <w:marBottom w:val="0"/>
              <w:divBdr>
                <w:top w:val="none" w:sz="0" w:space="0" w:color="auto"/>
                <w:left w:val="none" w:sz="0" w:space="0" w:color="auto"/>
                <w:bottom w:val="none" w:sz="0" w:space="0" w:color="auto"/>
                <w:right w:val="none" w:sz="0" w:space="0" w:color="auto"/>
              </w:divBdr>
            </w:div>
          </w:divsChild>
        </w:div>
        <w:div w:id="2108037854">
          <w:marLeft w:val="0"/>
          <w:marRight w:val="0"/>
          <w:marTop w:val="0"/>
          <w:marBottom w:val="0"/>
          <w:divBdr>
            <w:top w:val="none" w:sz="0" w:space="0" w:color="auto"/>
            <w:left w:val="none" w:sz="0" w:space="0" w:color="auto"/>
            <w:bottom w:val="none" w:sz="0" w:space="0" w:color="auto"/>
            <w:right w:val="none" w:sz="0" w:space="0" w:color="auto"/>
          </w:divBdr>
        </w:div>
      </w:divsChild>
    </w:div>
    <w:div w:id="875310608">
      <w:bodyDiv w:val="1"/>
      <w:marLeft w:val="0"/>
      <w:marRight w:val="0"/>
      <w:marTop w:val="0"/>
      <w:marBottom w:val="0"/>
      <w:divBdr>
        <w:top w:val="none" w:sz="0" w:space="0" w:color="auto"/>
        <w:left w:val="none" w:sz="0" w:space="0" w:color="auto"/>
        <w:bottom w:val="none" w:sz="0" w:space="0" w:color="auto"/>
        <w:right w:val="none" w:sz="0" w:space="0" w:color="auto"/>
      </w:divBdr>
      <w:divsChild>
        <w:div w:id="1777364901">
          <w:marLeft w:val="0"/>
          <w:marRight w:val="0"/>
          <w:marTop w:val="0"/>
          <w:marBottom w:val="0"/>
          <w:divBdr>
            <w:top w:val="none" w:sz="0" w:space="0" w:color="auto"/>
            <w:left w:val="none" w:sz="0" w:space="0" w:color="auto"/>
            <w:bottom w:val="none" w:sz="0" w:space="0" w:color="auto"/>
            <w:right w:val="none" w:sz="0" w:space="0" w:color="auto"/>
          </w:divBdr>
        </w:div>
        <w:div w:id="735857791">
          <w:marLeft w:val="0"/>
          <w:marRight w:val="0"/>
          <w:marTop w:val="0"/>
          <w:marBottom w:val="0"/>
          <w:divBdr>
            <w:top w:val="none" w:sz="0" w:space="0" w:color="auto"/>
            <w:left w:val="none" w:sz="0" w:space="0" w:color="auto"/>
            <w:bottom w:val="none" w:sz="0" w:space="0" w:color="auto"/>
            <w:right w:val="none" w:sz="0" w:space="0" w:color="auto"/>
          </w:divBdr>
        </w:div>
        <w:div w:id="1339625588">
          <w:marLeft w:val="0"/>
          <w:marRight w:val="0"/>
          <w:marTop w:val="0"/>
          <w:marBottom w:val="0"/>
          <w:divBdr>
            <w:top w:val="none" w:sz="0" w:space="0" w:color="auto"/>
            <w:left w:val="none" w:sz="0" w:space="0" w:color="auto"/>
            <w:bottom w:val="none" w:sz="0" w:space="0" w:color="auto"/>
            <w:right w:val="none" w:sz="0" w:space="0" w:color="auto"/>
          </w:divBdr>
        </w:div>
      </w:divsChild>
    </w:div>
    <w:div w:id="920480145">
      <w:bodyDiv w:val="1"/>
      <w:marLeft w:val="0"/>
      <w:marRight w:val="0"/>
      <w:marTop w:val="0"/>
      <w:marBottom w:val="0"/>
      <w:divBdr>
        <w:top w:val="none" w:sz="0" w:space="0" w:color="auto"/>
        <w:left w:val="none" w:sz="0" w:space="0" w:color="auto"/>
        <w:bottom w:val="none" w:sz="0" w:space="0" w:color="auto"/>
        <w:right w:val="none" w:sz="0" w:space="0" w:color="auto"/>
      </w:divBdr>
      <w:divsChild>
        <w:div w:id="149641572">
          <w:marLeft w:val="0"/>
          <w:marRight w:val="0"/>
          <w:marTop w:val="0"/>
          <w:marBottom w:val="0"/>
          <w:divBdr>
            <w:top w:val="none" w:sz="0" w:space="0" w:color="auto"/>
            <w:left w:val="none" w:sz="0" w:space="0" w:color="auto"/>
            <w:bottom w:val="none" w:sz="0" w:space="0" w:color="auto"/>
            <w:right w:val="none" w:sz="0" w:space="0" w:color="auto"/>
          </w:divBdr>
          <w:divsChild>
            <w:div w:id="893807635">
              <w:marLeft w:val="0"/>
              <w:marRight w:val="0"/>
              <w:marTop w:val="0"/>
              <w:marBottom w:val="0"/>
              <w:divBdr>
                <w:top w:val="none" w:sz="0" w:space="0" w:color="auto"/>
                <w:left w:val="none" w:sz="0" w:space="0" w:color="auto"/>
                <w:bottom w:val="none" w:sz="0" w:space="0" w:color="auto"/>
                <w:right w:val="none" w:sz="0" w:space="0" w:color="auto"/>
              </w:divBdr>
            </w:div>
            <w:div w:id="932906569">
              <w:marLeft w:val="0"/>
              <w:marRight w:val="0"/>
              <w:marTop w:val="0"/>
              <w:marBottom w:val="0"/>
              <w:divBdr>
                <w:top w:val="none" w:sz="0" w:space="0" w:color="auto"/>
                <w:left w:val="none" w:sz="0" w:space="0" w:color="auto"/>
                <w:bottom w:val="none" w:sz="0" w:space="0" w:color="auto"/>
                <w:right w:val="none" w:sz="0" w:space="0" w:color="auto"/>
              </w:divBdr>
            </w:div>
            <w:div w:id="941494562">
              <w:marLeft w:val="0"/>
              <w:marRight w:val="0"/>
              <w:marTop w:val="0"/>
              <w:marBottom w:val="0"/>
              <w:divBdr>
                <w:top w:val="none" w:sz="0" w:space="0" w:color="auto"/>
                <w:left w:val="none" w:sz="0" w:space="0" w:color="auto"/>
                <w:bottom w:val="none" w:sz="0" w:space="0" w:color="auto"/>
                <w:right w:val="none" w:sz="0" w:space="0" w:color="auto"/>
              </w:divBdr>
            </w:div>
            <w:div w:id="1234511067">
              <w:marLeft w:val="0"/>
              <w:marRight w:val="0"/>
              <w:marTop w:val="0"/>
              <w:marBottom w:val="0"/>
              <w:divBdr>
                <w:top w:val="none" w:sz="0" w:space="0" w:color="auto"/>
                <w:left w:val="none" w:sz="0" w:space="0" w:color="auto"/>
                <w:bottom w:val="none" w:sz="0" w:space="0" w:color="auto"/>
                <w:right w:val="none" w:sz="0" w:space="0" w:color="auto"/>
              </w:divBdr>
            </w:div>
            <w:div w:id="1876119414">
              <w:marLeft w:val="0"/>
              <w:marRight w:val="0"/>
              <w:marTop w:val="0"/>
              <w:marBottom w:val="0"/>
              <w:divBdr>
                <w:top w:val="none" w:sz="0" w:space="0" w:color="auto"/>
                <w:left w:val="none" w:sz="0" w:space="0" w:color="auto"/>
                <w:bottom w:val="none" w:sz="0" w:space="0" w:color="auto"/>
                <w:right w:val="none" w:sz="0" w:space="0" w:color="auto"/>
              </w:divBdr>
            </w:div>
            <w:div w:id="1990358288">
              <w:marLeft w:val="0"/>
              <w:marRight w:val="0"/>
              <w:marTop w:val="0"/>
              <w:marBottom w:val="0"/>
              <w:divBdr>
                <w:top w:val="none" w:sz="0" w:space="0" w:color="auto"/>
                <w:left w:val="none" w:sz="0" w:space="0" w:color="auto"/>
                <w:bottom w:val="none" w:sz="0" w:space="0" w:color="auto"/>
                <w:right w:val="none" w:sz="0" w:space="0" w:color="auto"/>
              </w:divBdr>
            </w:div>
            <w:div w:id="415826148">
              <w:marLeft w:val="0"/>
              <w:marRight w:val="0"/>
              <w:marTop w:val="0"/>
              <w:marBottom w:val="0"/>
              <w:divBdr>
                <w:top w:val="none" w:sz="0" w:space="0" w:color="auto"/>
                <w:left w:val="none" w:sz="0" w:space="0" w:color="auto"/>
                <w:bottom w:val="none" w:sz="0" w:space="0" w:color="auto"/>
                <w:right w:val="none" w:sz="0" w:space="0" w:color="auto"/>
              </w:divBdr>
            </w:div>
            <w:div w:id="1047413812">
              <w:marLeft w:val="0"/>
              <w:marRight w:val="0"/>
              <w:marTop w:val="0"/>
              <w:marBottom w:val="0"/>
              <w:divBdr>
                <w:top w:val="none" w:sz="0" w:space="0" w:color="auto"/>
                <w:left w:val="none" w:sz="0" w:space="0" w:color="auto"/>
                <w:bottom w:val="none" w:sz="0" w:space="0" w:color="auto"/>
                <w:right w:val="none" w:sz="0" w:space="0" w:color="auto"/>
              </w:divBdr>
            </w:div>
            <w:div w:id="723262255">
              <w:marLeft w:val="0"/>
              <w:marRight w:val="0"/>
              <w:marTop w:val="0"/>
              <w:marBottom w:val="0"/>
              <w:divBdr>
                <w:top w:val="none" w:sz="0" w:space="0" w:color="auto"/>
                <w:left w:val="none" w:sz="0" w:space="0" w:color="auto"/>
                <w:bottom w:val="none" w:sz="0" w:space="0" w:color="auto"/>
                <w:right w:val="none" w:sz="0" w:space="0" w:color="auto"/>
              </w:divBdr>
            </w:div>
            <w:div w:id="1643652601">
              <w:marLeft w:val="0"/>
              <w:marRight w:val="0"/>
              <w:marTop w:val="0"/>
              <w:marBottom w:val="0"/>
              <w:divBdr>
                <w:top w:val="none" w:sz="0" w:space="0" w:color="auto"/>
                <w:left w:val="none" w:sz="0" w:space="0" w:color="auto"/>
                <w:bottom w:val="none" w:sz="0" w:space="0" w:color="auto"/>
                <w:right w:val="none" w:sz="0" w:space="0" w:color="auto"/>
              </w:divBdr>
            </w:div>
            <w:div w:id="1411659118">
              <w:marLeft w:val="0"/>
              <w:marRight w:val="0"/>
              <w:marTop w:val="0"/>
              <w:marBottom w:val="0"/>
              <w:divBdr>
                <w:top w:val="none" w:sz="0" w:space="0" w:color="auto"/>
                <w:left w:val="none" w:sz="0" w:space="0" w:color="auto"/>
                <w:bottom w:val="none" w:sz="0" w:space="0" w:color="auto"/>
                <w:right w:val="none" w:sz="0" w:space="0" w:color="auto"/>
              </w:divBdr>
            </w:div>
            <w:div w:id="1300724755">
              <w:marLeft w:val="0"/>
              <w:marRight w:val="0"/>
              <w:marTop w:val="0"/>
              <w:marBottom w:val="0"/>
              <w:divBdr>
                <w:top w:val="none" w:sz="0" w:space="0" w:color="auto"/>
                <w:left w:val="none" w:sz="0" w:space="0" w:color="auto"/>
                <w:bottom w:val="none" w:sz="0" w:space="0" w:color="auto"/>
                <w:right w:val="none" w:sz="0" w:space="0" w:color="auto"/>
              </w:divBdr>
            </w:div>
            <w:div w:id="102573662">
              <w:marLeft w:val="0"/>
              <w:marRight w:val="0"/>
              <w:marTop w:val="0"/>
              <w:marBottom w:val="0"/>
              <w:divBdr>
                <w:top w:val="none" w:sz="0" w:space="0" w:color="auto"/>
                <w:left w:val="none" w:sz="0" w:space="0" w:color="auto"/>
                <w:bottom w:val="none" w:sz="0" w:space="0" w:color="auto"/>
                <w:right w:val="none" w:sz="0" w:space="0" w:color="auto"/>
              </w:divBdr>
            </w:div>
          </w:divsChild>
        </w:div>
        <w:div w:id="1701276383">
          <w:marLeft w:val="0"/>
          <w:marRight w:val="0"/>
          <w:marTop w:val="0"/>
          <w:marBottom w:val="0"/>
          <w:divBdr>
            <w:top w:val="none" w:sz="0" w:space="0" w:color="auto"/>
            <w:left w:val="none" w:sz="0" w:space="0" w:color="auto"/>
            <w:bottom w:val="none" w:sz="0" w:space="0" w:color="auto"/>
            <w:right w:val="none" w:sz="0" w:space="0" w:color="auto"/>
          </w:divBdr>
        </w:div>
        <w:div w:id="606817433">
          <w:marLeft w:val="0"/>
          <w:marRight w:val="0"/>
          <w:marTop w:val="0"/>
          <w:marBottom w:val="0"/>
          <w:divBdr>
            <w:top w:val="none" w:sz="0" w:space="0" w:color="auto"/>
            <w:left w:val="none" w:sz="0" w:space="0" w:color="auto"/>
            <w:bottom w:val="none" w:sz="0" w:space="0" w:color="auto"/>
            <w:right w:val="none" w:sz="0" w:space="0" w:color="auto"/>
          </w:divBdr>
        </w:div>
      </w:divsChild>
    </w:div>
    <w:div w:id="968779564">
      <w:bodyDiv w:val="1"/>
      <w:marLeft w:val="390"/>
      <w:marRight w:val="390"/>
      <w:marTop w:val="390"/>
      <w:marBottom w:val="0"/>
      <w:divBdr>
        <w:top w:val="none" w:sz="0" w:space="0" w:color="auto"/>
        <w:left w:val="none" w:sz="0" w:space="0" w:color="auto"/>
        <w:bottom w:val="none" w:sz="0" w:space="0" w:color="auto"/>
        <w:right w:val="none" w:sz="0" w:space="0" w:color="auto"/>
      </w:divBdr>
      <w:divsChild>
        <w:div w:id="718475036">
          <w:marLeft w:val="480"/>
          <w:marRight w:val="0"/>
          <w:marTop w:val="0"/>
          <w:marBottom w:val="0"/>
          <w:divBdr>
            <w:top w:val="none" w:sz="0" w:space="0" w:color="auto"/>
            <w:left w:val="none" w:sz="0" w:space="0" w:color="auto"/>
            <w:bottom w:val="none" w:sz="0" w:space="0" w:color="auto"/>
            <w:right w:val="none" w:sz="0" w:space="0" w:color="auto"/>
          </w:divBdr>
        </w:div>
        <w:div w:id="1613628156">
          <w:marLeft w:val="480"/>
          <w:marRight w:val="0"/>
          <w:marTop w:val="0"/>
          <w:marBottom w:val="0"/>
          <w:divBdr>
            <w:top w:val="none" w:sz="0" w:space="0" w:color="auto"/>
            <w:left w:val="none" w:sz="0" w:space="0" w:color="auto"/>
            <w:bottom w:val="none" w:sz="0" w:space="0" w:color="auto"/>
            <w:right w:val="none" w:sz="0" w:space="0" w:color="auto"/>
          </w:divBdr>
        </w:div>
        <w:div w:id="2035112971">
          <w:marLeft w:val="480"/>
          <w:marRight w:val="0"/>
          <w:marTop w:val="0"/>
          <w:marBottom w:val="0"/>
          <w:divBdr>
            <w:top w:val="none" w:sz="0" w:space="0" w:color="auto"/>
            <w:left w:val="none" w:sz="0" w:space="0" w:color="auto"/>
            <w:bottom w:val="none" w:sz="0" w:space="0" w:color="auto"/>
            <w:right w:val="none" w:sz="0" w:space="0" w:color="auto"/>
          </w:divBdr>
        </w:div>
      </w:divsChild>
    </w:div>
    <w:div w:id="998460348">
      <w:bodyDiv w:val="1"/>
      <w:marLeft w:val="0"/>
      <w:marRight w:val="0"/>
      <w:marTop w:val="0"/>
      <w:marBottom w:val="0"/>
      <w:divBdr>
        <w:top w:val="none" w:sz="0" w:space="0" w:color="auto"/>
        <w:left w:val="none" w:sz="0" w:space="0" w:color="auto"/>
        <w:bottom w:val="none" w:sz="0" w:space="0" w:color="auto"/>
        <w:right w:val="none" w:sz="0" w:space="0" w:color="auto"/>
      </w:divBdr>
      <w:divsChild>
        <w:div w:id="200751913">
          <w:marLeft w:val="0"/>
          <w:marRight w:val="0"/>
          <w:marTop w:val="0"/>
          <w:marBottom w:val="0"/>
          <w:divBdr>
            <w:top w:val="none" w:sz="0" w:space="0" w:color="auto"/>
            <w:left w:val="none" w:sz="0" w:space="0" w:color="auto"/>
            <w:bottom w:val="none" w:sz="0" w:space="0" w:color="auto"/>
            <w:right w:val="none" w:sz="0" w:space="0" w:color="auto"/>
          </w:divBdr>
        </w:div>
        <w:div w:id="629045798">
          <w:marLeft w:val="0"/>
          <w:marRight w:val="0"/>
          <w:marTop w:val="0"/>
          <w:marBottom w:val="0"/>
          <w:divBdr>
            <w:top w:val="none" w:sz="0" w:space="0" w:color="auto"/>
            <w:left w:val="none" w:sz="0" w:space="0" w:color="auto"/>
            <w:bottom w:val="none" w:sz="0" w:space="0" w:color="auto"/>
            <w:right w:val="none" w:sz="0" w:space="0" w:color="auto"/>
          </w:divBdr>
        </w:div>
        <w:div w:id="766997961">
          <w:marLeft w:val="0"/>
          <w:marRight w:val="0"/>
          <w:marTop w:val="0"/>
          <w:marBottom w:val="0"/>
          <w:divBdr>
            <w:top w:val="none" w:sz="0" w:space="0" w:color="auto"/>
            <w:left w:val="none" w:sz="0" w:space="0" w:color="auto"/>
            <w:bottom w:val="none" w:sz="0" w:space="0" w:color="auto"/>
            <w:right w:val="none" w:sz="0" w:space="0" w:color="auto"/>
          </w:divBdr>
        </w:div>
        <w:div w:id="1133058586">
          <w:marLeft w:val="0"/>
          <w:marRight w:val="0"/>
          <w:marTop w:val="0"/>
          <w:marBottom w:val="0"/>
          <w:divBdr>
            <w:top w:val="none" w:sz="0" w:space="0" w:color="auto"/>
            <w:left w:val="none" w:sz="0" w:space="0" w:color="auto"/>
            <w:bottom w:val="none" w:sz="0" w:space="0" w:color="auto"/>
            <w:right w:val="none" w:sz="0" w:space="0" w:color="auto"/>
          </w:divBdr>
        </w:div>
        <w:div w:id="1472819075">
          <w:marLeft w:val="0"/>
          <w:marRight w:val="0"/>
          <w:marTop w:val="0"/>
          <w:marBottom w:val="0"/>
          <w:divBdr>
            <w:top w:val="none" w:sz="0" w:space="0" w:color="auto"/>
            <w:left w:val="none" w:sz="0" w:space="0" w:color="auto"/>
            <w:bottom w:val="none" w:sz="0" w:space="0" w:color="auto"/>
            <w:right w:val="none" w:sz="0" w:space="0" w:color="auto"/>
          </w:divBdr>
        </w:div>
        <w:div w:id="1847281750">
          <w:marLeft w:val="0"/>
          <w:marRight w:val="0"/>
          <w:marTop w:val="0"/>
          <w:marBottom w:val="0"/>
          <w:divBdr>
            <w:top w:val="none" w:sz="0" w:space="0" w:color="auto"/>
            <w:left w:val="none" w:sz="0" w:space="0" w:color="auto"/>
            <w:bottom w:val="none" w:sz="0" w:space="0" w:color="auto"/>
            <w:right w:val="none" w:sz="0" w:space="0" w:color="auto"/>
          </w:divBdr>
        </w:div>
        <w:div w:id="1928031589">
          <w:marLeft w:val="0"/>
          <w:marRight w:val="0"/>
          <w:marTop w:val="0"/>
          <w:marBottom w:val="0"/>
          <w:divBdr>
            <w:top w:val="none" w:sz="0" w:space="0" w:color="auto"/>
            <w:left w:val="none" w:sz="0" w:space="0" w:color="auto"/>
            <w:bottom w:val="none" w:sz="0" w:space="0" w:color="auto"/>
            <w:right w:val="none" w:sz="0" w:space="0" w:color="auto"/>
          </w:divBdr>
        </w:div>
      </w:divsChild>
    </w:div>
    <w:div w:id="1002900958">
      <w:bodyDiv w:val="1"/>
      <w:marLeft w:val="390"/>
      <w:marRight w:val="390"/>
      <w:marTop w:val="390"/>
      <w:marBottom w:val="0"/>
      <w:divBdr>
        <w:top w:val="none" w:sz="0" w:space="0" w:color="auto"/>
        <w:left w:val="none" w:sz="0" w:space="0" w:color="auto"/>
        <w:bottom w:val="none" w:sz="0" w:space="0" w:color="auto"/>
        <w:right w:val="none" w:sz="0" w:space="0" w:color="auto"/>
      </w:divBdr>
    </w:div>
    <w:div w:id="1172918716">
      <w:bodyDiv w:val="1"/>
      <w:marLeft w:val="390"/>
      <w:marRight w:val="390"/>
      <w:marTop w:val="390"/>
      <w:marBottom w:val="0"/>
      <w:divBdr>
        <w:top w:val="none" w:sz="0" w:space="0" w:color="auto"/>
        <w:left w:val="none" w:sz="0" w:space="0" w:color="auto"/>
        <w:bottom w:val="none" w:sz="0" w:space="0" w:color="auto"/>
        <w:right w:val="none" w:sz="0" w:space="0" w:color="auto"/>
      </w:divBdr>
      <w:divsChild>
        <w:div w:id="91978259">
          <w:marLeft w:val="480"/>
          <w:marRight w:val="0"/>
          <w:marTop w:val="0"/>
          <w:marBottom w:val="0"/>
          <w:divBdr>
            <w:top w:val="none" w:sz="0" w:space="0" w:color="auto"/>
            <w:left w:val="none" w:sz="0" w:space="0" w:color="auto"/>
            <w:bottom w:val="none" w:sz="0" w:space="0" w:color="auto"/>
            <w:right w:val="none" w:sz="0" w:space="0" w:color="auto"/>
          </w:divBdr>
        </w:div>
        <w:div w:id="1621499529">
          <w:marLeft w:val="480"/>
          <w:marRight w:val="0"/>
          <w:marTop w:val="0"/>
          <w:marBottom w:val="0"/>
          <w:divBdr>
            <w:top w:val="none" w:sz="0" w:space="0" w:color="auto"/>
            <w:left w:val="none" w:sz="0" w:space="0" w:color="auto"/>
            <w:bottom w:val="none" w:sz="0" w:space="0" w:color="auto"/>
            <w:right w:val="none" w:sz="0" w:space="0" w:color="auto"/>
          </w:divBdr>
        </w:div>
        <w:div w:id="1755739301">
          <w:marLeft w:val="480"/>
          <w:marRight w:val="0"/>
          <w:marTop w:val="0"/>
          <w:marBottom w:val="0"/>
          <w:divBdr>
            <w:top w:val="none" w:sz="0" w:space="0" w:color="auto"/>
            <w:left w:val="none" w:sz="0" w:space="0" w:color="auto"/>
            <w:bottom w:val="none" w:sz="0" w:space="0" w:color="auto"/>
            <w:right w:val="none" w:sz="0" w:space="0" w:color="auto"/>
          </w:divBdr>
        </w:div>
        <w:div w:id="2143183210">
          <w:marLeft w:val="480"/>
          <w:marRight w:val="0"/>
          <w:marTop w:val="0"/>
          <w:marBottom w:val="0"/>
          <w:divBdr>
            <w:top w:val="none" w:sz="0" w:space="0" w:color="auto"/>
            <w:left w:val="none" w:sz="0" w:space="0" w:color="auto"/>
            <w:bottom w:val="none" w:sz="0" w:space="0" w:color="auto"/>
            <w:right w:val="none" w:sz="0" w:space="0" w:color="auto"/>
          </w:divBdr>
        </w:div>
      </w:divsChild>
    </w:div>
    <w:div w:id="1183472493">
      <w:bodyDiv w:val="1"/>
      <w:marLeft w:val="0"/>
      <w:marRight w:val="0"/>
      <w:marTop w:val="0"/>
      <w:marBottom w:val="0"/>
      <w:divBdr>
        <w:top w:val="none" w:sz="0" w:space="0" w:color="auto"/>
        <w:left w:val="none" w:sz="0" w:space="0" w:color="auto"/>
        <w:bottom w:val="none" w:sz="0" w:space="0" w:color="auto"/>
        <w:right w:val="none" w:sz="0" w:space="0" w:color="auto"/>
      </w:divBdr>
      <w:divsChild>
        <w:div w:id="748235473">
          <w:marLeft w:val="0"/>
          <w:marRight w:val="0"/>
          <w:marTop w:val="0"/>
          <w:marBottom w:val="0"/>
          <w:divBdr>
            <w:top w:val="none" w:sz="0" w:space="0" w:color="auto"/>
            <w:left w:val="none" w:sz="0" w:space="0" w:color="auto"/>
            <w:bottom w:val="none" w:sz="0" w:space="0" w:color="auto"/>
            <w:right w:val="none" w:sz="0" w:space="0" w:color="auto"/>
          </w:divBdr>
        </w:div>
        <w:div w:id="850876048">
          <w:marLeft w:val="0"/>
          <w:marRight w:val="0"/>
          <w:marTop w:val="0"/>
          <w:marBottom w:val="0"/>
          <w:divBdr>
            <w:top w:val="none" w:sz="0" w:space="0" w:color="auto"/>
            <w:left w:val="none" w:sz="0" w:space="0" w:color="auto"/>
            <w:bottom w:val="none" w:sz="0" w:space="0" w:color="auto"/>
            <w:right w:val="none" w:sz="0" w:space="0" w:color="auto"/>
          </w:divBdr>
        </w:div>
        <w:div w:id="2104567315">
          <w:marLeft w:val="0"/>
          <w:marRight w:val="0"/>
          <w:marTop w:val="0"/>
          <w:marBottom w:val="0"/>
          <w:divBdr>
            <w:top w:val="none" w:sz="0" w:space="0" w:color="auto"/>
            <w:left w:val="none" w:sz="0" w:space="0" w:color="auto"/>
            <w:bottom w:val="none" w:sz="0" w:space="0" w:color="auto"/>
            <w:right w:val="none" w:sz="0" w:space="0" w:color="auto"/>
          </w:divBdr>
        </w:div>
        <w:div w:id="1185486467">
          <w:marLeft w:val="0"/>
          <w:marRight w:val="0"/>
          <w:marTop w:val="0"/>
          <w:marBottom w:val="0"/>
          <w:divBdr>
            <w:top w:val="none" w:sz="0" w:space="0" w:color="auto"/>
            <w:left w:val="none" w:sz="0" w:space="0" w:color="auto"/>
            <w:bottom w:val="none" w:sz="0" w:space="0" w:color="auto"/>
            <w:right w:val="none" w:sz="0" w:space="0" w:color="auto"/>
          </w:divBdr>
        </w:div>
        <w:div w:id="775363962">
          <w:marLeft w:val="0"/>
          <w:marRight w:val="0"/>
          <w:marTop w:val="0"/>
          <w:marBottom w:val="0"/>
          <w:divBdr>
            <w:top w:val="none" w:sz="0" w:space="0" w:color="auto"/>
            <w:left w:val="none" w:sz="0" w:space="0" w:color="auto"/>
            <w:bottom w:val="none" w:sz="0" w:space="0" w:color="auto"/>
            <w:right w:val="none" w:sz="0" w:space="0" w:color="auto"/>
          </w:divBdr>
        </w:div>
        <w:div w:id="1563295750">
          <w:marLeft w:val="0"/>
          <w:marRight w:val="0"/>
          <w:marTop w:val="0"/>
          <w:marBottom w:val="0"/>
          <w:divBdr>
            <w:top w:val="none" w:sz="0" w:space="0" w:color="auto"/>
            <w:left w:val="none" w:sz="0" w:space="0" w:color="auto"/>
            <w:bottom w:val="none" w:sz="0" w:space="0" w:color="auto"/>
            <w:right w:val="none" w:sz="0" w:space="0" w:color="auto"/>
          </w:divBdr>
        </w:div>
        <w:div w:id="1860701001">
          <w:marLeft w:val="0"/>
          <w:marRight w:val="0"/>
          <w:marTop w:val="0"/>
          <w:marBottom w:val="0"/>
          <w:divBdr>
            <w:top w:val="none" w:sz="0" w:space="0" w:color="auto"/>
            <w:left w:val="none" w:sz="0" w:space="0" w:color="auto"/>
            <w:bottom w:val="none" w:sz="0" w:space="0" w:color="auto"/>
            <w:right w:val="none" w:sz="0" w:space="0" w:color="auto"/>
          </w:divBdr>
        </w:div>
        <w:div w:id="2054187111">
          <w:marLeft w:val="0"/>
          <w:marRight w:val="0"/>
          <w:marTop w:val="0"/>
          <w:marBottom w:val="0"/>
          <w:divBdr>
            <w:top w:val="none" w:sz="0" w:space="0" w:color="auto"/>
            <w:left w:val="none" w:sz="0" w:space="0" w:color="auto"/>
            <w:bottom w:val="none" w:sz="0" w:space="0" w:color="auto"/>
            <w:right w:val="none" w:sz="0" w:space="0" w:color="auto"/>
          </w:divBdr>
        </w:div>
        <w:div w:id="1347562371">
          <w:marLeft w:val="0"/>
          <w:marRight w:val="0"/>
          <w:marTop w:val="0"/>
          <w:marBottom w:val="0"/>
          <w:divBdr>
            <w:top w:val="none" w:sz="0" w:space="0" w:color="auto"/>
            <w:left w:val="none" w:sz="0" w:space="0" w:color="auto"/>
            <w:bottom w:val="none" w:sz="0" w:space="0" w:color="auto"/>
            <w:right w:val="none" w:sz="0" w:space="0" w:color="auto"/>
          </w:divBdr>
        </w:div>
        <w:div w:id="1183861170">
          <w:marLeft w:val="0"/>
          <w:marRight w:val="0"/>
          <w:marTop w:val="0"/>
          <w:marBottom w:val="0"/>
          <w:divBdr>
            <w:top w:val="none" w:sz="0" w:space="0" w:color="auto"/>
            <w:left w:val="none" w:sz="0" w:space="0" w:color="auto"/>
            <w:bottom w:val="none" w:sz="0" w:space="0" w:color="auto"/>
            <w:right w:val="none" w:sz="0" w:space="0" w:color="auto"/>
          </w:divBdr>
        </w:div>
      </w:divsChild>
    </w:div>
    <w:div w:id="1254973273">
      <w:bodyDiv w:val="1"/>
      <w:marLeft w:val="390"/>
      <w:marRight w:val="390"/>
      <w:marTop w:val="390"/>
      <w:marBottom w:val="0"/>
      <w:divBdr>
        <w:top w:val="none" w:sz="0" w:space="0" w:color="auto"/>
        <w:left w:val="none" w:sz="0" w:space="0" w:color="auto"/>
        <w:bottom w:val="none" w:sz="0" w:space="0" w:color="auto"/>
        <w:right w:val="none" w:sz="0" w:space="0" w:color="auto"/>
      </w:divBdr>
    </w:div>
    <w:div w:id="1314680643">
      <w:bodyDiv w:val="1"/>
      <w:marLeft w:val="0"/>
      <w:marRight w:val="0"/>
      <w:marTop w:val="0"/>
      <w:marBottom w:val="0"/>
      <w:divBdr>
        <w:top w:val="none" w:sz="0" w:space="0" w:color="auto"/>
        <w:left w:val="none" w:sz="0" w:space="0" w:color="auto"/>
        <w:bottom w:val="none" w:sz="0" w:space="0" w:color="auto"/>
        <w:right w:val="none" w:sz="0" w:space="0" w:color="auto"/>
      </w:divBdr>
      <w:divsChild>
        <w:div w:id="868185362">
          <w:marLeft w:val="0"/>
          <w:marRight w:val="0"/>
          <w:marTop w:val="0"/>
          <w:marBottom w:val="0"/>
          <w:divBdr>
            <w:top w:val="none" w:sz="0" w:space="0" w:color="auto"/>
            <w:left w:val="none" w:sz="0" w:space="0" w:color="auto"/>
            <w:bottom w:val="none" w:sz="0" w:space="0" w:color="auto"/>
            <w:right w:val="none" w:sz="0" w:space="0" w:color="auto"/>
          </w:divBdr>
        </w:div>
        <w:div w:id="1797945831">
          <w:marLeft w:val="0"/>
          <w:marRight w:val="0"/>
          <w:marTop w:val="0"/>
          <w:marBottom w:val="0"/>
          <w:divBdr>
            <w:top w:val="none" w:sz="0" w:space="0" w:color="auto"/>
            <w:left w:val="none" w:sz="0" w:space="0" w:color="auto"/>
            <w:bottom w:val="none" w:sz="0" w:space="0" w:color="auto"/>
            <w:right w:val="none" w:sz="0" w:space="0" w:color="auto"/>
          </w:divBdr>
        </w:div>
        <w:div w:id="1071003257">
          <w:marLeft w:val="0"/>
          <w:marRight w:val="0"/>
          <w:marTop w:val="0"/>
          <w:marBottom w:val="0"/>
          <w:divBdr>
            <w:top w:val="none" w:sz="0" w:space="0" w:color="auto"/>
            <w:left w:val="none" w:sz="0" w:space="0" w:color="auto"/>
            <w:bottom w:val="none" w:sz="0" w:space="0" w:color="auto"/>
            <w:right w:val="none" w:sz="0" w:space="0" w:color="auto"/>
          </w:divBdr>
        </w:div>
      </w:divsChild>
    </w:div>
    <w:div w:id="1339500442">
      <w:bodyDiv w:val="1"/>
      <w:marLeft w:val="0"/>
      <w:marRight w:val="0"/>
      <w:marTop w:val="0"/>
      <w:marBottom w:val="0"/>
      <w:divBdr>
        <w:top w:val="none" w:sz="0" w:space="0" w:color="auto"/>
        <w:left w:val="none" w:sz="0" w:space="0" w:color="auto"/>
        <w:bottom w:val="none" w:sz="0" w:space="0" w:color="auto"/>
        <w:right w:val="none" w:sz="0" w:space="0" w:color="auto"/>
      </w:divBdr>
      <w:divsChild>
        <w:div w:id="224028467">
          <w:marLeft w:val="0"/>
          <w:marRight w:val="0"/>
          <w:marTop w:val="0"/>
          <w:marBottom w:val="0"/>
          <w:divBdr>
            <w:top w:val="none" w:sz="0" w:space="0" w:color="auto"/>
            <w:left w:val="none" w:sz="0" w:space="0" w:color="auto"/>
            <w:bottom w:val="none" w:sz="0" w:space="0" w:color="auto"/>
            <w:right w:val="none" w:sz="0" w:space="0" w:color="auto"/>
          </w:divBdr>
          <w:divsChild>
            <w:div w:id="376204025">
              <w:marLeft w:val="0"/>
              <w:marRight w:val="0"/>
              <w:marTop w:val="0"/>
              <w:marBottom w:val="0"/>
              <w:divBdr>
                <w:top w:val="none" w:sz="0" w:space="0" w:color="auto"/>
                <w:left w:val="none" w:sz="0" w:space="0" w:color="auto"/>
                <w:bottom w:val="none" w:sz="0" w:space="0" w:color="auto"/>
                <w:right w:val="none" w:sz="0" w:space="0" w:color="auto"/>
              </w:divBdr>
            </w:div>
            <w:div w:id="175852591">
              <w:marLeft w:val="0"/>
              <w:marRight w:val="0"/>
              <w:marTop w:val="0"/>
              <w:marBottom w:val="0"/>
              <w:divBdr>
                <w:top w:val="none" w:sz="0" w:space="0" w:color="auto"/>
                <w:left w:val="none" w:sz="0" w:space="0" w:color="auto"/>
                <w:bottom w:val="none" w:sz="0" w:space="0" w:color="auto"/>
                <w:right w:val="none" w:sz="0" w:space="0" w:color="auto"/>
              </w:divBdr>
            </w:div>
            <w:div w:id="1074622177">
              <w:marLeft w:val="0"/>
              <w:marRight w:val="0"/>
              <w:marTop w:val="0"/>
              <w:marBottom w:val="0"/>
              <w:divBdr>
                <w:top w:val="none" w:sz="0" w:space="0" w:color="auto"/>
                <w:left w:val="none" w:sz="0" w:space="0" w:color="auto"/>
                <w:bottom w:val="none" w:sz="0" w:space="0" w:color="auto"/>
                <w:right w:val="none" w:sz="0" w:space="0" w:color="auto"/>
              </w:divBdr>
            </w:div>
            <w:div w:id="1383287734">
              <w:marLeft w:val="0"/>
              <w:marRight w:val="0"/>
              <w:marTop w:val="0"/>
              <w:marBottom w:val="0"/>
              <w:divBdr>
                <w:top w:val="none" w:sz="0" w:space="0" w:color="auto"/>
                <w:left w:val="none" w:sz="0" w:space="0" w:color="auto"/>
                <w:bottom w:val="none" w:sz="0" w:space="0" w:color="auto"/>
                <w:right w:val="none" w:sz="0" w:space="0" w:color="auto"/>
              </w:divBdr>
            </w:div>
            <w:div w:id="328678871">
              <w:marLeft w:val="0"/>
              <w:marRight w:val="0"/>
              <w:marTop w:val="0"/>
              <w:marBottom w:val="0"/>
              <w:divBdr>
                <w:top w:val="none" w:sz="0" w:space="0" w:color="auto"/>
                <w:left w:val="none" w:sz="0" w:space="0" w:color="auto"/>
                <w:bottom w:val="none" w:sz="0" w:space="0" w:color="auto"/>
                <w:right w:val="none" w:sz="0" w:space="0" w:color="auto"/>
              </w:divBdr>
            </w:div>
            <w:div w:id="84156768">
              <w:marLeft w:val="0"/>
              <w:marRight w:val="0"/>
              <w:marTop w:val="0"/>
              <w:marBottom w:val="0"/>
              <w:divBdr>
                <w:top w:val="none" w:sz="0" w:space="0" w:color="auto"/>
                <w:left w:val="none" w:sz="0" w:space="0" w:color="auto"/>
                <w:bottom w:val="none" w:sz="0" w:space="0" w:color="auto"/>
                <w:right w:val="none" w:sz="0" w:space="0" w:color="auto"/>
              </w:divBdr>
            </w:div>
            <w:div w:id="1854146260">
              <w:marLeft w:val="0"/>
              <w:marRight w:val="0"/>
              <w:marTop w:val="0"/>
              <w:marBottom w:val="0"/>
              <w:divBdr>
                <w:top w:val="none" w:sz="0" w:space="0" w:color="auto"/>
                <w:left w:val="none" w:sz="0" w:space="0" w:color="auto"/>
                <w:bottom w:val="none" w:sz="0" w:space="0" w:color="auto"/>
                <w:right w:val="none" w:sz="0" w:space="0" w:color="auto"/>
              </w:divBdr>
            </w:div>
            <w:div w:id="19356534">
              <w:marLeft w:val="0"/>
              <w:marRight w:val="0"/>
              <w:marTop w:val="0"/>
              <w:marBottom w:val="0"/>
              <w:divBdr>
                <w:top w:val="none" w:sz="0" w:space="0" w:color="auto"/>
                <w:left w:val="none" w:sz="0" w:space="0" w:color="auto"/>
                <w:bottom w:val="none" w:sz="0" w:space="0" w:color="auto"/>
                <w:right w:val="none" w:sz="0" w:space="0" w:color="auto"/>
              </w:divBdr>
            </w:div>
            <w:div w:id="1811940775">
              <w:marLeft w:val="0"/>
              <w:marRight w:val="0"/>
              <w:marTop w:val="0"/>
              <w:marBottom w:val="0"/>
              <w:divBdr>
                <w:top w:val="none" w:sz="0" w:space="0" w:color="auto"/>
                <w:left w:val="none" w:sz="0" w:space="0" w:color="auto"/>
                <w:bottom w:val="none" w:sz="0" w:space="0" w:color="auto"/>
                <w:right w:val="none" w:sz="0" w:space="0" w:color="auto"/>
              </w:divBdr>
            </w:div>
            <w:div w:id="1328636606">
              <w:marLeft w:val="0"/>
              <w:marRight w:val="0"/>
              <w:marTop w:val="0"/>
              <w:marBottom w:val="0"/>
              <w:divBdr>
                <w:top w:val="none" w:sz="0" w:space="0" w:color="auto"/>
                <w:left w:val="none" w:sz="0" w:space="0" w:color="auto"/>
                <w:bottom w:val="none" w:sz="0" w:space="0" w:color="auto"/>
                <w:right w:val="none" w:sz="0" w:space="0" w:color="auto"/>
              </w:divBdr>
            </w:div>
            <w:div w:id="644743789">
              <w:marLeft w:val="0"/>
              <w:marRight w:val="0"/>
              <w:marTop w:val="0"/>
              <w:marBottom w:val="0"/>
              <w:divBdr>
                <w:top w:val="none" w:sz="0" w:space="0" w:color="auto"/>
                <w:left w:val="none" w:sz="0" w:space="0" w:color="auto"/>
                <w:bottom w:val="none" w:sz="0" w:space="0" w:color="auto"/>
                <w:right w:val="none" w:sz="0" w:space="0" w:color="auto"/>
              </w:divBdr>
            </w:div>
            <w:div w:id="594748308">
              <w:marLeft w:val="0"/>
              <w:marRight w:val="0"/>
              <w:marTop w:val="0"/>
              <w:marBottom w:val="0"/>
              <w:divBdr>
                <w:top w:val="none" w:sz="0" w:space="0" w:color="auto"/>
                <w:left w:val="none" w:sz="0" w:space="0" w:color="auto"/>
                <w:bottom w:val="none" w:sz="0" w:space="0" w:color="auto"/>
                <w:right w:val="none" w:sz="0" w:space="0" w:color="auto"/>
              </w:divBdr>
            </w:div>
            <w:div w:id="89394097">
              <w:marLeft w:val="0"/>
              <w:marRight w:val="0"/>
              <w:marTop w:val="0"/>
              <w:marBottom w:val="0"/>
              <w:divBdr>
                <w:top w:val="none" w:sz="0" w:space="0" w:color="auto"/>
                <w:left w:val="none" w:sz="0" w:space="0" w:color="auto"/>
                <w:bottom w:val="none" w:sz="0" w:space="0" w:color="auto"/>
                <w:right w:val="none" w:sz="0" w:space="0" w:color="auto"/>
              </w:divBdr>
            </w:div>
            <w:div w:id="348407366">
              <w:marLeft w:val="0"/>
              <w:marRight w:val="0"/>
              <w:marTop w:val="0"/>
              <w:marBottom w:val="0"/>
              <w:divBdr>
                <w:top w:val="none" w:sz="0" w:space="0" w:color="auto"/>
                <w:left w:val="none" w:sz="0" w:space="0" w:color="auto"/>
                <w:bottom w:val="none" w:sz="0" w:space="0" w:color="auto"/>
                <w:right w:val="none" w:sz="0" w:space="0" w:color="auto"/>
              </w:divBdr>
            </w:div>
          </w:divsChild>
        </w:div>
        <w:div w:id="683365901">
          <w:marLeft w:val="0"/>
          <w:marRight w:val="0"/>
          <w:marTop w:val="0"/>
          <w:marBottom w:val="0"/>
          <w:divBdr>
            <w:top w:val="none" w:sz="0" w:space="0" w:color="auto"/>
            <w:left w:val="none" w:sz="0" w:space="0" w:color="auto"/>
            <w:bottom w:val="none" w:sz="0" w:space="0" w:color="auto"/>
            <w:right w:val="none" w:sz="0" w:space="0" w:color="auto"/>
          </w:divBdr>
        </w:div>
      </w:divsChild>
    </w:div>
    <w:div w:id="1416439774">
      <w:bodyDiv w:val="1"/>
      <w:marLeft w:val="0"/>
      <w:marRight w:val="0"/>
      <w:marTop w:val="0"/>
      <w:marBottom w:val="0"/>
      <w:divBdr>
        <w:top w:val="none" w:sz="0" w:space="0" w:color="auto"/>
        <w:left w:val="none" w:sz="0" w:space="0" w:color="auto"/>
        <w:bottom w:val="none" w:sz="0" w:space="0" w:color="auto"/>
        <w:right w:val="none" w:sz="0" w:space="0" w:color="auto"/>
      </w:divBdr>
      <w:divsChild>
        <w:div w:id="439376223">
          <w:marLeft w:val="0"/>
          <w:marRight w:val="0"/>
          <w:marTop w:val="0"/>
          <w:marBottom w:val="0"/>
          <w:divBdr>
            <w:top w:val="none" w:sz="0" w:space="0" w:color="auto"/>
            <w:left w:val="none" w:sz="0" w:space="0" w:color="auto"/>
            <w:bottom w:val="none" w:sz="0" w:space="0" w:color="auto"/>
            <w:right w:val="none" w:sz="0" w:space="0" w:color="auto"/>
          </w:divBdr>
        </w:div>
        <w:div w:id="894780734">
          <w:marLeft w:val="0"/>
          <w:marRight w:val="0"/>
          <w:marTop w:val="0"/>
          <w:marBottom w:val="0"/>
          <w:divBdr>
            <w:top w:val="none" w:sz="0" w:space="0" w:color="auto"/>
            <w:left w:val="none" w:sz="0" w:space="0" w:color="auto"/>
            <w:bottom w:val="none" w:sz="0" w:space="0" w:color="auto"/>
            <w:right w:val="none" w:sz="0" w:space="0" w:color="auto"/>
          </w:divBdr>
        </w:div>
        <w:div w:id="1167482284">
          <w:marLeft w:val="0"/>
          <w:marRight w:val="0"/>
          <w:marTop w:val="0"/>
          <w:marBottom w:val="0"/>
          <w:divBdr>
            <w:top w:val="none" w:sz="0" w:space="0" w:color="auto"/>
            <w:left w:val="none" w:sz="0" w:space="0" w:color="auto"/>
            <w:bottom w:val="none" w:sz="0" w:space="0" w:color="auto"/>
            <w:right w:val="none" w:sz="0" w:space="0" w:color="auto"/>
          </w:divBdr>
        </w:div>
        <w:div w:id="1727488382">
          <w:marLeft w:val="0"/>
          <w:marRight w:val="0"/>
          <w:marTop w:val="0"/>
          <w:marBottom w:val="0"/>
          <w:divBdr>
            <w:top w:val="none" w:sz="0" w:space="0" w:color="auto"/>
            <w:left w:val="none" w:sz="0" w:space="0" w:color="auto"/>
            <w:bottom w:val="none" w:sz="0" w:space="0" w:color="auto"/>
            <w:right w:val="none" w:sz="0" w:space="0" w:color="auto"/>
          </w:divBdr>
        </w:div>
      </w:divsChild>
    </w:div>
    <w:div w:id="1456556583">
      <w:bodyDiv w:val="1"/>
      <w:marLeft w:val="390"/>
      <w:marRight w:val="390"/>
      <w:marTop w:val="390"/>
      <w:marBottom w:val="0"/>
      <w:divBdr>
        <w:top w:val="none" w:sz="0" w:space="0" w:color="auto"/>
        <w:left w:val="none" w:sz="0" w:space="0" w:color="auto"/>
        <w:bottom w:val="none" w:sz="0" w:space="0" w:color="auto"/>
        <w:right w:val="none" w:sz="0" w:space="0" w:color="auto"/>
      </w:divBdr>
      <w:divsChild>
        <w:div w:id="150950853">
          <w:marLeft w:val="480"/>
          <w:marRight w:val="0"/>
          <w:marTop w:val="0"/>
          <w:marBottom w:val="0"/>
          <w:divBdr>
            <w:top w:val="none" w:sz="0" w:space="0" w:color="auto"/>
            <w:left w:val="none" w:sz="0" w:space="0" w:color="auto"/>
            <w:bottom w:val="none" w:sz="0" w:space="0" w:color="auto"/>
            <w:right w:val="none" w:sz="0" w:space="0" w:color="auto"/>
          </w:divBdr>
        </w:div>
        <w:div w:id="636571856">
          <w:marLeft w:val="480"/>
          <w:marRight w:val="0"/>
          <w:marTop w:val="0"/>
          <w:marBottom w:val="0"/>
          <w:divBdr>
            <w:top w:val="none" w:sz="0" w:space="0" w:color="auto"/>
            <w:left w:val="none" w:sz="0" w:space="0" w:color="auto"/>
            <w:bottom w:val="none" w:sz="0" w:space="0" w:color="auto"/>
            <w:right w:val="none" w:sz="0" w:space="0" w:color="auto"/>
          </w:divBdr>
        </w:div>
        <w:div w:id="1069619701">
          <w:marLeft w:val="480"/>
          <w:marRight w:val="0"/>
          <w:marTop w:val="0"/>
          <w:marBottom w:val="0"/>
          <w:divBdr>
            <w:top w:val="none" w:sz="0" w:space="0" w:color="auto"/>
            <w:left w:val="none" w:sz="0" w:space="0" w:color="auto"/>
            <w:bottom w:val="none" w:sz="0" w:space="0" w:color="auto"/>
            <w:right w:val="none" w:sz="0" w:space="0" w:color="auto"/>
          </w:divBdr>
        </w:div>
        <w:div w:id="1256743178">
          <w:marLeft w:val="480"/>
          <w:marRight w:val="0"/>
          <w:marTop w:val="0"/>
          <w:marBottom w:val="0"/>
          <w:divBdr>
            <w:top w:val="none" w:sz="0" w:space="0" w:color="auto"/>
            <w:left w:val="none" w:sz="0" w:space="0" w:color="auto"/>
            <w:bottom w:val="none" w:sz="0" w:space="0" w:color="auto"/>
            <w:right w:val="none" w:sz="0" w:space="0" w:color="auto"/>
          </w:divBdr>
        </w:div>
        <w:div w:id="1363942263">
          <w:marLeft w:val="480"/>
          <w:marRight w:val="0"/>
          <w:marTop w:val="0"/>
          <w:marBottom w:val="0"/>
          <w:divBdr>
            <w:top w:val="none" w:sz="0" w:space="0" w:color="auto"/>
            <w:left w:val="none" w:sz="0" w:space="0" w:color="auto"/>
            <w:bottom w:val="none" w:sz="0" w:space="0" w:color="auto"/>
            <w:right w:val="none" w:sz="0" w:space="0" w:color="auto"/>
          </w:divBdr>
        </w:div>
      </w:divsChild>
    </w:div>
    <w:div w:id="1473332198">
      <w:bodyDiv w:val="1"/>
      <w:marLeft w:val="390"/>
      <w:marRight w:val="390"/>
      <w:marTop w:val="390"/>
      <w:marBottom w:val="0"/>
      <w:divBdr>
        <w:top w:val="none" w:sz="0" w:space="0" w:color="auto"/>
        <w:left w:val="none" w:sz="0" w:space="0" w:color="auto"/>
        <w:bottom w:val="none" w:sz="0" w:space="0" w:color="auto"/>
        <w:right w:val="none" w:sz="0" w:space="0" w:color="auto"/>
      </w:divBdr>
    </w:div>
    <w:div w:id="1477186913">
      <w:bodyDiv w:val="1"/>
      <w:marLeft w:val="390"/>
      <w:marRight w:val="390"/>
      <w:marTop w:val="390"/>
      <w:marBottom w:val="0"/>
      <w:divBdr>
        <w:top w:val="none" w:sz="0" w:space="0" w:color="auto"/>
        <w:left w:val="none" w:sz="0" w:space="0" w:color="auto"/>
        <w:bottom w:val="none" w:sz="0" w:space="0" w:color="auto"/>
        <w:right w:val="none" w:sz="0" w:space="0" w:color="auto"/>
      </w:divBdr>
      <w:divsChild>
        <w:div w:id="138350565">
          <w:marLeft w:val="480"/>
          <w:marRight w:val="0"/>
          <w:marTop w:val="0"/>
          <w:marBottom w:val="0"/>
          <w:divBdr>
            <w:top w:val="none" w:sz="0" w:space="0" w:color="auto"/>
            <w:left w:val="none" w:sz="0" w:space="0" w:color="auto"/>
            <w:bottom w:val="none" w:sz="0" w:space="0" w:color="auto"/>
            <w:right w:val="none" w:sz="0" w:space="0" w:color="auto"/>
          </w:divBdr>
        </w:div>
        <w:div w:id="341052585">
          <w:marLeft w:val="480"/>
          <w:marRight w:val="0"/>
          <w:marTop w:val="0"/>
          <w:marBottom w:val="0"/>
          <w:divBdr>
            <w:top w:val="none" w:sz="0" w:space="0" w:color="auto"/>
            <w:left w:val="none" w:sz="0" w:space="0" w:color="auto"/>
            <w:bottom w:val="none" w:sz="0" w:space="0" w:color="auto"/>
            <w:right w:val="none" w:sz="0" w:space="0" w:color="auto"/>
          </w:divBdr>
        </w:div>
        <w:div w:id="407194496">
          <w:marLeft w:val="480"/>
          <w:marRight w:val="0"/>
          <w:marTop w:val="0"/>
          <w:marBottom w:val="0"/>
          <w:divBdr>
            <w:top w:val="none" w:sz="0" w:space="0" w:color="auto"/>
            <w:left w:val="none" w:sz="0" w:space="0" w:color="auto"/>
            <w:bottom w:val="none" w:sz="0" w:space="0" w:color="auto"/>
            <w:right w:val="none" w:sz="0" w:space="0" w:color="auto"/>
          </w:divBdr>
        </w:div>
        <w:div w:id="549650908">
          <w:marLeft w:val="480"/>
          <w:marRight w:val="0"/>
          <w:marTop w:val="0"/>
          <w:marBottom w:val="0"/>
          <w:divBdr>
            <w:top w:val="none" w:sz="0" w:space="0" w:color="auto"/>
            <w:left w:val="none" w:sz="0" w:space="0" w:color="auto"/>
            <w:bottom w:val="none" w:sz="0" w:space="0" w:color="auto"/>
            <w:right w:val="none" w:sz="0" w:space="0" w:color="auto"/>
          </w:divBdr>
        </w:div>
        <w:div w:id="701397233">
          <w:marLeft w:val="480"/>
          <w:marRight w:val="0"/>
          <w:marTop w:val="0"/>
          <w:marBottom w:val="0"/>
          <w:divBdr>
            <w:top w:val="none" w:sz="0" w:space="0" w:color="auto"/>
            <w:left w:val="none" w:sz="0" w:space="0" w:color="auto"/>
            <w:bottom w:val="none" w:sz="0" w:space="0" w:color="auto"/>
            <w:right w:val="none" w:sz="0" w:space="0" w:color="auto"/>
          </w:divBdr>
        </w:div>
        <w:div w:id="832448455">
          <w:marLeft w:val="480"/>
          <w:marRight w:val="0"/>
          <w:marTop w:val="0"/>
          <w:marBottom w:val="0"/>
          <w:divBdr>
            <w:top w:val="none" w:sz="0" w:space="0" w:color="auto"/>
            <w:left w:val="none" w:sz="0" w:space="0" w:color="auto"/>
            <w:bottom w:val="none" w:sz="0" w:space="0" w:color="auto"/>
            <w:right w:val="none" w:sz="0" w:space="0" w:color="auto"/>
          </w:divBdr>
        </w:div>
        <w:div w:id="1054618332">
          <w:marLeft w:val="480"/>
          <w:marRight w:val="0"/>
          <w:marTop w:val="0"/>
          <w:marBottom w:val="0"/>
          <w:divBdr>
            <w:top w:val="none" w:sz="0" w:space="0" w:color="auto"/>
            <w:left w:val="none" w:sz="0" w:space="0" w:color="auto"/>
            <w:bottom w:val="none" w:sz="0" w:space="0" w:color="auto"/>
            <w:right w:val="none" w:sz="0" w:space="0" w:color="auto"/>
          </w:divBdr>
        </w:div>
        <w:div w:id="1076248976">
          <w:marLeft w:val="480"/>
          <w:marRight w:val="0"/>
          <w:marTop w:val="0"/>
          <w:marBottom w:val="0"/>
          <w:divBdr>
            <w:top w:val="none" w:sz="0" w:space="0" w:color="auto"/>
            <w:left w:val="none" w:sz="0" w:space="0" w:color="auto"/>
            <w:bottom w:val="none" w:sz="0" w:space="0" w:color="auto"/>
            <w:right w:val="none" w:sz="0" w:space="0" w:color="auto"/>
          </w:divBdr>
        </w:div>
        <w:div w:id="1224565361">
          <w:marLeft w:val="480"/>
          <w:marRight w:val="0"/>
          <w:marTop w:val="0"/>
          <w:marBottom w:val="0"/>
          <w:divBdr>
            <w:top w:val="none" w:sz="0" w:space="0" w:color="auto"/>
            <w:left w:val="none" w:sz="0" w:space="0" w:color="auto"/>
            <w:bottom w:val="none" w:sz="0" w:space="0" w:color="auto"/>
            <w:right w:val="none" w:sz="0" w:space="0" w:color="auto"/>
          </w:divBdr>
        </w:div>
        <w:div w:id="1374384477">
          <w:marLeft w:val="480"/>
          <w:marRight w:val="0"/>
          <w:marTop w:val="0"/>
          <w:marBottom w:val="0"/>
          <w:divBdr>
            <w:top w:val="none" w:sz="0" w:space="0" w:color="auto"/>
            <w:left w:val="none" w:sz="0" w:space="0" w:color="auto"/>
            <w:bottom w:val="none" w:sz="0" w:space="0" w:color="auto"/>
            <w:right w:val="none" w:sz="0" w:space="0" w:color="auto"/>
          </w:divBdr>
        </w:div>
        <w:div w:id="1435056037">
          <w:marLeft w:val="480"/>
          <w:marRight w:val="0"/>
          <w:marTop w:val="0"/>
          <w:marBottom w:val="0"/>
          <w:divBdr>
            <w:top w:val="none" w:sz="0" w:space="0" w:color="auto"/>
            <w:left w:val="none" w:sz="0" w:space="0" w:color="auto"/>
            <w:bottom w:val="none" w:sz="0" w:space="0" w:color="auto"/>
            <w:right w:val="none" w:sz="0" w:space="0" w:color="auto"/>
          </w:divBdr>
        </w:div>
        <w:div w:id="1503205533">
          <w:marLeft w:val="480"/>
          <w:marRight w:val="0"/>
          <w:marTop w:val="0"/>
          <w:marBottom w:val="0"/>
          <w:divBdr>
            <w:top w:val="none" w:sz="0" w:space="0" w:color="auto"/>
            <w:left w:val="none" w:sz="0" w:space="0" w:color="auto"/>
            <w:bottom w:val="none" w:sz="0" w:space="0" w:color="auto"/>
            <w:right w:val="none" w:sz="0" w:space="0" w:color="auto"/>
          </w:divBdr>
        </w:div>
        <w:div w:id="1505825185">
          <w:marLeft w:val="480"/>
          <w:marRight w:val="0"/>
          <w:marTop w:val="0"/>
          <w:marBottom w:val="0"/>
          <w:divBdr>
            <w:top w:val="none" w:sz="0" w:space="0" w:color="auto"/>
            <w:left w:val="none" w:sz="0" w:space="0" w:color="auto"/>
            <w:bottom w:val="none" w:sz="0" w:space="0" w:color="auto"/>
            <w:right w:val="none" w:sz="0" w:space="0" w:color="auto"/>
          </w:divBdr>
        </w:div>
        <w:div w:id="1512599620">
          <w:marLeft w:val="480"/>
          <w:marRight w:val="0"/>
          <w:marTop w:val="0"/>
          <w:marBottom w:val="0"/>
          <w:divBdr>
            <w:top w:val="none" w:sz="0" w:space="0" w:color="auto"/>
            <w:left w:val="none" w:sz="0" w:space="0" w:color="auto"/>
            <w:bottom w:val="none" w:sz="0" w:space="0" w:color="auto"/>
            <w:right w:val="none" w:sz="0" w:space="0" w:color="auto"/>
          </w:divBdr>
        </w:div>
        <w:div w:id="1609392591">
          <w:marLeft w:val="480"/>
          <w:marRight w:val="0"/>
          <w:marTop w:val="0"/>
          <w:marBottom w:val="0"/>
          <w:divBdr>
            <w:top w:val="none" w:sz="0" w:space="0" w:color="auto"/>
            <w:left w:val="none" w:sz="0" w:space="0" w:color="auto"/>
            <w:bottom w:val="none" w:sz="0" w:space="0" w:color="auto"/>
            <w:right w:val="none" w:sz="0" w:space="0" w:color="auto"/>
          </w:divBdr>
        </w:div>
        <w:div w:id="1614363629">
          <w:marLeft w:val="480"/>
          <w:marRight w:val="0"/>
          <w:marTop w:val="0"/>
          <w:marBottom w:val="0"/>
          <w:divBdr>
            <w:top w:val="none" w:sz="0" w:space="0" w:color="auto"/>
            <w:left w:val="none" w:sz="0" w:space="0" w:color="auto"/>
            <w:bottom w:val="none" w:sz="0" w:space="0" w:color="auto"/>
            <w:right w:val="none" w:sz="0" w:space="0" w:color="auto"/>
          </w:divBdr>
        </w:div>
      </w:divsChild>
    </w:div>
    <w:div w:id="1485077691">
      <w:bodyDiv w:val="1"/>
      <w:marLeft w:val="0"/>
      <w:marRight w:val="0"/>
      <w:marTop w:val="0"/>
      <w:marBottom w:val="0"/>
      <w:divBdr>
        <w:top w:val="none" w:sz="0" w:space="0" w:color="auto"/>
        <w:left w:val="none" w:sz="0" w:space="0" w:color="auto"/>
        <w:bottom w:val="none" w:sz="0" w:space="0" w:color="auto"/>
        <w:right w:val="none" w:sz="0" w:space="0" w:color="auto"/>
      </w:divBdr>
      <w:divsChild>
        <w:div w:id="514419213">
          <w:marLeft w:val="0"/>
          <w:marRight w:val="0"/>
          <w:marTop w:val="0"/>
          <w:marBottom w:val="0"/>
          <w:divBdr>
            <w:top w:val="none" w:sz="0" w:space="0" w:color="auto"/>
            <w:left w:val="none" w:sz="0" w:space="0" w:color="auto"/>
            <w:bottom w:val="none" w:sz="0" w:space="0" w:color="auto"/>
            <w:right w:val="none" w:sz="0" w:space="0" w:color="auto"/>
          </w:divBdr>
        </w:div>
        <w:div w:id="179316241">
          <w:marLeft w:val="0"/>
          <w:marRight w:val="0"/>
          <w:marTop w:val="0"/>
          <w:marBottom w:val="0"/>
          <w:divBdr>
            <w:top w:val="none" w:sz="0" w:space="0" w:color="auto"/>
            <w:left w:val="none" w:sz="0" w:space="0" w:color="auto"/>
            <w:bottom w:val="none" w:sz="0" w:space="0" w:color="auto"/>
            <w:right w:val="none" w:sz="0" w:space="0" w:color="auto"/>
          </w:divBdr>
        </w:div>
        <w:div w:id="1612973432">
          <w:marLeft w:val="0"/>
          <w:marRight w:val="0"/>
          <w:marTop w:val="0"/>
          <w:marBottom w:val="0"/>
          <w:divBdr>
            <w:top w:val="none" w:sz="0" w:space="0" w:color="auto"/>
            <w:left w:val="none" w:sz="0" w:space="0" w:color="auto"/>
            <w:bottom w:val="none" w:sz="0" w:space="0" w:color="auto"/>
            <w:right w:val="none" w:sz="0" w:space="0" w:color="auto"/>
          </w:divBdr>
        </w:div>
      </w:divsChild>
    </w:div>
    <w:div w:id="1487933424">
      <w:bodyDiv w:val="1"/>
      <w:marLeft w:val="0"/>
      <w:marRight w:val="0"/>
      <w:marTop w:val="0"/>
      <w:marBottom w:val="0"/>
      <w:divBdr>
        <w:top w:val="none" w:sz="0" w:space="0" w:color="auto"/>
        <w:left w:val="none" w:sz="0" w:space="0" w:color="auto"/>
        <w:bottom w:val="none" w:sz="0" w:space="0" w:color="auto"/>
        <w:right w:val="none" w:sz="0" w:space="0" w:color="auto"/>
      </w:divBdr>
      <w:divsChild>
        <w:div w:id="644898592">
          <w:marLeft w:val="0"/>
          <w:marRight w:val="0"/>
          <w:marTop w:val="0"/>
          <w:marBottom w:val="0"/>
          <w:divBdr>
            <w:top w:val="none" w:sz="0" w:space="0" w:color="auto"/>
            <w:left w:val="none" w:sz="0" w:space="0" w:color="auto"/>
            <w:bottom w:val="none" w:sz="0" w:space="0" w:color="auto"/>
            <w:right w:val="none" w:sz="0" w:space="0" w:color="auto"/>
          </w:divBdr>
        </w:div>
        <w:div w:id="897328505">
          <w:marLeft w:val="0"/>
          <w:marRight w:val="0"/>
          <w:marTop w:val="0"/>
          <w:marBottom w:val="0"/>
          <w:divBdr>
            <w:top w:val="none" w:sz="0" w:space="0" w:color="auto"/>
            <w:left w:val="none" w:sz="0" w:space="0" w:color="auto"/>
            <w:bottom w:val="none" w:sz="0" w:space="0" w:color="auto"/>
            <w:right w:val="none" w:sz="0" w:space="0" w:color="auto"/>
          </w:divBdr>
        </w:div>
        <w:div w:id="1001590727">
          <w:marLeft w:val="0"/>
          <w:marRight w:val="0"/>
          <w:marTop w:val="0"/>
          <w:marBottom w:val="0"/>
          <w:divBdr>
            <w:top w:val="none" w:sz="0" w:space="0" w:color="auto"/>
            <w:left w:val="none" w:sz="0" w:space="0" w:color="auto"/>
            <w:bottom w:val="none" w:sz="0" w:space="0" w:color="auto"/>
            <w:right w:val="none" w:sz="0" w:space="0" w:color="auto"/>
          </w:divBdr>
        </w:div>
        <w:div w:id="1328829685">
          <w:marLeft w:val="0"/>
          <w:marRight w:val="0"/>
          <w:marTop w:val="0"/>
          <w:marBottom w:val="0"/>
          <w:divBdr>
            <w:top w:val="none" w:sz="0" w:space="0" w:color="auto"/>
            <w:left w:val="none" w:sz="0" w:space="0" w:color="auto"/>
            <w:bottom w:val="none" w:sz="0" w:space="0" w:color="auto"/>
            <w:right w:val="none" w:sz="0" w:space="0" w:color="auto"/>
          </w:divBdr>
        </w:div>
        <w:div w:id="1338927456">
          <w:marLeft w:val="0"/>
          <w:marRight w:val="0"/>
          <w:marTop w:val="0"/>
          <w:marBottom w:val="0"/>
          <w:divBdr>
            <w:top w:val="none" w:sz="0" w:space="0" w:color="auto"/>
            <w:left w:val="none" w:sz="0" w:space="0" w:color="auto"/>
            <w:bottom w:val="none" w:sz="0" w:space="0" w:color="auto"/>
            <w:right w:val="none" w:sz="0" w:space="0" w:color="auto"/>
          </w:divBdr>
        </w:div>
        <w:div w:id="1540581149">
          <w:marLeft w:val="0"/>
          <w:marRight w:val="0"/>
          <w:marTop w:val="0"/>
          <w:marBottom w:val="0"/>
          <w:divBdr>
            <w:top w:val="none" w:sz="0" w:space="0" w:color="auto"/>
            <w:left w:val="none" w:sz="0" w:space="0" w:color="auto"/>
            <w:bottom w:val="none" w:sz="0" w:space="0" w:color="auto"/>
            <w:right w:val="none" w:sz="0" w:space="0" w:color="auto"/>
          </w:divBdr>
        </w:div>
        <w:div w:id="1804927111">
          <w:marLeft w:val="0"/>
          <w:marRight w:val="0"/>
          <w:marTop w:val="0"/>
          <w:marBottom w:val="0"/>
          <w:divBdr>
            <w:top w:val="none" w:sz="0" w:space="0" w:color="auto"/>
            <w:left w:val="none" w:sz="0" w:space="0" w:color="auto"/>
            <w:bottom w:val="none" w:sz="0" w:space="0" w:color="auto"/>
            <w:right w:val="none" w:sz="0" w:space="0" w:color="auto"/>
          </w:divBdr>
        </w:div>
      </w:divsChild>
    </w:div>
    <w:div w:id="1495760093">
      <w:bodyDiv w:val="1"/>
      <w:marLeft w:val="0"/>
      <w:marRight w:val="0"/>
      <w:marTop w:val="0"/>
      <w:marBottom w:val="0"/>
      <w:divBdr>
        <w:top w:val="none" w:sz="0" w:space="0" w:color="auto"/>
        <w:left w:val="none" w:sz="0" w:space="0" w:color="auto"/>
        <w:bottom w:val="none" w:sz="0" w:space="0" w:color="auto"/>
        <w:right w:val="none" w:sz="0" w:space="0" w:color="auto"/>
      </w:divBdr>
      <w:divsChild>
        <w:div w:id="29766306">
          <w:marLeft w:val="0"/>
          <w:marRight w:val="0"/>
          <w:marTop w:val="0"/>
          <w:marBottom w:val="0"/>
          <w:divBdr>
            <w:top w:val="none" w:sz="0" w:space="0" w:color="auto"/>
            <w:left w:val="none" w:sz="0" w:space="0" w:color="auto"/>
            <w:bottom w:val="none" w:sz="0" w:space="0" w:color="auto"/>
            <w:right w:val="none" w:sz="0" w:space="0" w:color="auto"/>
          </w:divBdr>
        </w:div>
        <w:div w:id="313989782">
          <w:marLeft w:val="0"/>
          <w:marRight w:val="0"/>
          <w:marTop w:val="0"/>
          <w:marBottom w:val="0"/>
          <w:divBdr>
            <w:top w:val="none" w:sz="0" w:space="0" w:color="auto"/>
            <w:left w:val="none" w:sz="0" w:space="0" w:color="auto"/>
            <w:bottom w:val="none" w:sz="0" w:space="0" w:color="auto"/>
            <w:right w:val="none" w:sz="0" w:space="0" w:color="auto"/>
          </w:divBdr>
        </w:div>
        <w:div w:id="338627883">
          <w:marLeft w:val="0"/>
          <w:marRight w:val="0"/>
          <w:marTop w:val="0"/>
          <w:marBottom w:val="0"/>
          <w:divBdr>
            <w:top w:val="none" w:sz="0" w:space="0" w:color="auto"/>
            <w:left w:val="none" w:sz="0" w:space="0" w:color="auto"/>
            <w:bottom w:val="none" w:sz="0" w:space="0" w:color="auto"/>
            <w:right w:val="none" w:sz="0" w:space="0" w:color="auto"/>
          </w:divBdr>
        </w:div>
        <w:div w:id="401634907">
          <w:marLeft w:val="0"/>
          <w:marRight w:val="0"/>
          <w:marTop w:val="0"/>
          <w:marBottom w:val="0"/>
          <w:divBdr>
            <w:top w:val="none" w:sz="0" w:space="0" w:color="auto"/>
            <w:left w:val="none" w:sz="0" w:space="0" w:color="auto"/>
            <w:bottom w:val="none" w:sz="0" w:space="0" w:color="auto"/>
            <w:right w:val="none" w:sz="0" w:space="0" w:color="auto"/>
          </w:divBdr>
        </w:div>
        <w:div w:id="420218988">
          <w:marLeft w:val="0"/>
          <w:marRight w:val="0"/>
          <w:marTop w:val="0"/>
          <w:marBottom w:val="0"/>
          <w:divBdr>
            <w:top w:val="none" w:sz="0" w:space="0" w:color="auto"/>
            <w:left w:val="none" w:sz="0" w:space="0" w:color="auto"/>
            <w:bottom w:val="none" w:sz="0" w:space="0" w:color="auto"/>
            <w:right w:val="none" w:sz="0" w:space="0" w:color="auto"/>
          </w:divBdr>
        </w:div>
        <w:div w:id="498038846">
          <w:marLeft w:val="0"/>
          <w:marRight w:val="0"/>
          <w:marTop w:val="0"/>
          <w:marBottom w:val="0"/>
          <w:divBdr>
            <w:top w:val="none" w:sz="0" w:space="0" w:color="auto"/>
            <w:left w:val="none" w:sz="0" w:space="0" w:color="auto"/>
            <w:bottom w:val="none" w:sz="0" w:space="0" w:color="auto"/>
            <w:right w:val="none" w:sz="0" w:space="0" w:color="auto"/>
          </w:divBdr>
        </w:div>
        <w:div w:id="1072582045">
          <w:marLeft w:val="0"/>
          <w:marRight w:val="0"/>
          <w:marTop w:val="0"/>
          <w:marBottom w:val="0"/>
          <w:divBdr>
            <w:top w:val="none" w:sz="0" w:space="0" w:color="auto"/>
            <w:left w:val="none" w:sz="0" w:space="0" w:color="auto"/>
            <w:bottom w:val="none" w:sz="0" w:space="0" w:color="auto"/>
            <w:right w:val="none" w:sz="0" w:space="0" w:color="auto"/>
          </w:divBdr>
        </w:div>
        <w:div w:id="1212840582">
          <w:marLeft w:val="0"/>
          <w:marRight w:val="0"/>
          <w:marTop w:val="0"/>
          <w:marBottom w:val="0"/>
          <w:divBdr>
            <w:top w:val="none" w:sz="0" w:space="0" w:color="auto"/>
            <w:left w:val="none" w:sz="0" w:space="0" w:color="auto"/>
            <w:bottom w:val="none" w:sz="0" w:space="0" w:color="auto"/>
            <w:right w:val="none" w:sz="0" w:space="0" w:color="auto"/>
          </w:divBdr>
        </w:div>
        <w:div w:id="1682854089">
          <w:marLeft w:val="0"/>
          <w:marRight w:val="0"/>
          <w:marTop w:val="0"/>
          <w:marBottom w:val="0"/>
          <w:divBdr>
            <w:top w:val="none" w:sz="0" w:space="0" w:color="auto"/>
            <w:left w:val="none" w:sz="0" w:space="0" w:color="auto"/>
            <w:bottom w:val="none" w:sz="0" w:space="0" w:color="auto"/>
            <w:right w:val="none" w:sz="0" w:space="0" w:color="auto"/>
          </w:divBdr>
        </w:div>
        <w:div w:id="1880433402">
          <w:marLeft w:val="0"/>
          <w:marRight w:val="0"/>
          <w:marTop w:val="0"/>
          <w:marBottom w:val="0"/>
          <w:divBdr>
            <w:top w:val="none" w:sz="0" w:space="0" w:color="auto"/>
            <w:left w:val="none" w:sz="0" w:space="0" w:color="auto"/>
            <w:bottom w:val="none" w:sz="0" w:space="0" w:color="auto"/>
            <w:right w:val="none" w:sz="0" w:space="0" w:color="auto"/>
          </w:divBdr>
        </w:div>
      </w:divsChild>
    </w:div>
    <w:div w:id="1554272790">
      <w:bodyDiv w:val="1"/>
      <w:marLeft w:val="0"/>
      <w:marRight w:val="0"/>
      <w:marTop w:val="0"/>
      <w:marBottom w:val="0"/>
      <w:divBdr>
        <w:top w:val="none" w:sz="0" w:space="0" w:color="auto"/>
        <w:left w:val="none" w:sz="0" w:space="0" w:color="auto"/>
        <w:bottom w:val="none" w:sz="0" w:space="0" w:color="auto"/>
        <w:right w:val="none" w:sz="0" w:space="0" w:color="auto"/>
      </w:divBdr>
      <w:divsChild>
        <w:div w:id="544297632">
          <w:marLeft w:val="0"/>
          <w:marRight w:val="0"/>
          <w:marTop w:val="0"/>
          <w:marBottom w:val="0"/>
          <w:divBdr>
            <w:top w:val="none" w:sz="0" w:space="0" w:color="auto"/>
            <w:left w:val="none" w:sz="0" w:space="0" w:color="auto"/>
            <w:bottom w:val="none" w:sz="0" w:space="0" w:color="auto"/>
            <w:right w:val="none" w:sz="0" w:space="0" w:color="auto"/>
          </w:divBdr>
        </w:div>
        <w:div w:id="1925918544">
          <w:marLeft w:val="0"/>
          <w:marRight w:val="0"/>
          <w:marTop w:val="0"/>
          <w:marBottom w:val="0"/>
          <w:divBdr>
            <w:top w:val="none" w:sz="0" w:space="0" w:color="auto"/>
            <w:left w:val="none" w:sz="0" w:space="0" w:color="auto"/>
            <w:bottom w:val="none" w:sz="0" w:space="0" w:color="auto"/>
            <w:right w:val="none" w:sz="0" w:space="0" w:color="auto"/>
          </w:divBdr>
        </w:div>
        <w:div w:id="949631222">
          <w:marLeft w:val="0"/>
          <w:marRight w:val="0"/>
          <w:marTop w:val="0"/>
          <w:marBottom w:val="0"/>
          <w:divBdr>
            <w:top w:val="none" w:sz="0" w:space="0" w:color="auto"/>
            <w:left w:val="none" w:sz="0" w:space="0" w:color="auto"/>
            <w:bottom w:val="none" w:sz="0" w:space="0" w:color="auto"/>
            <w:right w:val="none" w:sz="0" w:space="0" w:color="auto"/>
          </w:divBdr>
        </w:div>
        <w:div w:id="1029376314">
          <w:marLeft w:val="0"/>
          <w:marRight w:val="0"/>
          <w:marTop w:val="0"/>
          <w:marBottom w:val="0"/>
          <w:divBdr>
            <w:top w:val="none" w:sz="0" w:space="0" w:color="auto"/>
            <w:left w:val="none" w:sz="0" w:space="0" w:color="auto"/>
            <w:bottom w:val="none" w:sz="0" w:space="0" w:color="auto"/>
            <w:right w:val="none" w:sz="0" w:space="0" w:color="auto"/>
          </w:divBdr>
        </w:div>
        <w:div w:id="84542999">
          <w:marLeft w:val="0"/>
          <w:marRight w:val="0"/>
          <w:marTop w:val="0"/>
          <w:marBottom w:val="0"/>
          <w:divBdr>
            <w:top w:val="none" w:sz="0" w:space="0" w:color="auto"/>
            <w:left w:val="none" w:sz="0" w:space="0" w:color="auto"/>
            <w:bottom w:val="none" w:sz="0" w:space="0" w:color="auto"/>
            <w:right w:val="none" w:sz="0" w:space="0" w:color="auto"/>
          </w:divBdr>
        </w:div>
        <w:div w:id="628783764">
          <w:marLeft w:val="0"/>
          <w:marRight w:val="0"/>
          <w:marTop w:val="0"/>
          <w:marBottom w:val="0"/>
          <w:divBdr>
            <w:top w:val="none" w:sz="0" w:space="0" w:color="auto"/>
            <w:left w:val="none" w:sz="0" w:space="0" w:color="auto"/>
            <w:bottom w:val="none" w:sz="0" w:space="0" w:color="auto"/>
            <w:right w:val="none" w:sz="0" w:space="0" w:color="auto"/>
          </w:divBdr>
        </w:div>
        <w:div w:id="1017196069">
          <w:marLeft w:val="0"/>
          <w:marRight w:val="0"/>
          <w:marTop w:val="0"/>
          <w:marBottom w:val="0"/>
          <w:divBdr>
            <w:top w:val="none" w:sz="0" w:space="0" w:color="auto"/>
            <w:left w:val="none" w:sz="0" w:space="0" w:color="auto"/>
            <w:bottom w:val="none" w:sz="0" w:space="0" w:color="auto"/>
            <w:right w:val="none" w:sz="0" w:space="0" w:color="auto"/>
          </w:divBdr>
        </w:div>
        <w:div w:id="1333483282">
          <w:marLeft w:val="0"/>
          <w:marRight w:val="0"/>
          <w:marTop w:val="0"/>
          <w:marBottom w:val="0"/>
          <w:divBdr>
            <w:top w:val="none" w:sz="0" w:space="0" w:color="auto"/>
            <w:left w:val="none" w:sz="0" w:space="0" w:color="auto"/>
            <w:bottom w:val="none" w:sz="0" w:space="0" w:color="auto"/>
            <w:right w:val="none" w:sz="0" w:space="0" w:color="auto"/>
          </w:divBdr>
        </w:div>
        <w:div w:id="1653873489">
          <w:marLeft w:val="0"/>
          <w:marRight w:val="0"/>
          <w:marTop w:val="0"/>
          <w:marBottom w:val="0"/>
          <w:divBdr>
            <w:top w:val="none" w:sz="0" w:space="0" w:color="auto"/>
            <w:left w:val="none" w:sz="0" w:space="0" w:color="auto"/>
            <w:bottom w:val="none" w:sz="0" w:space="0" w:color="auto"/>
            <w:right w:val="none" w:sz="0" w:space="0" w:color="auto"/>
          </w:divBdr>
        </w:div>
        <w:div w:id="1892645552">
          <w:marLeft w:val="0"/>
          <w:marRight w:val="0"/>
          <w:marTop w:val="0"/>
          <w:marBottom w:val="0"/>
          <w:divBdr>
            <w:top w:val="none" w:sz="0" w:space="0" w:color="auto"/>
            <w:left w:val="none" w:sz="0" w:space="0" w:color="auto"/>
            <w:bottom w:val="none" w:sz="0" w:space="0" w:color="auto"/>
            <w:right w:val="none" w:sz="0" w:space="0" w:color="auto"/>
          </w:divBdr>
        </w:div>
      </w:divsChild>
    </w:div>
    <w:div w:id="1561944645">
      <w:bodyDiv w:val="1"/>
      <w:marLeft w:val="0"/>
      <w:marRight w:val="0"/>
      <w:marTop w:val="0"/>
      <w:marBottom w:val="0"/>
      <w:divBdr>
        <w:top w:val="none" w:sz="0" w:space="0" w:color="auto"/>
        <w:left w:val="none" w:sz="0" w:space="0" w:color="auto"/>
        <w:bottom w:val="none" w:sz="0" w:space="0" w:color="auto"/>
        <w:right w:val="none" w:sz="0" w:space="0" w:color="auto"/>
      </w:divBdr>
      <w:divsChild>
        <w:div w:id="607156337">
          <w:marLeft w:val="0"/>
          <w:marRight w:val="0"/>
          <w:marTop w:val="0"/>
          <w:marBottom w:val="0"/>
          <w:divBdr>
            <w:top w:val="none" w:sz="0" w:space="0" w:color="auto"/>
            <w:left w:val="none" w:sz="0" w:space="0" w:color="auto"/>
            <w:bottom w:val="none" w:sz="0" w:space="0" w:color="auto"/>
            <w:right w:val="none" w:sz="0" w:space="0" w:color="auto"/>
          </w:divBdr>
        </w:div>
        <w:div w:id="697779624">
          <w:marLeft w:val="0"/>
          <w:marRight w:val="0"/>
          <w:marTop w:val="0"/>
          <w:marBottom w:val="0"/>
          <w:divBdr>
            <w:top w:val="none" w:sz="0" w:space="0" w:color="auto"/>
            <w:left w:val="none" w:sz="0" w:space="0" w:color="auto"/>
            <w:bottom w:val="none" w:sz="0" w:space="0" w:color="auto"/>
            <w:right w:val="none" w:sz="0" w:space="0" w:color="auto"/>
          </w:divBdr>
        </w:div>
        <w:div w:id="793519426">
          <w:marLeft w:val="0"/>
          <w:marRight w:val="0"/>
          <w:marTop w:val="0"/>
          <w:marBottom w:val="0"/>
          <w:divBdr>
            <w:top w:val="none" w:sz="0" w:space="0" w:color="auto"/>
            <w:left w:val="none" w:sz="0" w:space="0" w:color="auto"/>
            <w:bottom w:val="none" w:sz="0" w:space="0" w:color="auto"/>
            <w:right w:val="none" w:sz="0" w:space="0" w:color="auto"/>
          </w:divBdr>
        </w:div>
        <w:div w:id="1441071292">
          <w:marLeft w:val="0"/>
          <w:marRight w:val="0"/>
          <w:marTop w:val="0"/>
          <w:marBottom w:val="0"/>
          <w:divBdr>
            <w:top w:val="none" w:sz="0" w:space="0" w:color="auto"/>
            <w:left w:val="none" w:sz="0" w:space="0" w:color="auto"/>
            <w:bottom w:val="none" w:sz="0" w:space="0" w:color="auto"/>
            <w:right w:val="none" w:sz="0" w:space="0" w:color="auto"/>
          </w:divBdr>
        </w:div>
      </w:divsChild>
    </w:div>
    <w:div w:id="1589846274">
      <w:bodyDiv w:val="1"/>
      <w:marLeft w:val="390"/>
      <w:marRight w:val="390"/>
      <w:marTop w:val="390"/>
      <w:marBottom w:val="0"/>
      <w:divBdr>
        <w:top w:val="none" w:sz="0" w:space="0" w:color="auto"/>
        <w:left w:val="none" w:sz="0" w:space="0" w:color="auto"/>
        <w:bottom w:val="none" w:sz="0" w:space="0" w:color="auto"/>
        <w:right w:val="none" w:sz="0" w:space="0" w:color="auto"/>
      </w:divBdr>
    </w:div>
    <w:div w:id="1602301398">
      <w:bodyDiv w:val="1"/>
      <w:marLeft w:val="0"/>
      <w:marRight w:val="0"/>
      <w:marTop w:val="0"/>
      <w:marBottom w:val="0"/>
      <w:divBdr>
        <w:top w:val="none" w:sz="0" w:space="0" w:color="auto"/>
        <w:left w:val="none" w:sz="0" w:space="0" w:color="auto"/>
        <w:bottom w:val="none" w:sz="0" w:space="0" w:color="auto"/>
        <w:right w:val="none" w:sz="0" w:space="0" w:color="auto"/>
      </w:divBdr>
      <w:divsChild>
        <w:div w:id="179438460">
          <w:marLeft w:val="0"/>
          <w:marRight w:val="0"/>
          <w:marTop w:val="0"/>
          <w:marBottom w:val="0"/>
          <w:divBdr>
            <w:top w:val="none" w:sz="0" w:space="0" w:color="auto"/>
            <w:left w:val="none" w:sz="0" w:space="0" w:color="auto"/>
            <w:bottom w:val="none" w:sz="0" w:space="0" w:color="auto"/>
            <w:right w:val="none" w:sz="0" w:space="0" w:color="auto"/>
          </w:divBdr>
        </w:div>
        <w:div w:id="749159803">
          <w:marLeft w:val="0"/>
          <w:marRight w:val="0"/>
          <w:marTop w:val="0"/>
          <w:marBottom w:val="0"/>
          <w:divBdr>
            <w:top w:val="none" w:sz="0" w:space="0" w:color="auto"/>
            <w:left w:val="none" w:sz="0" w:space="0" w:color="auto"/>
            <w:bottom w:val="none" w:sz="0" w:space="0" w:color="auto"/>
            <w:right w:val="none" w:sz="0" w:space="0" w:color="auto"/>
          </w:divBdr>
        </w:div>
        <w:div w:id="166796726">
          <w:marLeft w:val="0"/>
          <w:marRight w:val="0"/>
          <w:marTop w:val="0"/>
          <w:marBottom w:val="0"/>
          <w:divBdr>
            <w:top w:val="none" w:sz="0" w:space="0" w:color="auto"/>
            <w:left w:val="none" w:sz="0" w:space="0" w:color="auto"/>
            <w:bottom w:val="none" w:sz="0" w:space="0" w:color="auto"/>
            <w:right w:val="none" w:sz="0" w:space="0" w:color="auto"/>
          </w:divBdr>
        </w:div>
      </w:divsChild>
    </w:div>
    <w:div w:id="1674336691">
      <w:bodyDiv w:val="1"/>
      <w:marLeft w:val="390"/>
      <w:marRight w:val="390"/>
      <w:marTop w:val="390"/>
      <w:marBottom w:val="0"/>
      <w:divBdr>
        <w:top w:val="none" w:sz="0" w:space="0" w:color="auto"/>
        <w:left w:val="none" w:sz="0" w:space="0" w:color="auto"/>
        <w:bottom w:val="none" w:sz="0" w:space="0" w:color="auto"/>
        <w:right w:val="none" w:sz="0" w:space="0" w:color="auto"/>
      </w:divBdr>
    </w:div>
    <w:div w:id="1684014804">
      <w:bodyDiv w:val="1"/>
      <w:marLeft w:val="0"/>
      <w:marRight w:val="0"/>
      <w:marTop w:val="0"/>
      <w:marBottom w:val="0"/>
      <w:divBdr>
        <w:top w:val="none" w:sz="0" w:space="0" w:color="auto"/>
        <w:left w:val="none" w:sz="0" w:space="0" w:color="auto"/>
        <w:bottom w:val="none" w:sz="0" w:space="0" w:color="auto"/>
        <w:right w:val="none" w:sz="0" w:space="0" w:color="auto"/>
      </w:divBdr>
    </w:div>
    <w:div w:id="1696734929">
      <w:bodyDiv w:val="1"/>
      <w:marLeft w:val="0"/>
      <w:marRight w:val="0"/>
      <w:marTop w:val="0"/>
      <w:marBottom w:val="0"/>
      <w:divBdr>
        <w:top w:val="none" w:sz="0" w:space="0" w:color="auto"/>
        <w:left w:val="none" w:sz="0" w:space="0" w:color="auto"/>
        <w:bottom w:val="none" w:sz="0" w:space="0" w:color="auto"/>
        <w:right w:val="none" w:sz="0" w:space="0" w:color="auto"/>
      </w:divBdr>
      <w:divsChild>
        <w:div w:id="47846571">
          <w:marLeft w:val="0"/>
          <w:marRight w:val="0"/>
          <w:marTop w:val="0"/>
          <w:marBottom w:val="0"/>
          <w:divBdr>
            <w:top w:val="none" w:sz="0" w:space="0" w:color="auto"/>
            <w:left w:val="none" w:sz="0" w:space="0" w:color="auto"/>
            <w:bottom w:val="none" w:sz="0" w:space="0" w:color="auto"/>
            <w:right w:val="none" w:sz="0" w:space="0" w:color="auto"/>
          </w:divBdr>
        </w:div>
        <w:div w:id="1691057697">
          <w:marLeft w:val="0"/>
          <w:marRight w:val="0"/>
          <w:marTop w:val="0"/>
          <w:marBottom w:val="0"/>
          <w:divBdr>
            <w:top w:val="none" w:sz="0" w:space="0" w:color="auto"/>
            <w:left w:val="none" w:sz="0" w:space="0" w:color="auto"/>
            <w:bottom w:val="none" w:sz="0" w:space="0" w:color="auto"/>
            <w:right w:val="none" w:sz="0" w:space="0" w:color="auto"/>
          </w:divBdr>
        </w:div>
        <w:div w:id="1720975679">
          <w:marLeft w:val="0"/>
          <w:marRight w:val="0"/>
          <w:marTop w:val="0"/>
          <w:marBottom w:val="0"/>
          <w:divBdr>
            <w:top w:val="none" w:sz="0" w:space="0" w:color="auto"/>
            <w:left w:val="none" w:sz="0" w:space="0" w:color="auto"/>
            <w:bottom w:val="none" w:sz="0" w:space="0" w:color="auto"/>
            <w:right w:val="none" w:sz="0" w:space="0" w:color="auto"/>
          </w:divBdr>
        </w:div>
      </w:divsChild>
    </w:div>
    <w:div w:id="1757633671">
      <w:bodyDiv w:val="1"/>
      <w:marLeft w:val="0"/>
      <w:marRight w:val="0"/>
      <w:marTop w:val="0"/>
      <w:marBottom w:val="0"/>
      <w:divBdr>
        <w:top w:val="none" w:sz="0" w:space="0" w:color="auto"/>
        <w:left w:val="none" w:sz="0" w:space="0" w:color="auto"/>
        <w:bottom w:val="none" w:sz="0" w:space="0" w:color="auto"/>
        <w:right w:val="none" w:sz="0" w:space="0" w:color="auto"/>
      </w:divBdr>
      <w:divsChild>
        <w:div w:id="1578249749">
          <w:marLeft w:val="0"/>
          <w:marRight w:val="0"/>
          <w:marTop w:val="0"/>
          <w:marBottom w:val="0"/>
          <w:divBdr>
            <w:top w:val="none" w:sz="0" w:space="0" w:color="auto"/>
            <w:left w:val="none" w:sz="0" w:space="0" w:color="auto"/>
            <w:bottom w:val="none" w:sz="0" w:space="0" w:color="auto"/>
            <w:right w:val="none" w:sz="0" w:space="0" w:color="auto"/>
          </w:divBdr>
          <w:divsChild>
            <w:div w:id="444084396">
              <w:marLeft w:val="0"/>
              <w:marRight w:val="1"/>
              <w:marTop w:val="0"/>
              <w:marBottom w:val="0"/>
              <w:divBdr>
                <w:top w:val="none" w:sz="0" w:space="0" w:color="auto"/>
                <w:left w:val="none" w:sz="0" w:space="0" w:color="auto"/>
                <w:bottom w:val="none" w:sz="0" w:space="0" w:color="auto"/>
                <w:right w:val="none" w:sz="0" w:space="0" w:color="auto"/>
              </w:divBdr>
            </w:div>
          </w:divsChild>
        </w:div>
      </w:divsChild>
    </w:div>
    <w:div w:id="1800761263">
      <w:bodyDiv w:val="1"/>
      <w:marLeft w:val="0"/>
      <w:marRight w:val="0"/>
      <w:marTop w:val="0"/>
      <w:marBottom w:val="0"/>
      <w:divBdr>
        <w:top w:val="none" w:sz="0" w:space="0" w:color="auto"/>
        <w:left w:val="none" w:sz="0" w:space="0" w:color="auto"/>
        <w:bottom w:val="none" w:sz="0" w:space="0" w:color="auto"/>
        <w:right w:val="none" w:sz="0" w:space="0" w:color="auto"/>
      </w:divBdr>
      <w:divsChild>
        <w:div w:id="2115175390">
          <w:marLeft w:val="0"/>
          <w:marRight w:val="0"/>
          <w:marTop w:val="0"/>
          <w:marBottom w:val="0"/>
          <w:divBdr>
            <w:top w:val="none" w:sz="0" w:space="0" w:color="auto"/>
            <w:left w:val="none" w:sz="0" w:space="0" w:color="auto"/>
            <w:bottom w:val="none" w:sz="0" w:space="0" w:color="auto"/>
            <w:right w:val="none" w:sz="0" w:space="0" w:color="auto"/>
          </w:divBdr>
        </w:div>
      </w:divsChild>
    </w:div>
    <w:div w:id="1895853402">
      <w:bodyDiv w:val="1"/>
      <w:marLeft w:val="0"/>
      <w:marRight w:val="0"/>
      <w:marTop w:val="0"/>
      <w:marBottom w:val="0"/>
      <w:divBdr>
        <w:top w:val="none" w:sz="0" w:space="0" w:color="auto"/>
        <w:left w:val="none" w:sz="0" w:space="0" w:color="auto"/>
        <w:bottom w:val="none" w:sz="0" w:space="0" w:color="auto"/>
        <w:right w:val="none" w:sz="0" w:space="0" w:color="auto"/>
      </w:divBdr>
      <w:divsChild>
        <w:div w:id="519314857">
          <w:marLeft w:val="0"/>
          <w:marRight w:val="0"/>
          <w:marTop w:val="0"/>
          <w:marBottom w:val="0"/>
          <w:divBdr>
            <w:top w:val="none" w:sz="0" w:space="0" w:color="auto"/>
            <w:left w:val="none" w:sz="0" w:space="0" w:color="auto"/>
            <w:bottom w:val="none" w:sz="0" w:space="0" w:color="auto"/>
            <w:right w:val="none" w:sz="0" w:space="0" w:color="auto"/>
          </w:divBdr>
          <w:divsChild>
            <w:div w:id="1493639694">
              <w:marLeft w:val="0"/>
              <w:marRight w:val="0"/>
              <w:marTop w:val="0"/>
              <w:marBottom w:val="0"/>
              <w:divBdr>
                <w:top w:val="none" w:sz="0" w:space="0" w:color="auto"/>
                <w:left w:val="none" w:sz="0" w:space="0" w:color="auto"/>
                <w:bottom w:val="none" w:sz="0" w:space="0" w:color="auto"/>
                <w:right w:val="none" w:sz="0" w:space="0" w:color="auto"/>
              </w:divBdr>
            </w:div>
            <w:div w:id="201791544">
              <w:marLeft w:val="0"/>
              <w:marRight w:val="0"/>
              <w:marTop w:val="0"/>
              <w:marBottom w:val="0"/>
              <w:divBdr>
                <w:top w:val="none" w:sz="0" w:space="0" w:color="auto"/>
                <w:left w:val="none" w:sz="0" w:space="0" w:color="auto"/>
                <w:bottom w:val="none" w:sz="0" w:space="0" w:color="auto"/>
                <w:right w:val="none" w:sz="0" w:space="0" w:color="auto"/>
              </w:divBdr>
            </w:div>
            <w:div w:id="911550219">
              <w:marLeft w:val="0"/>
              <w:marRight w:val="0"/>
              <w:marTop w:val="0"/>
              <w:marBottom w:val="0"/>
              <w:divBdr>
                <w:top w:val="none" w:sz="0" w:space="0" w:color="auto"/>
                <w:left w:val="none" w:sz="0" w:space="0" w:color="auto"/>
                <w:bottom w:val="none" w:sz="0" w:space="0" w:color="auto"/>
                <w:right w:val="none" w:sz="0" w:space="0" w:color="auto"/>
              </w:divBdr>
            </w:div>
            <w:div w:id="1731539321">
              <w:marLeft w:val="0"/>
              <w:marRight w:val="0"/>
              <w:marTop w:val="0"/>
              <w:marBottom w:val="0"/>
              <w:divBdr>
                <w:top w:val="none" w:sz="0" w:space="0" w:color="auto"/>
                <w:left w:val="none" w:sz="0" w:space="0" w:color="auto"/>
                <w:bottom w:val="none" w:sz="0" w:space="0" w:color="auto"/>
                <w:right w:val="none" w:sz="0" w:space="0" w:color="auto"/>
              </w:divBdr>
            </w:div>
            <w:div w:id="331375794">
              <w:marLeft w:val="0"/>
              <w:marRight w:val="0"/>
              <w:marTop w:val="0"/>
              <w:marBottom w:val="0"/>
              <w:divBdr>
                <w:top w:val="none" w:sz="0" w:space="0" w:color="auto"/>
                <w:left w:val="none" w:sz="0" w:space="0" w:color="auto"/>
                <w:bottom w:val="none" w:sz="0" w:space="0" w:color="auto"/>
                <w:right w:val="none" w:sz="0" w:space="0" w:color="auto"/>
              </w:divBdr>
            </w:div>
            <w:div w:id="581112268">
              <w:marLeft w:val="0"/>
              <w:marRight w:val="0"/>
              <w:marTop w:val="0"/>
              <w:marBottom w:val="0"/>
              <w:divBdr>
                <w:top w:val="none" w:sz="0" w:space="0" w:color="auto"/>
                <w:left w:val="none" w:sz="0" w:space="0" w:color="auto"/>
                <w:bottom w:val="none" w:sz="0" w:space="0" w:color="auto"/>
                <w:right w:val="none" w:sz="0" w:space="0" w:color="auto"/>
              </w:divBdr>
            </w:div>
            <w:div w:id="1036852540">
              <w:marLeft w:val="0"/>
              <w:marRight w:val="0"/>
              <w:marTop w:val="0"/>
              <w:marBottom w:val="0"/>
              <w:divBdr>
                <w:top w:val="none" w:sz="0" w:space="0" w:color="auto"/>
                <w:left w:val="none" w:sz="0" w:space="0" w:color="auto"/>
                <w:bottom w:val="none" w:sz="0" w:space="0" w:color="auto"/>
                <w:right w:val="none" w:sz="0" w:space="0" w:color="auto"/>
              </w:divBdr>
            </w:div>
            <w:div w:id="482357884">
              <w:marLeft w:val="0"/>
              <w:marRight w:val="0"/>
              <w:marTop w:val="0"/>
              <w:marBottom w:val="0"/>
              <w:divBdr>
                <w:top w:val="none" w:sz="0" w:space="0" w:color="auto"/>
                <w:left w:val="none" w:sz="0" w:space="0" w:color="auto"/>
                <w:bottom w:val="none" w:sz="0" w:space="0" w:color="auto"/>
                <w:right w:val="none" w:sz="0" w:space="0" w:color="auto"/>
              </w:divBdr>
            </w:div>
            <w:div w:id="1570340321">
              <w:marLeft w:val="0"/>
              <w:marRight w:val="0"/>
              <w:marTop w:val="0"/>
              <w:marBottom w:val="0"/>
              <w:divBdr>
                <w:top w:val="none" w:sz="0" w:space="0" w:color="auto"/>
                <w:left w:val="none" w:sz="0" w:space="0" w:color="auto"/>
                <w:bottom w:val="none" w:sz="0" w:space="0" w:color="auto"/>
                <w:right w:val="none" w:sz="0" w:space="0" w:color="auto"/>
              </w:divBdr>
            </w:div>
            <w:div w:id="1408726961">
              <w:marLeft w:val="0"/>
              <w:marRight w:val="0"/>
              <w:marTop w:val="0"/>
              <w:marBottom w:val="0"/>
              <w:divBdr>
                <w:top w:val="none" w:sz="0" w:space="0" w:color="auto"/>
                <w:left w:val="none" w:sz="0" w:space="0" w:color="auto"/>
                <w:bottom w:val="none" w:sz="0" w:space="0" w:color="auto"/>
                <w:right w:val="none" w:sz="0" w:space="0" w:color="auto"/>
              </w:divBdr>
            </w:div>
            <w:div w:id="1827746045">
              <w:marLeft w:val="0"/>
              <w:marRight w:val="0"/>
              <w:marTop w:val="0"/>
              <w:marBottom w:val="0"/>
              <w:divBdr>
                <w:top w:val="none" w:sz="0" w:space="0" w:color="auto"/>
                <w:left w:val="none" w:sz="0" w:space="0" w:color="auto"/>
                <w:bottom w:val="none" w:sz="0" w:space="0" w:color="auto"/>
                <w:right w:val="none" w:sz="0" w:space="0" w:color="auto"/>
              </w:divBdr>
            </w:div>
            <w:div w:id="1942251473">
              <w:marLeft w:val="0"/>
              <w:marRight w:val="0"/>
              <w:marTop w:val="0"/>
              <w:marBottom w:val="0"/>
              <w:divBdr>
                <w:top w:val="none" w:sz="0" w:space="0" w:color="auto"/>
                <w:left w:val="none" w:sz="0" w:space="0" w:color="auto"/>
                <w:bottom w:val="none" w:sz="0" w:space="0" w:color="auto"/>
                <w:right w:val="none" w:sz="0" w:space="0" w:color="auto"/>
              </w:divBdr>
            </w:div>
            <w:div w:id="1496842437">
              <w:marLeft w:val="0"/>
              <w:marRight w:val="0"/>
              <w:marTop w:val="0"/>
              <w:marBottom w:val="0"/>
              <w:divBdr>
                <w:top w:val="none" w:sz="0" w:space="0" w:color="auto"/>
                <w:left w:val="none" w:sz="0" w:space="0" w:color="auto"/>
                <w:bottom w:val="none" w:sz="0" w:space="0" w:color="auto"/>
                <w:right w:val="none" w:sz="0" w:space="0" w:color="auto"/>
              </w:divBdr>
            </w:div>
            <w:div w:id="64498778">
              <w:marLeft w:val="0"/>
              <w:marRight w:val="0"/>
              <w:marTop w:val="0"/>
              <w:marBottom w:val="0"/>
              <w:divBdr>
                <w:top w:val="none" w:sz="0" w:space="0" w:color="auto"/>
                <w:left w:val="none" w:sz="0" w:space="0" w:color="auto"/>
                <w:bottom w:val="none" w:sz="0" w:space="0" w:color="auto"/>
                <w:right w:val="none" w:sz="0" w:space="0" w:color="auto"/>
              </w:divBdr>
            </w:div>
          </w:divsChild>
        </w:div>
        <w:div w:id="1570572378">
          <w:marLeft w:val="0"/>
          <w:marRight w:val="0"/>
          <w:marTop w:val="0"/>
          <w:marBottom w:val="0"/>
          <w:divBdr>
            <w:top w:val="none" w:sz="0" w:space="0" w:color="auto"/>
            <w:left w:val="none" w:sz="0" w:space="0" w:color="auto"/>
            <w:bottom w:val="none" w:sz="0" w:space="0" w:color="auto"/>
            <w:right w:val="none" w:sz="0" w:space="0" w:color="auto"/>
          </w:divBdr>
        </w:div>
      </w:divsChild>
    </w:div>
    <w:div w:id="1934774689">
      <w:bodyDiv w:val="1"/>
      <w:marLeft w:val="390"/>
      <w:marRight w:val="390"/>
      <w:marTop w:val="390"/>
      <w:marBottom w:val="0"/>
      <w:divBdr>
        <w:top w:val="none" w:sz="0" w:space="0" w:color="auto"/>
        <w:left w:val="none" w:sz="0" w:space="0" w:color="auto"/>
        <w:bottom w:val="none" w:sz="0" w:space="0" w:color="auto"/>
        <w:right w:val="none" w:sz="0" w:space="0" w:color="auto"/>
      </w:divBdr>
    </w:div>
    <w:div w:id="1959943936">
      <w:bodyDiv w:val="1"/>
      <w:marLeft w:val="390"/>
      <w:marRight w:val="390"/>
      <w:marTop w:val="390"/>
      <w:marBottom w:val="0"/>
      <w:divBdr>
        <w:top w:val="none" w:sz="0" w:space="0" w:color="auto"/>
        <w:left w:val="none" w:sz="0" w:space="0" w:color="auto"/>
        <w:bottom w:val="none" w:sz="0" w:space="0" w:color="auto"/>
        <w:right w:val="none" w:sz="0" w:space="0" w:color="auto"/>
      </w:divBdr>
    </w:div>
    <w:div w:id="1966420567">
      <w:bodyDiv w:val="1"/>
      <w:marLeft w:val="0"/>
      <w:marRight w:val="0"/>
      <w:marTop w:val="0"/>
      <w:marBottom w:val="0"/>
      <w:divBdr>
        <w:top w:val="none" w:sz="0" w:space="0" w:color="auto"/>
        <w:left w:val="none" w:sz="0" w:space="0" w:color="auto"/>
        <w:bottom w:val="none" w:sz="0" w:space="0" w:color="auto"/>
        <w:right w:val="none" w:sz="0" w:space="0" w:color="auto"/>
      </w:divBdr>
      <w:divsChild>
        <w:div w:id="4211065">
          <w:marLeft w:val="0"/>
          <w:marRight w:val="0"/>
          <w:marTop w:val="0"/>
          <w:marBottom w:val="0"/>
          <w:divBdr>
            <w:top w:val="none" w:sz="0" w:space="0" w:color="auto"/>
            <w:left w:val="none" w:sz="0" w:space="0" w:color="auto"/>
            <w:bottom w:val="none" w:sz="0" w:space="0" w:color="auto"/>
            <w:right w:val="none" w:sz="0" w:space="0" w:color="auto"/>
          </w:divBdr>
        </w:div>
        <w:div w:id="1245721400">
          <w:marLeft w:val="0"/>
          <w:marRight w:val="0"/>
          <w:marTop w:val="0"/>
          <w:marBottom w:val="0"/>
          <w:divBdr>
            <w:top w:val="none" w:sz="0" w:space="0" w:color="auto"/>
            <w:left w:val="none" w:sz="0" w:space="0" w:color="auto"/>
            <w:bottom w:val="none" w:sz="0" w:space="0" w:color="auto"/>
            <w:right w:val="none" w:sz="0" w:space="0" w:color="auto"/>
          </w:divBdr>
        </w:div>
        <w:div w:id="2137678020">
          <w:marLeft w:val="0"/>
          <w:marRight w:val="0"/>
          <w:marTop w:val="0"/>
          <w:marBottom w:val="0"/>
          <w:divBdr>
            <w:top w:val="none" w:sz="0" w:space="0" w:color="auto"/>
            <w:left w:val="none" w:sz="0" w:space="0" w:color="auto"/>
            <w:bottom w:val="none" w:sz="0" w:space="0" w:color="auto"/>
            <w:right w:val="none" w:sz="0" w:space="0" w:color="auto"/>
          </w:divBdr>
        </w:div>
      </w:divsChild>
    </w:div>
    <w:div w:id="2026248188">
      <w:bodyDiv w:val="1"/>
      <w:marLeft w:val="0"/>
      <w:marRight w:val="0"/>
      <w:marTop w:val="0"/>
      <w:marBottom w:val="0"/>
      <w:divBdr>
        <w:top w:val="none" w:sz="0" w:space="0" w:color="auto"/>
        <w:left w:val="none" w:sz="0" w:space="0" w:color="auto"/>
        <w:bottom w:val="none" w:sz="0" w:space="0" w:color="auto"/>
        <w:right w:val="none" w:sz="0" w:space="0" w:color="auto"/>
      </w:divBdr>
      <w:divsChild>
        <w:div w:id="1272277429">
          <w:marLeft w:val="0"/>
          <w:marRight w:val="0"/>
          <w:marTop w:val="0"/>
          <w:marBottom w:val="0"/>
          <w:divBdr>
            <w:top w:val="none" w:sz="0" w:space="0" w:color="auto"/>
            <w:left w:val="none" w:sz="0" w:space="0" w:color="auto"/>
            <w:bottom w:val="none" w:sz="0" w:space="0" w:color="auto"/>
            <w:right w:val="none" w:sz="0" w:space="0" w:color="auto"/>
          </w:divBdr>
          <w:divsChild>
            <w:div w:id="1373386081">
              <w:marLeft w:val="0"/>
              <w:marRight w:val="0"/>
              <w:marTop w:val="0"/>
              <w:marBottom w:val="0"/>
              <w:divBdr>
                <w:top w:val="none" w:sz="0" w:space="0" w:color="auto"/>
                <w:left w:val="none" w:sz="0" w:space="0" w:color="auto"/>
                <w:bottom w:val="none" w:sz="0" w:space="0" w:color="auto"/>
                <w:right w:val="none" w:sz="0" w:space="0" w:color="auto"/>
              </w:divBdr>
            </w:div>
            <w:div w:id="1428313076">
              <w:marLeft w:val="0"/>
              <w:marRight w:val="0"/>
              <w:marTop w:val="0"/>
              <w:marBottom w:val="0"/>
              <w:divBdr>
                <w:top w:val="none" w:sz="0" w:space="0" w:color="auto"/>
                <w:left w:val="none" w:sz="0" w:space="0" w:color="auto"/>
                <w:bottom w:val="none" w:sz="0" w:space="0" w:color="auto"/>
                <w:right w:val="none" w:sz="0" w:space="0" w:color="auto"/>
              </w:divBdr>
            </w:div>
            <w:div w:id="1207328843">
              <w:marLeft w:val="0"/>
              <w:marRight w:val="0"/>
              <w:marTop w:val="0"/>
              <w:marBottom w:val="0"/>
              <w:divBdr>
                <w:top w:val="none" w:sz="0" w:space="0" w:color="auto"/>
                <w:left w:val="none" w:sz="0" w:space="0" w:color="auto"/>
                <w:bottom w:val="none" w:sz="0" w:space="0" w:color="auto"/>
                <w:right w:val="none" w:sz="0" w:space="0" w:color="auto"/>
              </w:divBdr>
            </w:div>
            <w:div w:id="1345287096">
              <w:marLeft w:val="0"/>
              <w:marRight w:val="0"/>
              <w:marTop w:val="0"/>
              <w:marBottom w:val="0"/>
              <w:divBdr>
                <w:top w:val="none" w:sz="0" w:space="0" w:color="auto"/>
                <w:left w:val="none" w:sz="0" w:space="0" w:color="auto"/>
                <w:bottom w:val="none" w:sz="0" w:space="0" w:color="auto"/>
                <w:right w:val="none" w:sz="0" w:space="0" w:color="auto"/>
              </w:divBdr>
            </w:div>
            <w:div w:id="2045012877">
              <w:marLeft w:val="0"/>
              <w:marRight w:val="0"/>
              <w:marTop w:val="0"/>
              <w:marBottom w:val="0"/>
              <w:divBdr>
                <w:top w:val="none" w:sz="0" w:space="0" w:color="auto"/>
                <w:left w:val="none" w:sz="0" w:space="0" w:color="auto"/>
                <w:bottom w:val="none" w:sz="0" w:space="0" w:color="auto"/>
                <w:right w:val="none" w:sz="0" w:space="0" w:color="auto"/>
              </w:divBdr>
            </w:div>
            <w:div w:id="699091195">
              <w:marLeft w:val="0"/>
              <w:marRight w:val="0"/>
              <w:marTop w:val="0"/>
              <w:marBottom w:val="0"/>
              <w:divBdr>
                <w:top w:val="none" w:sz="0" w:space="0" w:color="auto"/>
                <w:left w:val="none" w:sz="0" w:space="0" w:color="auto"/>
                <w:bottom w:val="none" w:sz="0" w:space="0" w:color="auto"/>
                <w:right w:val="none" w:sz="0" w:space="0" w:color="auto"/>
              </w:divBdr>
            </w:div>
            <w:div w:id="1604456873">
              <w:marLeft w:val="0"/>
              <w:marRight w:val="0"/>
              <w:marTop w:val="0"/>
              <w:marBottom w:val="0"/>
              <w:divBdr>
                <w:top w:val="none" w:sz="0" w:space="0" w:color="auto"/>
                <w:left w:val="none" w:sz="0" w:space="0" w:color="auto"/>
                <w:bottom w:val="none" w:sz="0" w:space="0" w:color="auto"/>
                <w:right w:val="none" w:sz="0" w:space="0" w:color="auto"/>
              </w:divBdr>
            </w:div>
            <w:div w:id="478113849">
              <w:marLeft w:val="0"/>
              <w:marRight w:val="0"/>
              <w:marTop w:val="0"/>
              <w:marBottom w:val="0"/>
              <w:divBdr>
                <w:top w:val="none" w:sz="0" w:space="0" w:color="auto"/>
                <w:left w:val="none" w:sz="0" w:space="0" w:color="auto"/>
                <w:bottom w:val="none" w:sz="0" w:space="0" w:color="auto"/>
                <w:right w:val="none" w:sz="0" w:space="0" w:color="auto"/>
              </w:divBdr>
            </w:div>
            <w:div w:id="1573153280">
              <w:marLeft w:val="0"/>
              <w:marRight w:val="0"/>
              <w:marTop w:val="0"/>
              <w:marBottom w:val="0"/>
              <w:divBdr>
                <w:top w:val="none" w:sz="0" w:space="0" w:color="auto"/>
                <w:left w:val="none" w:sz="0" w:space="0" w:color="auto"/>
                <w:bottom w:val="none" w:sz="0" w:space="0" w:color="auto"/>
                <w:right w:val="none" w:sz="0" w:space="0" w:color="auto"/>
              </w:divBdr>
            </w:div>
            <w:div w:id="940918936">
              <w:marLeft w:val="0"/>
              <w:marRight w:val="0"/>
              <w:marTop w:val="0"/>
              <w:marBottom w:val="0"/>
              <w:divBdr>
                <w:top w:val="none" w:sz="0" w:space="0" w:color="auto"/>
                <w:left w:val="none" w:sz="0" w:space="0" w:color="auto"/>
                <w:bottom w:val="none" w:sz="0" w:space="0" w:color="auto"/>
                <w:right w:val="none" w:sz="0" w:space="0" w:color="auto"/>
              </w:divBdr>
            </w:div>
            <w:div w:id="297497379">
              <w:marLeft w:val="0"/>
              <w:marRight w:val="0"/>
              <w:marTop w:val="0"/>
              <w:marBottom w:val="0"/>
              <w:divBdr>
                <w:top w:val="none" w:sz="0" w:space="0" w:color="auto"/>
                <w:left w:val="none" w:sz="0" w:space="0" w:color="auto"/>
                <w:bottom w:val="none" w:sz="0" w:space="0" w:color="auto"/>
                <w:right w:val="none" w:sz="0" w:space="0" w:color="auto"/>
              </w:divBdr>
            </w:div>
            <w:div w:id="977804919">
              <w:marLeft w:val="0"/>
              <w:marRight w:val="0"/>
              <w:marTop w:val="0"/>
              <w:marBottom w:val="0"/>
              <w:divBdr>
                <w:top w:val="none" w:sz="0" w:space="0" w:color="auto"/>
                <w:left w:val="none" w:sz="0" w:space="0" w:color="auto"/>
                <w:bottom w:val="none" w:sz="0" w:space="0" w:color="auto"/>
                <w:right w:val="none" w:sz="0" w:space="0" w:color="auto"/>
              </w:divBdr>
            </w:div>
            <w:div w:id="1300065393">
              <w:marLeft w:val="0"/>
              <w:marRight w:val="0"/>
              <w:marTop w:val="0"/>
              <w:marBottom w:val="0"/>
              <w:divBdr>
                <w:top w:val="none" w:sz="0" w:space="0" w:color="auto"/>
                <w:left w:val="none" w:sz="0" w:space="0" w:color="auto"/>
                <w:bottom w:val="none" w:sz="0" w:space="0" w:color="auto"/>
                <w:right w:val="none" w:sz="0" w:space="0" w:color="auto"/>
              </w:divBdr>
            </w:div>
          </w:divsChild>
        </w:div>
        <w:div w:id="1813595583">
          <w:marLeft w:val="0"/>
          <w:marRight w:val="0"/>
          <w:marTop w:val="0"/>
          <w:marBottom w:val="0"/>
          <w:divBdr>
            <w:top w:val="none" w:sz="0" w:space="0" w:color="auto"/>
            <w:left w:val="none" w:sz="0" w:space="0" w:color="auto"/>
            <w:bottom w:val="none" w:sz="0" w:space="0" w:color="auto"/>
            <w:right w:val="none" w:sz="0" w:space="0" w:color="auto"/>
          </w:divBdr>
        </w:div>
        <w:div w:id="1193805584">
          <w:marLeft w:val="0"/>
          <w:marRight w:val="0"/>
          <w:marTop w:val="0"/>
          <w:marBottom w:val="0"/>
          <w:divBdr>
            <w:top w:val="none" w:sz="0" w:space="0" w:color="auto"/>
            <w:left w:val="none" w:sz="0" w:space="0" w:color="auto"/>
            <w:bottom w:val="none" w:sz="0" w:space="0" w:color="auto"/>
            <w:right w:val="none" w:sz="0" w:space="0" w:color="auto"/>
          </w:divBdr>
        </w:div>
      </w:divsChild>
    </w:div>
    <w:div w:id="2131390851">
      <w:bodyDiv w:val="1"/>
      <w:marLeft w:val="0"/>
      <w:marRight w:val="0"/>
      <w:marTop w:val="0"/>
      <w:marBottom w:val="0"/>
      <w:divBdr>
        <w:top w:val="none" w:sz="0" w:space="0" w:color="auto"/>
        <w:left w:val="none" w:sz="0" w:space="0" w:color="auto"/>
        <w:bottom w:val="none" w:sz="0" w:space="0" w:color="auto"/>
        <w:right w:val="none" w:sz="0" w:space="0" w:color="auto"/>
      </w:divBdr>
      <w:divsChild>
        <w:div w:id="372267364">
          <w:marLeft w:val="0"/>
          <w:marRight w:val="0"/>
          <w:marTop w:val="0"/>
          <w:marBottom w:val="0"/>
          <w:divBdr>
            <w:top w:val="none" w:sz="0" w:space="0" w:color="auto"/>
            <w:left w:val="none" w:sz="0" w:space="0" w:color="auto"/>
            <w:bottom w:val="none" w:sz="0" w:space="0" w:color="auto"/>
            <w:right w:val="none" w:sz="0" w:space="0" w:color="auto"/>
          </w:divBdr>
          <w:divsChild>
            <w:div w:id="2012248655">
              <w:marLeft w:val="0"/>
              <w:marRight w:val="0"/>
              <w:marTop w:val="0"/>
              <w:marBottom w:val="0"/>
              <w:divBdr>
                <w:top w:val="none" w:sz="0" w:space="0" w:color="auto"/>
                <w:left w:val="none" w:sz="0" w:space="0" w:color="auto"/>
                <w:bottom w:val="none" w:sz="0" w:space="0" w:color="auto"/>
                <w:right w:val="none" w:sz="0" w:space="0" w:color="auto"/>
              </w:divBdr>
            </w:div>
            <w:div w:id="1321348534">
              <w:marLeft w:val="0"/>
              <w:marRight w:val="0"/>
              <w:marTop w:val="0"/>
              <w:marBottom w:val="0"/>
              <w:divBdr>
                <w:top w:val="none" w:sz="0" w:space="0" w:color="auto"/>
                <w:left w:val="none" w:sz="0" w:space="0" w:color="auto"/>
                <w:bottom w:val="none" w:sz="0" w:space="0" w:color="auto"/>
                <w:right w:val="none" w:sz="0" w:space="0" w:color="auto"/>
              </w:divBdr>
            </w:div>
            <w:div w:id="10469530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1.xml"/>
  <Relationship Id="rId11" Type="http://schemas.openxmlformats.org/officeDocument/2006/relationships/header" Target="header2.xml"/>
  <Relationship Id="rId12" Type="http://schemas.openxmlformats.org/officeDocument/2006/relationships/footer" Target="footer1.xml"/>
  <Relationship Id="rId13" Type="http://schemas.openxmlformats.org/officeDocument/2006/relationships/footer" Target="footer2.xml"/>
  <Relationship Id="rId14" Type="http://schemas.openxmlformats.org/officeDocument/2006/relationships/header" Target="header3.xml"/>
  <Relationship Id="rId15" Type="http://schemas.openxmlformats.org/officeDocument/2006/relationships/footer" Target="footer3.xml"/>
  <Relationship Id="rId16" Type="http://schemas.openxmlformats.org/officeDocument/2006/relationships/fontTable" Target="fontTable.xml"/>
  <Relationship Id="rId17" Type="http://schemas.openxmlformats.org/officeDocument/2006/relationships/theme" Target="theme/theme1.xml"/>
  <Relationship Id="rId18" Type="http://schemas.openxmlformats.org/officeDocument/2006/relationships/customXml" Target="../customXml/item5.xml"/>
  <Relationship Id="rId2" Type="http://schemas.openxmlformats.org/officeDocument/2006/relationships/customXml" Target="../customXml/item2.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styles" Target="styles.xml"/>
  <Relationship Id="rId6" Type="http://schemas.openxmlformats.org/officeDocument/2006/relationships/settings" Target="settings.xml"/>
  <Relationship Id="rId7" Type="http://schemas.openxmlformats.org/officeDocument/2006/relationships/webSettings" Target="webSettings.xml"/>
  <Relationship Id="rId8" Type="http://schemas.openxmlformats.org/officeDocument/2006/relationships/footnotes" Target="footnotes.xml"/>
  <Relationship Id="rId9" Type="http://schemas.openxmlformats.org/officeDocument/2006/relationships/endnotes" Target="end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p:properties xmlns:p="http://schemas.microsoft.com/office/2006/metadata/properties" xmlns:xsi="http://www.w3.org/2001/XMLSchema-instance" xmlns:pc="http://schemas.microsoft.com/office/infopath/2007/PartnerControls">
  <documentManagement>
    <SharedWithUsers xmlns="0379a545-9986-45d7-9e6d-3845025712a0">
      <UserInfo>
        <DisplayName/>
        <AccountId xsi:nil="true"/>
        <AccountType/>
      </UserInfo>
    </SharedWithUsers>
    <lcf76f155ced4ddcb4097134ff3c332f xmlns="47c1ea38-b788-4873-88f4-3b1f34597b9a">
      <Terms xmlns="http://schemas.microsoft.com/office/infopath/2007/PartnerControls"/>
    </lcf76f155ced4ddcb4097134ff3c332f>
    <TaxCatchAll xmlns="0379a545-9986-45d7-9e6d-3845025712a0"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50164633ED94994D9773E53D567FF5BF" ma:contentTypeVersion="14" ma:contentTypeDescription="Create a new document." ma:contentTypeScope="" ma:versionID="61ed51282d73df9eb0f6847447833eee">
  <xsd:schema xmlns:xsd="http://www.w3.org/2001/XMLSchema" xmlns:xs="http://www.w3.org/2001/XMLSchema" xmlns:p="http://schemas.microsoft.com/office/2006/metadata/properties" xmlns:ns2="47c1ea38-b788-4873-88f4-3b1f34597b9a" xmlns:ns3="0379a545-9986-45d7-9e6d-3845025712a0" targetNamespace="http://schemas.microsoft.com/office/2006/metadata/properties" ma:root="true" ma:fieldsID="9cbf64811bb342611d32b26bb80ee5bb" ns2:_="" ns3:_="">
    <xsd:import namespace="47c1ea38-b788-4873-88f4-3b1f34597b9a"/>
    <xsd:import namespace="0379a545-9986-45d7-9e6d-3845025712a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3:SharedWithUsers" minOccurs="0"/>
                <xsd:element ref="ns3:SharedWithDetails" minOccurs="0"/>
                <xsd:element ref="ns2:lcf76f155ced4ddcb4097134ff3c332f" minOccurs="0"/>
                <xsd:element ref="ns3:TaxCatchAll" minOccurs="0"/>
                <xsd:element ref="ns2:MediaServiceDateTaken" minOccurs="0"/>
                <xsd:element ref="ns2:MediaServiceOCR" minOccurs="0"/>
                <xsd:element ref="ns2:MediaServiceGenerationTime" minOccurs="0"/>
                <xsd:element ref="ns2:MediaServiceEventHashCode"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7c1ea38-b788-4873-88f4-3b1f34597b9a"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lcf76f155ced4ddcb4097134ff3c332f" ma:index="15" nillable="true" ma:taxonomy="true" ma:internalName="lcf76f155ced4ddcb4097134ff3c332f" ma:taxonomyFieldName="MediaServiceImageTags" ma:displayName="Image Tags" ma:readOnly="false" ma:fieldId="{5cf76f15-5ced-4ddc-b409-7134ff3c332f}" ma:taxonomyMulti="true" ma:sspId="b763af57-ddc4-4b49-90b1-28f02697adfa" ma:termSetId="09814cd3-568e-fe90-9814-8d621ff8fb84" ma:anchorId="fba54fb3-c3e1-fe81-a776-ca4b69148c4d" ma:open="true" ma:isKeyword="false">
      <xsd:complexType>
        <xsd:sequence>
          <xsd:element ref="pc:Terms" minOccurs="0" maxOccurs="1"/>
        </xsd:sequence>
      </xsd:complexType>
    </xsd:element>
    <xsd:element name="MediaServiceDateTaken" ma:index="17" nillable="true" ma:displayName="MediaServiceDateTaken" ma:hidden="true" ma:indexed="true" ma:internalName="MediaServiceDateTaken"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element name="MediaLengthInSeconds" ma:index="21"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0379a545-9986-45d7-9e6d-3845025712a0"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TaxCatchAll" ma:index="16" nillable="true" ma:displayName="Taxonomy Catch All Column" ma:hidden="true" ma:list="{3f5c7397-6a17-43fd-b0d0-62600e53cad0}" ma:internalName="TaxCatchAll" ma:showField="CatchAllData" ma:web="0379a545-9986-45d7-9e6d-3845025712a0">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fth Edition"/>
</file>

<file path=customXml/item5.xml><?xml version="1.0" encoding="utf-8"?>
<Parts xmlns="http://lrs.lt/TAIS/DocParts">
  <Part Type="lentele" DocPartId="61c56bf172ed41a9a036ecffd6ee85d0" PartId="23a73c0b31b64906bb0ec2ee59d8397d"/>
  <Part Type="pastraipa" DocPartId="248370d55ee44a61817a697fdb33ebf9" PartId="ea6e1c0948884d298d2033cedfc5ca15"/>
</Parts>
</file>

<file path=customXml/itemProps1.xml><?xml version="1.0" encoding="utf-8"?>
<ds:datastoreItem xmlns:ds="http://schemas.openxmlformats.org/officeDocument/2006/customXml" ds:itemID="{DB3AC7F6-623D-44C1-B582-1CE6A2051807}">
  <ds:schemaRefs>
    <ds:schemaRef ds:uri="http://www.w3.org/XML/1998/namespace"/>
    <ds:schemaRef ds:uri="47c1ea38-b788-4873-88f4-3b1f34597b9a"/>
    <ds:schemaRef ds:uri="http://schemas.microsoft.com/office/2006/documentManagement/types"/>
    <ds:schemaRef ds:uri="http://purl.org/dc/elements/1.1/"/>
    <ds:schemaRef ds:uri="0379a545-9986-45d7-9e6d-3845025712a0"/>
    <ds:schemaRef ds:uri="http://purl.org/dc/dcmitype/"/>
    <ds:schemaRef ds:uri="http://schemas.microsoft.com/office/infopath/2007/PartnerControls"/>
    <ds:schemaRef ds:uri="http://schemas.openxmlformats.org/package/2006/metadata/core-properties"/>
    <ds:schemaRef ds:uri="http://schemas.microsoft.com/office/2006/metadata/properties"/>
    <ds:schemaRef ds:uri="http://purl.org/dc/terms/"/>
  </ds:schemaRefs>
</ds:datastoreItem>
</file>

<file path=customXml/itemProps2.xml><?xml version="1.0" encoding="utf-8"?>
<ds:datastoreItem xmlns:ds="http://schemas.openxmlformats.org/officeDocument/2006/customXml" ds:itemID="{D3B398AF-5C1F-4BD9-B341-4312AEE35CC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7c1ea38-b788-4873-88f4-3b1f34597b9a"/>
    <ds:schemaRef ds:uri="0379a545-9986-45d7-9e6d-3845025712a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5418A557-41DE-47D1-8023-37392E54CFA1}">
  <ds:schemaRefs>
    <ds:schemaRef ds:uri="http://schemas.microsoft.com/sharepoint/v3/contenttype/forms"/>
  </ds:schemaRefs>
</ds:datastoreItem>
</file>

<file path=customXml/itemProps4.xml><?xml version="1.0" encoding="utf-8"?>
<ds:datastoreItem xmlns:ds="http://schemas.openxmlformats.org/officeDocument/2006/customXml" ds:itemID="{F9C730D9-F228-47A0-9390-5E53ECF4B5EA}">
  <ds:schemaRefs>
    <ds:schemaRef ds:uri="http://schemas.openxmlformats.org/officeDocument/2006/bibliography"/>
  </ds:schemaRefs>
</ds:datastoreItem>
</file>

<file path=customXml/itemProps5.xml><?xml version="1.0" encoding="utf-8"?>
<ds:datastoreItem xmlns:ds="http://schemas.openxmlformats.org/officeDocument/2006/customXml" ds:itemID="{A83BC2CF-8742-4733-B928-E45C89E83484}">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1901</Words>
  <Characters>13372</Characters>
  <Application>Microsoft Office Word</Application>
  <DocSecurity>4</DocSecurity>
  <Lines>252</Lines>
  <Paragraphs>126</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vector>
  </TitlesOfParts>
  <Company>Hewlett-Packard Company</Company>
  <LinksUpToDate>false</LinksUpToDate>
  <CharactersWithSpaces>15147</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2025-06-10T10:23:00Z</dcterms:created>
  <dc:creator>Orinta Vaitkutė</dc:creator>
  <lastModifiedBy>adlibuser</lastModifiedBy>
  <lastPrinted>2015-03-02T02:26:00Z</lastPrinted>
  <dcterms:modified xsi:type="dcterms:W3CDTF">2025-06-10T10:23:00Z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0x01010050164633ED94994D9773E53D567FF5BF</vt:lpwstr>
  </property>
  <property fmtid="{D5CDD505-2E9C-101B-9397-08002B2CF9AE}" pid="3" name="MediaServiceImageTags">
    <vt:lpwstr/>
  </property>
  <property fmtid="{D5CDD505-2E9C-101B-9397-08002B2CF9AE}" pid="4" name="Order">
    <vt:r8>2092800</vt:r8>
  </property>
  <property fmtid="{D5CDD505-2E9C-101B-9397-08002B2CF9AE}" pid="5" name="xd_Signature">
    <vt:bool>false</vt:bool>
  </property>
  <property fmtid="{D5CDD505-2E9C-101B-9397-08002B2CF9AE}" pid="6" name="xd_ProgID">
    <vt:lpwstr/>
  </property>
  <property fmtid="{D5CDD505-2E9C-101B-9397-08002B2CF9AE}" pid="7" name="ComplianceAssetId">
    <vt:lpwstr/>
  </property>
  <property fmtid="{D5CDD505-2E9C-101B-9397-08002B2CF9AE}" pid="8" name="TemplateUrl">
    <vt:lpwstr/>
  </property>
  <property fmtid="{D5CDD505-2E9C-101B-9397-08002B2CF9AE}" pid="9" name="_ExtendedDescription">
    <vt:lpwstr/>
  </property>
  <property fmtid="{D5CDD505-2E9C-101B-9397-08002B2CF9AE}" pid="10" name="TriggerFlowInfo">
    <vt:lpwstr/>
  </property>
</Properties>
</file>