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lentele"/>
        <w:tag w:val="part_49f31feac1504542b26164e57e68ae47"/>
        <w:lock w:val="sdtLocked"/>
        <w:richText/>
      </w:sdtPr>
      <w:sdtContent>
        <w:p w14:paraId="6F9E5277" w14:textId="29694696">
          <w:pPr>
            <w:widowControl w:val="0"/>
            <w:suppressAutoHyphens/>
            <w:jc w:val="both"/>
            <w:rPr>
              <w:rFonts w:eastAsia="Arial Unicode MS"/>
              <w:b/>
              <w:bCs/>
              <w:lang w:eastAsia="lt-LT"/>
            </w:rPr>
          </w:pPr>
          <w:r>
            <w:rPr>
              <w:rFonts w:eastAsia="Arial Unicode MS"/>
              <w:b/>
              <w:bCs/>
              <w:lang w:eastAsia="lt-LT"/>
            </w:rPr>
            <w:t xml:space="preserve">REGLAMENTO (ES) 2024/590 IR </w:t>
          </w:r>
          <w:r>
            <w:rPr>
              <w:b/>
              <w:bCs/>
            </w:rPr>
            <w:t>LIETUVOS RESPUBLIKOS APLINKOS APSAUGOS ĮSTATYMO NR. I-2223 1, 37, 40</w:t>
          </w:r>
          <w:r>
            <w:rPr>
              <w:b/>
              <w:bCs/>
              <w:vertAlign w:val="superscript"/>
            </w:rPr>
            <w:t>1</w:t>
          </w:r>
          <w:r>
            <w:rPr>
              <w:b/>
              <w:bCs/>
            </w:rPr>
            <w:t>, 47, 87, 109</w:t>
          </w:r>
          <w:r>
            <w:rPr>
              <w:b/>
              <w:bCs/>
              <w:vertAlign w:val="superscript"/>
            </w:rPr>
            <w:t>1</w:t>
          </w:r>
          <w:r>
            <w:rPr>
              <w:b/>
              <w:bCs/>
            </w:rPr>
            <w:t>, 110, 122</w:t>
          </w:r>
          <w:r>
            <w:rPr>
              <w:b/>
              <w:bCs/>
              <w:vertAlign w:val="superscript"/>
            </w:rPr>
            <w:t>4</w:t>
          </w:r>
          <w:r>
            <w:rPr>
              <w:b/>
              <w:bCs/>
            </w:rPr>
            <w:t> STRAIPSNIŲ IR PRIEDO PAKEITIMO, ĮSTATYMO PAPILDYMO 110</w:t>
          </w:r>
          <w:r>
            <w:rPr>
              <w:b/>
              <w:bCs/>
              <w:vertAlign w:val="superscript"/>
            </w:rPr>
            <w:t>2</w:t>
          </w:r>
          <w:r>
            <w:rPr>
              <w:b/>
              <w:bCs/>
            </w:rPr>
            <w:t>, 110</w:t>
          </w:r>
          <w:r>
            <w:rPr>
              <w:b/>
              <w:bCs/>
              <w:vertAlign w:val="superscript"/>
            </w:rPr>
            <w:t>3</w:t>
          </w:r>
          <w:r>
            <w:rPr>
              <w:b/>
              <w:bCs/>
            </w:rPr>
            <w:t>, 110</w:t>
          </w:r>
          <w:r>
            <w:rPr>
              <w:b/>
              <w:bCs/>
              <w:vertAlign w:val="superscript"/>
            </w:rPr>
            <w:t>4</w:t>
          </w:r>
          <w:r>
            <w:rPr>
              <w:b/>
              <w:bCs/>
            </w:rPr>
            <w:t>, 118</w:t>
          </w:r>
          <w:r>
            <w:rPr>
              <w:b/>
              <w:bCs/>
              <w:vertAlign w:val="superscript"/>
            </w:rPr>
            <w:t xml:space="preserve">2 </w:t>
          </w:r>
          <w:r>
            <w:rPr>
              <w:b/>
              <w:bCs/>
            </w:rPr>
            <w:t>STRAIPSNIAIS  IR 110</w:t>
          </w:r>
          <w:r>
            <w:rPr>
              <w:b/>
              <w:bCs/>
              <w:vertAlign w:val="superscript"/>
            </w:rPr>
            <w:t xml:space="preserve">2 </w:t>
          </w:r>
          <w:r>
            <w:rPr>
              <w:b/>
              <w:bCs/>
            </w:rPr>
            <w:t xml:space="preserve">STRAIPSNIO PRIPAŽINIMO NETEKUSIU GALIOS ĮSTATYMO </w:t>
          </w:r>
          <w:r>
            <w:rPr>
              <w:rFonts w:eastAsia="Arial Unicode MS"/>
              <w:b/>
              <w:bCs/>
              <w:lang w:eastAsia="lt-LT"/>
            </w:rPr>
            <w:t>PROJEKTO ATITIKTIES LENTELĖ</w:t>
          </w:r>
        </w:p>
        <w:p w14:paraId="27CE9D43" w14:textId="77777777">
          <w:pPr>
            <w:rPr>
              <w:sz w:val="20"/>
            </w:rPr>
          </w:pPr>
        </w:p>
        <w:p w14:paraId="3C73DAE6" w14:textId="77777777">
          <w:pPr>
            <w:widowControl w:val="0"/>
            <w:suppressAutoHyphens/>
            <w:jc w:val="center"/>
            <w:rPr>
              <w:rFonts w:eastAsia="Arial Unicode MS"/>
              <w:b/>
              <w:bCs/>
              <w:szCs w:val="24"/>
              <w:lang w:eastAsia="lt-LT"/>
            </w:rPr>
          </w:pPr>
        </w:p>
        <w:p w14:paraId="43A16EF0" w14:textId="77777777">
          <w:pPr>
            <w:rPr>
              <w:sz w:val="10"/>
              <w:szCs w:val="10"/>
            </w:rPr>
          </w:pPr>
        </w:p>
        <w:tbl>
          <w:tblPr>
            <w:tblW w:w="15593" w:type="dxa"/>
            <w:tblInd w:w="-285" w:type="dxa"/>
            <w:tblLayout w:type="fixed"/>
            <w:tblCellMar>
              <w:top w:w="55" w:type="dxa"/>
              <w:left w:w="55" w:type="dxa"/>
              <w:bottom w:w="55" w:type="dxa"/>
              <w:right w:w="55" w:type="dxa"/>
            </w:tblCellMar>
            <w:tblLook w:val="0000" w:firstRow="0" w:lastRow="0" w:firstColumn="0" w:lastColumn="0" w:noHBand="0" w:noVBand="0"/>
          </w:tblPr>
          <w:tblGrid>
            <w:gridCol w:w="4537"/>
            <w:gridCol w:w="9355"/>
            <w:gridCol w:w="1701"/>
          </w:tblGrid>
          <w:tr w14:paraId="7FB302F0" w14:textId="77777777">
            <w:trPr>
              <w:trHeight w:val="1669"/>
            </w:trPr>
            <w:tc>
              <w:tcPr>
                <w:tcW w:w="4537" w:type="dxa"/>
                <w:tcBorders>
                  <w:top w:val="single" w:sz="1" w:space="0" w:color="000000" w:themeColor="text1"/>
                  <w:left w:val="single" w:sz="1" w:space="0" w:color="000000" w:themeColor="text1"/>
                  <w:bottom w:val="single" w:sz="1" w:space="0" w:color="000000" w:themeColor="text1"/>
                </w:tcBorders>
              </w:tcPr>
              <w:p w14:paraId="2329CEAC" w14:textId="71BE0CBF">
                <w:pPr>
                  <w:widowControl w:val="0"/>
                  <w:suppressAutoHyphens/>
                  <w:jc w:val="both"/>
                  <w:rPr>
                    <w:b/>
                    <w:bCs/>
                    <w:lang w:eastAsia="ar-SA"/>
                  </w:rPr>
                </w:pPr>
                <w:r>
                  <w:rPr>
                    <w:rFonts w:eastAsia="Arial Unicode MS"/>
                    <w:b/>
                    <w:bCs/>
                    <w:lang w:eastAsia="lt-LT"/>
                  </w:rPr>
                  <w:t xml:space="preserve">2024 m. vasario 7 d. Europos Parlamento ir Tarybos reglamentas </w:t>
                </w:r>
                <w:fldSimple w:instr="HYPERLINK http://eur-lex.europa.eu/legal-content/LIT/TXT/?uri=CELEX:32024R0590&amp;locale=lt \t _blank">
                  <w:r>
                    <w:rPr>
                      <w:rFonts w:eastAsia="Arial Unicode MS"/>
                      <w:b/>
                      <w:bCs/>
                      <w:lang w:eastAsia="lt-LT"/>
                      <w:u w:val="single"/>
                      <w:color w:val="0000FF" w:themeColor="hyperlink"/>
                    </w:rPr>
                    <w:t>(ES) 2024/590</w:t>
                  </w:r>
                </w:fldSimple>
                <w:r>
                  <w:rPr>
                    <w:rFonts w:eastAsia="Arial Unicode MS"/>
                    <w:b/>
                    <w:bCs/>
                    <w:lang w:eastAsia="lt-LT"/>
                  </w:rPr>
                  <w:t xml:space="preserve"> dėl ozono sluoksnį ardančių medžiagų, kuriuo panaikinamas Reglamentas </w:t>
                </w:r>
                <w:fldSimple w:instr="HYPERLINK http://eur-lex.europa.eu/legal-content/LIT/TXT/?uri=CELEX:32009R1005&amp;locale=lt \t _blank">
                  <w:r>
                    <w:rPr>
                      <w:rFonts w:eastAsia="Arial Unicode MS"/>
                      <w:b/>
                      <w:bCs/>
                      <w:lang w:eastAsia="lt-LT"/>
                      <w:u w:val="single"/>
                      <w:color w:val="0000FF" w:themeColor="hyperlink"/>
                    </w:rPr>
                    <w:t>(EB) Nr. 1005/2009</w:t>
                  </w:r>
                </w:fldSimple>
              </w:p>
            </w:tc>
            <w:tc>
              <w:tcPr>
                <w:tcW w:w="9355" w:type="dxa"/>
                <w:tcBorders>
                  <w:top w:val="single" w:sz="1" w:space="0" w:color="000000" w:themeColor="text1"/>
                  <w:left w:val="single" w:sz="1" w:space="0" w:color="000000" w:themeColor="text1"/>
                  <w:bottom w:val="single" w:sz="1" w:space="0" w:color="000000" w:themeColor="text1"/>
                </w:tcBorders>
              </w:tcPr>
              <w:p w14:paraId="5AD92D37" w14:textId="5453588B">
                <w:pPr>
                  <w:widowControl w:val="0"/>
                  <w:suppressAutoHyphens/>
                  <w:ind w:firstLine="62"/>
                  <w:jc w:val="both"/>
                  <w:rPr>
                    <w:lang w:eastAsia="ar-SA"/>
                  </w:rPr>
                </w:pPr>
                <w:r>
                  <w:rPr>
                    <w:b/>
                    <w:bCs/>
                  </w:rPr>
                  <w:t>Lietuvos Respublikos aplinkos apsaugos įstatymo Nr. I-2223 1, 37, 40</w:t>
                </w:r>
                <w:r>
                  <w:rPr>
                    <w:b/>
                    <w:bCs/>
                    <w:vertAlign w:val="superscript"/>
                  </w:rPr>
                  <w:t>1</w:t>
                </w:r>
                <w:r>
                  <w:rPr>
                    <w:b/>
                    <w:bCs/>
                  </w:rPr>
                  <w:t>, 47, 87, 109</w:t>
                </w:r>
                <w:r>
                  <w:rPr>
                    <w:b/>
                    <w:bCs/>
                    <w:vertAlign w:val="superscript"/>
                  </w:rPr>
                  <w:t>1</w:t>
                </w:r>
                <w:r>
                  <w:rPr>
                    <w:b/>
                    <w:bCs/>
                  </w:rPr>
                  <w:t>, 110, 122</w:t>
                </w:r>
                <w:r>
                  <w:rPr>
                    <w:b/>
                    <w:bCs/>
                    <w:vertAlign w:val="superscript"/>
                  </w:rPr>
                  <w:t>4</w:t>
                </w:r>
                <w:r>
                  <w:rPr>
                    <w:b/>
                    <w:bCs/>
                  </w:rPr>
                  <w:t xml:space="preserve"> straipsnių ir priedo pakeitimo, Įstatymo papildymo 110</w:t>
                </w:r>
                <w:r>
                  <w:rPr>
                    <w:b/>
                    <w:bCs/>
                    <w:vertAlign w:val="superscript"/>
                  </w:rPr>
                  <w:t>2</w:t>
                </w:r>
                <w:r>
                  <w:rPr>
                    <w:b/>
                    <w:bCs/>
                  </w:rPr>
                  <w:t>, 110</w:t>
                </w:r>
                <w:r>
                  <w:rPr>
                    <w:b/>
                    <w:bCs/>
                    <w:vertAlign w:val="superscript"/>
                  </w:rPr>
                  <w:t>3</w:t>
                </w:r>
                <w:r>
                  <w:rPr>
                    <w:b/>
                    <w:bCs/>
                  </w:rPr>
                  <w:t>, 110</w:t>
                </w:r>
                <w:r>
                  <w:rPr>
                    <w:b/>
                    <w:bCs/>
                    <w:vertAlign w:val="superscript"/>
                  </w:rPr>
                  <w:t>4</w:t>
                </w:r>
                <w:r>
                  <w:rPr>
                    <w:b/>
                    <w:bCs/>
                  </w:rPr>
                  <w:t>, 118</w:t>
                </w:r>
                <w:r>
                  <w:rPr>
                    <w:b/>
                    <w:bCs/>
                    <w:vertAlign w:val="superscript"/>
                  </w:rPr>
                  <w:t xml:space="preserve">2 </w:t>
                </w:r>
                <w:r>
                  <w:rPr>
                    <w:b/>
                    <w:bCs/>
                  </w:rPr>
                  <w:t>straipsniais  ir 110</w:t>
                </w:r>
                <w:r>
                  <w:rPr>
                    <w:b/>
                    <w:bCs/>
                    <w:vertAlign w:val="superscript"/>
                  </w:rPr>
                  <w:t xml:space="preserve">2 </w:t>
                </w:r>
                <w:r>
                  <w:rPr>
                    <w:b/>
                    <w:bCs/>
                  </w:rPr>
                  <w:t>straipsnio pripažinimo netekusiu galios įstatymo p</w:t>
                </w:r>
                <w:r>
                  <w:rPr>
                    <w:b/>
                    <w:bCs/>
                    <w:color w:val="000000"/>
                  </w:rPr>
                  <w:t>rojektas (toliau – Įstatymo projektas)</w:t>
                </w:r>
              </w:p>
            </w:tc>
            <w:tc>
              <w:tcPr>
                <w:tcW w:w="1701" w:type="dxa"/>
                <w:tcBorders>
                  <w:top w:val="single" w:sz="1" w:space="0" w:color="000000" w:themeColor="text1"/>
                  <w:left w:val="single" w:sz="1" w:space="0" w:color="000000" w:themeColor="text1"/>
                  <w:bottom w:val="single" w:sz="1" w:space="0" w:color="000000" w:themeColor="text1"/>
                  <w:right w:val="single" w:sz="1" w:space="0" w:color="000000" w:themeColor="text1"/>
                </w:tcBorders>
              </w:tcPr>
              <w:p w14:paraId="58A88B6B" w14:textId="77777777">
                <w:pPr>
                  <w:rPr>
                    <w:sz w:val="6"/>
                    <w:szCs w:val="6"/>
                  </w:rPr>
                </w:pPr>
              </w:p>
              <w:p w14:paraId="54F96C0D" w14:textId="77777777">
                <w:pPr>
                  <w:widowControl w:val="0"/>
                  <w:suppressAutoHyphens/>
                  <w:jc w:val="both"/>
                  <w:rPr>
                    <w:rFonts w:eastAsia="Arial Unicode MS"/>
                    <w:b/>
                    <w:bCs/>
                    <w:szCs w:val="24"/>
                    <w:lang w:eastAsia="lt-LT"/>
                  </w:rPr>
                </w:pPr>
                <w:r>
                  <w:rPr>
                    <w:rFonts w:eastAsia="Arial Unicode MS"/>
                    <w:b/>
                    <w:szCs w:val="24"/>
                    <w:lang w:eastAsia="lt-LT"/>
                  </w:rPr>
                  <w:t>ES teisės akto įgyvendinimo lygis (visiškas, dalinis)</w:t>
                </w:r>
              </w:p>
            </w:tc>
          </w:tr>
          <w:tr w14:paraId="4CBFDC2F" w14:textId="77777777">
            <w:trPr>
              <w:trHeight w:val="15"/>
            </w:trPr>
            <w:tc>
              <w:tcPr>
                <w:tcW w:w="4537" w:type="dxa"/>
                <w:tcBorders>
                  <w:left w:val="single" w:sz="1" w:space="0" w:color="000000" w:themeColor="text1"/>
                  <w:bottom w:val="single" w:sz="1" w:space="0" w:color="000000" w:themeColor="text1"/>
                </w:tcBorders>
              </w:tcPr>
              <w:p w14:paraId="527084A7" w14:textId="6D65840F">
                <w:pPr>
                  <w:widowControl w:val="0"/>
                  <w:suppressAutoHyphens/>
                  <w:jc w:val="both"/>
                  <w:rPr>
                    <w:rFonts w:eastAsia="Arial Unicode MS"/>
                    <w:b/>
                    <w:bCs/>
                    <w:szCs w:val="24"/>
                    <w:lang w:eastAsia="lt-LT"/>
                  </w:rPr>
                </w:pPr>
                <w:r>
                  <w:rPr>
                    <w:rFonts w:eastAsia="Arial Unicode MS"/>
                    <w:b/>
                    <w:bCs/>
                    <w:szCs w:val="24"/>
                    <w:lang w:eastAsia="lt-LT"/>
                  </w:rPr>
                  <w:t>27 straipsnis. Sankcijos</w:t>
                </w:r>
              </w:p>
              <w:p w14:paraId="252A66F6" w14:textId="4C345003">
                <w:pPr>
                  <w:jc w:val="both"/>
                </w:pPr>
                <w:r>
                  <w:t xml:space="preserve">1. Nedarant poveikio valstybių narių pareigoms pagal Europos Parlamento ir Tarybos direktyvą </w:t>
                </w:r>
                <w:fldSimple w:instr="HYPERLINK http://eur-lex.europa.eu/legal-content/LIT/TXT/?uri=CELEX:32008L0099&amp;locale=lt \t _blank">
                  <w:r>
                    <w:rPr>
                      <w:u w:val="single"/>
                      <w:color w:val="0000FF" w:themeColor="hyperlink"/>
                    </w:rPr>
                    <w:t>2008/99/EB</w:t>
                  </w:r>
                </w:fldSimple>
                <w:r>
                  <w:t xml:space="preserve"> (25), valstybės narės nustato sankcijų, taikomų pažeidus šį reglamentą, taisykles ir imasi visų būtinų priemonių užtikrinti, kad tos sankcijos būtų įgyvendinamos. Iki 2026 m. sausio 1 d. valstybės narės Komisijai praneša apie tas taisykles ir priemones ir nedelsdamos informuoja ją apie visus vėlesnius joms įtakos turinčius dalinius pakeitimus. </w:t>
                </w:r>
              </w:p>
              <w:p w14:paraId="0A41697E" w14:textId="0F5586C5">
                <w:pPr>
                  <w:jc w:val="both"/>
                </w:pPr>
                <w:r>
                  <w:t xml:space="preserve">2. Sankcijos turi būti veiksmingos, proporcingos ir atgrasomos, ir skiriamos tinkamai atsižvelgiant, priklausomai nuo to, kas taikoma, į: </w:t>
                </w:r>
              </w:p>
              <w:p w14:paraId="345FCB76" w14:textId="77777777">
                <w:pPr>
                  <w:jc w:val="both"/>
                </w:pPr>
                <w:r>
                  <w:t xml:space="preserve">a) pažeidimo pobūdį ir sunkumą; </w:t>
                </w:r>
              </w:p>
              <w:p w14:paraId="58C9CFBD" w14:textId="77777777">
                <w:pPr>
                  <w:jc w:val="both"/>
                </w:pPr>
                <w:r>
                  <w:t xml:space="preserve">b) nuo pažeidimo nukentėjusių žmonių populiaciją arba aplinką, atsižvelgiant į poreikį užtikrinti aukštą žmonių sveikatos ir aplinkos apsaugos lygį; </w:t>
                </w:r>
              </w:p>
              <w:p w14:paraId="3B4AFE84" w14:textId="77777777">
                <w:pPr>
                  <w:jc w:val="both"/>
                </w:pPr>
                <w:r>
                  <w:t xml:space="preserve">c) visus ankstesnius šio reglamento pažeidimus, kuriuos padarė atsakinga laikoma įmonė; </w:t>
                </w:r>
              </w:p>
              <w:p w14:paraId="3C056066" w14:textId="77777777">
                <w:pPr>
                  <w:jc w:val="both"/>
                </w:pPr>
                <w:r>
                  <w:t xml:space="preserve">d) atsakinga laikomos įmonės finansinę padėtį. </w:t>
                </w:r>
              </w:p>
              <w:p w14:paraId="5B6EC723" w14:textId="6781D08F">
                <w:pPr>
                  <w:jc w:val="both"/>
                </w:pPr>
                <w:r>
                  <w:t xml:space="preserve">3. Sankcijos apima: </w:t>
                </w:r>
              </w:p>
              <w:p w14:paraId="2BD3D424" w14:textId="77777777">
                <w:pPr>
                  <w:jc w:val="both"/>
                </w:pPr>
                <w:r>
                  <w:t xml:space="preserve">a) administracines finansines nuobaudas pagal 4 dalį, tačiau valstybės narės taip pat gali alternatyviai taikyti baudžiamąsias sankcijas, jei jos yra lygiaverčiai veiksmingos, proporcingos ir atgrasomos kaip šio punkto pirmoje pastraipoje nurodytos administracinės finansinės nuobaudos; </w:t>
                </w:r>
              </w:p>
              <w:p w14:paraId="1A50B74B" w14:textId="77777777">
                <w:pPr>
                  <w:jc w:val="both"/>
                </w:pPr>
                <w:r>
                  <w:t xml:space="preserve">b) neteisėtai įgytų prekių konfiskavimą, areštą, pašalinimą arba išėmimą iš rinkos, arba kompetentingų institucijų atliekamą neteisėtai įgytų prekių perėmimą; </w:t>
                </w:r>
              </w:p>
              <w:p w14:paraId="43FCDA06" w14:textId="77777777">
                <w:pPr>
                  <w:jc w:val="both"/>
                </w:pPr>
                <w:r>
                  <w:t xml:space="preserve">c) sunkių ar pakartotinių pažeidimų atveju laikiną draudimą naudoti, gaminti, importuoti, eksportuoti arba pateikti rinkai ozono sluoksnį ardančias medžiagas arba atitinkamus produktus ir įrangą, kuriuose yra ozono sluoksnį ardančių medžiagų arba kurių veikimas nuo jų priklauso. </w:t>
                </w:r>
              </w:p>
              <w:p w14:paraId="02421151" w14:textId="7DA52802">
                <w:pPr>
                  <w:jc w:val="both"/>
                </w:pPr>
                <w:r>
                  <w:t>4. Administracinės finansinės nuobaudos, nurodytos 3 dalies a punkte, yra proporcingos žalai aplinkai, kai taikytina, ir dėl jų atsakingi asmenys faktiškai netenka ekonominės naudos, gautos iš pažeidimų. Administracinių finansinių nuobaudų dydis palaipsniui didėja už pakartotinius pažeidimus. Ozono sluoksnį ardančių medžiagų arba produktų ir įrangos, kuriuose yra tokių medžiagų arba kurių veikimas priklauso nuo tokių medžiagų, neteisėtos gamybos, importo, eksporto, pateikimo į rinką ar naudojimo atvejais didžiausia administracinės finansinės nuobaudos suma turi būti bent penkis kartus didesnė už ozono sluoksnį ardančių medžiagų ar produktų ir įrangos rinkos vertę. Jei tokie pažeidimai yra pakartojami per penkerių metų laikotarpį, didžiausia administracinės finansinės nuobaudos suma turi būti bent aštuonis kartus didesnė už atitinkamų ozono sluoksnį ardančių medžiagų ar produktų bei įrangos rinkos vertę.</w:t>
                </w:r>
              </w:p>
              <w:p w14:paraId="687D863E" w14:textId="23B38A9A">
                <w:pPr>
                  <w:widowControl w:val="0"/>
                  <w:suppressAutoHyphens/>
                  <w:jc w:val="both"/>
                  <w:rPr>
                    <w:rFonts w:eastAsia="Arial Unicode MS"/>
                    <w:szCs w:val="24"/>
                    <w:lang w:eastAsia="lt-LT"/>
                  </w:rPr>
                </w:pPr>
              </w:p>
            </w:tc>
            <w:tc>
              <w:tcPr>
                <w:tcW w:w="9355" w:type="dxa"/>
                <w:tcBorders>
                  <w:left w:val="single" w:sz="1" w:space="0" w:color="000000" w:themeColor="text1"/>
                  <w:bottom w:val="single" w:sz="1" w:space="0" w:color="000000" w:themeColor="text1"/>
                </w:tcBorders>
              </w:tcPr>
              <w:p w14:paraId="46C132D6" w14:textId="31ECAAD3">
                <w:pPr>
                  <w:widowControl w:val="0"/>
                  <w:suppressAutoHyphens/>
                  <w:jc w:val="both"/>
                  <w:textAlignment w:val="center"/>
                  <w:rPr>
                    <w:rFonts w:eastAsia="Arial Unicode MS"/>
                    <w:b/>
                    <w:bCs/>
                    <w:lang w:eastAsia="lt-LT"/>
                  </w:rPr>
                </w:pPr>
                <w:r>
                  <w:rPr>
                    <w:rFonts w:eastAsia="Arial Unicode MS"/>
                    <w:b/>
                    <w:bCs/>
                    <w:lang w:eastAsia="lt-LT"/>
                  </w:rPr>
                  <w:t>Įstatymo projektas</w:t>
                </w:r>
              </w:p>
              <w:p w14:paraId="627FA816" w14:textId="2F05BA93">
                <w:pPr>
                  <w:widowControl w:val="0"/>
                  <w:suppressAutoHyphens/>
                  <w:jc w:val="both"/>
                  <w:textAlignment w:val="center"/>
                  <w:rPr>
                    <w:b/>
                    <w:bCs/>
                  </w:rPr>
                </w:pPr>
                <w:r>
                  <w:rPr>
                    <w:rFonts w:eastAsia="Arial Unicode MS"/>
                    <w:b/>
                    <w:bCs/>
                    <w:lang w:eastAsia="lt-LT"/>
                  </w:rPr>
                  <w:t xml:space="preserve">8 straipsnis. </w:t>
                </w:r>
                <w:r>
                  <w:rPr>
                    <w:b/>
                    <w:bCs/>
                  </w:rPr>
                  <w:t>110 straipsnio pakeitimas.</w:t>
                </w:r>
              </w:p>
              <w:p w14:paraId="4C12B125" w14:textId="74928EFC">
                <w:pPr>
                  <w:widowControl w:val="0"/>
                  <w:suppressAutoHyphens/>
                  <w:jc w:val="both"/>
                  <w:textAlignment w:val="center"/>
                  <w:rPr>
                    <w:rFonts w:eastAsia="Arial Unicode MS"/>
                    <w:b/>
                    <w:bCs/>
                    <w:lang w:eastAsia="lt-LT"/>
                  </w:rPr>
                </w:pPr>
                <w:r>
                  <w:rPr>
                    <w:b/>
                  </w:rPr>
                  <w:t xml:space="preserve">Pakeisti 110 straipsnį ir jį išdėstyti taip: </w:t>
                </w:r>
              </w:p>
              <w:p w14:paraId="423824AA" w14:textId="48166030">
                <w:pPr>
                  <w:jc w:val="both"/>
                  <w:rPr>
                    <w:b/>
                    <w:bCs/>
                  </w:rPr>
                </w:pPr>
                <w:r>
                  <w:t>„</w:t>
                </w:r>
                <w:r>
                  <w:rPr>
                    <w:b/>
                    <w:bCs/>
                  </w:rPr>
                  <w:t>110 straipsnis. Juridinių asmenų atsakomybė už ozono sluoksnį ardančių</w:t>
                </w:r>
                <w:r>
                  <w:rPr>
                    <w:b/>
                    <w:bCs/>
                    <w:color w:val="000000"/>
                  </w:rPr>
                  <w:t xml:space="preserve"> medžiagų ir (arba) </w:t>
                </w:r>
                <w:r>
                  <w:rPr>
                    <w:b/>
                    <w:bCs/>
                  </w:rPr>
                  <w:t>produktų ir įrangos, kuriuose šių medžiagų arba kurių veikimas nuo jų priklauso, tvarkymo reikalavimų pažeidimą</w:t>
                </w:r>
              </w:p>
              <w:p w14:paraId="44FFDB18" w14:textId="77777777">
                <w:pPr>
                  <w:widowControl w:val="0"/>
                  <w:ind w:firstLine="130"/>
                  <w:jc w:val="both"/>
                  <w:rPr>
                    <w:b/>
                    <w:bCs/>
                  </w:rPr>
                </w:pPr>
                <w:r>
                  <w:rPr>
                    <w:b/>
                    <w:bCs/>
                    <w:szCs w:val="24"/>
                    <w:lang w:val="lt"/>
                  </w:rPr>
                  <w:t xml:space="preserve">Ozono sluoksnį ardančių medžiagų ir (arba) produktų ir įrangos, kuriuose yra šių medžiagų arba kurių veikimas nuo jų priklauso, įtrauktų į Reglamento </w:t>
                </w:r>
                <w:fldSimple w:instr="HYPERLINK http://eur-lex.europa.eu/legal-content/LIT/TXT/?uri=CELEX:32024R0590&amp;locale=lt \t _blank">
                  <w:r>
                    <w:rPr>
                      <w:b/>
                      <w:bCs/>
                      <w:szCs w:val="24"/>
                      <w:lang w:val="lt"/>
                      <w:u w:val="single"/>
                      <w:color w:val="0000FF" w:themeColor="hyperlink"/>
                    </w:rPr>
                    <w:t>(ES) 2024/590</w:t>
                  </w:r>
                </w:fldSimple>
                <w:r>
                  <w:rPr>
                    <w:b/>
                    <w:bCs/>
                    <w:szCs w:val="24"/>
                    <w:lang w:val="lt"/>
                  </w:rPr>
                  <w:t xml:space="preserve"> taikymo sritį, gamybos, importo, eksporto, pateikimo rinkai ar naudojimo reikalavimų pažeidimas</w:t>
                </w:r>
                <w:r>
                  <w:rPr>
                    <w:b/>
                    <w:bCs/>
                    <w:szCs w:val="24"/>
                  </w:rPr>
                  <w:t xml:space="preserve"> </w:t>
                </w:r>
                <w:r>
                  <w:rPr>
                    <w:b/>
                    <w:bCs/>
                    <w:szCs w:val="24"/>
                    <w:lang w:val="lt"/>
                  </w:rPr>
                  <w:t>užtraukia baudą penkis kartus didesnę už ozono sluoksnį ardančių medžiagų ir (arba) produktų ir įrangos, kuriuose yra šių medžiagų arba kurių veikimas nuo jų priklauso, rinkos vertę.</w:t>
                </w:r>
              </w:p>
              <w:p w14:paraId="2685012F" w14:textId="77777777">
                <w:pPr>
                  <w:widowControl w:val="0"/>
                  <w:ind w:firstLine="130"/>
                  <w:jc w:val="both"/>
                  <w:rPr>
                    <w:b/>
                    <w:bCs/>
                  </w:rPr>
                </w:pPr>
                <w:r>
                  <w:rPr>
                    <w:b/>
                    <w:bCs/>
                    <w:szCs w:val="24"/>
                    <w:lang w:val="lt"/>
                  </w:rPr>
                  <w:t>Šio straipsnio pirmojoje dalyje numatytas pažeidimas, padarytas pakartotinai per penkerių metų laikotarpį,</w:t>
                </w:r>
                <w:r>
                  <w:rPr>
                    <w:b/>
                    <w:bCs/>
                    <w:szCs w:val="24"/>
                  </w:rPr>
                  <w:t xml:space="preserve"> </w:t>
                </w:r>
                <w:r>
                  <w:rPr>
                    <w:b/>
                    <w:bCs/>
                    <w:szCs w:val="24"/>
                    <w:lang w:val="lt"/>
                  </w:rPr>
                  <w:t xml:space="preserve">užtraukia baudą  aštuonis kartus didesnę už ozono sluoksnį ardančių medžiagų ir (arba) produktų ir įrangos, kuriuose yra šių medžiagų arba kurių veikimas nuo jų priklauso, rinkos vertę. </w:t>
                </w:r>
              </w:p>
              <w:p w14:paraId="578B3D44" w14:textId="77777777">
                <w:pPr>
                  <w:widowControl w:val="0"/>
                  <w:ind w:firstLine="130"/>
                  <w:jc w:val="both"/>
                  <w:rPr>
                    <w:b/>
                    <w:bCs/>
                  </w:rPr>
                </w:pPr>
                <w:r>
                  <w:rPr>
                    <w:b/>
                    <w:bCs/>
                    <w:szCs w:val="24"/>
                    <w:lang w:val="lt"/>
                  </w:rPr>
                  <w:t xml:space="preserve">Už šio straipsnio pirmojoje ir antrojoje dalyse numatytus pažeidimus skiriamas draudimas naudoti, gaminti, importuoti, eksportuoti arba pateikti rinkai ozono sluoksnį ardančias medžiagas ir (arba)  produktus ir įrangą, kuriuose yra šių medžiagų arba kurių veikimas nuo jų priklauso.</w:t>
                </w:r>
              </w:p>
              <w:p w14:paraId="13BA47B3" w14:textId="77777777">
                <w:pPr>
                  <w:widowControl w:val="0"/>
                  <w:ind w:firstLine="130"/>
                  <w:jc w:val="both"/>
                  <w:rPr>
                    <w:b/>
                    <w:bCs/>
                  </w:rPr>
                </w:pPr>
                <w:r>
                  <w:rPr>
                    <w:b/>
                    <w:bCs/>
                    <w:szCs w:val="24"/>
                    <w:lang w:val="lt"/>
                  </w:rPr>
                  <w:t>Pakartotinai neužpildomų ozono sluoksnį ardančių medžiagų talpyklų, kurios yra tuščios arba visiškai ar iš dalies užpildytos, importas, pateikimas rinkai, vėlesnis tiekimas ar teikimas kitam asmeniui Europos Sąjungoje už atlygį arba nemokamai, naudojimas arba eksportas</w:t>
                </w:r>
                <w:r>
                  <w:rPr>
                    <w:b/>
                    <w:bCs/>
                    <w:szCs w:val="24"/>
                  </w:rPr>
                  <w:t xml:space="preserve"> </w:t>
                </w:r>
                <w:r>
                  <w:rPr>
                    <w:b/>
                    <w:bCs/>
                    <w:szCs w:val="24"/>
                    <w:lang w:val="lt"/>
                  </w:rPr>
                  <w:t>užtraukia baudą nuo dviejų tūkstančių iki aštuonių tūkstančių eurų.</w:t>
                </w:r>
              </w:p>
              <w:p w14:paraId="6C5D6A60" w14:textId="77777777">
                <w:pPr>
                  <w:widowControl w:val="0"/>
                  <w:ind w:firstLine="130"/>
                  <w:jc w:val="both"/>
                  <w:rPr>
                    <w:b/>
                    <w:bCs/>
                  </w:rPr>
                </w:pPr>
                <w:r>
                  <w:rPr>
                    <w:b/>
                    <w:bCs/>
                    <w:szCs w:val="24"/>
                    <w:lang w:val="lt"/>
                  </w:rPr>
                  <w:t xml:space="preserve">Už šio straipsnio pirmojoje, antrojoje ir ketvirtojoje dalyse numatytus pažeidimus  skiriamas pažeidimo padarymo įrankių ir priemonių, ozono sluoksnį ardančių medžiagų ir (arba) produktų ir įrangos, kuriuose yra šių medžiagų arba kurių veikimas nuo jų priklauso, pakartotinai neužpildomų ozono sluoksnį ardančių medžiagų talpyklų, kurios yra tuščios arba visiškai ar iš dalies užpildytos, ir už neteisėtą veiklą gautų pajamų konfiskavimas.</w:t>
                </w:r>
              </w:p>
              <w:p w14:paraId="56C6E899" w14:textId="77777777">
                <w:pPr>
                  <w:widowControl w:val="0"/>
                  <w:ind w:firstLine="130"/>
                  <w:jc w:val="both"/>
                  <w:rPr>
                    <w:b/>
                    <w:bCs/>
                    <w:lang w:val="lt"/>
                  </w:rPr>
                </w:pPr>
                <w:r>
                  <w:rPr>
                    <w:b/>
                    <w:bCs/>
                    <w:lang w:val="lt"/>
                  </w:rPr>
                  <w:t xml:space="preserve">Reglamento </w:t>
                </w:r>
                <w:fldSimple w:instr="HYPERLINK http://eur-lex.europa.eu/legal-content/LIT/TXT/?uri=CELEX:32024R0590&amp;locale=lt \t _blank">
                  <w:r>
                    <w:rPr>
                      <w:b/>
                      <w:bCs/>
                      <w:lang w:val="lt"/>
                      <w:u w:val="single"/>
                      <w:color w:val="0000FF" w:themeColor="hyperlink"/>
                    </w:rPr>
                    <w:t>(ES) 2024/590</w:t>
                  </w:r>
                </w:fldSimple>
                <w:r>
                  <w:rPr>
                    <w:b/>
                    <w:bCs/>
                    <w:lang w:val="lt"/>
                  </w:rPr>
                  <w:t xml:space="preserve"> 8 straipsnio 1 ir 6 dalyse nurodytų ozono sluoksnį ardančių medžiagų, skirtų svarbiausioms laboratorijų ir analizės reikmėms, pateikimo rinkai ir vėlesnio tiekimo arba teikimo kitam asmeniui Europos Sąjungoje už atlygį arba nemokamai ir (arba) naudojimo sąlygų pažeidimas užtraukia baudą nuo dviejų tūkstančių iki aštuonių tūkstančių eurų.</w:t>
                </w:r>
              </w:p>
              <w:p w14:paraId="27D61C03" w14:textId="77777777">
                <w:pPr>
                  <w:widowControl w:val="0"/>
                  <w:ind w:firstLine="130"/>
                  <w:jc w:val="both"/>
                  <w:rPr>
                    <w:b/>
                    <w:bCs/>
                    <w:lang w:val="lt"/>
                  </w:rPr>
                </w:pPr>
                <w:r>
                  <w:rPr>
                    <w:b/>
                    <w:bCs/>
                    <w:lang w:val="lt"/>
                  </w:rPr>
                  <w:t xml:space="preserve">Reglamento </w:t>
                </w:r>
                <w:fldSimple w:instr="HYPERLINK http://eur-lex.europa.eu/legal-content/LIT/TXT/?uri=CELEX:32024R0590&amp;locale=lt \t _blank">
                  <w:r>
                    <w:rPr>
                      <w:b/>
                      <w:bCs/>
                      <w:lang w:val="lt"/>
                      <w:u w:val="single"/>
                      <w:color w:val="0000FF" w:themeColor="hyperlink"/>
                    </w:rPr>
                    <w:t>(ES) 2024/590</w:t>
                  </w:r>
                </w:fldSimple>
                <w:r>
                  <w:rPr>
                    <w:b/>
                    <w:bCs/>
                    <w:lang w:val="lt"/>
                  </w:rPr>
                  <w:t xml:space="preserve"> 9 straipsnio 1 ir 2 dalyse nustatytų halonų, naudojamų būtiniausioms reikmėms, saugojimo reikalavimų pažeidimas, priešgaisrinių sistemų ir gesintuvų, kuriuose yra halonų, naudojamų būtiniausioms reikmėms arba kurių veikimas nuo jų priklauso, eksploatacijos nutraukimo ir halonų surinkimo reikalavimų pažeidimas užtraukia baudą  nuo dviejų tūkstančių iki aštuonių tūkstančių eurų.</w:t>
                </w:r>
              </w:p>
              <w:p w14:paraId="5BFD5E2E" w14:textId="77777777">
                <w:pPr>
                  <w:widowControl w:val="0"/>
                  <w:ind w:firstLine="130"/>
                  <w:jc w:val="both"/>
                  <w:rPr>
                    <w:b/>
                    <w:bCs/>
                    <w:lang w:val="lt"/>
                  </w:rPr>
                </w:pPr>
                <w:r>
                  <w:rPr>
                    <w:b/>
                    <w:bCs/>
                    <w:lang w:val="lt"/>
                  </w:rPr>
                  <w:t xml:space="preserve">Talpyklų, kuriose yra ozono sluoksnį ardančių medžiagų, skirtų naudoti Reglamento </w:t>
                </w:r>
                <w:fldSimple w:instr="HYPERLINK http://eur-lex.europa.eu/legal-content/LIT/TXT/?uri=CELEX:32024R0590&amp;locale=lt \t _blank">
                  <w:r>
                    <w:rPr>
                      <w:b/>
                      <w:bCs/>
                      <w:lang w:val="lt"/>
                      <w:u w:val="single"/>
                      <w:color w:val="0000FF" w:themeColor="hyperlink"/>
                    </w:rPr>
                    <w:t>(ES) 2024/590</w:t>
                  </w:r>
                </w:fldSimple>
                <w:r>
                  <w:rPr>
                    <w:b/>
                    <w:bCs/>
                    <w:lang w:val="lt"/>
                  </w:rPr>
                  <w:t xml:space="preserve"> 6, 7, 8 ir 12 straipsniuose nurodytoms reikmėms, ženklinimo reikalavimų pažeidimas užtraukia baudą nuo vieno tūkstančio iki dviejų tūkstančių eurų. </w:t>
                </w:r>
              </w:p>
              <w:p w14:paraId="2212E24E" w14:textId="77777777">
                <w:pPr>
                  <w:widowControl w:val="0"/>
                  <w:ind w:firstLine="130"/>
                  <w:jc w:val="both"/>
                  <w:rPr>
                    <w:b/>
                    <w:bCs/>
                  </w:rPr>
                </w:pPr>
                <w:r>
                  <w:rPr>
                    <w:b/>
                    <w:bCs/>
                    <w:lang w:val="lt"/>
                  </w:rPr>
                  <w:t>Ozono sluoksnį ardančių medžiagų neteisėtas išleidimas į atmosferą, ozono sluoksnį ardančių medžiagų nuotėkio prevencijos reikalavimų pažeidimas, reikalavimų tikrinti ozono sluoksnį ardančių medžiagų turinčią įrangą dėl galimo nuotėkio pažeidimas arba įrangos, turinčios gedimų, dėl kurių ozono sluoksnį ardančios medžiagos patenka ar gali patekti į atmosferą, eksploatavimas, ozono sluoksnį ardančių medžiagų surinkimo iš jų turinčių produktų ir įrangos reikalavimų pažeidimas, produktų ir įrangos, kuriuose yra ozono sluoksnį ardančių medžiagų arba kurių veikimas nuo jų priklauso, eksploatacijos nutraukimo reikalavimų pažeidimas, reikalavimų surinkti ozono sluoksnį ardančias medžiagas iš statybinių medžiagų putų pažeidimas, ozono sluoksnį ardančių medžiagų, produktų ir įrangos, kuriuose yra šių medžiagų, naikinimo reikalavimų pažeidimas</w:t>
                </w:r>
                <w:r>
                  <w:rPr>
                    <w:b/>
                    <w:bCs/>
                  </w:rPr>
                  <w:t xml:space="preserve"> </w:t>
                </w:r>
                <w:r>
                  <w:rPr>
                    <w:b/>
                    <w:bCs/>
                    <w:lang w:val="lt"/>
                  </w:rPr>
                  <w:t>užtraukia baudą nuo dviejų tūkstančių iki aštuonių tūkstančių eurų.</w:t>
                </w:r>
              </w:p>
              <w:p w14:paraId="49808AC6" w14:textId="77777777">
                <w:pPr>
                  <w:widowControl w:val="0"/>
                  <w:ind w:firstLine="130"/>
                  <w:jc w:val="both"/>
                  <w:rPr>
                    <w:b/>
                    <w:bCs/>
                  </w:rPr>
                </w:pPr>
                <w:r>
                  <w:rPr>
                    <w:b/>
                    <w:bCs/>
                    <w:lang w:val="lt"/>
                  </w:rPr>
                  <w:t>Reikalavimų užtikrinti, kad ozono sluoksnį ardančių medžiagų turinčios įrangos ar sistemų techninės priežiūros, remonto, tikrinimo dėl nuotėkio, eksploatacijos nutraukimo, išmontavimo, ozono sluoksnį ardančių medžiagų surinkimo sunaikinti, recirkuliuoti ar regeneruoti, darbus atliktų teisės aktų nustatytas kompetencijas turintys asmenys, pažeidimas</w:t>
                </w:r>
                <w:r>
                  <w:rPr>
                    <w:b/>
                    <w:bCs/>
                  </w:rPr>
                  <w:t xml:space="preserve"> </w:t>
                </w:r>
                <w:r>
                  <w:rPr>
                    <w:b/>
                    <w:bCs/>
                    <w:lang w:val="lt"/>
                  </w:rPr>
                  <w:t>užtraukia baudą nuo dviejų tūkstančių iki keturių tūkstančių eurų.</w:t>
                </w:r>
              </w:p>
              <w:p w14:paraId="6358AFDC" w14:textId="77777777">
                <w:pPr>
                  <w:ind w:firstLine="130"/>
                  <w:jc w:val="both"/>
                  <w:rPr>
                    <w:b/>
                    <w:bCs/>
                  </w:rPr>
                </w:pPr>
                <w:r>
                  <w:rPr>
                    <w:b/>
                    <w:bCs/>
                  </w:rPr>
                  <w:t xml:space="preserve">Reglamento </w:t>
                </w:r>
                <w:fldSimple w:instr="HYPERLINK http://eur-lex.europa.eu/legal-content/LIT/TXT/?uri=CELEX:32024R0590&amp;locale=lt \t _blank">
                  <w:r>
                    <w:rPr>
                      <w:b/>
                      <w:bCs/>
                      <w:u w:val="single"/>
                      <w:color w:val="0000FF" w:themeColor="hyperlink"/>
                    </w:rPr>
                    <w:t>(ES) 2024/590</w:t>
                  </w:r>
                </w:fldSimple>
                <w:r>
                  <w:rPr>
                    <w:b/>
                    <w:bCs/>
                  </w:rPr>
                  <w:t xml:space="preserve"> 8 straipsnio 5 dalyje, 15 straipsnio 3, 4 ir 6 dalyse, 20 straipsnio 3, 4 dalyse ir 21 straipsnio 5 dalyje nustatytų informacijos, duomenų, dokumentų saugojimo mažiausiai penkerius metus ir pateikimo Europos Sąjungos ir (arba) Lietuvos Respublikos institucijoms, joms paprašius, pažeidimas užtraukia baudą nuo vieno tūkstančio iki dviejų tūkstančių eurų.  </w:t>
                </w:r>
              </w:p>
              <w:p w14:paraId="3293E34C" w14:textId="18F27431">
                <w:pPr>
                  <w:widowControl w:val="0"/>
                  <w:ind w:firstLine="130"/>
                  <w:jc w:val="both"/>
                  <w:rPr>
                    <w:b/>
                    <w:bCs/>
                  </w:rPr>
                </w:pPr>
                <w:r>
                  <w:rPr>
                    <w:b/>
                    <w:bCs/>
                    <w:lang w:val="lt"/>
                  </w:rPr>
                  <w:t xml:space="preserve">Duomenų apie gaminamas, importuojamas, eksportuojamas,  sunaikinamas, naudojamas ozono sluoksnį ardančias medžiagas, būtiniausius halonų naudojimo atvejus, eksploatuojamą ozono sluoksnį ardančių medžiagų turinčią įrangą nepateikimas Europos Sąjungos ir (arba) Lietuvos Respublikos institucijoms teisės aktų nustatyta tvarka, šių duomenų nuslėpimas ir (arba) iškraipymas</w:t>
                </w:r>
                <w:r>
                  <w:rPr>
                    <w:b/>
                    <w:bCs/>
                  </w:rPr>
                  <w:t xml:space="preserve"> </w:t>
                </w:r>
                <w:r>
                  <w:rPr>
                    <w:b/>
                    <w:bCs/>
                    <w:lang w:val="lt"/>
                  </w:rPr>
                  <w:t>užtraukia baudą nuo vieno tūkstančio iki dviejų tūkstančių eurų.“</w:t>
                </w:r>
              </w:p>
            </w:tc>
            <w:tc>
              <w:tcPr>
                <w:tcW w:w="1701" w:type="dxa"/>
                <w:tcBorders>
                  <w:left w:val="single" w:sz="1" w:space="0" w:color="000000" w:themeColor="text1"/>
                  <w:bottom w:val="single" w:sz="1" w:space="0" w:color="000000" w:themeColor="text1"/>
                  <w:right w:val="single" w:sz="1" w:space="0" w:color="000000" w:themeColor="text1"/>
                </w:tcBorders>
              </w:tcPr>
              <w:p w14:paraId="38B95DEC" w14:textId="26745AA9">
                <w:pPr>
                  <w:widowControl w:val="0"/>
                  <w:suppressLineNumbers/>
                  <w:suppressAutoHyphens/>
                  <w:jc w:val="center"/>
                  <w:rPr>
                    <w:color w:val="000000"/>
                    <w:szCs w:val="24"/>
                  </w:rPr>
                </w:pPr>
                <w:r>
                  <w:rPr>
                    <w:color w:val="000000"/>
                    <w:szCs w:val="24"/>
                  </w:rPr>
                  <w:t>Dalinis.</w:t>
                </w:r>
              </w:p>
              <w:p w14:paraId="6E83AE3A" w14:textId="496D9CF5">
                <w:pPr>
                  <w:widowControl w:val="0"/>
                  <w:suppressLineNumbers/>
                  <w:suppressAutoHyphens/>
                  <w:jc w:val="center"/>
                </w:pPr>
                <w:r>
                  <w:rPr>
                    <w:color w:val="000000"/>
                  </w:rPr>
                  <w:t xml:space="preserve">Sankcijos fiziniams asmenims nustatomos </w:t>
                </w:r>
                <w:r>
                  <w:rPr>
                    <w:szCs w:val="24"/>
                  </w:rPr>
                  <w:t>Lietuvos Respublikos administracinių nusižengimų kodekso 12, 27, 29, 243</w:t>
                </w:r>
                <w:r>
                  <w:rPr>
                    <w:szCs w:val="24"/>
                    <w:vertAlign w:val="superscript"/>
                  </w:rPr>
                  <w:t>1</w:t>
                </w:r>
                <w:r>
                  <w:rPr>
                    <w:szCs w:val="24"/>
                  </w:rPr>
                  <w:t>, 251, 304</w:t>
                </w:r>
                <w:r>
                  <w:rPr>
                    <w:caps/>
                    <w:szCs w:val="24"/>
                    <w:vertAlign w:val="superscript"/>
                  </w:rPr>
                  <w:t>2</w:t>
                </w:r>
                <w:r>
                  <w:rPr>
                    <w:szCs w:val="24"/>
                  </w:rPr>
                  <w:t>, 308</w:t>
                </w:r>
                <w:r>
                  <w:rPr>
                    <w:szCs w:val="24"/>
                    <w:vertAlign w:val="superscript"/>
                  </w:rPr>
                  <w:t>1</w:t>
                </w:r>
                <w:r>
                  <w:rPr>
                    <w:szCs w:val="24"/>
                  </w:rPr>
                  <w:t>, 310, 589 straipsnių ir priedo pakeitimo, Kodekso papildymo 31</w:t>
                </w:r>
                <w:r>
                  <w:rPr>
                    <w:szCs w:val="24"/>
                    <w:vertAlign w:val="superscript"/>
                  </w:rPr>
                  <w:t>2</w:t>
                </w:r>
                <w:r>
                  <w:rPr>
                    <w:szCs w:val="24"/>
                  </w:rPr>
                  <w:t>, 243</w:t>
                </w:r>
                <w:r>
                  <w:rPr>
                    <w:szCs w:val="24"/>
                    <w:vertAlign w:val="superscript"/>
                  </w:rPr>
                  <w:t>2</w:t>
                </w:r>
                <w:r>
                  <w:rPr>
                    <w:szCs w:val="24"/>
                  </w:rPr>
                  <w:t>,</w:t>
                </w:r>
                <w:r>
                  <w:rPr>
                    <w:szCs w:val="24"/>
                    <w:vertAlign w:val="superscript"/>
                  </w:rPr>
                  <w:t xml:space="preserve"> </w:t>
                </w:r>
                <w:r>
                  <w:rPr>
                    <w:szCs w:val="24"/>
                  </w:rPr>
                  <w:t>270</w:t>
                </w:r>
                <w:r>
                  <w:rPr>
                    <w:szCs w:val="24"/>
                    <w:vertAlign w:val="superscript"/>
                  </w:rPr>
                  <w:t>2</w:t>
                </w:r>
                <w:r>
                  <w:rPr>
                    <w:szCs w:val="24"/>
                  </w:rPr>
                  <w:t xml:space="preserve"> straipsniais ir 243</w:t>
                </w:r>
                <w:r>
                  <w:rPr>
                    <w:szCs w:val="24"/>
                    <w:vertAlign w:val="superscript"/>
                  </w:rPr>
                  <w:t xml:space="preserve">1 </w:t>
                </w:r>
                <w:r>
                  <w:rPr>
                    <w:szCs w:val="24"/>
                  </w:rPr>
                  <w:t xml:space="preserve">straipsnio pripažinimo netekusiu galios įstatymo </w:t>
                </w:r>
                <w:r>
                  <w:rPr>
                    <w:color w:val="000000"/>
                  </w:rPr>
                  <w:t>projekte.</w:t>
                </w:r>
              </w:p>
            </w:tc>
          </w:tr>
        </w:tbl>
        <w:p w14:paraId="431E6FDF" w14:textId="77777777">
          <w:pPr>
            <w:widowControl w:val="0"/>
            <w:suppressAutoHyphens/>
            <w:rPr>
              <w:rFonts w:eastAsia="Arial Unicode MS"/>
              <w:szCs w:val="24"/>
              <w:lang w:eastAsia="lt-LT"/>
            </w:rPr>
            <w:sectPr>
              <w:footnotePr>
                <w:pos w:val="beneathText"/>
              </w:footnotePr>
              <w:type w:val="continuous"/>
              <w:pgSz w:w="16837" w:h="11905" w:orient="landscape"/>
              <w:pgMar w:top="1701" w:right="567" w:bottom="1134" w:left="1134" w:header="567" w:footer="567" w:gutter="0"/>
              <w:cols w:space="1296"/>
            </w:sectPr>
          </w:pPr>
        </w:p>
        <w:p w14:paraId="01B6A471" w14:textId="77777777">
          <w:pPr>
            <w:rPr>
              <w:sz w:val="10"/>
              <w:szCs w:val="10"/>
            </w:rPr>
          </w:pPr>
        </w:p>
        <w:sdt>
          <w:sdtPr>
            <w:alias w:val="pabaiga"/>
            <w:tag w:val="part_d7ea217ee28047dca2563f49b2b37bc6"/>
            <w:lock w:val="sdtLocked"/>
            <w:richText/>
          </w:sdtPr>
          <w:sdtContent>
            <w:p w14:paraId="682936AB" w14:textId="3DBED872">
              <w:pPr>
                <w:widowControl w:val="0"/>
                <w:tabs>
                  <w:tab w:val="center" w:pos="0"/>
                  <w:tab w:val="center" w:pos="4153"/>
                  <w:tab w:val="left" w:pos="7230"/>
                  <w:tab w:val="right" w:pos="8306"/>
                </w:tabs>
                <w:suppressAutoHyphens/>
                <w:jc w:val="center"/>
                <w:rPr>
                  <w:rFonts w:eastAsia="Arial Unicode MS"/>
                  <w:szCs w:val="24"/>
                  <w:lang w:eastAsia="lt-LT"/>
                </w:rPr>
              </w:pPr>
              <w:r>
                <w:rPr>
                  <w:rFonts w:eastAsia="Arial Unicode MS"/>
                  <w:szCs w:val="24"/>
                  <w:lang w:eastAsia="lt-LT"/>
                </w:rPr>
                <w:t>_________________</w:t>
              </w:r>
            </w:p>
          </w:sdtContent>
        </w:sdt>
      </w:sdtContent>
    </w:sdt>
    <w:sectPr>
      <w:footnotePr>
        <w:pos w:val="beneathText"/>
      </w:footnotePr>
      <w:type w:val="continuous"/>
      <w:pgSz w:w="16837" w:h="11905" w:orient="landscape"/>
      <w:pgMar w:top="1134" w:right="1134" w:bottom="1134" w:left="1134" w:header="567" w:footer="567" w:gutter="0"/>
      <w:cols w:space="1296"/>
    </w:sectPr>
  </w:body>
</w:document>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MS Gothic">
    <w:altName w:val="ＭＳ ゴシック"/>
    <w:panose1 w:val="020B0609070205080204"/>
    <w:charset w:val="80"/>
    <w:family w:val="modern"/>
    <w:pitch w:val="fixed"/>
    <w:sig w:usb0="E00002FF" w:usb1="6AC7FDFB" w:usb2="00000012" w:usb3="00000000" w:csb0="0002009F" w:csb1="00000000"/>
  </w:font>
  <w:font w:name="Cambria">
    <w:panose1 w:val="02040503050406030204"/>
    <w:charset w:val="BA"/>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Calibri">
    <w:panose1 w:val="020F0502020204030204"/>
    <w:charset w:val="BA"/>
    <w:family w:val="swiss"/>
    <w:pitch w:val="variable"/>
    <w:sig w:usb0="E00002FF" w:usb1="4000ACFF" w:usb2="00000001" w:usb3="00000000" w:csb0="0000019F" w:csb1="00000000"/>
  </w:font>
  <w:font w:name="Arial">
    <w:panose1 w:val="020B0604020202020204"/>
    <w:charset w:val="BA"/>
    <w:family w:val="swiss"/>
    <w:pitch w:val="variable"/>
    <w:sig w:usb0="E0002AFF" w:usb1="C0007843" w:usb2="00000009" w:usb3="00000000" w:csb0="000001FF" w:csb1="00000000"/>
  </w:font>
</w:font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displayBackgroundShape/>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709"/>
  <w:hyphenationZone w:val="396"/>
  <w:doNotHyphenateCaps/>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strictFirstAndLastChars/>
  <w:footnotePr>
    <w:pos w:val="beneathText"/>
  </w:footnotePr>
  <w:compat>
    <w:spaceForUL/>
    <w:balanceSingleByteDoubleByteWidth/>
    <w:doNotLeaveBackslashAlone/>
    <w:ulTrailSpace/>
    <w:doNotExpandShiftReturn/>
    <w:adjustLineHeightInTabl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40C7F"/>
  </w:rsids>
  <m:mathPr>
    <m:mathFont m:val="Cambria Math"/>
    <m:brkBin m:val="before"/>
    <m:brkBinSub m:val="--"/>
    <m:smallFrac m:val="0"/>
    <m:dispDef/>
    <m:lMargin m:val="0"/>
    <m:rMargin m:val="0"/>
    <m:defJc m:val="centerGroup"/>
    <m:wrapIndent m:val="1440"/>
    <m:intLim m:val="subSup"/>
    <m:naryLim m:val="undOvr"/>
  </m:mathPr>
  <w:themeFontLang w:val="lt-LT"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2BECBF7"/>
  <w15:docId w15:val="{BC67E557-A119-4320-843F-CBE503BB291A}"/>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69083494">
      <w:bodyDiv w:val="1"/>
      <w:marLeft w:val="0"/>
      <w:marRight w:val="0"/>
      <w:marTop w:val="0"/>
      <w:marBottom w:val="0"/>
      <w:divBdr>
        <w:top w:val="none" w:sz="0" w:space="0" w:color="auto"/>
        <w:left w:val="none" w:sz="0" w:space="0" w:color="auto"/>
        <w:bottom w:val="none" w:sz="0" w:space="0" w:color="auto"/>
        <w:right w:val="none" w:sz="0" w:space="0" w:color="auto"/>
      </w:divBdr>
    </w:div>
    <w:div w:id="149635256">
      <w:bodyDiv w:val="1"/>
      <w:marLeft w:val="0"/>
      <w:marRight w:val="0"/>
      <w:marTop w:val="0"/>
      <w:marBottom w:val="0"/>
      <w:divBdr>
        <w:top w:val="none" w:sz="0" w:space="0" w:color="auto"/>
        <w:left w:val="none" w:sz="0" w:space="0" w:color="auto"/>
        <w:bottom w:val="none" w:sz="0" w:space="0" w:color="auto"/>
        <w:right w:val="none" w:sz="0" w:space="0" w:color="auto"/>
      </w:divBdr>
    </w:div>
    <w:div w:id="161119957">
      <w:bodyDiv w:val="1"/>
      <w:marLeft w:val="0"/>
      <w:marRight w:val="0"/>
      <w:marTop w:val="0"/>
      <w:marBottom w:val="0"/>
      <w:divBdr>
        <w:top w:val="none" w:sz="0" w:space="0" w:color="auto"/>
        <w:left w:val="none" w:sz="0" w:space="0" w:color="auto"/>
        <w:bottom w:val="none" w:sz="0" w:space="0" w:color="auto"/>
        <w:right w:val="none" w:sz="0" w:space="0" w:color="auto"/>
      </w:divBdr>
      <w:divsChild>
        <w:div w:id="174464738">
          <w:marLeft w:val="0"/>
          <w:marRight w:val="0"/>
          <w:marTop w:val="0"/>
          <w:marBottom w:val="0"/>
          <w:divBdr>
            <w:top w:val="none" w:sz="0" w:space="0" w:color="auto"/>
            <w:left w:val="none" w:sz="0" w:space="0" w:color="auto"/>
            <w:bottom w:val="none" w:sz="0" w:space="0" w:color="auto"/>
            <w:right w:val="none" w:sz="0" w:space="0" w:color="auto"/>
          </w:divBdr>
        </w:div>
        <w:div w:id="1327975016">
          <w:marLeft w:val="0"/>
          <w:marRight w:val="0"/>
          <w:marTop w:val="0"/>
          <w:marBottom w:val="0"/>
          <w:divBdr>
            <w:top w:val="none" w:sz="0" w:space="0" w:color="auto"/>
            <w:left w:val="none" w:sz="0" w:space="0" w:color="auto"/>
            <w:bottom w:val="none" w:sz="0" w:space="0" w:color="auto"/>
            <w:right w:val="none" w:sz="0" w:space="0" w:color="auto"/>
          </w:divBdr>
          <w:divsChild>
            <w:div w:id="1407655557">
              <w:marLeft w:val="0"/>
              <w:marRight w:val="0"/>
              <w:marTop w:val="0"/>
              <w:marBottom w:val="0"/>
              <w:divBdr>
                <w:top w:val="none" w:sz="0" w:space="0" w:color="auto"/>
                <w:left w:val="none" w:sz="0" w:space="0" w:color="auto"/>
                <w:bottom w:val="none" w:sz="0" w:space="0" w:color="auto"/>
                <w:right w:val="none" w:sz="0" w:space="0" w:color="auto"/>
              </w:divBdr>
            </w:div>
            <w:div w:id="1548760414">
              <w:marLeft w:val="0"/>
              <w:marRight w:val="0"/>
              <w:marTop w:val="0"/>
              <w:marBottom w:val="0"/>
              <w:divBdr>
                <w:top w:val="none" w:sz="0" w:space="0" w:color="auto"/>
                <w:left w:val="none" w:sz="0" w:space="0" w:color="auto"/>
                <w:bottom w:val="none" w:sz="0" w:space="0" w:color="auto"/>
                <w:right w:val="none" w:sz="0" w:space="0" w:color="auto"/>
              </w:divBdr>
            </w:div>
            <w:div w:id="1728259727">
              <w:marLeft w:val="0"/>
              <w:marRight w:val="0"/>
              <w:marTop w:val="0"/>
              <w:marBottom w:val="0"/>
              <w:divBdr>
                <w:top w:val="none" w:sz="0" w:space="0" w:color="auto"/>
                <w:left w:val="none" w:sz="0" w:space="0" w:color="auto"/>
                <w:bottom w:val="none" w:sz="0" w:space="0" w:color="auto"/>
                <w:right w:val="none" w:sz="0" w:space="0" w:color="auto"/>
              </w:divBdr>
            </w:div>
            <w:div w:id="1733380747">
              <w:marLeft w:val="0"/>
              <w:marRight w:val="0"/>
              <w:marTop w:val="0"/>
              <w:marBottom w:val="0"/>
              <w:divBdr>
                <w:top w:val="none" w:sz="0" w:space="0" w:color="auto"/>
                <w:left w:val="none" w:sz="0" w:space="0" w:color="auto"/>
                <w:bottom w:val="none" w:sz="0" w:space="0" w:color="auto"/>
                <w:right w:val="none" w:sz="0" w:space="0" w:color="auto"/>
              </w:divBdr>
            </w:div>
            <w:div w:id="19162339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1654203">
      <w:bodyDiv w:val="1"/>
      <w:marLeft w:val="0"/>
      <w:marRight w:val="0"/>
      <w:marTop w:val="0"/>
      <w:marBottom w:val="0"/>
      <w:divBdr>
        <w:top w:val="none" w:sz="0" w:space="0" w:color="auto"/>
        <w:left w:val="none" w:sz="0" w:space="0" w:color="auto"/>
        <w:bottom w:val="none" w:sz="0" w:space="0" w:color="auto"/>
        <w:right w:val="none" w:sz="0" w:space="0" w:color="auto"/>
      </w:divBdr>
      <w:divsChild>
        <w:div w:id="151336703">
          <w:marLeft w:val="0"/>
          <w:marRight w:val="0"/>
          <w:marTop w:val="0"/>
          <w:marBottom w:val="0"/>
          <w:divBdr>
            <w:top w:val="none" w:sz="0" w:space="0" w:color="auto"/>
            <w:left w:val="none" w:sz="0" w:space="0" w:color="auto"/>
            <w:bottom w:val="none" w:sz="0" w:space="0" w:color="auto"/>
            <w:right w:val="none" w:sz="0" w:space="0" w:color="auto"/>
          </w:divBdr>
        </w:div>
        <w:div w:id="696349688">
          <w:marLeft w:val="0"/>
          <w:marRight w:val="0"/>
          <w:marTop w:val="0"/>
          <w:marBottom w:val="0"/>
          <w:divBdr>
            <w:top w:val="none" w:sz="0" w:space="0" w:color="auto"/>
            <w:left w:val="none" w:sz="0" w:space="0" w:color="auto"/>
            <w:bottom w:val="none" w:sz="0" w:space="0" w:color="auto"/>
            <w:right w:val="none" w:sz="0" w:space="0" w:color="auto"/>
          </w:divBdr>
          <w:divsChild>
            <w:div w:id="101264757">
              <w:marLeft w:val="0"/>
              <w:marRight w:val="0"/>
              <w:marTop w:val="0"/>
              <w:marBottom w:val="0"/>
              <w:divBdr>
                <w:top w:val="none" w:sz="0" w:space="0" w:color="auto"/>
                <w:left w:val="none" w:sz="0" w:space="0" w:color="auto"/>
                <w:bottom w:val="none" w:sz="0" w:space="0" w:color="auto"/>
                <w:right w:val="none" w:sz="0" w:space="0" w:color="auto"/>
              </w:divBdr>
            </w:div>
            <w:div w:id="307976266">
              <w:marLeft w:val="0"/>
              <w:marRight w:val="0"/>
              <w:marTop w:val="0"/>
              <w:marBottom w:val="0"/>
              <w:divBdr>
                <w:top w:val="none" w:sz="0" w:space="0" w:color="auto"/>
                <w:left w:val="none" w:sz="0" w:space="0" w:color="auto"/>
                <w:bottom w:val="none" w:sz="0" w:space="0" w:color="auto"/>
                <w:right w:val="none" w:sz="0" w:space="0" w:color="auto"/>
              </w:divBdr>
            </w:div>
            <w:div w:id="1580871820">
              <w:marLeft w:val="0"/>
              <w:marRight w:val="0"/>
              <w:marTop w:val="0"/>
              <w:marBottom w:val="0"/>
              <w:divBdr>
                <w:top w:val="none" w:sz="0" w:space="0" w:color="auto"/>
                <w:left w:val="none" w:sz="0" w:space="0" w:color="auto"/>
                <w:bottom w:val="none" w:sz="0" w:space="0" w:color="auto"/>
                <w:right w:val="none" w:sz="0" w:space="0" w:color="auto"/>
              </w:divBdr>
            </w:div>
            <w:div w:id="1799685040">
              <w:marLeft w:val="0"/>
              <w:marRight w:val="0"/>
              <w:marTop w:val="0"/>
              <w:marBottom w:val="0"/>
              <w:divBdr>
                <w:top w:val="none" w:sz="0" w:space="0" w:color="auto"/>
                <w:left w:val="none" w:sz="0" w:space="0" w:color="auto"/>
                <w:bottom w:val="none" w:sz="0" w:space="0" w:color="auto"/>
                <w:right w:val="none" w:sz="0" w:space="0" w:color="auto"/>
              </w:divBdr>
            </w:div>
            <w:div w:id="21128980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33904660">
      <w:bodyDiv w:val="1"/>
      <w:marLeft w:val="0"/>
      <w:marRight w:val="0"/>
      <w:marTop w:val="0"/>
      <w:marBottom w:val="0"/>
      <w:divBdr>
        <w:top w:val="none" w:sz="0" w:space="0" w:color="auto"/>
        <w:left w:val="none" w:sz="0" w:space="0" w:color="auto"/>
        <w:bottom w:val="none" w:sz="0" w:space="0" w:color="auto"/>
        <w:right w:val="none" w:sz="0" w:space="0" w:color="auto"/>
      </w:divBdr>
    </w:div>
    <w:div w:id="455955801">
      <w:bodyDiv w:val="1"/>
      <w:marLeft w:val="0"/>
      <w:marRight w:val="0"/>
      <w:marTop w:val="0"/>
      <w:marBottom w:val="0"/>
      <w:divBdr>
        <w:top w:val="none" w:sz="0" w:space="0" w:color="auto"/>
        <w:left w:val="none" w:sz="0" w:space="0" w:color="auto"/>
        <w:bottom w:val="none" w:sz="0" w:space="0" w:color="auto"/>
        <w:right w:val="none" w:sz="0" w:space="0" w:color="auto"/>
      </w:divBdr>
      <w:divsChild>
        <w:div w:id="669648797">
          <w:marLeft w:val="0"/>
          <w:marRight w:val="0"/>
          <w:marTop w:val="0"/>
          <w:marBottom w:val="0"/>
          <w:divBdr>
            <w:top w:val="none" w:sz="0" w:space="0" w:color="auto"/>
            <w:left w:val="none" w:sz="0" w:space="0" w:color="auto"/>
            <w:bottom w:val="none" w:sz="0" w:space="0" w:color="auto"/>
            <w:right w:val="none" w:sz="0" w:space="0" w:color="auto"/>
          </w:divBdr>
        </w:div>
        <w:div w:id="930620356">
          <w:marLeft w:val="0"/>
          <w:marRight w:val="0"/>
          <w:marTop w:val="0"/>
          <w:marBottom w:val="0"/>
          <w:divBdr>
            <w:top w:val="none" w:sz="0" w:space="0" w:color="auto"/>
            <w:left w:val="none" w:sz="0" w:space="0" w:color="auto"/>
            <w:bottom w:val="none" w:sz="0" w:space="0" w:color="auto"/>
            <w:right w:val="none" w:sz="0" w:space="0" w:color="auto"/>
          </w:divBdr>
        </w:div>
        <w:div w:id="1867402070">
          <w:marLeft w:val="0"/>
          <w:marRight w:val="0"/>
          <w:marTop w:val="0"/>
          <w:marBottom w:val="0"/>
          <w:divBdr>
            <w:top w:val="none" w:sz="0" w:space="0" w:color="auto"/>
            <w:left w:val="none" w:sz="0" w:space="0" w:color="auto"/>
            <w:bottom w:val="none" w:sz="0" w:space="0" w:color="auto"/>
            <w:right w:val="none" w:sz="0" w:space="0" w:color="auto"/>
          </w:divBdr>
        </w:div>
      </w:divsChild>
    </w:div>
    <w:div w:id="480854021">
      <w:bodyDiv w:val="1"/>
      <w:marLeft w:val="0"/>
      <w:marRight w:val="0"/>
      <w:marTop w:val="0"/>
      <w:marBottom w:val="0"/>
      <w:divBdr>
        <w:top w:val="none" w:sz="0" w:space="0" w:color="auto"/>
        <w:left w:val="none" w:sz="0" w:space="0" w:color="auto"/>
        <w:bottom w:val="none" w:sz="0" w:space="0" w:color="auto"/>
        <w:right w:val="none" w:sz="0" w:space="0" w:color="auto"/>
      </w:divBdr>
    </w:div>
    <w:div w:id="512719691">
      <w:bodyDiv w:val="1"/>
      <w:marLeft w:val="0"/>
      <w:marRight w:val="0"/>
      <w:marTop w:val="0"/>
      <w:marBottom w:val="0"/>
      <w:divBdr>
        <w:top w:val="none" w:sz="0" w:space="0" w:color="auto"/>
        <w:left w:val="none" w:sz="0" w:space="0" w:color="auto"/>
        <w:bottom w:val="none" w:sz="0" w:space="0" w:color="auto"/>
        <w:right w:val="none" w:sz="0" w:space="0" w:color="auto"/>
      </w:divBdr>
      <w:divsChild>
        <w:div w:id="1794445210">
          <w:marLeft w:val="0"/>
          <w:marRight w:val="0"/>
          <w:marTop w:val="0"/>
          <w:marBottom w:val="0"/>
          <w:divBdr>
            <w:top w:val="none" w:sz="0" w:space="0" w:color="auto"/>
            <w:left w:val="none" w:sz="0" w:space="0" w:color="auto"/>
            <w:bottom w:val="none" w:sz="0" w:space="0" w:color="auto"/>
            <w:right w:val="none" w:sz="0" w:space="0" w:color="auto"/>
          </w:divBdr>
          <w:divsChild>
            <w:div w:id="1424103271">
              <w:marLeft w:val="0"/>
              <w:marRight w:val="0"/>
              <w:marTop w:val="0"/>
              <w:marBottom w:val="0"/>
              <w:divBdr>
                <w:top w:val="none" w:sz="0" w:space="0" w:color="auto"/>
                <w:left w:val="none" w:sz="0" w:space="0" w:color="auto"/>
                <w:bottom w:val="none" w:sz="0" w:space="0" w:color="auto"/>
                <w:right w:val="none" w:sz="0" w:space="0" w:color="auto"/>
              </w:divBdr>
            </w:div>
            <w:div w:id="1720670977">
              <w:marLeft w:val="0"/>
              <w:marRight w:val="0"/>
              <w:marTop w:val="0"/>
              <w:marBottom w:val="0"/>
              <w:divBdr>
                <w:top w:val="none" w:sz="0" w:space="0" w:color="auto"/>
                <w:left w:val="none" w:sz="0" w:space="0" w:color="auto"/>
                <w:bottom w:val="none" w:sz="0" w:space="0" w:color="auto"/>
                <w:right w:val="none" w:sz="0" w:space="0" w:color="auto"/>
              </w:divBdr>
            </w:div>
            <w:div w:id="20479506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87351958">
      <w:bodyDiv w:val="1"/>
      <w:marLeft w:val="0"/>
      <w:marRight w:val="0"/>
      <w:marTop w:val="0"/>
      <w:marBottom w:val="0"/>
      <w:divBdr>
        <w:top w:val="none" w:sz="0" w:space="0" w:color="auto"/>
        <w:left w:val="none" w:sz="0" w:space="0" w:color="auto"/>
        <w:bottom w:val="none" w:sz="0" w:space="0" w:color="auto"/>
        <w:right w:val="none" w:sz="0" w:space="0" w:color="auto"/>
      </w:divBdr>
    </w:div>
    <w:div w:id="738751050">
      <w:bodyDiv w:val="1"/>
      <w:marLeft w:val="0"/>
      <w:marRight w:val="0"/>
      <w:marTop w:val="0"/>
      <w:marBottom w:val="0"/>
      <w:divBdr>
        <w:top w:val="none" w:sz="0" w:space="0" w:color="auto"/>
        <w:left w:val="none" w:sz="0" w:space="0" w:color="auto"/>
        <w:bottom w:val="none" w:sz="0" w:space="0" w:color="auto"/>
        <w:right w:val="none" w:sz="0" w:space="0" w:color="auto"/>
      </w:divBdr>
    </w:div>
    <w:div w:id="749354208">
      <w:bodyDiv w:val="1"/>
      <w:marLeft w:val="0"/>
      <w:marRight w:val="0"/>
      <w:marTop w:val="0"/>
      <w:marBottom w:val="0"/>
      <w:divBdr>
        <w:top w:val="none" w:sz="0" w:space="0" w:color="auto"/>
        <w:left w:val="none" w:sz="0" w:space="0" w:color="auto"/>
        <w:bottom w:val="none" w:sz="0" w:space="0" w:color="auto"/>
        <w:right w:val="none" w:sz="0" w:space="0" w:color="auto"/>
      </w:divBdr>
    </w:div>
    <w:div w:id="808743230">
      <w:bodyDiv w:val="1"/>
      <w:marLeft w:val="0"/>
      <w:marRight w:val="0"/>
      <w:marTop w:val="0"/>
      <w:marBottom w:val="0"/>
      <w:divBdr>
        <w:top w:val="none" w:sz="0" w:space="0" w:color="auto"/>
        <w:left w:val="none" w:sz="0" w:space="0" w:color="auto"/>
        <w:bottom w:val="none" w:sz="0" w:space="0" w:color="auto"/>
        <w:right w:val="none" w:sz="0" w:space="0" w:color="auto"/>
      </w:divBdr>
      <w:divsChild>
        <w:div w:id="1017317799">
          <w:marLeft w:val="0"/>
          <w:marRight w:val="0"/>
          <w:marTop w:val="0"/>
          <w:marBottom w:val="0"/>
          <w:divBdr>
            <w:top w:val="none" w:sz="0" w:space="0" w:color="auto"/>
            <w:left w:val="none" w:sz="0" w:space="0" w:color="auto"/>
            <w:bottom w:val="none" w:sz="0" w:space="0" w:color="auto"/>
            <w:right w:val="none" w:sz="0" w:space="0" w:color="auto"/>
          </w:divBdr>
        </w:div>
        <w:div w:id="1665669515">
          <w:marLeft w:val="0"/>
          <w:marRight w:val="0"/>
          <w:marTop w:val="0"/>
          <w:marBottom w:val="0"/>
          <w:divBdr>
            <w:top w:val="none" w:sz="0" w:space="0" w:color="auto"/>
            <w:left w:val="none" w:sz="0" w:space="0" w:color="auto"/>
            <w:bottom w:val="none" w:sz="0" w:space="0" w:color="auto"/>
            <w:right w:val="none" w:sz="0" w:space="0" w:color="auto"/>
          </w:divBdr>
        </w:div>
        <w:div w:id="2052877437">
          <w:marLeft w:val="0"/>
          <w:marRight w:val="0"/>
          <w:marTop w:val="0"/>
          <w:marBottom w:val="0"/>
          <w:divBdr>
            <w:top w:val="none" w:sz="0" w:space="0" w:color="auto"/>
            <w:left w:val="none" w:sz="0" w:space="0" w:color="auto"/>
            <w:bottom w:val="none" w:sz="0" w:space="0" w:color="auto"/>
            <w:right w:val="none" w:sz="0" w:space="0" w:color="auto"/>
          </w:divBdr>
        </w:div>
      </w:divsChild>
    </w:div>
    <w:div w:id="938414210">
      <w:bodyDiv w:val="1"/>
      <w:marLeft w:val="0"/>
      <w:marRight w:val="0"/>
      <w:marTop w:val="0"/>
      <w:marBottom w:val="0"/>
      <w:divBdr>
        <w:top w:val="none" w:sz="0" w:space="0" w:color="auto"/>
        <w:left w:val="none" w:sz="0" w:space="0" w:color="auto"/>
        <w:bottom w:val="none" w:sz="0" w:space="0" w:color="auto"/>
        <w:right w:val="none" w:sz="0" w:space="0" w:color="auto"/>
      </w:divBdr>
    </w:div>
    <w:div w:id="1013727300">
      <w:bodyDiv w:val="1"/>
      <w:marLeft w:val="0"/>
      <w:marRight w:val="0"/>
      <w:marTop w:val="0"/>
      <w:marBottom w:val="0"/>
      <w:divBdr>
        <w:top w:val="none" w:sz="0" w:space="0" w:color="auto"/>
        <w:left w:val="none" w:sz="0" w:space="0" w:color="auto"/>
        <w:bottom w:val="none" w:sz="0" w:space="0" w:color="auto"/>
        <w:right w:val="none" w:sz="0" w:space="0" w:color="auto"/>
      </w:divBdr>
      <w:divsChild>
        <w:div w:id="185604889">
          <w:marLeft w:val="0"/>
          <w:marRight w:val="0"/>
          <w:marTop w:val="0"/>
          <w:marBottom w:val="0"/>
          <w:divBdr>
            <w:top w:val="none" w:sz="0" w:space="0" w:color="auto"/>
            <w:left w:val="none" w:sz="0" w:space="0" w:color="auto"/>
            <w:bottom w:val="none" w:sz="0" w:space="0" w:color="auto"/>
            <w:right w:val="none" w:sz="0" w:space="0" w:color="auto"/>
          </w:divBdr>
        </w:div>
        <w:div w:id="265432119">
          <w:marLeft w:val="0"/>
          <w:marRight w:val="0"/>
          <w:marTop w:val="0"/>
          <w:marBottom w:val="0"/>
          <w:divBdr>
            <w:top w:val="none" w:sz="0" w:space="0" w:color="auto"/>
            <w:left w:val="none" w:sz="0" w:space="0" w:color="auto"/>
            <w:bottom w:val="none" w:sz="0" w:space="0" w:color="auto"/>
            <w:right w:val="none" w:sz="0" w:space="0" w:color="auto"/>
          </w:divBdr>
        </w:div>
        <w:div w:id="542714553">
          <w:marLeft w:val="0"/>
          <w:marRight w:val="0"/>
          <w:marTop w:val="0"/>
          <w:marBottom w:val="0"/>
          <w:divBdr>
            <w:top w:val="none" w:sz="0" w:space="0" w:color="auto"/>
            <w:left w:val="none" w:sz="0" w:space="0" w:color="auto"/>
            <w:bottom w:val="none" w:sz="0" w:space="0" w:color="auto"/>
            <w:right w:val="none" w:sz="0" w:space="0" w:color="auto"/>
          </w:divBdr>
        </w:div>
      </w:divsChild>
    </w:div>
    <w:div w:id="1015771403">
      <w:bodyDiv w:val="1"/>
      <w:marLeft w:val="0"/>
      <w:marRight w:val="0"/>
      <w:marTop w:val="0"/>
      <w:marBottom w:val="0"/>
      <w:divBdr>
        <w:top w:val="none" w:sz="0" w:space="0" w:color="auto"/>
        <w:left w:val="none" w:sz="0" w:space="0" w:color="auto"/>
        <w:bottom w:val="none" w:sz="0" w:space="0" w:color="auto"/>
        <w:right w:val="none" w:sz="0" w:space="0" w:color="auto"/>
      </w:divBdr>
    </w:div>
    <w:div w:id="1063136793">
      <w:bodyDiv w:val="1"/>
      <w:marLeft w:val="0"/>
      <w:marRight w:val="0"/>
      <w:marTop w:val="0"/>
      <w:marBottom w:val="0"/>
      <w:divBdr>
        <w:top w:val="none" w:sz="0" w:space="0" w:color="auto"/>
        <w:left w:val="none" w:sz="0" w:space="0" w:color="auto"/>
        <w:bottom w:val="none" w:sz="0" w:space="0" w:color="auto"/>
        <w:right w:val="none" w:sz="0" w:space="0" w:color="auto"/>
      </w:divBdr>
    </w:div>
    <w:div w:id="1184904733">
      <w:bodyDiv w:val="1"/>
      <w:marLeft w:val="0"/>
      <w:marRight w:val="0"/>
      <w:marTop w:val="0"/>
      <w:marBottom w:val="0"/>
      <w:divBdr>
        <w:top w:val="none" w:sz="0" w:space="0" w:color="auto"/>
        <w:left w:val="none" w:sz="0" w:space="0" w:color="auto"/>
        <w:bottom w:val="none" w:sz="0" w:space="0" w:color="auto"/>
        <w:right w:val="none" w:sz="0" w:space="0" w:color="auto"/>
      </w:divBdr>
    </w:div>
    <w:div w:id="1268465804">
      <w:bodyDiv w:val="1"/>
      <w:marLeft w:val="0"/>
      <w:marRight w:val="0"/>
      <w:marTop w:val="0"/>
      <w:marBottom w:val="0"/>
      <w:divBdr>
        <w:top w:val="none" w:sz="0" w:space="0" w:color="auto"/>
        <w:left w:val="none" w:sz="0" w:space="0" w:color="auto"/>
        <w:bottom w:val="none" w:sz="0" w:space="0" w:color="auto"/>
        <w:right w:val="none" w:sz="0" w:space="0" w:color="auto"/>
      </w:divBdr>
    </w:div>
    <w:div w:id="1286354149">
      <w:bodyDiv w:val="1"/>
      <w:marLeft w:val="0"/>
      <w:marRight w:val="0"/>
      <w:marTop w:val="0"/>
      <w:marBottom w:val="0"/>
      <w:divBdr>
        <w:top w:val="none" w:sz="0" w:space="0" w:color="auto"/>
        <w:left w:val="none" w:sz="0" w:space="0" w:color="auto"/>
        <w:bottom w:val="none" w:sz="0" w:space="0" w:color="auto"/>
        <w:right w:val="none" w:sz="0" w:space="0" w:color="auto"/>
      </w:divBdr>
    </w:div>
    <w:div w:id="1404571857">
      <w:bodyDiv w:val="1"/>
      <w:marLeft w:val="0"/>
      <w:marRight w:val="0"/>
      <w:marTop w:val="0"/>
      <w:marBottom w:val="0"/>
      <w:divBdr>
        <w:top w:val="none" w:sz="0" w:space="0" w:color="auto"/>
        <w:left w:val="none" w:sz="0" w:space="0" w:color="auto"/>
        <w:bottom w:val="none" w:sz="0" w:space="0" w:color="auto"/>
        <w:right w:val="none" w:sz="0" w:space="0" w:color="auto"/>
      </w:divBdr>
    </w:div>
    <w:div w:id="1640258189">
      <w:bodyDiv w:val="1"/>
      <w:marLeft w:val="0"/>
      <w:marRight w:val="0"/>
      <w:marTop w:val="0"/>
      <w:marBottom w:val="0"/>
      <w:divBdr>
        <w:top w:val="none" w:sz="0" w:space="0" w:color="auto"/>
        <w:left w:val="none" w:sz="0" w:space="0" w:color="auto"/>
        <w:bottom w:val="none" w:sz="0" w:space="0" w:color="auto"/>
        <w:right w:val="none" w:sz="0" w:space="0" w:color="auto"/>
      </w:divBdr>
    </w:div>
    <w:div w:id="1726293452">
      <w:bodyDiv w:val="1"/>
      <w:marLeft w:val="0"/>
      <w:marRight w:val="0"/>
      <w:marTop w:val="0"/>
      <w:marBottom w:val="0"/>
      <w:divBdr>
        <w:top w:val="none" w:sz="0" w:space="0" w:color="auto"/>
        <w:left w:val="none" w:sz="0" w:space="0" w:color="auto"/>
        <w:bottom w:val="none" w:sz="0" w:space="0" w:color="auto"/>
        <w:right w:val="none" w:sz="0" w:space="0" w:color="auto"/>
      </w:divBdr>
    </w:div>
    <w:div w:id="1780105373">
      <w:bodyDiv w:val="1"/>
      <w:marLeft w:val="0"/>
      <w:marRight w:val="0"/>
      <w:marTop w:val="0"/>
      <w:marBottom w:val="0"/>
      <w:divBdr>
        <w:top w:val="none" w:sz="0" w:space="0" w:color="auto"/>
        <w:left w:val="none" w:sz="0" w:space="0" w:color="auto"/>
        <w:bottom w:val="none" w:sz="0" w:space="0" w:color="auto"/>
        <w:right w:val="none" w:sz="0" w:space="0" w:color="auto"/>
      </w:divBdr>
      <w:divsChild>
        <w:div w:id="422923669">
          <w:marLeft w:val="0"/>
          <w:marRight w:val="0"/>
          <w:marTop w:val="0"/>
          <w:marBottom w:val="0"/>
          <w:divBdr>
            <w:top w:val="none" w:sz="0" w:space="0" w:color="auto"/>
            <w:left w:val="none" w:sz="0" w:space="0" w:color="auto"/>
            <w:bottom w:val="none" w:sz="0" w:space="0" w:color="auto"/>
            <w:right w:val="none" w:sz="0" w:space="0" w:color="auto"/>
          </w:divBdr>
        </w:div>
        <w:div w:id="1032993042">
          <w:marLeft w:val="0"/>
          <w:marRight w:val="0"/>
          <w:marTop w:val="0"/>
          <w:marBottom w:val="0"/>
          <w:divBdr>
            <w:top w:val="none" w:sz="0" w:space="0" w:color="auto"/>
            <w:left w:val="none" w:sz="0" w:space="0" w:color="auto"/>
            <w:bottom w:val="none" w:sz="0" w:space="0" w:color="auto"/>
            <w:right w:val="none" w:sz="0" w:space="0" w:color="auto"/>
          </w:divBdr>
        </w:div>
        <w:div w:id="1572425917">
          <w:marLeft w:val="0"/>
          <w:marRight w:val="0"/>
          <w:marTop w:val="0"/>
          <w:marBottom w:val="0"/>
          <w:divBdr>
            <w:top w:val="none" w:sz="0" w:space="0" w:color="auto"/>
            <w:left w:val="none" w:sz="0" w:space="0" w:color="auto"/>
            <w:bottom w:val="none" w:sz="0" w:space="0" w:color="auto"/>
            <w:right w:val="none" w:sz="0" w:space="0" w:color="auto"/>
          </w:divBdr>
        </w:div>
      </w:divsChild>
    </w:div>
    <w:div w:id="2000308104">
      <w:bodyDiv w:val="1"/>
      <w:marLeft w:val="0"/>
      <w:marRight w:val="0"/>
      <w:marTop w:val="0"/>
      <w:marBottom w:val="0"/>
      <w:divBdr>
        <w:top w:val="none" w:sz="0" w:space="0" w:color="auto"/>
        <w:left w:val="none" w:sz="0" w:space="0" w:color="auto"/>
        <w:bottom w:val="none" w:sz="0" w:space="0" w:color="auto"/>
        <w:right w:val="none" w:sz="0" w:space="0" w:color="auto"/>
      </w:divBdr>
      <w:divsChild>
        <w:div w:id="414978509">
          <w:marLeft w:val="0"/>
          <w:marRight w:val="0"/>
          <w:marTop w:val="0"/>
          <w:marBottom w:val="0"/>
          <w:divBdr>
            <w:top w:val="none" w:sz="0" w:space="0" w:color="auto"/>
            <w:left w:val="none" w:sz="0" w:space="0" w:color="auto"/>
            <w:bottom w:val="none" w:sz="0" w:space="0" w:color="auto"/>
            <w:right w:val="none" w:sz="0" w:space="0" w:color="auto"/>
          </w:divBdr>
          <w:divsChild>
            <w:div w:id="279779">
              <w:marLeft w:val="0"/>
              <w:marRight w:val="0"/>
              <w:marTop w:val="0"/>
              <w:marBottom w:val="0"/>
              <w:divBdr>
                <w:top w:val="none" w:sz="0" w:space="0" w:color="auto"/>
                <w:left w:val="none" w:sz="0" w:space="0" w:color="auto"/>
                <w:bottom w:val="none" w:sz="0" w:space="0" w:color="auto"/>
                <w:right w:val="none" w:sz="0" w:space="0" w:color="auto"/>
              </w:divBdr>
            </w:div>
            <w:div w:id="327876991">
              <w:marLeft w:val="0"/>
              <w:marRight w:val="0"/>
              <w:marTop w:val="0"/>
              <w:marBottom w:val="0"/>
              <w:divBdr>
                <w:top w:val="none" w:sz="0" w:space="0" w:color="auto"/>
                <w:left w:val="none" w:sz="0" w:space="0" w:color="auto"/>
                <w:bottom w:val="none" w:sz="0" w:space="0" w:color="auto"/>
                <w:right w:val="none" w:sz="0" w:space="0" w:color="auto"/>
              </w:divBdr>
            </w:div>
            <w:div w:id="14458866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96323435">
      <w:bodyDiv w:val="1"/>
      <w:marLeft w:val="0"/>
      <w:marRight w:val="0"/>
      <w:marTop w:val="0"/>
      <w:marBottom w:val="0"/>
      <w:divBdr>
        <w:top w:val="none" w:sz="0" w:space="0" w:color="auto"/>
        <w:left w:val="none" w:sz="0" w:space="0" w:color="auto"/>
        <w:bottom w:val="none" w:sz="0" w:space="0" w:color="auto"/>
        <w:right w:val="none" w:sz="0" w:space="0" w:color="auto"/>
      </w:divBdr>
    </w:div>
    <w:div w:id="21014835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customXml" Target="../customXml/item5.xml"/>
  <Relationship Id="rId2" Type="http://schemas.openxmlformats.org/officeDocument/2006/relationships/customXml" Target="../customXml/item2.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styles" Target="styles.xml"/>
  <Relationship Id="rId6" Type="http://schemas.openxmlformats.org/officeDocument/2006/relationships/settings" Target="settings.xml"/>
  <Relationship Id="rId7" Type="http://schemas.openxmlformats.org/officeDocument/2006/relationships/webSettings" Target="webSettings.xml"/>
  <Relationship Id="rId8" Type="http://schemas.openxmlformats.org/officeDocument/2006/relationships/fontTable" Target="fontTable.xml"/>
  <Relationship Id="rId9" Type="http://schemas.openxmlformats.org/officeDocument/2006/relationships/theme" Target="theme/theme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50164633ED94994D9773E53D567FF5BF" ma:contentTypeVersion="14" ma:contentTypeDescription="Create a new document." ma:contentTypeScope="" ma:versionID="61ed51282d73df9eb0f6847447833eee">
  <xsd:schema xmlns:xsd="http://www.w3.org/2001/XMLSchema" xmlns:xs="http://www.w3.org/2001/XMLSchema" xmlns:p="http://schemas.microsoft.com/office/2006/metadata/properties" xmlns:ns2="47c1ea38-b788-4873-88f4-3b1f34597b9a" xmlns:ns3="0379a545-9986-45d7-9e6d-3845025712a0" targetNamespace="http://schemas.microsoft.com/office/2006/metadata/properties" ma:root="true" ma:fieldsID="9cbf64811bb342611d32b26bb80ee5bb" ns2:_="" ns3:_="">
    <xsd:import namespace="47c1ea38-b788-4873-88f4-3b1f34597b9a"/>
    <xsd:import namespace="0379a545-9986-45d7-9e6d-3845025712a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3:SharedWithUsers" minOccurs="0"/>
                <xsd:element ref="ns3:SharedWithDetails" minOccurs="0"/>
                <xsd:element ref="ns2:lcf76f155ced4ddcb4097134ff3c332f" minOccurs="0"/>
                <xsd:element ref="ns3:TaxCatchAll" minOccurs="0"/>
                <xsd:element ref="ns2:MediaServiceDateTaken" minOccurs="0"/>
                <xsd:element ref="ns2:MediaServiceOCR" minOccurs="0"/>
                <xsd:element ref="ns2:MediaServiceGenerationTime" minOccurs="0"/>
                <xsd:element ref="ns2:MediaServiceEventHashCode"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7c1ea38-b788-4873-88f4-3b1f34597b9a"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lcf76f155ced4ddcb4097134ff3c332f" ma:index="15" nillable="true" ma:taxonomy="true" ma:internalName="lcf76f155ced4ddcb4097134ff3c332f" ma:taxonomyFieldName="MediaServiceImageTags" ma:displayName="Image Tags" ma:readOnly="false" ma:fieldId="{5cf76f15-5ced-4ddc-b409-7134ff3c332f}" ma:taxonomyMulti="true" ma:sspId="b763af57-ddc4-4b49-90b1-28f02697adfa" ma:termSetId="09814cd3-568e-fe90-9814-8d621ff8fb84" ma:anchorId="fba54fb3-c3e1-fe81-a776-ca4b69148c4d" ma:open="true" ma:isKeyword="false">
      <xsd:complexType>
        <xsd:sequence>
          <xsd:element ref="pc:Terms" minOccurs="0" maxOccurs="1"/>
        </xsd:sequence>
      </xsd:complexType>
    </xsd:element>
    <xsd:element name="MediaServiceDateTaken" ma:index="17" nillable="true" ma:displayName="MediaServiceDateTaken" ma:hidden="true" ma:indexed="true" ma:internalName="MediaServiceDateTaken"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element name="MediaLengthInSeconds" ma:index="21"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0379a545-9986-45d7-9e6d-3845025712a0"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TaxCatchAll" ma:index="16" nillable="true" ma:displayName="Taxonomy Catch All Column" ma:hidden="true" ma:list="{3f5c7397-6a17-43fd-b0d0-62600e53cad0}" ma:internalName="TaxCatchAll" ma:showField="CatchAllData" ma:web="0379a545-9986-45d7-9e6d-3845025712a0">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SharedWithUsers xmlns="0379a545-9986-45d7-9e6d-3845025712a0">
      <UserInfo>
        <DisplayName>Vilija Augutavičienė</DisplayName>
        <AccountId>207</AccountId>
        <AccountType/>
      </UserInfo>
      <UserInfo>
        <DisplayName>Tomas Aukštinaitis</DisplayName>
        <AccountId>78</AccountId>
        <AccountType/>
      </UserInfo>
    </SharedWithUsers>
    <lcf76f155ced4ddcb4097134ff3c332f xmlns="47c1ea38-b788-4873-88f4-3b1f34597b9a">
      <Terms xmlns="http://schemas.microsoft.com/office/infopath/2007/PartnerControls"/>
    </lcf76f155ced4ddcb4097134ff3c332f>
    <TaxCatchAll xmlns="0379a545-9986-45d7-9e6d-3845025712a0" xsi:nil="true"/>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5.xml><?xml version="1.0" encoding="utf-8"?>
<Parts xmlns="http://lrs.lt/TAIS/DocParts">
  <Part Type="lentele" DocPartId="5e687ad7d9f84d3083b4c117bd277560" PartId="49f31feac1504542b26164e57e68ae47">
    <Part Type="pabaiga" DocPartId="63f4a63698c045138d8cc08daa75829a" PartId="d7ea217ee28047dca2563f49b2b37bc6"/>
  </Part>
</Parts>
</file>

<file path=customXml/itemProps1.xml><?xml version="1.0" encoding="utf-8"?>
<ds:datastoreItem xmlns:ds="http://schemas.openxmlformats.org/officeDocument/2006/customXml" ds:itemID="{50649ADD-5992-452B-855D-1A540595D13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7c1ea38-b788-4873-88f4-3b1f34597b9a"/>
    <ds:schemaRef ds:uri="0379a545-9986-45d7-9e6d-3845025712a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A3ECA488-EBE5-4BA2-BFC4-702C375FFC2E}">
  <ds:schemaRefs>
    <ds:schemaRef ds:uri="http://schemas.microsoft.com/sharepoint/v3/contenttype/forms"/>
  </ds:schemaRefs>
</ds:datastoreItem>
</file>

<file path=customXml/itemProps3.xml><?xml version="1.0" encoding="utf-8"?>
<ds:datastoreItem xmlns:ds="http://schemas.openxmlformats.org/officeDocument/2006/customXml" ds:itemID="{7CDC82E2-640E-439A-A99B-5266AC6D188D}">
  <ds:schemaRefs>
    <ds:schemaRef ds:uri="http://schemas.microsoft.com/office/2006/metadata/properties"/>
    <ds:schemaRef ds:uri="http://schemas.microsoft.com/office/infopath/2007/PartnerControls"/>
    <ds:schemaRef ds:uri="0379a545-9986-45d7-9e6d-3845025712a0"/>
    <ds:schemaRef ds:uri="47c1ea38-b788-4873-88f4-3b1f34597b9a"/>
  </ds:schemaRefs>
</ds:datastoreItem>
</file>

<file path=customXml/itemProps4.xml><?xml version="1.0" encoding="utf-8"?>
<ds:datastoreItem xmlns:ds="http://schemas.openxmlformats.org/officeDocument/2006/customXml" ds:itemID="{B07A5F5C-2C20-4C55-B8F2-9E3C0F937266}">
  <ds:schemaRefs>
    <ds:schemaRef ds:uri="http://schemas.openxmlformats.org/officeDocument/2006/bibliography"/>
  </ds:schemaRefs>
</ds:datastoreItem>
</file>

<file path=customXml/itemProps5.xml><?xml version="1.0" encoding="utf-8"?>
<ds:datastoreItem xmlns:ds="http://schemas.openxmlformats.org/officeDocument/2006/customXml" ds:itemID="{43C485D1-1DF1-4700-AE44-D5BE416E0E8D}">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1154</Words>
  <Characters>7838</Characters>
  <Application>Microsoft Office Word</Application>
  <DocSecurity>4</DocSecurity>
  <Lines>186</Lines>
  <Paragraphs>40</Paragraphs>
  <ScaleCrop>false</ScaleCrop>
  <Company>LRV kanceliarija</Company>
  <LinksUpToDate>false</LinksUpToDate>
  <CharactersWithSpaces>8952</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2025-06-10T10:23:00Z</dcterms:created>
  <dc:creator>iepa</dc:creator>
  <lastModifiedBy>adlibuser</lastModifiedBy>
  <lastPrinted>2008-03-16T18:18:00Z</lastPrinted>
  <dcterms:modified xsi:type="dcterms:W3CDTF">2025-06-10T10:23:00Z</dcterms:modified>
  <revision>2</revision>
  <dc:title>REGLAMENTO IR LIETUVOS RESPUBLIKOS NACIONALINIO TEISĖS AKTO PROJEKTO ATITIKTIES LENTELĖ</dc:title>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0x01010050164633ED94994D9773E53D567FF5BF</vt:lpwstr>
  </property>
  <property fmtid="{D5CDD505-2E9C-101B-9397-08002B2CF9AE}" pid="3" name="MediaServiceImageTags">
    <vt:lpwstr/>
  </property>
  <property fmtid="{D5CDD505-2E9C-101B-9397-08002B2CF9AE}" pid="4" name="Order">
    <vt:r8>4187300</vt:r8>
  </property>
  <property fmtid="{D5CDD505-2E9C-101B-9397-08002B2CF9AE}" pid="5" name="xd_Signature">
    <vt:bool>false</vt:bool>
  </property>
  <property fmtid="{D5CDD505-2E9C-101B-9397-08002B2CF9AE}" pid="6" name="xd_ProgID">
    <vt:lpwstr/>
  </property>
  <property fmtid="{D5CDD505-2E9C-101B-9397-08002B2CF9AE}" pid="7" name="ComplianceAssetId">
    <vt:lpwstr/>
  </property>
  <property fmtid="{D5CDD505-2E9C-101B-9397-08002B2CF9AE}" pid="8" name="TemplateUrl">
    <vt:lpwstr/>
  </property>
  <property fmtid="{D5CDD505-2E9C-101B-9397-08002B2CF9AE}" pid="9" name="_ExtendedDescription">
    <vt:lpwstr/>
  </property>
  <property fmtid="{D5CDD505-2E9C-101B-9397-08002B2CF9AE}" pid="10" name="TriggerFlowInfo">
    <vt:lpwstr/>
  </property>
</Properties>
</file>