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92a8eba92794601922249a2ad9d2de9"/>
        <w:lock w:val="sdtLocked"/>
        <w:richText/>
      </w:sdtPr>
      <w:sdtContent>
        <w:p w14:paraId="2EF2B780" w14:textId="77777777">
          <w:pPr>
            <w:tabs>
              <w:tab w:val="center" w:pos="4986"/>
              <w:tab w:val="right" w:pos="9972"/>
            </w:tabs>
          </w:pPr>
        </w:p>
        <w:p w14:paraId="3625E1FA" w14:textId="77777777">
          <w:pPr>
            <w:tabs>
              <w:tab w:val="left" w:pos="4442"/>
            </w:tabs>
            <w:spacing w:line="297" w:lineRule="auto"/>
            <w:ind w:firstLine="567"/>
            <w:jc w:val="both"/>
          </w:pPr>
        </w:p>
        <w:tbl>
          <w:tblPr>
            <w:tblW w:w="550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
            <w:gridCol w:w="4821"/>
            <w:gridCol w:w="5385"/>
            <w:gridCol w:w="3547"/>
            <w:gridCol w:w="283"/>
          </w:tblGrid>
          <w:tr w14:paraId="453A91A2" w14:textId="77777777">
            <w:trPr>
              <w:trHeight w:val="274"/>
            </w:trPr>
            <w:tc>
              <w:tcPr>
                <w:tcW w:w="5000" w:type="pct"/>
                <w:gridSpan w:val="5"/>
                <w:tcBorders>
                  <w:top w:val="single" w:sz="4" w:space="0" w:color="auto"/>
                  <w:left w:val="single" w:sz="4" w:space="0" w:color="auto"/>
                  <w:bottom w:val="nil"/>
                  <w:right w:val="single" w:sz="4" w:space="0" w:color="auto"/>
                </w:tcBorders>
              </w:tcPr>
              <w:p w14:paraId="665B1141" w14:textId="7DD1393F">
                <w:pPr>
                  <w:tabs>
                    <w:tab w:val="left" w:pos="4442"/>
                  </w:tabs>
                  <w:jc w:val="center"/>
                  <w:rPr>
                    <w:rFonts w:eastAsia="Calibri"/>
                    <w:b/>
                    <w:bCs/>
                    <w:sz w:val="22"/>
                    <w:szCs w:val="22"/>
                  </w:rPr>
                </w:pPr>
                <w:r>
                  <w:rPr>
                    <w:b/>
                    <w:sz w:val="22"/>
                    <w:szCs w:val="22"/>
                  </w:rPr>
                  <w:t xml:space="preserve">REGLAMENTO (ES) 2017/852 </w:t>
                </w:r>
                <w:r>
                  <w:rPr>
                    <w:rFonts w:eastAsia="Calibri"/>
                    <w:b/>
                    <w:bCs/>
                    <w:sz w:val="22"/>
                    <w:szCs w:val="22"/>
                  </w:rPr>
                  <w:t xml:space="preserve">IR </w:t>
                </w:r>
                <w:r>
                  <w:rPr>
                    <w:b/>
                    <w:bCs/>
                    <w:caps/>
                    <w:sz w:val="22"/>
                    <w:szCs w:val="22"/>
                  </w:rPr>
                  <w:t>APLINKOS APSAUGOS ĮSTATYMO NR. I-2223 1, 37, 40</w:t>
                </w:r>
                <w:r>
                  <w:rPr>
                    <w:b/>
                    <w:bCs/>
                    <w:caps/>
                    <w:sz w:val="22"/>
                    <w:szCs w:val="22"/>
                    <w:vertAlign w:val="superscript"/>
                  </w:rPr>
                  <w:t>1</w:t>
                </w:r>
                <w:r>
                  <w:rPr>
                    <w:b/>
                    <w:bCs/>
                    <w:caps/>
                    <w:sz w:val="22"/>
                    <w:szCs w:val="22"/>
                  </w:rPr>
                  <w:t xml:space="preserve">, 47, 87, </w:t>
                </w:r>
                <w:r>
                  <w:rPr>
                    <w:b/>
                    <w:bCs/>
                    <w:sz w:val="22"/>
                    <w:szCs w:val="22"/>
                  </w:rPr>
                  <w:t>109</w:t>
                </w:r>
                <w:r>
                  <w:rPr>
                    <w:b/>
                    <w:bCs/>
                    <w:sz w:val="22"/>
                    <w:szCs w:val="22"/>
                    <w:vertAlign w:val="superscript"/>
                  </w:rPr>
                  <w:t>1</w:t>
                </w:r>
                <w:r>
                  <w:rPr>
                    <w:b/>
                    <w:bCs/>
                    <w:caps/>
                    <w:sz w:val="22"/>
                    <w:szCs w:val="22"/>
                  </w:rPr>
                  <w:t xml:space="preserve">, 110, </w:t>
                </w:r>
                <w:r>
                  <w:rPr>
                    <w:b/>
                    <w:bCs/>
                    <w:sz w:val="22"/>
                    <w:szCs w:val="22"/>
                  </w:rPr>
                  <w:t>122</w:t>
                </w:r>
                <w:r>
                  <w:rPr>
                    <w:b/>
                    <w:bCs/>
                    <w:sz w:val="22"/>
                    <w:szCs w:val="22"/>
                    <w:vertAlign w:val="superscript"/>
                  </w:rPr>
                  <w:t>4</w:t>
                </w:r>
                <w:r>
                  <w:rPr>
                    <w:b/>
                    <w:bCs/>
                    <w:caps/>
                    <w:sz w:val="22"/>
                    <w:szCs w:val="22"/>
                  </w:rPr>
                  <w:t xml:space="preserve"> STRAIPSNIų IR </w:t>
                </w:r>
                <w:r>
                  <w:rPr>
                    <w:b/>
                    <w:bCs/>
                    <w:sz w:val="22"/>
                    <w:szCs w:val="22"/>
                  </w:rPr>
                  <w:t>PRIEDO</w:t>
                </w:r>
                <w:r>
                  <w:rPr>
                    <w:b/>
                    <w:bCs/>
                    <w:caps/>
                    <w:sz w:val="22"/>
                    <w:szCs w:val="22"/>
                  </w:rPr>
                  <w:t xml:space="preserve"> PAKEITIMO IR ĮSTATYMO PAPILDYMO 110</w:t>
                </w:r>
                <w:r>
                  <w:rPr>
                    <w:b/>
                    <w:bCs/>
                    <w:caps/>
                    <w:sz w:val="22"/>
                    <w:szCs w:val="22"/>
                    <w:vertAlign w:val="superscript"/>
                  </w:rPr>
                  <w:t>2</w:t>
                </w:r>
                <w:r>
                  <w:rPr>
                    <w:b/>
                    <w:bCs/>
                    <w:caps/>
                    <w:sz w:val="22"/>
                    <w:szCs w:val="22"/>
                  </w:rPr>
                  <w:t>, 110</w:t>
                </w:r>
                <w:r>
                  <w:rPr>
                    <w:b/>
                    <w:bCs/>
                    <w:caps/>
                    <w:sz w:val="22"/>
                    <w:szCs w:val="22"/>
                    <w:vertAlign w:val="superscript"/>
                  </w:rPr>
                  <w:t>3</w:t>
                </w:r>
                <w:r>
                  <w:rPr>
                    <w:b/>
                    <w:bCs/>
                    <w:caps/>
                    <w:sz w:val="22"/>
                    <w:szCs w:val="22"/>
                  </w:rPr>
                  <w:t>,</w:t>
                </w:r>
                <w:r>
                  <w:rPr>
                    <w:b/>
                    <w:bCs/>
                    <w:sz w:val="22"/>
                    <w:szCs w:val="22"/>
                  </w:rPr>
                  <w:t>110</w:t>
                </w:r>
                <w:r>
                  <w:rPr>
                    <w:b/>
                    <w:bCs/>
                    <w:sz w:val="22"/>
                    <w:szCs w:val="22"/>
                    <w:vertAlign w:val="superscript"/>
                  </w:rPr>
                  <w:t>4</w:t>
                </w:r>
                <w:r>
                  <w:rPr>
                    <w:b/>
                    <w:bCs/>
                    <w:sz w:val="22"/>
                    <w:szCs w:val="22"/>
                  </w:rPr>
                  <w:t xml:space="preserve">, </w:t>
                </w:r>
                <w:r>
                  <w:rPr>
                    <w:b/>
                    <w:bCs/>
                    <w:caps/>
                    <w:sz w:val="22"/>
                    <w:szCs w:val="22"/>
                  </w:rPr>
                  <w:t>118</w:t>
                </w:r>
                <w:r>
                  <w:rPr>
                    <w:b/>
                    <w:bCs/>
                    <w:caps/>
                    <w:sz w:val="22"/>
                    <w:szCs w:val="22"/>
                    <w:vertAlign w:val="superscript"/>
                  </w:rPr>
                  <w:t xml:space="preserve">2 </w:t>
                </w:r>
                <w:r>
                  <w:rPr>
                    <w:b/>
                    <w:bCs/>
                    <w:caps/>
                    <w:sz w:val="22"/>
                    <w:szCs w:val="22"/>
                  </w:rPr>
                  <w:t xml:space="preserve">STRAIPSNIAIS </w:t>
                </w:r>
                <w:r>
                  <w:rPr>
                    <w:b/>
                    <w:bCs/>
                    <w:sz w:val="22"/>
                    <w:szCs w:val="22"/>
                  </w:rPr>
                  <w:t> IR 110</w:t>
                </w:r>
                <w:r>
                  <w:rPr>
                    <w:b/>
                    <w:bCs/>
                    <w:sz w:val="22"/>
                    <w:szCs w:val="22"/>
                    <w:vertAlign w:val="superscript"/>
                  </w:rPr>
                  <w:t xml:space="preserve">2 </w:t>
                </w:r>
                <w:r>
                  <w:rPr>
                    <w:b/>
                    <w:bCs/>
                    <w:sz w:val="22"/>
                    <w:szCs w:val="22"/>
                  </w:rPr>
                  <w:t>STRAIPSNIO PRIPAŽINIMO NETEKUSIU GALIOS ĮSTATYMO PROJEKTO</w:t>
                </w:r>
                <w:r>
                  <w:rPr>
                    <w:b/>
                    <w:bCs/>
                    <w:color w:val="000000"/>
                    <w:sz w:val="22"/>
                    <w:szCs w:val="22"/>
                  </w:rPr>
                  <w:t xml:space="preserve">, </w:t>
                </w:r>
                <w:r>
                  <w:rPr>
                    <w:b/>
                    <w:bCs/>
                    <w:sz w:val="22"/>
                    <w:szCs w:val="22"/>
                  </w:rPr>
                  <w:t>LIETUVOS RESPUBLIKOS ADMINISTRACINIŲ NUSIŽENGIMŲ KODEKSO 12, 27, 29, 243</w:t>
                </w:r>
                <w:r>
                  <w:rPr>
                    <w:b/>
                    <w:bCs/>
                    <w:sz w:val="22"/>
                    <w:szCs w:val="22"/>
                    <w:vertAlign w:val="superscript"/>
                  </w:rPr>
                  <w:t>1</w:t>
                </w:r>
                <w:r>
                  <w:rPr>
                    <w:b/>
                    <w:bCs/>
                    <w:sz w:val="22"/>
                    <w:szCs w:val="22"/>
                  </w:rPr>
                  <w:t>, 251, 304</w:t>
                </w:r>
                <w:r>
                  <w:rPr>
                    <w:b/>
                    <w:bCs/>
                    <w:caps/>
                    <w:sz w:val="22"/>
                    <w:szCs w:val="22"/>
                    <w:vertAlign w:val="superscript"/>
                  </w:rPr>
                  <w:t>2</w:t>
                </w:r>
                <w:r>
                  <w:rPr>
                    <w:sz w:val="22"/>
                    <w:szCs w:val="22"/>
                  </w:rPr>
                  <w:t xml:space="preserve">, </w:t>
                </w:r>
                <w:r>
                  <w:rPr>
                    <w:b/>
                    <w:bCs/>
                    <w:sz w:val="22"/>
                    <w:szCs w:val="22"/>
                  </w:rPr>
                  <w:t>308</w:t>
                </w:r>
                <w:r>
                  <w:rPr>
                    <w:b/>
                    <w:bCs/>
                    <w:sz w:val="22"/>
                    <w:szCs w:val="22"/>
                    <w:vertAlign w:val="superscript"/>
                  </w:rPr>
                  <w:t>1</w:t>
                </w:r>
                <w:r>
                  <w:rPr>
                    <w:b/>
                    <w:bCs/>
                    <w:sz w:val="22"/>
                    <w:szCs w:val="22"/>
                  </w:rPr>
                  <w:t>, 310, 589 STRAIPSNIŲ IR PRIEDO PAKEITIMO, KODEKSO PAPILDYMO 31</w:t>
                </w:r>
                <w:r>
                  <w:rPr>
                    <w:b/>
                    <w:bCs/>
                    <w:sz w:val="22"/>
                    <w:szCs w:val="22"/>
                    <w:vertAlign w:val="superscript"/>
                  </w:rPr>
                  <w:t>2</w:t>
                </w:r>
                <w:r>
                  <w:rPr>
                    <w:b/>
                    <w:bCs/>
                    <w:sz w:val="22"/>
                    <w:szCs w:val="22"/>
                  </w:rPr>
                  <w:t>, 243</w:t>
                </w:r>
                <w:r>
                  <w:rPr>
                    <w:b/>
                    <w:bCs/>
                    <w:sz w:val="22"/>
                    <w:szCs w:val="22"/>
                    <w:vertAlign w:val="superscript"/>
                  </w:rPr>
                  <w:t>2</w:t>
                </w:r>
                <w:r>
                  <w:rPr>
                    <w:b/>
                    <w:bCs/>
                    <w:sz w:val="22"/>
                    <w:szCs w:val="22"/>
                  </w:rPr>
                  <w:t>,</w:t>
                </w:r>
                <w:r>
                  <w:rPr>
                    <w:b/>
                    <w:bCs/>
                    <w:sz w:val="22"/>
                    <w:szCs w:val="22"/>
                    <w:vertAlign w:val="superscript"/>
                  </w:rPr>
                  <w:t xml:space="preserve"> </w:t>
                </w:r>
                <w:r>
                  <w:rPr>
                    <w:b/>
                    <w:bCs/>
                    <w:sz w:val="22"/>
                    <w:szCs w:val="22"/>
                  </w:rPr>
                  <w:t>270</w:t>
                </w:r>
                <w:r>
                  <w:rPr>
                    <w:b/>
                    <w:bCs/>
                    <w:sz w:val="22"/>
                    <w:szCs w:val="22"/>
                    <w:vertAlign w:val="superscript"/>
                  </w:rPr>
                  <w:t>2</w:t>
                </w:r>
                <w:r>
                  <w:rPr>
                    <w:b/>
                    <w:bCs/>
                    <w:sz w:val="22"/>
                    <w:szCs w:val="22"/>
                  </w:rPr>
                  <w:t xml:space="preserve">  STRAIPSNIAIS IR 243</w:t>
                </w:r>
                <w:r>
                  <w:rPr>
                    <w:b/>
                    <w:bCs/>
                    <w:sz w:val="22"/>
                    <w:szCs w:val="22"/>
                    <w:vertAlign w:val="superscript"/>
                  </w:rPr>
                  <w:t xml:space="preserve">1 </w:t>
                </w:r>
                <w:r>
                  <w:rPr>
                    <w:b/>
                    <w:bCs/>
                    <w:sz w:val="22"/>
                    <w:szCs w:val="22"/>
                  </w:rPr>
                  <w:t xml:space="preserve">STRAIPSNIO PRIPAŽINIMO NETEKUSIU GALIOS ĮSTATYMO </w:t>
                </w:r>
                <w:r>
                  <w:rPr>
                    <w:b/>
                    <w:bCs/>
                    <w:color w:val="000000"/>
                    <w:sz w:val="22"/>
                    <w:szCs w:val="22"/>
                  </w:rPr>
                  <w:t>PROJEKTO</w:t>
                </w:r>
              </w:p>
              <w:p w14:paraId="4EB1D7DC" w14:textId="77777777">
                <w:pPr>
                  <w:tabs>
                    <w:tab w:val="left" w:pos="4442"/>
                  </w:tabs>
                  <w:spacing w:line="295" w:lineRule="auto"/>
                  <w:ind w:firstLine="567"/>
                  <w:jc w:val="center"/>
                  <w:rPr>
                    <w:rFonts w:eastAsia="Calibri"/>
                    <w:b/>
                    <w:bCs/>
                    <w:sz w:val="22"/>
                    <w:szCs w:val="22"/>
                  </w:rPr>
                </w:pPr>
                <w:r>
                  <w:rPr>
                    <w:rFonts w:eastAsia="Calibri"/>
                    <w:b/>
                    <w:bCs/>
                    <w:sz w:val="22"/>
                    <w:szCs w:val="22"/>
                  </w:rPr>
                  <w:t>ATITIKTIES LENTELĖ</w:t>
                </w:r>
              </w:p>
              <w:p w14:paraId="17B2E652" w14:textId="259613AB">
                <w:pPr>
                  <w:ind w:firstLine="57"/>
                  <w:rPr>
                    <w:rFonts w:eastAsia="Calibri"/>
                    <w:sz w:val="22"/>
                    <w:szCs w:val="22"/>
                  </w:rPr>
                </w:pPr>
              </w:p>
            </w:tc>
          </w:tr>
          <w:tr w14:paraId="58C8A168" w14:textId="77777777">
            <w:tc>
              <w:tcPr>
                <w:tcW w:w="97" w:type="pct"/>
                <w:vMerge w:val="restart"/>
                <w:tcBorders>
                  <w:top w:val="nil"/>
                  <w:left w:val="single" w:sz="4" w:space="0" w:color="auto"/>
                  <w:bottom w:val="nil"/>
                  <w:right w:val="single" w:sz="4" w:space="0" w:color="auto"/>
                </w:tcBorders>
              </w:tcPr>
              <w:p w14:paraId="72F1D661" w14:textId="77777777">
                <w:pPr>
                  <w:rPr>
                    <w:rFonts w:eastAsia="Calibri"/>
                    <w:sz w:val="22"/>
                    <w:szCs w:val="22"/>
                  </w:rPr>
                </w:pPr>
              </w:p>
            </w:tc>
            <w:tc>
              <w:tcPr>
                <w:tcW w:w="1684" w:type="pct"/>
                <w:tcBorders>
                  <w:top w:val="single" w:sz="4" w:space="0" w:color="auto"/>
                  <w:left w:val="single" w:sz="4" w:space="0" w:color="auto"/>
                  <w:bottom w:val="single" w:sz="4" w:space="0" w:color="auto"/>
                  <w:right w:val="single" w:sz="4" w:space="0" w:color="auto"/>
                </w:tcBorders>
              </w:tcPr>
              <w:p w14:paraId="555A2360" w14:textId="6DD1BF3E">
                <w:pPr>
                  <w:jc w:val="both"/>
                  <w:rPr>
                    <w:b/>
                    <w:sz w:val="22"/>
                    <w:szCs w:val="22"/>
                  </w:rPr>
                </w:pPr>
                <w:r>
                  <w:rPr>
                    <w:b/>
                    <w:sz w:val="22"/>
                    <w:szCs w:val="22"/>
                  </w:rPr>
                  <w:t xml:space="preserve">2017 m. gegužės 17 d. Europos Parlamento ir Tarybos reglamentas </w:t>
                </w:r>
                <w:fldSimple w:instr="HYPERLINK http://eur-lex.europa.eu/legal-content/LIT/TXT/?uri=CELEX:32017R0852&amp;locale=lt \t _blank">
                  <w:r>
                    <w:rPr>
                      <w:b/>
                      <w:sz w:val="22"/>
                      <w:szCs w:val="22"/>
                      <w:u w:val="single"/>
                      <w:color w:val="0000FF" w:themeColor="hyperlink"/>
                    </w:rPr>
                    <w:t>(ES) 2017/852</w:t>
                  </w:r>
                </w:fldSimple>
                <w:r>
                  <w:rPr>
                    <w:b/>
                    <w:sz w:val="22"/>
                    <w:szCs w:val="22"/>
                  </w:rPr>
                  <w:t xml:space="preserve"> dėl gyvsidabrio, kuriuo panaikinamas Reglamentas </w:t>
                </w:r>
                <w:fldSimple w:instr="HYPERLINK http://eur-lex.europa.eu/legal-content/LIT/TXT/?uri=CELEX:32008R1102&amp;locale=lt \t _blank">
                  <w:r>
                    <w:rPr>
                      <w:b/>
                      <w:sz w:val="22"/>
                      <w:szCs w:val="22"/>
                      <w:u w:val="single"/>
                      <w:color w:val="0000FF" w:themeColor="hyperlink"/>
                    </w:rPr>
                    <w:t>(EB) Nr. 1102/2008</w:t>
                  </w:r>
                </w:fldSimple>
              </w:p>
              <w:p w14:paraId="7E81B54F" w14:textId="77777777">
                <w:pPr>
                  <w:rPr>
                    <w:rFonts w:eastAsia="Calibri"/>
                    <w:sz w:val="22"/>
                    <w:szCs w:val="22"/>
                  </w:rPr>
                </w:pPr>
              </w:p>
              <w:p w14:paraId="51159F52" w14:textId="4536A825">
                <w:pPr>
                  <w:rPr>
                    <w:rFonts w:eastAsia="Calibri"/>
                    <w:sz w:val="22"/>
                    <w:szCs w:val="22"/>
                  </w:rPr>
                </w:pPr>
                <w:r>
                  <w:rPr>
                    <w:rFonts w:eastAsia="Calibri"/>
                    <w:sz w:val="22"/>
                    <w:szCs w:val="22"/>
                  </w:rPr>
                  <w:t>iš dalies keičiamas:</w:t>
                </w:r>
              </w:p>
              <w:p w14:paraId="74BA82F7" w14:textId="6D16CC66">
                <w:pPr>
                  <w:rPr>
                    <w:rFonts w:eastAsia="Calibri"/>
                    <w:sz w:val="22"/>
                    <w:szCs w:val="22"/>
                  </w:rPr>
                </w:pPr>
                <w:r>
                  <w:rPr>
                    <w:rFonts w:eastAsia="Calibri"/>
                    <w:sz w:val="22"/>
                    <w:szCs w:val="22"/>
                  </w:rPr>
                  <w:t xml:space="preserve">M3 2024 m. birželio 13 d. Europos Parlamento ir Tarybos reglamentas </w:t>
                </w:r>
                <w:fldSimple w:instr="HYPERLINK http://eur-lex.europa.eu/legal-content/LIT/TXT/?uri=CELEX:32024R1849&amp;locale=lt \t _blank">
                  <w:r>
                    <w:rPr>
                      <w:rFonts w:eastAsia="Calibri"/>
                      <w:sz w:val="22"/>
                      <w:szCs w:val="22"/>
                      <w:u w:val="single"/>
                      <w:color w:val="0000FF" w:themeColor="hyperlink"/>
                    </w:rPr>
                    <w:t>(ES) 2024/1849</w:t>
                  </w:r>
                </w:fldSimple>
                <w:r>
                  <w:rPr>
                    <w:rFonts w:eastAsia="Calibri"/>
                    <w:sz w:val="22"/>
                    <w:szCs w:val="22"/>
                  </w:rPr>
                  <w:t xml:space="preserve"> (toliau – M3)</w:t>
                </w:r>
              </w:p>
            </w:tc>
            <w:tc>
              <w:tcPr>
                <w:tcW w:w="1881" w:type="pct"/>
                <w:tcBorders>
                  <w:top w:val="single" w:sz="4" w:space="0" w:color="auto"/>
                  <w:left w:val="single" w:sz="4" w:space="0" w:color="auto"/>
                  <w:bottom w:val="single" w:sz="4" w:space="0" w:color="auto"/>
                  <w:right w:val="single" w:sz="4" w:space="0" w:color="auto"/>
                </w:tcBorders>
              </w:tcPr>
              <w:p w14:paraId="30563894" w14:textId="6675C6F8">
                <w:pPr>
                  <w:ind w:right="23"/>
                  <w:jc w:val="both"/>
                  <w:rPr>
                    <w:b/>
                    <w:bCs/>
                    <w:color w:val="000000"/>
                    <w:sz w:val="22"/>
                    <w:szCs w:val="22"/>
                  </w:rPr>
                </w:pPr>
                <w:r>
                  <w:rPr>
                    <w:b/>
                    <w:bCs/>
                    <w:sz w:val="22"/>
                    <w:szCs w:val="22"/>
                  </w:rPr>
                  <w:t>Lietuvos Respublikos aplinkos apsaugos įstatymo Nr. I-2223 1, 37, 40</w:t>
                </w:r>
                <w:r>
                  <w:rPr>
                    <w:b/>
                    <w:bCs/>
                    <w:sz w:val="22"/>
                    <w:szCs w:val="22"/>
                    <w:vertAlign w:val="superscript"/>
                  </w:rPr>
                  <w:t>1</w:t>
                </w:r>
                <w:r>
                  <w:rPr>
                    <w:b/>
                    <w:bCs/>
                    <w:sz w:val="22"/>
                    <w:szCs w:val="22"/>
                  </w:rPr>
                  <w:t>, 47, 87, 109</w:t>
                </w:r>
                <w:r>
                  <w:rPr>
                    <w:b/>
                    <w:bCs/>
                    <w:sz w:val="22"/>
                    <w:szCs w:val="22"/>
                    <w:vertAlign w:val="superscript"/>
                  </w:rPr>
                  <w:t>1</w:t>
                </w:r>
                <w:r>
                  <w:rPr>
                    <w:b/>
                    <w:bCs/>
                    <w:sz w:val="22"/>
                    <w:szCs w:val="22"/>
                  </w:rPr>
                  <w:t>, 110, 122</w:t>
                </w:r>
                <w:r>
                  <w:rPr>
                    <w:b/>
                    <w:bCs/>
                    <w:sz w:val="22"/>
                    <w:szCs w:val="22"/>
                    <w:vertAlign w:val="superscript"/>
                  </w:rPr>
                  <w:t>4</w:t>
                </w:r>
                <w:r>
                  <w:rPr>
                    <w:b/>
                    <w:bCs/>
                    <w:sz w:val="22"/>
                    <w:szCs w:val="22"/>
                  </w:rPr>
                  <w:t xml:space="preserve"> straipsnių ir priedo pakeitimo ir įstatymo papildymo 110</w:t>
                </w:r>
                <w:r>
                  <w:rPr>
                    <w:b/>
                    <w:bCs/>
                    <w:sz w:val="22"/>
                    <w:szCs w:val="22"/>
                    <w:vertAlign w:val="superscript"/>
                  </w:rPr>
                  <w:t>2</w:t>
                </w:r>
                <w:r>
                  <w:rPr>
                    <w:b/>
                    <w:bCs/>
                    <w:sz w:val="22"/>
                    <w:szCs w:val="22"/>
                  </w:rPr>
                  <w:t>, 110</w:t>
                </w:r>
                <w:r>
                  <w:rPr>
                    <w:b/>
                    <w:bCs/>
                    <w:sz w:val="22"/>
                    <w:szCs w:val="22"/>
                    <w:vertAlign w:val="superscript"/>
                  </w:rPr>
                  <w:t>3</w:t>
                </w:r>
                <w:r>
                  <w:rPr>
                    <w:b/>
                    <w:bCs/>
                    <w:sz w:val="22"/>
                    <w:szCs w:val="22"/>
                  </w:rPr>
                  <w:t>, 110</w:t>
                </w:r>
                <w:r>
                  <w:rPr>
                    <w:b/>
                    <w:bCs/>
                    <w:sz w:val="22"/>
                    <w:szCs w:val="22"/>
                    <w:vertAlign w:val="superscript"/>
                  </w:rPr>
                  <w:t>4</w:t>
                </w:r>
                <w:r>
                  <w:rPr>
                    <w:b/>
                    <w:bCs/>
                    <w:sz w:val="22"/>
                    <w:szCs w:val="22"/>
                  </w:rPr>
                  <w:t>, 118</w:t>
                </w:r>
                <w:r>
                  <w:rPr>
                    <w:b/>
                    <w:bCs/>
                    <w:sz w:val="22"/>
                    <w:szCs w:val="22"/>
                    <w:vertAlign w:val="superscript"/>
                  </w:rPr>
                  <w:t xml:space="preserve">2 </w:t>
                </w:r>
                <w:r>
                  <w:rPr>
                    <w:b/>
                    <w:bCs/>
                    <w:sz w:val="22"/>
                    <w:szCs w:val="22"/>
                  </w:rPr>
                  <w:t>straipsniais  ir 110</w:t>
                </w:r>
                <w:r>
                  <w:rPr>
                    <w:b/>
                    <w:bCs/>
                    <w:sz w:val="22"/>
                    <w:szCs w:val="22"/>
                    <w:vertAlign w:val="superscript"/>
                  </w:rPr>
                  <w:t xml:space="preserve">2 </w:t>
                </w:r>
                <w:r>
                  <w:rPr>
                    <w:b/>
                    <w:bCs/>
                    <w:sz w:val="22"/>
                    <w:szCs w:val="22"/>
                  </w:rPr>
                  <w:t>straipsnio pripažinimo netekusiu galios įstatymo projektas</w:t>
                </w:r>
                <w:r>
                  <w:rPr>
                    <w:b/>
                    <w:bCs/>
                    <w:color w:val="000000"/>
                    <w:sz w:val="22"/>
                    <w:szCs w:val="22"/>
                  </w:rPr>
                  <w:t xml:space="preserve"> (toliau – AAĮ projektas)</w:t>
                </w:r>
              </w:p>
              <w:p w14:paraId="3B0C0B80" w14:textId="0DDF578A">
                <w:pPr>
                  <w:ind w:right="23"/>
                  <w:jc w:val="both"/>
                  <w:rPr>
                    <w:rFonts w:eastAsia="Calibri"/>
                    <w:sz w:val="22"/>
                    <w:szCs w:val="22"/>
                  </w:rPr>
                </w:pPr>
                <w:r>
                  <w:rPr>
                    <w:b/>
                    <w:bCs/>
                    <w:sz w:val="22"/>
                    <w:szCs w:val="22"/>
                  </w:rPr>
                  <w:t>Lietuvos Respublikos administracinių nusižengimų kodekso 12, 27, 29, 243</w:t>
                </w:r>
                <w:r>
                  <w:rPr>
                    <w:b/>
                    <w:bCs/>
                    <w:sz w:val="22"/>
                    <w:szCs w:val="22"/>
                    <w:vertAlign w:val="superscript"/>
                  </w:rPr>
                  <w:t>1</w:t>
                </w:r>
                <w:r>
                  <w:rPr>
                    <w:b/>
                    <w:bCs/>
                    <w:sz w:val="22"/>
                    <w:szCs w:val="22"/>
                  </w:rPr>
                  <w:t>, 251, 304</w:t>
                </w:r>
                <w:r>
                  <w:rPr>
                    <w:b/>
                    <w:bCs/>
                    <w:caps/>
                    <w:sz w:val="22"/>
                    <w:szCs w:val="22"/>
                    <w:vertAlign w:val="superscript"/>
                  </w:rPr>
                  <w:t>2</w:t>
                </w:r>
                <w:r>
                  <w:rPr>
                    <w:sz w:val="22"/>
                    <w:szCs w:val="22"/>
                  </w:rPr>
                  <w:t xml:space="preserve">, </w:t>
                </w:r>
                <w:r>
                  <w:rPr>
                    <w:b/>
                    <w:bCs/>
                    <w:sz w:val="22"/>
                    <w:szCs w:val="22"/>
                  </w:rPr>
                  <w:t>308</w:t>
                </w:r>
                <w:r>
                  <w:rPr>
                    <w:b/>
                    <w:bCs/>
                    <w:sz w:val="22"/>
                    <w:szCs w:val="22"/>
                    <w:vertAlign w:val="superscript"/>
                  </w:rPr>
                  <w:t>1</w:t>
                </w:r>
                <w:r>
                  <w:rPr>
                    <w:b/>
                    <w:bCs/>
                    <w:sz w:val="22"/>
                    <w:szCs w:val="22"/>
                  </w:rPr>
                  <w:t>, 310, 589 straipsnių ir priedo pakeitimo, kodekso papildymo 31</w:t>
                </w:r>
                <w:r>
                  <w:rPr>
                    <w:b/>
                    <w:bCs/>
                    <w:sz w:val="22"/>
                    <w:szCs w:val="22"/>
                    <w:vertAlign w:val="superscript"/>
                  </w:rPr>
                  <w:t>2</w:t>
                </w:r>
                <w:r>
                  <w:rPr>
                    <w:b/>
                    <w:bCs/>
                    <w:sz w:val="22"/>
                    <w:szCs w:val="22"/>
                  </w:rPr>
                  <w:t>, 243</w:t>
                </w:r>
                <w:r>
                  <w:rPr>
                    <w:b/>
                    <w:bCs/>
                    <w:sz w:val="22"/>
                    <w:szCs w:val="22"/>
                    <w:vertAlign w:val="superscript"/>
                  </w:rPr>
                  <w:t>2</w:t>
                </w:r>
                <w:r>
                  <w:rPr>
                    <w:b/>
                    <w:bCs/>
                    <w:sz w:val="22"/>
                    <w:szCs w:val="22"/>
                  </w:rPr>
                  <w:t>,</w:t>
                </w:r>
                <w:r>
                  <w:rPr>
                    <w:b/>
                    <w:bCs/>
                    <w:sz w:val="22"/>
                    <w:szCs w:val="22"/>
                    <w:vertAlign w:val="superscript"/>
                  </w:rPr>
                  <w:t xml:space="preserve"> </w:t>
                </w:r>
                <w:r>
                  <w:rPr>
                    <w:b/>
                    <w:bCs/>
                    <w:sz w:val="22"/>
                    <w:szCs w:val="22"/>
                  </w:rPr>
                  <w:t>270</w:t>
                </w:r>
                <w:r>
                  <w:rPr>
                    <w:b/>
                    <w:bCs/>
                    <w:sz w:val="22"/>
                    <w:szCs w:val="22"/>
                    <w:vertAlign w:val="superscript"/>
                  </w:rPr>
                  <w:t>2</w:t>
                </w:r>
                <w:r>
                  <w:rPr>
                    <w:b/>
                    <w:bCs/>
                    <w:sz w:val="22"/>
                    <w:szCs w:val="22"/>
                  </w:rPr>
                  <w:t xml:space="preserve"> straipsniais ir 243</w:t>
                </w:r>
                <w:r>
                  <w:rPr>
                    <w:b/>
                    <w:bCs/>
                    <w:sz w:val="22"/>
                    <w:szCs w:val="22"/>
                    <w:vertAlign w:val="superscript"/>
                  </w:rPr>
                  <w:t xml:space="preserve">1 </w:t>
                </w:r>
                <w:r>
                  <w:rPr>
                    <w:b/>
                    <w:bCs/>
                    <w:sz w:val="22"/>
                    <w:szCs w:val="22"/>
                  </w:rPr>
                  <w:t xml:space="preserve">straipsnio pripažinimo netekusiu galios įstatymo projektas </w:t>
                </w:r>
                <w:r>
                  <w:rPr>
                    <w:b/>
                    <w:bCs/>
                    <w:color w:val="000000"/>
                    <w:sz w:val="22"/>
                    <w:szCs w:val="22"/>
                  </w:rPr>
                  <w:t>(toliau – ANK projektas)</w:t>
                </w:r>
              </w:p>
              <w:p w14:paraId="3979ACAC" w14:textId="748D2961">
                <w:pPr>
                  <w:ind w:right="23"/>
                  <w:jc w:val="both"/>
                  <w:rPr>
                    <w:rFonts w:eastAsia="Calibri"/>
                    <w:sz w:val="22"/>
                    <w:szCs w:val="22"/>
                  </w:rPr>
                </w:pPr>
              </w:p>
            </w:tc>
            <w:tc>
              <w:tcPr>
                <w:tcW w:w="1239" w:type="pct"/>
                <w:tcBorders>
                  <w:top w:val="single" w:sz="4" w:space="0" w:color="auto"/>
                  <w:left w:val="single" w:sz="4" w:space="0" w:color="auto"/>
                  <w:bottom w:val="single" w:sz="4" w:space="0" w:color="auto"/>
                  <w:right w:val="single" w:sz="4" w:space="0" w:color="auto"/>
                </w:tcBorders>
                <w:hideMark/>
              </w:tcPr>
              <w:p w14:paraId="0BE20626" w14:textId="77777777">
                <w:pPr>
                  <w:jc w:val="both"/>
                  <w:rPr>
                    <w:rFonts w:eastAsia="Calibri"/>
                    <w:b/>
                    <w:bCs/>
                    <w:sz w:val="22"/>
                    <w:szCs w:val="22"/>
                  </w:rPr>
                </w:pPr>
                <w:r>
                  <w:rPr>
                    <w:rFonts w:eastAsia="Calibri"/>
                    <w:b/>
                    <w:bCs/>
                    <w:sz w:val="22"/>
                    <w:szCs w:val="22"/>
                  </w:rPr>
                  <w:t xml:space="preserve">ES teisės akto įgyvendinimo lygis </w:t>
                </w:r>
              </w:p>
            </w:tc>
            <w:tc>
              <w:tcPr>
                <w:tcW w:w="99" w:type="pct"/>
                <w:vMerge w:val="restart"/>
                <w:tcBorders>
                  <w:top w:val="nil"/>
                  <w:left w:val="single" w:sz="4" w:space="0" w:color="auto"/>
                  <w:bottom w:val="nil"/>
                  <w:right w:val="single" w:sz="4" w:space="0" w:color="auto"/>
                </w:tcBorders>
              </w:tcPr>
              <w:p w14:paraId="7912941A" w14:textId="77777777">
                <w:pPr>
                  <w:rPr>
                    <w:rFonts w:eastAsia="Calibri"/>
                    <w:sz w:val="22"/>
                    <w:szCs w:val="22"/>
                  </w:rPr>
                </w:pPr>
              </w:p>
            </w:tc>
          </w:tr>
          <w:tr w14:paraId="6231D453" w14:textId="77777777">
            <w:tc>
              <w:tcPr>
                <w:tcW w:w="97" w:type="pct"/>
                <w:vMerge/>
                <w:tcBorders>
                  <w:top w:val="nil"/>
                  <w:left w:val="single" w:sz="4" w:space="0" w:color="auto"/>
                  <w:bottom w:val="nil"/>
                  <w:right w:val="single" w:sz="4" w:space="0" w:color="auto"/>
                </w:tcBorders>
                <w:vAlign w:val="center"/>
              </w:tcPr>
              <w:p w14:paraId="374B7342" w14:textId="77777777">
                <w:pPr>
                  <w:rPr>
                    <w:szCs w:val="24"/>
                  </w:rPr>
                </w:pPr>
              </w:p>
            </w:tc>
            <w:tc>
              <w:tcPr>
                <w:tcW w:w="1684" w:type="pct"/>
                <w:tcBorders>
                  <w:top w:val="single" w:sz="4" w:space="0" w:color="auto"/>
                  <w:left w:val="single" w:sz="4" w:space="0" w:color="auto"/>
                  <w:bottom w:val="single" w:sz="4" w:space="0" w:color="auto"/>
                  <w:right w:val="single" w:sz="4" w:space="0" w:color="auto"/>
                </w:tcBorders>
              </w:tcPr>
              <w:p w14:paraId="65E5F53D" w14:textId="77777777">
                <w:pPr>
                  <w:snapToGrid w:val="0"/>
                  <w:jc w:val="both"/>
                  <w:rPr>
                    <w:b/>
                    <w:bCs/>
                    <w:sz w:val="22"/>
                    <w:szCs w:val="22"/>
                  </w:rPr>
                </w:pPr>
                <w:r>
                  <w:rPr>
                    <w:b/>
                    <w:bCs/>
                    <w:sz w:val="22"/>
                    <w:szCs w:val="22"/>
                  </w:rPr>
                  <w:t>16 straipsnis</w:t>
                </w:r>
              </w:p>
              <w:p w14:paraId="4BA78C95" w14:textId="77777777">
                <w:pPr>
                  <w:jc w:val="both"/>
                  <w:rPr>
                    <w:sz w:val="22"/>
                    <w:szCs w:val="22"/>
                  </w:rPr>
                </w:pPr>
                <w:r>
                  <w:rPr>
                    <w:sz w:val="22"/>
                    <w:szCs w:val="22"/>
                  </w:rPr>
                  <w:t>Valstybės narės turi priimti sankcijų už šio reglamento pažeidimus taikymo taisykles ir imtis visų priemonių, kurios būtinos jų įgyvendinimui užtikrinti.</w:t>
                </w:r>
              </w:p>
              <w:p w14:paraId="649184D0" w14:textId="75C8FDFA">
                <w:pPr>
                  <w:jc w:val="both"/>
                  <w:rPr>
                    <w:rFonts w:eastAsia="Calibri"/>
                    <w:b/>
                    <w:bCs/>
                    <w:color w:val="000000"/>
                    <w:sz w:val="22"/>
                    <w:szCs w:val="22"/>
                    <w:shd w:val="clear" w:color="auto" w:fill="FFFFFF"/>
                  </w:rPr>
                </w:pPr>
                <w:r>
                  <w:rPr>
                    <w:sz w:val="22"/>
                    <w:szCs w:val="22"/>
                  </w:rPr>
                  <w:t>Nustatytos sankcijos turi būti veiksmingos, proporcingos ir atgrasomos. Valstybės narės ne vėliau kaip iki atitinkamos šio reglamento atitinkamų nuostatų taikymo pradžios dienos praneša Komisijai apie tas taisykles ir priemones ir nedelsdamos ją informuoja apie visus vėlesnius joms įtakos turinčius pakeitimus.</w:t>
                </w:r>
              </w:p>
            </w:tc>
            <w:tc>
              <w:tcPr>
                <w:tcW w:w="1881" w:type="pct"/>
                <w:tcBorders>
                  <w:top w:val="single" w:sz="4" w:space="0" w:color="auto"/>
                  <w:left w:val="single" w:sz="4" w:space="0" w:color="auto"/>
                  <w:bottom w:val="single" w:sz="4" w:space="0" w:color="auto"/>
                  <w:right w:val="single" w:sz="4" w:space="0" w:color="auto"/>
                </w:tcBorders>
              </w:tcPr>
              <w:p w14:paraId="0B01199D" w14:textId="77777777">
                <w:pPr>
                  <w:ind w:firstLine="37"/>
                  <w:jc w:val="both"/>
                  <w:rPr>
                    <w:rFonts w:eastAsia="Calibri"/>
                    <w:b/>
                    <w:sz w:val="22"/>
                    <w:szCs w:val="22"/>
                  </w:rPr>
                </w:pPr>
                <w:r>
                  <w:rPr>
                    <w:rFonts w:eastAsia="Calibri"/>
                    <w:b/>
                    <w:sz w:val="22"/>
                    <w:szCs w:val="22"/>
                  </w:rPr>
                  <w:t>AAĮ projektas:</w:t>
                </w:r>
              </w:p>
              <w:p w14:paraId="603FD52A" w14:textId="58AA6B79">
                <w:pPr>
                  <w:ind w:firstLine="37"/>
                  <w:jc w:val="both"/>
                  <w:rPr>
                    <w:rFonts w:eastAsia="Calibri"/>
                    <w:b/>
                    <w:sz w:val="22"/>
                    <w:szCs w:val="22"/>
                  </w:rPr>
                </w:pPr>
                <w:r>
                  <w:rPr>
                    <w:rFonts w:eastAsia="Calibri"/>
                    <w:b/>
                    <w:sz w:val="22"/>
                    <w:szCs w:val="22"/>
                  </w:rPr>
                  <w:t>&lt;..&gt;</w:t>
                </w:r>
              </w:p>
              <w:p w14:paraId="45FBD43D" w14:textId="6A80297C">
                <w:pPr>
                  <w:widowControl w:val="0"/>
                  <w:ind w:left="72" w:hanging="37"/>
                  <w:jc w:val="both"/>
                  <w:rPr>
                    <w:b/>
                    <w:bCs/>
                    <w:color w:val="000000"/>
                    <w:sz w:val="22"/>
                    <w:szCs w:val="22"/>
                  </w:rPr>
                </w:pPr>
                <w:r>
                  <w:rPr>
                    <w:b/>
                    <w:bCs/>
                    <w:color w:val="000000"/>
                    <w:sz w:val="22"/>
                    <w:szCs w:val="22"/>
                  </w:rPr>
                  <w:t xml:space="preserve">7 straipsnis. </w:t>
                </w:r>
                <w:r>
                  <w:rPr>
                    <w:b/>
                    <w:bCs/>
                    <w:sz w:val="22"/>
                    <w:szCs w:val="22"/>
                  </w:rPr>
                  <w:t>109</w:t>
                </w:r>
                <w:r>
                  <w:rPr>
                    <w:b/>
                    <w:bCs/>
                    <w:sz w:val="22"/>
                    <w:szCs w:val="22"/>
                    <w:vertAlign w:val="superscript"/>
                  </w:rPr>
                  <w:t>1</w:t>
                </w:r>
                <w:r>
                  <w:rPr>
                    <w:b/>
                    <w:bCs/>
                    <w:sz w:val="22"/>
                    <w:szCs w:val="22"/>
                  </w:rPr>
                  <w:t xml:space="preserve"> straipsnio pakeitimas</w:t>
                </w:r>
              </w:p>
              <w:p w14:paraId="690A0D50" w14:textId="77777777">
                <w:pPr>
                  <w:ind w:hanging="37"/>
                  <w:rPr>
                    <w:b/>
                    <w:bCs/>
                    <w:color w:val="000000"/>
                    <w:sz w:val="22"/>
                    <w:szCs w:val="22"/>
                  </w:rPr>
                </w:pPr>
                <w:r>
                  <w:rPr>
                    <w:b/>
                    <w:bCs/>
                    <w:color w:val="000000"/>
                    <w:sz w:val="22"/>
                    <w:szCs w:val="22"/>
                  </w:rPr>
                  <w:t xml:space="preserve">Papildyti </w:t>
                </w:r>
                <w:r>
                  <w:rPr>
                    <w:b/>
                    <w:bCs/>
                    <w:sz w:val="22"/>
                    <w:szCs w:val="22"/>
                  </w:rPr>
                  <w:t>109</w:t>
                </w:r>
                <w:r>
                  <w:rPr>
                    <w:b/>
                    <w:bCs/>
                    <w:sz w:val="22"/>
                    <w:szCs w:val="22"/>
                    <w:vertAlign w:val="superscript"/>
                  </w:rPr>
                  <w:t>1</w:t>
                </w:r>
                <w:r>
                  <w:rPr>
                    <w:b/>
                    <w:bCs/>
                    <w:sz w:val="22"/>
                    <w:szCs w:val="22"/>
                  </w:rPr>
                  <w:t xml:space="preserve"> straipsnį 9 dalimi</w:t>
                </w:r>
                <w:r>
                  <w:rPr>
                    <w:b/>
                    <w:bCs/>
                    <w:color w:val="000000"/>
                    <w:sz w:val="22"/>
                    <w:szCs w:val="22"/>
                  </w:rPr>
                  <w:t>:</w:t>
                </w:r>
              </w:p>
              <w:p w14:paraId="41AD9825" w14:textId="77777777">
                <w:pPr>
                  <w:widowControl w:val="0"/>
                  <w:ind w:hanging="37"/>
                  <w:jc w:val="both"/>
                  <w:rPr>
                    <w:b/>
                    <w:bCs/>
                    <w:sz w:val="22"/>
                    <w:szCs w:val="22"/>
                  </w:rPr>
                </w:pPr>
                <w:r>
                  <w:rPr>
                    <w:b/>
                    <w:bCs/>
                    <w:color w:val="000000"/>
                    <w:sz w:val="22"/>
                    <w:szCs w:val="22"/>
                  </w:rPr>
                  <w:t>„</w:t>
                </w:r>
                <w:r>
                  <w:rPr>
                    <w:b/>
                    <w:bCs/>
                    <w:sz w:val="22"/>
                    <w:szCs w:val="22"/>
                  </w:rPr>
                  <w:t xml:space="preserve">Reglamente </w:t>
                </w:r>
                <w:fldSimple w:instr="HYPERLINK http://eur-lex.europa.eu/legal-content/LIT/TXT/?uri=CELEX:32017R0852&amp;locale=lt \t _blank">
                  <w:r>
                    <w:rPr>
                      <w:b/>
                      <w:bCs/>
                      <w:sz w:val="22"/>
                      <w:szCs w:val="22"/>
                      <w:u w:val="single"/>
                      <w:color w:val="0000FF" w:themeColor="hyperlink"/>
                    </w:rPr>
                    <w:t>(ES) 2017/852</w:t>
                  </w:r>
                </w:fldSimple>
                <w:r>
                  <w:rPr>
                    <w:b/>
                    <w:bCs/>
                    <w:sz w:val="22"/>
                    <w:szCs w:val="22"/>
                  </w:rPr>
                  <w:t xml:space="preserve"> nustatytų </w:t>
                </w:r>
                <w:r>
                  <w:rPr>
                    <w:rFonts w:eastAsia="Calibri"/>
                    <w:b/>
                    <w:bCs/>
                    <w:sz w:val="22"/>
                    <w:szCs w:val="22"/>
                  </w:rPr>
                  <w:t xml:space="preserve">dantų amalgamos gamybos, importo, eksporto draudimo reikalavimų pažeidimas </w:t>
                </w:r>
                <w:r>
                  <w:rPr>
                    <w:b/>
                    <w:bCs/>
                    <w:sz w:val="22"/>
                    <w:szCs w:val="22"/>
                  </w:rPr>
                  <w:t xml:space="preserve">užtraukia baudą nuo šešių šimtų iki </w:t>
                </w:r>
                <w:r>
                  <w:rPr>
                    <w:b/>
                    <w:bCs/>
                    <w:sz w:val="22"/>
                    <w:szCs w:val="22"/>
                    <w:lang w:val="lt"/>
                  </w:rPr>
                  <w:t xml:space="preserve">vieno tūkstančio dviejų šimtų </w:t>
                </w:r>
                <w:r>
                  <w:rPr>
                    <w:b/>
                    <w:bCs/>
                    <w:sz w:val="22"/>
                    <w:szCs w:val="22"/>
                  </w:rPr>
                  <w:t>eurų.“</w:t>
                </w:r>
              </w:p>
              <w:p w14:paraId="4107BB97" w14:textId="77777777">
                <w:pPr>
                  <w:widowControl w:val="0"/>
                  <w:ind w:hanging="37"/>
                  <w:jc w:val="both"/>
                  <w:rPr>
                    <w:sz w:val="22"/>
                    <w:szCs w:val="22"/>
                  </w:rPr>
                </w:pPr>
              </w:p>
              <w:p w14:paraId="2E44E107" w14:textId="765C9FE8">
                <w:pPr>
                  <w:ind w:hanging="37"/>
                  <w:jc w:val="both"/>
                  <w:rPr>
                    <w:b/>
                    <w:bCs/>
                    <w:color w:val="000000"/>
                    <w:sz w:val="22"/>
                    <w:szCs w:val="22"/>
                    <w:lang w:eastAsia="en-GB"/>
                  </w:rPr>
                </w:pPr>
                <w:r>
                  <w:rPr>
                    <w:b/>
                    <w:bCs/>
                    <w:color w:val="000000"/>
                    <w:sz w:val="22"/>
                    <w:szCs w:val="22"/>
                  </w:rPr>
                  <w:t>16 straipsnis. Įstatymo įsigaliojimas, įgyvendinimas ir taikymas</w:t>
                </w:r>
              </w:p>
              <w:p w14:paraId="237986C3" w14:textId="0E1EA1CA">
                <w:pPr>
                  <w:ind w:hanging="72"/>
                  <w:jc w:val="both"/>
                  <w:rPr>
                    <w:b/>
                    <w:bCs/>
                    <w:color w:val="000000"/>
                    <w:sz w:val="22"/>
                    <w:szCs w:val="22"/>
                  </w:rPr>
                </w:pPr>
                <w:r>
                  <w:rPr>
                    <w:b/>
                    <w:bCs/>
                    <w:color w:val="000000"/>
                    <w:sz w:val="22"/>
                    <w:szCs w:val="22"/>
                  </w:rPr>
                  <w:t>1. Šis įstatymas, išskyrus 3, 6, 10. 11 ir 13 straipsnius įsigalioja 2025 m. lapkričio 1 d.</w:t>
                </w:r>
              </w:p>
              <w:p w14:paraId="640F0517" w14:textId="0833A9AE">
                <w:pPr>
                  <w:widowControl w:val="0"/>
                  <w:jc w:val="both"/>
                  <w:rPr>
                    <w:b/>
                    <w:bCs/>
                    <w:color w:val="000000"/>
                    <w:sz w:val="22"/>
                    <w:szCs w:val="22"/>
                  </w:rPr>
                </w:pPr>
                <w:r>
                  <w:rPr>
                    <w:color w:val="000000"/>
                    <w:sz w:val="22"/>
                    <w:szCs w:val="22"/>
                  </w:rPr>
                  <w:t>&lt;...&gt;</w:t>
                </w:r>
              </w:p>
              <w:p w14:paraId="56943D06" w14:textId="77777777">
                <w:pPr>
                  <w:jc w:val="both"/>
                  <w:rPr>
                    <w:rFonts w:eastAsia="Calibri"/>
                    <w:b/>
                    <w:sz w:val="22"/>
                    <w:szCs w:val="22"/>
                  </w:rPr>
                </w:pPr>
              </w:p>
              <w:p w14:paraId="0E91C38A" w14:textId="32B72419">
                <w:pPr>
                  <w:ind w:firstLine="37"/>
                  <w:jc w:val="both"/>
                  <w:rPr>
                    <w:b/>
                    <w:bCs/>
                    <w:color w:val="000000"/>
                    <w:sz w:val="22"/>
                    <w:szCs w:val="22"/>
                  </w:rPr>
                </w:pPr>
                <w:r>
                  <w:rPr>
                    <w:b/>
                    <w:bCs/>
                    <w:color w:val="000000"/>
                    <w:sz w:val="22"/>
                    <w:szCs w:val="22"/>
                  </w:rPr>
                  <w:t>ANK projektas</w:t>
                </w:r>
              </w:p>
              <w:p w14:paraId="6F783488" w14:textId="77777777">
                <w:pPr>
                  <w:ind w:firstLine="37"/>
                  <w:jc w:val="both"/>
                  <w:rPr>
                    <w:b/>
                    <w:color w:val="000000"/>
                    <w:sz w:val="22"/>
                    <w:szCs w:val="22"/>
                  </w:rPr>
                </w:pPr>
                <w:r>
                  <w:rPr>
                    <w:b/>
                    <w:color w:val="000000"/>
                    <w:sz w:val="22"/>
                    <w:szCs w:val="22"/>
                  </w:rPr>
                  <w:t>&lt;...&gt;</w:t>
                </w:r>
              </w:p>
              <w:p w14:paraId="4FDD3561" w14:textId="3346B88C">
                <w:pPr>
                  <w:spacing w:line="276" w:lineRule="auto"/>
                  <w:ind w:firstLine="37"/>
                  <w:rPr>
                    <w:b/>
                    <w:bCs/>
                    <w:color w:val="000000"/>
                    <w:sz w:val="22"/>
                    <w:szCs w:val="22"/>
                  </w:rPr>
                </w:pPr>
                <w:r>
                  <w:rPr>
                    <w:b/>
                    <w:bCs/>
                    <w:color w:val="000000"/>
                    <w:sz w:val="22"/>
                    <w:szCs w:val="22"/>
                  </w:rPr>
                  <w:t xml:space="preserve">11 straipsnis. </w:t>
                </w:r>
                <w:r>
                  <w:rPr>
                    <w:b/>
                    <w:bCs/>
                    <w:sz w:val="22"/>
                    <w:szCs w:val="22"/>
                  </w:rPr>
                  <w:t>308</w:t>
                </w:r>
                <w:r>
                  <w:rPr>
                    <w:b/>
                    <w:bCs/>
                    <w:sz w:val="22"/>
                    <w:szCs w:val="22"/>
                    <w:vertAlign w:val="superscript"/>
                  </w:rPr>
                  <w:t>1</w:t>
                </w:r>
                <w:r>
                  <w:rPr>
                    <w:b/>
                    <w:bCs/>
                    <w:sz w:val="22"/>
                    <w:szCs w:val="22"/>
                  </w:rPr>
                  <w:t xml:space="preserve"> straipsnio pakeitimas</w:t>
                </w:r>
              </w:p>
              <w:p w14:paraId="7455B203" w14:textId="77777777">
                <w:pPr>
                  <w:spacing w:line="276" w:lineRule="auto"/>
                  <w:ind w:firstLine="37"/>
                  <w:rPr>
                    <w:b/>
                    <w:bCs/>
                    <w:color w:val="000000"/>
                    <w:sz w:val="22"/>
                    <w:szCs w:val="22"/>
                  </w:rPr>
                </w:pPr>
                <w:r>
                  <w:rPr>
                    <w:b/>
                    <w:bCs/>
                    <w:color w:val="000000"/>
                    <w:sz w:val="22"/>
                    <w:szCs w:val="22"/>
                  </w:rPr>
                  <w:t xml:space="preserve">Papildyti </w:t>
                </w:r>
                <w:r>
                  <w:rPr>
                    <w:b/>
                    <w:bCs/>
                    <w:sz w:val="22"/>
                    <w:szCs w:val="22"/>
                  </w:rPr>
                  <w:t>308</w:t>
                </w:r>
                <w:r>
                  <w:rPr>
                    <w:b/>
                    <w:bCs/>
                    <w:sz w:val="22"/>
                    <w:szCs w:val="22"/>
                    <w:vertAlign w:val="superscript"/>
                  </w:rPr>
                  <w:t>1</w:t>
                </w:r>
                <w:r>
                  <w:rPr>
                    <w:b/>
                    <w:bCs/>
                    <w:sz w:val="22"/>
                    <w:szCs w:val="22"/>
                  </w:rPr>
                  <w:t xml:space="preserve"> straipsnį 9 dalimi</w:t>
                </w:r>
                <w:r>
                  <w:rPr>
                    <w:b/>
                    <w:bCs/>
                    <w:color w:val="000000"/>
                    <w:sz w:val="22"/>
                    <w:szCs w:val="22"/>
                  </w:rPr>
                  <w:t>:</w:t>
                </w:r>
              </w:p>
              <w:p w14:paraId="169B0CE3" w14:textId="77777777">
                <w:pPr>
                  <w:ind w:firstLine="37"/>
                  <w:jc w:val="both"/>
                  <w:rPr>
                    <w:b/>
                    <w:bCs/>
                    <w:sz w:val="22"/>
                    <w:szCs w:val="22"/>
                  </w:rPr>
                </w:pPr>
                <w:r>
                  <w:rPr>
                    <w:b/>
                    <w:bCs/>
                    <w:sz w:val="22"/>
                    <w:szCs w:val="22"/>
                  </w:rPr>
                  <w:t xml:space="preserve">„9. Reglamente </w:t>
                </w:r>
                <w:fldSimple w:instr="HYPERLINK http://eur-lex.europa.eu/legal-content/LIT/TXT/?uri=CELEX:32017R0852&amp;locale=lt \t _blank">
                  <w:r>
                    <w:rPr>
                      <w:b/>
                      <w:bCs/>
                      <w:sz w:val="22"/>
                      <w:szCs w:val="22"/>
                      <w:u w:val="single"/>
                      <w:color w:val="0000FF" w:themeColor="hyperlink"/>
                    </w:rPr>
                    <w:t>(ES) 2017/852</w:t>
                  </w:r>
                </w:fldSimple>
                <w:r>
                  <w:rPr>
                    <w:b/>
                    <w:bCs/>
                    <w:sz w:val="22"/>
                    <w:szCs w:val="22"/>
                  </w:rPr>
                  <w:t xml:space="preserve"> nustatytų dantų amalgamos gamybos, importo, eksporto draudimo reikalavimų pažeidimas</w:t>
                </w:r>
              </w:p>
              <w:p w14:paraId="18636BC5" w14:textId="77777777">
                <w:pPr>
                  <w:ind w:firstLine="179"/>
                  <w:jc w:val="both"/>
                  <w:rPr>
                    <w:b/>
                    <w:bCs/>
                    <w:sz w:val="22"/>
                    <w:szCs w:val="22"/>
                  </w:rPr>
                </w:pPr>
                <w:r>
                  <w:rPr>
                    <w:b/>
                    <w:bCs/>
                    <w:sz w:val="22"/>
                    <w:szCs w:val="22"/>
                  </w:rPr>
                  <w:t>užtraukia baudą su cheminių medžiagų tvarkymu susijusia veikla užsiimantiems fiziniams asmenims ir su cheminių medžiagų tvarkymu susijusia veikla užsiimančių juridinių asmenų vadovams ar kitiems atsakingiems asmenims nuo trijų šimtų iki aštuonių šimtų penkiasdešimt eurų.”</w:t>
                </w:r>
              </w:p>
              <w:p w14:paraId="66C04A6E" w14:textId="77777777">
                <w:pPr>
                  <w:ind w:firstLine="179"/>
                  <w:jc w:val="both"/>
                  <w:rPr>
                    <w:b/>
                    <w:bCs/>
                    <w:sz w:val="22"/>
                    <w:szCs w:val="22"/>
                  </w:rPr>
                </w:pPr>
              </w:p>
              <w:p w14:paraId="19E1C306" w14:textId="3B229B2A">
                <w:pPr>
                  <w:jc w:val="both"/>
                  <w:rPr>
                    <w:b/>
                    <w:bCs/>
                    <w:sz w:val="22"/>
                    <w:szCs w:val="22"/>
                  </w:rPr>
                </w:pPr>
                <w:r>
                  <w:rPr>
                    <w:b/>
                    <w:bCs/>
                    <w:sz w:val="22"/>
                    <w:szCs w:val="22"/>
                  </w:rPr>
                  <w:t>16 straipsnis. Įstatymo įsigaliojimas</w:t>
                </w:r>
              </w:p>
              <w:p w14:paraId="7F76F745" w14:textId="0E616CFB">
                <w:pPr>
                  <w:jc w:val="both"/>
                  <w:rPr>
                    <w:b/>
                    <w:bCs/>
                    <w:sz w:val="22"/>
                    <w:szCs w:val="22"/>
                  </w:rPr>
                </w:pPr>
                <w:r>
                  <w:rPr>
                    <w:b/>
                    <w:bCs/>
                    <w:sz w:val="22"/>
                    <w:szCs w:val="22"/>
                  </w:rPr>
                  <w:t>1. Šis įstatymas, išskyrus 6, 7, 8, 9 ir 14 straipsnį, 15 straipsnio 6 punktą įsigalioja 2025 m. lapkričio 1 d.</w:t>
                </w:r>
              </w:p>
              <w:p w14:paraId="3DA11799" w14:textId="73042147">
                <w:pPr>
                  <w:jc w:val="both"/>
                  <w:rPr>
                    <w:rFonts w:eastAsia="Calibri"/>
                    <w:b/>
                    <w:sz w:val="22"/>
                    <w:szCs w:val="22"/>
                  </w:rPr>
                </w:pPr>
                <w:r>
                  <w:rPr>
                    <w:rFonts w:eastAsia="Calibri"/>
                    <w:b/>
                    <w:sz w:val="22"/>
                    <w:szCs w:val="22"/>
                  </w:rPr>
                  <w:t>&lt;...&gt;</w:t>
                </w:r>
              </w:p>
            </w:tc>
            <w:tc>
              <w:tcPr>
                <w:tcW w:w="1239" w:type="pct"/>
                <w:tcBorders>
                  <w:top w:val="single" w:sz="4" w:space="0" w:color="auto"/>
                  <w:left w:val="single" w:sz="4" w:space="0" w:color="auto"/>
                  <w:bottom w:val="single" w:sz="4" w:space="0" w:color="auto"/>
                  <w:right w:val="single" w:sz="4" w:space="0" w:color="auto"/>
                </w:tcBorders>
              </w:tcPr>
              <w:p w14:paraId="681321F8" w14:textId="6E54ACA0">
                <w:pPr>
                  <w:jc w:val="both"/>
                  <w:rPr>
                    <w:rFonts w:eastAsia="Calibri"/>
                    <w:b/>
                    <w:bCs/>
                    <w:sz w:val="22"/>
                    <w:szCs w:val="22"/>
                  </w:rPr>
                </w:pPr>
                <w:r>
                  <w:rPr>
                    <w:rFonts w:eastAsia="Calibri"/>
                    <w:sz w:val="22"/>
                    <w:szCs w:val="22"/>
                  </w:rPr>
                  <w:t>Visiškas</w:t>
                </w:r>
              </w:p>
            </w:tc>
            <w:tc>
              <w:tcPr>
                <w:tcW w:w="99" w:type="pct"/>
                <w:vMerge/>
                <w:tcBorders>
                  <w:top w:val="nil"/>
                  <w:left w:val="single" w:sz="4" w:space="0" w:color="auto"/>
                  <w:bottom w:val="nil"/>
                  <w:right w:val="single" w:sz="4" w:space="0" w:color="auto"/>
                </w:tcBorders>
                <w:vAlign w:val="center"/>
              </w:tcPr>
              <w:p w14:paraId="410B1BAF" w14:textId="77777777">
                <w:pPr>
                  <w:rPr>
                    <w:sz w:val="22"/>
                  </w:rPr>
                </w:pPr>
              </w:p>
            </w:tc>
          </w:tr>
          <w:tr w14:paraId="7AA98F66" w14:textId="77777777">
            <w:tc>
              <w:tcPr>
                <w:tcW w:w="97" w:type="pct"/>
                <w:vMerge/>
                <w:tcBorders>
                  <w:top w:val="nil"/>
                  <w:left w:val="single" w:sz="4" w:space="0" w:color="auto"/>
                  <w:bottom w:val="nil"/>
                  <w:right w:val="single" w:sz="4" w:space="0" w:color="auto"/>
                </w:tcBorders>
                <w:vAlign w:val="center"/>
                <w:hideMark/>
              </w:tcPr>
              <w:p w14:paraId="23E4E548" w14:textId="77777777">
                <w:pPr>
                  <w:rPr>
                    <w:szCs w:val="24"/>
                  </w:rPr>
                </w:pPr>
              </w:p>
            </w:tc>
            <w:tc>
              <w:tcPr>
                <w:tcW w:w="1684" w:type="pct"/>
                <w:tcBorders>
                  <w:top w:val="single" w:sz="4" w:space="0" w:color="auto"/>
                  <w:left w:val="single" w:sz="4" w:space="0" w:color="auto"/>
                  <w:bottom w:val="single" w:sz="4" w:space="0" w:color="auto"/>
                  <w:right w:val="single" w:sz="4" w:space="0" w:color="auto"/>
                </w:tcBorders>
                <w:hideMark/>
              </w:tcPr>
              <w:p w14:paraId="1F3CAE1C" w14:textId="1C1B7545">
                <w:pPr>
                  <w:jc w:val="both"/>
                  <w:rPr>
                    <w:rFonts w:eastAsia="Calibri" w:cs="Calibri"/>
                    <w:b/>
                    <w:bCs/>
                    <w:color w:val="000000"/>
                    <w:sz w:val="22"/>
                    <w:szCs w:val="22"/>
                    <w:shd w:val="clear" w:color="auto" w:fill="FFFFFF"/>
                  </w:rPr>
                </w:pPr>
                <w:r>
                  <w:rPr>
                    <w:rFonts w:eastAsia="Calibri"/>
                    <w:b/>
                    <w:bCs/>
                    <w:color w:val="000000"/>
                    <w:sz w:val="22"/>
                    <w:szCs w:val="22"/>
                    <w:shd w:val="clear" w:color="auto" w:fill="FFFFFF"/>
                  </w:rPr>
                  <w:t>▼M3</w:t>
                </w:r>
                <w:r>
                  <w:rPr>
                    <w:rFonts w:eastAsia="Calibri" w:cs="Calibri"/>
                    <w:b/>
                    <w:bCs/>
                    <w:color w:val="000000"/>
                    <w:sz w:val="22"/>
                    <w:szCs w:val="22"/>
                    <w:shd w:val="clear" w:color="auto" w:fill="FFFFFF"/>
                  </w:rPr>
                  <w:t>↓</w:t>
                </w:r>
              </w:p>
              <w:p w14:paraId="5084FFF5" w14:textId="4BDBED52">
                <w:pPr>
                  <w:jc w:val="both"/>
                  <w:rPr>
                    <w:rFonts w:eastAsia="Calibri" w:cs="Calibri"/>
                    <w:b/>
                    <w:bCs/>
                    <w:color w:val="000000"/>
                    <w:sz w:val="22"/>
                    <w:szCs w:val="22"/>
                    <w:shd w:val="clear" w:color="auto" w:fill="FFFFFF"/>
                  </w:rPr>
                </w:pPr>
                <w:r>
                  <w:rPr>
                    <w:rFonts w:eastAsia="Calibri" w:cs="Calibri"/>
                    <w:b/>
                    <w:bCs/>
                    <w:color w:val="000000"/>
                    <w:sz w:val="22"/>
                    <w:szCs w:val="22"/>
                    <w:shd w:val="clear" w:color="auto" w:fill="FFFFFF"/>
                  </w:rPr>
                  <w:t>10 straipsnis. Dantų amalgama</w:t>
                </w:r>
              </w:p>
              <w:p w14:paraId="2344038F" w14:textId="3AB50737">
                <w:pPr>
                  <w:jc w:val="both"/>
                  <w:rPr>
                    <w:rFonts w:eastAsia="Calibri" w:cs="Calibri"/>
                    <w:b/>
                    <w:bCs/>
                    <w:color w:val="000000"/>
                    <w:sz w:val="22"/>
                    <w:szCs w:val="22"/>
                    <w:shd w:val="clear" w:color="auto" w:fill="FFFFFF"/>
                  </w:rPr>
                </w:pPr>
                <w:r>
                  <w:rPr>
                    <w:rFonts w:eastAsia="Calibri" w:cs="Calibri"/>
                    <w:b/>
                    <w:bCs/>
                    <w:color w:val="000000"/>
                    <w:sz w:val="22"/>
                    <w:szCs w:val="22"/>
                    <w:shd w:val="clear" w:color="auto" w:fill="FFFFFF"/>
                  </w:rPr>
                  <w:t>&lt;...&gt;</w:t>
                </w:r>
              </w:p>
              <w:p w14:paraId="44D1BC67" w14:textId="0290A7A7">
                <w:pPr>
                  <w:jc w:val="both"/>
                  <w:rPr>
                    <w:rFonts w:eastAsia="Calibri" w:cs="Calibri"/>
                    <w:color w:val="000000"/>
                    <w:sz w:val="22"/>
                    <w:szCs w:val="22"/>
                    <w:shd w:val="clear" w:color="auto" w:fill="FFFFFF"/>
                  </w:rPr>
                </w:pPr>
                <w:r>
                  <w:rPr>
                    <w:rFonts w:eastAsia="Calibri" w:cs="Calibri"/>
                    <w:color w:val="000000"/>
                    <w:sz w:val="22"/>
                    <w:szCs w:val="22"/>
                    <w:shd w:val="clear" w:color="auto" w:fill="FFFFFF"/>
                  </w:rPr>
                  <w:t>7. Nuo 2025 m. sausio 1 d. dantų amalgamos eksportas yra draudžiamas.</w:t>
                </w:r>
              </w:p>
              <w:p w14:paraId="7FD03880" w14:textId="2C65493D">
                <w:pPr>
                  <w:jc w:val="both"/>
                  <w:rPr>
                    <w:rFonts w:eastAsia="Calibri" w:cs="Calibri"/>
                    <w:color w:val="000000"/>
                    <w:sz w:val="22"/>
                    <w:szCs w:val="22"/>
                    <w:shd w:val="clear" w:color="auto" w:fill="FFFFFF"/>
                  </w:rPr>
                </w:pPr>
                <w:r>
                  <w:rPr>
                    <w:rFonts w:eastAsia="Calibri" w:cs="Calibri"/>
                    <w:color w:val="000000"/>
                    <w:sz w:val="22"/>
                    <w:szCs w:val="22"/>
                    <w:shd w:val="clear" w:color="auto" w:fill="FFFFFF"/>
                  </w:rPr>
                  <w:t>Nuo 2026 m. liepos 1 d. dantų amalgamos importas ir gamyba yra draudžiami.</w:t>
                </w:r>
              </w:p>
              <w:p w14:paraId="54CEA31F" w14:textId="77777777">
                <w:pPr>
                  <w:jc w:val="both"/>
                  <w:rPr>
                    <w:rFonts w:eastAsia="Calibri" w:cs="Calibri"/>
                    <w:color w:val="000000"/>
                    <w:sz w:val="22"/>
                    <w:szCs w:val="22"/>
                    <w:shd w:val="clear" w:color="auto" w:fill="FFFFFF"/>
                  </w:rPr>
                </w:pPr>
                <w:r>
                  <w:rPr>
                    <w:rFonts w:eastAsia="Calibri" w:cs="Calibri"/>
                    <w:color w:val="000000"/>
                    <w:sz w:val="22"/>
                    <w:szCs w:val="22"/>
                    <w:shd w:val="clear" w:color="auto" w:fill="FFFFFF"/>
                  </w:rPr>
                  <w:t>Nukrypstant nuo šios dalies antros pastraipos, dantų amalgamos</w:t>
                </w:r>
              </w:p>
              <w:p w14:paraId="1654C64A" w14:textId="77777777">
                <w:pPr>
                  <w:jc w:val="both"/>
                  <w:rPr>
                    <w:rFonts w:eastAsia="Calibri" w:cs="Calibri"/>
                    <w:color w:val="000000"/>
                    <w:sz w:val="22"/>
                    <w:szCs w:val="22"/>
                    <w:shd w:val="clear" w:color="auto" w:fill="FFFFFF"/>
                  </w:rPr>
                </w:pPr>
                <w:r>
                  <w:rPr>
                    <w:rFonts w:eastAsia="Calibri" w:cs="Calibri"/>
                    <w:color w:val="000000"/>
                    <w:sz w:val="22"/>
                    <w:szCs w:val="22"/>
                    <w:shd w:val="clear" w:color="auto" w:fill="FFFFFF"/>
                  </w:rPr>
                  <w:t>importas ir gamyba leidžiami dėl specifinių medicininių poreikių, kaip</w:t>
                </w:r>
              </w:p>
              <w:p w14:paraId="4BA51462" w14:textId="792940AA">
                <w:pPr>
                  <w:jc w:val="both"/>
                  <w:rPr>
                    <w:rFonts w:eastAsia="Calibri"/>
                    <w:b/>
                    <w:bCs/>
                    <w:sz w:val="22"/>
                    <w:szCs w:val="22"/>
                  </w:rPr>
                </w:pPr>
                <w:r>
                  <w:rPr>
                    <w:rFonts w:eastAsia="Calibri" w:cs="Calibri"/>
                    <w:color w:val="000000"/>
                    <w:sz w:val="22"/>
                    <w:szCs w:val="22"/>
                    <w:shd w:val="clear" w:color="auto" w:fill="FFFFFF"/>
                  </w:rPr>
                  <w:t>nurodyta 2a dalies pirmoje pastraipoje.</w:t>
                </w:r>
              </w:p>
            </w:tc>
            <w:tc>
              <w:tcPr>
                <w:tcW w:w="1881" w:type="pct"/>
                <w:tcBorders>
                  <w:top w:val="single" w:sz="4" w:space="0" w:color="auto"/>
                  <w:left w:val="single" w:sz="4" w:space="0" w:color="auto"/>
                  <w:bottom w:val="single" w:sz="4" w:space="0" w:color="auto"/>
                  <w:right w:val="single" w:sz="4" w:space="0" w:color="auto"/>
                </w:tcBorders>
                <w:hideMark/>
              </w:tcPr>
              <w:p w14:paraId="3296F971" w14:textId="77777777">
                <w:pPr>
                  <w:jc w:val="both"/>
                  <w:rPr>
                    <w:rFonts w:eastAsia="Calibri"/>
                    <w:b/>
                    <w:sz w:val="22"/>
                    <w:szCs w:val="22"/>
                  </w:rPr>
                </w:pPr>
                <w:r>
                  <w:rPr>
                    <w:rFonts w:eastAsia="Calibri"/>
                    <w:b/>
                    <w:sz w:val="22"/>
                    <w:szCs w:val="22"/>
                  </w:rPr>
                  <w:t>AAĮ projektas:</w:t>
                </w:r>
              </w:p>
              <w:p w14:paraId="64EC3772" w14:textId="77777777">
                <w:pPr>
                  <w:jc w:val="both"/>
                  <w:rPr>
                    <w:rFonts w:eastAsia="Calibri"/>
                    <w:b/>
                    <w:sz w:val="22"/>
                    <w:szCs w:val="22"/>
                  </w:rPr>
                </w:pPr>
                <w:r>
                  <w:rPr>
                    <w:rFonts w:eastAsia="Calibri"/>
                    <w:b/>
                    <w:sz w:val="22"/>
                    <w:szCs w:val="22"/>
                  </w:rPr>
                  <w:t>&lt;..&gt;</w:t>
                </w:r>
              </w:p>
              <w:p w14:paraId="027E38FA" w14:textId="50CAF221">
                <w:pPr>
                  <w:rPr>
                    <w:b/>
                    <w:bCs/>
                    <w:color w:val="000000"/>
                    <w:sz w:val="22"/>
                    <w:szCs w:val="22"/>
                  </w:rPr>
                </w:pPr>
                <w:r>
                  <w:rPr>
                    <w:b/>
                    <w:bCs/>
                    <w:color w:val="000000"/>
                    <w:sz w:val="22"/>
                    <w:szCs w:val="22"/>
                  </w:rPr>
                  <w:t xml:space="preserve">7 straipsnis. </w:t>
                </w:r>
                <w:r>
                  <w:rPr>
                    <w:b/>
                    <w:bCs/>
                    <w:sz w:val="22"/>
                    <w:szCs w:val="22"/>
                  </w:rPr>
                  <w:t>109</w:t>
                </w:r>
                <w:r>
                  <w:rPr>
                    <w:b/>
                    <w:bCs/>
                    <w:sz w:val="22"/>
                    <w:szCs w:val="22"/>
                    <w:vertAlign w:val="superscript"/>
                  </w:rPr>
                  <w:t>1</w:t>
                </w:r>
                <w:r>
                  <w:rPr>
                    <w:b/>
                    <w:bCs/>
                    <w:sz w:val="22"/>
                    <w:szCs w:val="22"/>
                  </w:rPr>
                  <w:t xml:space="preserve"> straipsnio pakeitimas</w:t>
                </w:r>
              </w:p>
              <w:p w14:paraId="4AB9E418" w14:textId="02975400">
                <w:pPr>
                  <w:rPr>
                    <w:b/>
                    <w:bCs/>
                    <w:color w:val="000000"/>
                    <w:sz w:val="22"/>
                    <w:szCs w:val="22"/>
                  </w:rPr>
                </w:pPr>
                <w:r>
                  <w:rPr>
                    <w:b/>
                    <w:bCs/>
                    <w:color w:val="000000"/>
                    <w:sz w:val="22"/>
                    <w:szCs w:val="22"/>
                  </w:rPr>
                  <w:t xml:space="preserve">Papildyti </w:t>
                </w:r>
                <w:r>
                  <w:rPr>
                    <w:b/>
                    <w:bCs/>
                    <w:sz w:val="22"/>
                    <w:szCs w:val="22"/>
                  </w:rPr>
                  <w:t>109</w:t>
                </w:r>
                <w:r>
                  <w:rPr>
                    <w:b/>
                    <w:bCs/>
                    <w:sz w:val="22"/>
                    <w:szCs w:val="22"/>
                    <w:vertAlign w:val="superscript"/>
                  </w:rPr>
                  <w:t>1</w:t>
                </w:r>
                <w:r>
                  <w:rPr>
                    <w:b/>
                    <w:bCs/>
                    <w:sz w:val="22"/>
                    <w:szCs w:val="22"/>
                  </w:rPr>
                  <w:t xml:space="preserve"> straipsnį 9 dalimi</w:t>
                </w:r>
                <w:r>
                  <w:rPr>
                    <w:b/>
                    <w:bCs/>
                    <w:color w:val="000000"/>
                    <w:sz w:val="22"/>
                    <w:szCs w:val="22"/>
                  </w:rPr>
                  <w:t>:</w:t>
                </w:r>
              </w:p>
              <w:p w14:paraId="58703C37" w14:textId="77777777">
                <w:pPr>
                  <w:widowControl w:val="0"/>
                  <w:jc w:val="both"/>
                  <w:rPr>
                    <w:sz w:val="22"/>
                    <w:szCs w:val="22"/>
                  </w:rPr>
                </w:pPr>
                <w:r>
                  <w:rPr>
                    <w:b/>
                    <w:bCs/>
                    <w:color w:val="000000"/>
                    <w:sz w:val="22"/>
                    <w:szCs w:val="22"/>
                  </w:rPr>
                  <w:t>„</w:t>
                </w:r>
                <w:r>
                  <w:rPr>
                    <w:b/>
                    <w:bCs/>
                    <w:sz w:val="22"/>
                    <w:szCs w:val="22"/>
                  </w:rPr>
                  <w:t xml:space="preserve">Reglamente </w:t>
                </w:r>
                <w:fldSimple w:instr="HYPERLINK http://eur-lex.europa.eu/legal-content/LIT/TXT/?uri=CELEX:32017R0852&amp;locale=lt \t _blank">
                  <w:r>
                    <w:rPr>
                      <w:b/>
                      <w:bCs/>
                      <w:sz w:val="22"/>
                      <w:szCs w:val="22"/>
                      <w:u w:val="single"/>
                      <w:color w:val="0000FF" w:themeColor="hyperlink"/>
                    </w:rPr>
                    <w:t>(ES) 2017/852</w:t>
                  </w:r>
                </w:fldSimple>
                <w:r>
                  <w:rPr>
                    <w:b/>
                    <w:bCs/>
                    <w:sz w:val="22"/>
                    <w:szCs w:val="22"/>
                  </w:rPr>
                  <w:t xml:space="preserve"> nustatytų </w:t>
                </w:r>
                <w:r>
                  <w:rPr>
                    <w:rFonts w:eastAsia="Calibri"/>
                    <w:b/>
                    <w:bCs/>
                    <w:sz w:val="22"/>
                    <w:szCs w:val="22"/>
                  </w:rPr>
                  <w:t xml:space="preserve">dantų amalgamos gamybos, importo, eksporto draudimo reikalavimų pažeidimas </w:t>
                </w:r>
                <w:r>
                  <w:rPr>
                    <w:b/>
                    <w:bCs/>
                    <w:sz w:val="22"/>
                    <w:szCs w:val="22"/>
                  </w:rPr>
                  <w:t xml:space="preserve">užtraukia baudą nuo šešių šimtų iki </w:t>
                </w:r>
                <w:r>
                  <w:rPr>
                    <w:b/>
                    <w:bCs/>
                    <w:sz w:val="22"/>
                    <w:szCs w:val="22"/>
                    <w:lang w:val="lt"/>
                  </w:rPr>
                  <w:t xml:space="preserve">vieno tūkstančio dviejų šimtų </w:t>
                </w:r>
                <w:r>
                  <w:rPr>
                    <w:b/>
                    <w:bCs/>
                    <w:sz w:val="22"/>
                    <w:szCs w:val="22"/>
                  </w:rPr>
                  <w:t>eurų.“</w:t>
                </w:r>
              </w:p>
              <w:p w14:paraId="096EE6B0" w14:textId="77777777">
                <w:pPr>
                  <w:jc w:val="both"/>
                  <w:rPr>
                    <w:b/>
                    <w:bCs/>
                    <w:color w:val="000000"/>
                    <w:sz w:val="22"/>
                    <w:szCs w:val="22"/>
                  </w:rPr>
                </w:pPr>
              </w:p>
              <w:p w14:paraId="6EDB49EF" w14:textId="57E53426">
                <w:pPr>
                  <w:jc w:val="both"/>
                  <w:rPr>
                    <w:b/>
                    <w:bCs/>
                    <w:color w:val="000000"/>
                    <w:sz w:val="22"/>
                    <w:szCs w:val="22"/>
                    <w:lang w:eastAsia="en-GB"/>
                  </w:rPr>
                </w:pPr>
                <w:r>
                  <w:rPr>
                    <w:b/>
                    <w:bCs/>
                    <w:color w:val="000000"/>
                    <w:sz w:val="22"/>
                    <w:szCs w:val="22"/>
                  </w:rPr>
                  <w:t>16 straipsnis. Įstatymo įsigaliojimas, įgyvendinimas ir taikymas</w:t>
                </w:r>
              </w:p>
              <w:p w14:paraId="2276FC5C" w14:textId="308C844C">
                <w:pPr>
                  <w:jc w:val="both"/>
                  <w:rPr>
                    <w:b/>
                    <w:bCs/>
                    <w:color w:val="000000"/>
                    <w:sz w:val="22"/>
                    <w:szCs w:val="22"/>
                  </w:rPr>
                </w:pPr>
                <w:r>
                  <w:rPr>
                    <w:b/>
                    <w:bCs/>
                    <w:color w:val="000000"/>
                    <w:sz w:val="22"/>
                    <w:szCs w:val="22"/>
                  </w:rPr>
                  <w:t xml:space="preserve">1. Šis įstatymas, išskyrus 3, 6, 10. 11 ir 13  straipsnius įsigalioja 2025 m. lapkričio 1 d.</w:t>
                </w:r>
              </w:p>
              <w:p w14:paraId="6A5C1A69" w14:textId="7E745DCF">
                <w:pPr>
                  <w:ind w:right="23"/>
                  <w:jc w:val="both"/>
                  <w:rPr>
                    <w:rFonts w:eastAsia="Calibri"/>
                    <w:bCs/>
                    <w:sz w:val="22"/>
                    <w:szCs w:val="22"/>
                  </w:rPr>
                </w:pPr>
                <w:r>
                  <w:rPr>
                    <w:color w:val="000000"/>
                    <w:sz w:val="22"/>
                    <w:szCs w:val="22"/>
                  </w:rPr>
                  <w:t>&lt;...&gt;</w:t>
                </w:r>
              </w:p>
              <w:p w14:paraId="53FAAAF1" w14:textId="77777777">
                <w:pPr>
                  <w:ind w:firstLine="460"/>
                  <w:jc w:val="both"/>
                  <w:rPr>
                    <w:b/>
                    <w:bCs/>
                    <w:color w:val="000000"/>
                    <w:sz w:val="22"/>
                    <w:szCs w:val="22"/>
                  </w:rPr>
                </w:pPr>
              </w:p>
              <w:p w14:paraId="5FEC7E24" w14:textId="600C53E0">
                <w:pPr>
                  <w:jc w:val="both"/>
                  <w:rPr>
                    <w:b/>
                    <w:bCs/>
                    <w:color w:val="000000"/>
                    <w:sz w:val="22"/>
                    <w:szCs w:val="22"/>
                  </w:rPr>
                </w:pPr>
                <w:r>
                  <w:rPr>
                    <w:b/>
                    <w:bCs/>
                    <w:color w:val="000000"/>
                    <w:sz w:val="22"/>
                    <w:szCs w:val="22"/>
                  </w:rPr>
                  <w:t>ANK projektas</w:t>
                </w:r>
              </w:p>
              <w:p w14:paraId="0EB0230B" w14:textId="77777777">
                <w:pPr>
                  <w:jc w:val="both"/>
                  <w:rPr>
                    <w:b/>
                    <w:color w:val="000000"/>
                    <w:sz w:val="22"/>
                    <w:szCs w:val="22"/>
                  </w:rPr>
                </w:pPr>
                <w:r>
                  <w:rPr>
                    <w:b/>
                    <w:color w:val="000000"/>
                    <w:sz w:val="22"/>
                    <w:szCs w:val="22"/>
                  </w:rPr>
                  <w:t>&lt;...&gt;</w:t>
                </w:r>
              </w:p>
              <w:p w14:paraId="163D090F" w14:textId="3C198DDC">
                <w:pPr>
                  <w:rPr>
                    <w:b/>
                    <w:bCs/>
                    <w:color w:val="000000"/>
                    <w:sz w:val="22"/>
                    <w:szCs w:val="22"/>
                  </w:rPr>
                </w:pPr>
                <w:r>
                  <w:rPr>
                    <w:b/>
                    <w:bCs/>
                    <w:color w:val="000000"/>
                    <w:sz w:val="22"/>
                    <w:szCs w:val="22"/>
                  </w:rPr>
                  <w:t xml:space="preserve">11 straipsnis. </w:t>
                </w:r>
                <w:r>
                  <w:rPr>
                    <w:b/>
                    <w:bCs/>
                    <w:sz w:val="22"/>
                    <w:szCs w:val="22"/>
                  </w:rPr>
                  <w:t>308</w:t>
                </w:r>
                <w:r>
                  <w:rPr>
                    <w:b/>
                    <w:bCs/>
                    <w:sz w:val="22"/>
                    <w:szCs w:val="22"/>
                    <w:vertAlign w:val="superscript"/>
                  </w:rPr>
                  <w:t>1</w:t>
                </w:r>
                <w:r>
                  <w:rPr>
                    <w:b/>
                    <w:bCs/>
                    <w:sz w:val="22"/>
                    <w:szCs w:val="22"/>
                  </w:rPr>
                  <w:t xml:space="preserve"> straipsnio pakeitimas</w:t>
                </w:r>
              </w:p>
              <w:p w14:paraId="3E91306F" w14:textId="77777777">
                <w:pPr>
                  <w:rPr>
                    <w:b/>
                    <w:bCs/>
                    <w:color w:val="000000"/>
                    <w:sz w:val="22"/>
                    <w:szCs w:val="22"/>
                  </w:rPr>
                </w:pPr>
                <w:r>
                  <w:rPr>
                    <w:b/>
                    <w:bCs/>
                    <w:color w:val="000000"/>
                    <w:sz w:val="22"/>
                    <w:szCs w:val="22"/>
                  </w:rPr>
                  <w:t xml:space="preserve">Papildyti </w:t>
                </w:r>
                <w:r>
                  <w:rPr>
                    <w:b/>
                    <w:bCs/>
                    <w:sz w:val="22"/>
                    <w:szCs w:val="22"/>
                  </w:rPr>
                  <w:t>308</w:t>
                </w:r>
                <w:r>
                  <w:rPr>
                    <w:b/>
                    <w:bCs/>
                    <w:sz w:val="22"/>
                    <w:szCs w:val="22"/>
                    <w:vertAlign w:val="superscript"/>
                  </w:rPr>
                  <w:t>1</w:t>
                </w:r>
                <w:r>
                  <w:rPr>
                    <w:b/>
                    <w:bCs/>
                    <w:sz w:val="22"/>
                    <w:szCs w:val="22"/>
                  </w:rPr>
                  <w:t xml:space="preserve"> straipsnį 9 dalimi</w:t>
                </w:r>
                <w:r>
                  <w:rPr>
                    <w:b/>
                    <w:bCs/>
                    <w:color w:val="000000"/>
                    <w:sz w:val="22"/>
                    <w:szCs w:val="22"/>
                  </w:rPr>
                  <w:t>:</w:t>
                </w:r>
              </w:p>
              <w:p w14:paraId="62FBDDB3" w14:textId="77777777">
                <w:pPr>
                  <w:jc w:val="both"/>
                  <w:rPr>
                    <w:b/>
                    <w:bCs/>
                    <w:sz w:val="22"/>
                    <w:szCs w:val="22"/>
                  </w:rPr>
                </w:pPr>
                <w:r>
                  <w:rPr>
                    <w:b/>
                    <w:bCs/>
                    <w:sz w:val="22"/>
                    <w:szCs w:val="22"/>
                  </w:rPr>
                  <w:t xml:space="preserve">„9. Reglamente </w:t>
                </w:r>
                <w:fldSimple w:instr="HYPERLINK http://eur-lex.europa.eu/legal-content/LIT/TXT/?uri=CELEX:32017R0852&amp;locale=lt \t _blank">
                  <w:r>
                    <w:rPr>
                      <w:b/>
                      <w:bCs/>
                      <w:sz w:val="22"/>
                      <w:szCs w:val="22"/>
                      <w:u w:val="single"/>
                      <w:color w:val="0000FF" w:themeColor="hyperlink"/>
                    </w:rPr>
                    <w:t>(ES) 2017/852</w:t>
                  </w:r>
                </w:fldSimple>
                <w:r>
                  <w:rPr>
                    <w:b/>
                    <w:bCs/>
                    <w:sz w:val="22"/>
                    <w:szCs w:val="22"/>
                  </w:rPr>
                  <w:t xml:space="preserve"> nustatytų dantų amalgamos gamybos, importo, eksporto draudimo reikalavimų pažeidimas</w:t>
                </w:r>
              </w:p>
              <w:p w14:paraId="737511E3" w14:textId="77777777">
                <w:pPr>
                  <w:ind w:firstLine="179"/>
                  <w:jc w:val="both"/>
                  <w:rPr>
                    <w:sz w:val="22"/>
                    <w:szCs w:val="22"/>
                  </w:rPr>
                </w:pPr>
                <w:r>
                  <w:rPr>
                    <w:b/>
                    <w:bCs/>
                    <w:sz w:val="22"/>
                    <w:szCs w:val="22"/>
                  </w:rPr>
                  <w:t>užtraukia baudą su cheminių medžiagų tvarkymu susijusia veikla užsiimantiems fiziniams asmenims ir su cheminių medžiagų tvarkymu susijusia veikla užsiimančių juridinių asmenų vadovams ar kitiems atsakingiems asmenims nuo trijų šimtų iki aštuonių šimtų penkiasdešimt eurų.”</w:t>
                </w:r>
              </w:p>
              <w:p w14:paraId="2FD9A8C5" w14:textId="77777777">
                <w:pPr>
                  <w:ind w:firstLine="460"/>
                  <w:jc w:val="both"/>
                  <w:rPr>
                    <w:strike/>
                    <w:color w:val="000000"/>
                    <w:sz w:val="22"/>
                    <w:szCs w:val="22"/>
                  </w:rPr>
                </w:pPr>
              </w:p>
              <w:p w14:paraId="341703CF" w14:textId="00510F38">
                <w:pPr>
                  <w:jc w:val="both"/>
                  <w:rPr>
                    <w:b/>
                    <w:bCs/>
                    <w:sz w:val="22"/>
                    <w:szCs w:val="22"/>
                  </w:rPr>
                </w:pPr>
                <w:r>
                  <w:rPr>
                    <w:b/>
                    <w:bCs/>
                    <w:sz w:val="22"/>
                    <w:szCs w:val="22"/>
                  </w:rPr>
                  <w:t>16 straipsnis. Įstatymo įsigaliojimas</w:t>
                </w:r>
              </w:p>
              <w:p w14:paraId="3A151F39" w14:textId="3001026D">
                <w:pPr>
                  <w:jc w:val="both"/>
                  <w:rPr>
                    <w:b/>
                    <w:bCs/>
                    <w:sz w:val="22"/>
                    <w:szCs w:val="22"/>
                  </w:rPr>
                </w:pPr>
                <w:r>
                  <w:rPr>
                    <w:b/>
                    <w:bCs/>
                    <w:sz w:val="22"/>
                    <w:szCs w:val="22"/>
                  </w:rPr>
                  <w:t>1. Šis įstatymas, išskyrus 6, 7, 8, 9 ir 14 straipsnį, 15 straipsnio 6 punktą įsigalioja 2025 m. lapkričio 1 d.</w:t>
                </w:r>
              </w:p>
              <w:p w14:paraId="3B64F342" w14:textId="575B8DEB">
                <w:pPr>
                  <w:ind w:right="23"/>
                  <w:jc w:val="both"/>
                  <w:rPr>
                    <w:rFonts w:eastAsia="Calibri"/>
                    <w:bCs/>
                    <w:sz w:val="22"/>
                    <w:szCs w:val="22"/>
                  </w:rPr>
                </w:pPr>
                <w:r>
                  <w:rPr>
                    <w:rFonts w:eastAsia="Calibri"/>
                    <w:b/>
                    <w:bCs/>
                    <w:sz w:val="22"/>
                    <w:szCs w:val="22"/>
                  </w:rPr>
                  <w:t>&lt;...&gt;</w:t>
                </w:r>
              </w:p>
            </w:tc>
            <w:tc>
              <w:tcPr>
                <w:tcW w:w="1239" w:type="pct"/>
                <w:tcBorders>
                  <w:top w:val="single" w:sz="4" w:space="0" w:color="auto"/>
                  <w:left w:val="single" w:sz="4" w:space="0" w:color="auto"/>
                  <w:bottom w:val="single" w:sz="4" w:space="0" w:color="auto"/>
                  <w:right w:val="single" w:sz="4" w:space="0" w:color="auto"/>
                </w:tcBorders>
                <w:hideMark/>
              </w:tcPr>
              <w:p w14:paraId="2AD4F622" w14:textId="63C74368">
                <w:pPr>
                  <w:jc w:val="both"/>
                  <w:rPr>
                    <w:rFonts w:eastAsia="Calibri"/>
                    <w:b/>
                    <w:bCs/>
                    <w:sz w:val="22"/>
                    <w:szCs w:val="22"/>
                  </w:rPr>
                </w:pPr>
                <w:r>
                  <w:rPr>
                    <w:rFonts w:eastAsia="Calibri"/>
                    <w:bCs/>
                    <w:sz w:val="22"/>
                    <w:szCs w:val="22"/>
                  </w:rPr>
                  <w:t>Visiškas</w:t>
                </w:r>
              </w:p>
            </w:tc>
            <w:tc>
              <w:tcPr>
                <w:tcW w:w="99" w:type="pct"/>
                <w:vMerge/>
                <w:tcBorders>
                  <w:top w:val="nil"/>
                  <w:left w:val="single" w:sz="4" w:space="0" w:color="auto"/>
                  <w:bottom w:val="nil"/>
                  <w:right w:val="single" w:sz="4" w:space="0" w:color="auto"/>
                </w:tcBorders>
                <w:vAlign w:val="center"/>
                <w:hideMark/>
              </w:tcPr>
              <w:p w14:paraId="46F330F2" w14:textId="77777777">
                <w:pPr>
                  <w:rPr>
                    <w:sz w:val="22"/>
                  </w:rPr>
                </w:pPr>
              </w:p>
            </w:tc>
          </w:tr>
          <w:tr w14:paraId="7881BDB2" w14:textId="77777777">
            <w:tc>
              <w:tcPr>
                <w:tcW w:w="5000" w:type="pct"/>
                <w:gridSpan w:val="5"/>
                <w:tcBorders>
                  <w:top w:val="nil"/>
                  <w:left w:val="single" w:sz="4" w:space="0" w:color="auto"/>
                  <w:bottom w:val="single" w:sz="4" w:space="0" w:color="auto"/>
                  <w:right w:val="single" w:sz="4" w:space="0" w:color="auto"/>
                </w:tcBorders>
              </w:tcPr>
              <w:p w14:paraId="4205EDD4" w14:textId="77777777">
                <w:pPr>
                  <w:rPr>
                    <w:rFonts w:eastAsia="Calibri"/>
                    <w:sz w:val="22"/>
                  </w:rPr>
                </w:pPr>
              </w:p>
            </w:tc>
          </w:tr>
        </w:tbl>
        <w:p w14:paraId="24575425" w14:textId="77777777">
          <w:pPr>
            <w:tabs>
              <w:tab w:val="left" w:pos="4442"/>
            </w:tabs>
            <w:jc w:val="center"/>
            <w:rPr>
              <w:b/>
              <w:bCs/>
            </w:rPr>
          </w:pPr>
        </w:p>
        <w:sdt>
          <w:sdtPr>
            <w:alias w:val="pabaiga"/>
            <w:tag w:val="part_cbd96a65c0b749ce851280acf3bcc0e3"/>
            <w:lock w:val="sdtLocked"/>
            <w:richText/>
          </w:sdtPr>
          <w:sdtContent>
            <w:p w14:paraId="7583C837" w14:textId="0ADB1119">
              <w:pPr>
                <w:tabs>
                  <w:tab w:val="left" w:pos="4442"/>
                </w:tabs>
                <w:jc w:val="center"/>
              </w:pPr>
              <w:r>
                <w:t>___________________</w:t>
              </w:r>
            </w:p>
            <w:p w14:paraId="784CD21F" w14:textId="77777777">
              <w:pPr>
                <w:rPr>
                  <w:b/>
                  <w:bCs/>
                </w:rPr>
              </w:pPr>
            </w:p>
          </w:sdtContent>
        </w:sdt>
      </w:sdtContent>
    </w:sdt>
    <w:sectPr>
      <w:headerReference w:type="even" r:id="rId9"/>
      <w:headerReference w:type="default" r:id="rId10"/>
      <w:footerReference w:type="even" r:id="rId11"/>
      <w:footerReference w:type="default" r:id="rId12"/>
      <w:headerReference w:type="first" r:id="rId13"/>
      <w:footerReference w:type="first" r:id="rId14"/>
      <w:pgSz w:w="15840" w:h="12240" w:orient="landscape"/>
      <w:pgMar w:top="709" w:right="1701" w:bottom="567" w:left="1134" w:header="708" w:footer="708"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020197" w14:textId="77777777">
      <w:r>
        <w:separator/>
      </w:r>
    </w:p>
  </w:endnote>
  <w:endnote w:type="continuationSeparator" w:id="0">
    <w:p w14:paraId="20B21D26"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F55AAB"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FE7EAB"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A30AED"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4F1960" w14:textId="77777777">
      <w:r>
        <w:separator/>
      </w:r>
    </w:p>
  </w:footnote>
  <w:footnote w:type="continuationSeparator" w:id="0">
    <w:p w14:paraId="31290650"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E549E0" w14:textId="77777777">
    <w:pPr>
      <w:tabs>
        <w:tab w:val="center" w:pos="4986"/>
        <w:tab w:val="right" w:pos="9972"/>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CD1DEB" w14:textId="0C22D4BE">
    <w:pPr>
      <w:tabs>
        <w:tab w:val="center" w:pos="4986"/>
        <w:tab w:val="right" w:pos="9972"/>
      </w:tabs>
      <w:jc w:val="center"/>
    </w:pPr>
    <w:r>
      <w:fldChar w:fldCharType="begin"/>
    </w:r>
    <w:r>
      <w:instrText>PAGE   \* MERGEFORMAT</w:instrText>
    </w:r>
    <w:r>
      <w:fldChar w:fldCharType="separate"/>
    </w:r>
    <w:r>
      <w:t>2</w:t>
    </w:r>
    <w:r>
      <w:fldChar w:fldCharType="end"/>
    </w:r>
  </w:p>
  <w:p w14:paraId="50FCD97E" w14:textId="77777777">
    <w:pPr>
      <w:tabs>
        <w:tab w:val="center" w:pos="4986"/>
        <w:tab w:val="right" w:pos="9972"/>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667B2A"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D14196"/>
  <w15:chartTrackingRefBased/>
  <w15:docId w15:val="{BC8F63A5-6BCD-4A77-9898-4153DBBFCDF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5360826">
      <w:bodyDiv w:val="1"/>
      <w:marLeft w:val="0"/>
      <w:marRight w:val="0"/>
      <w:marTop w:val="0"/>
      <w:marBottom w:val="0"/>
      <w:divBdr>
        <w:top w:val="none" w:sz="0" w:space="0" w:color="auto"/>
        <w:left w:val="none" w:sz="0" w:space="0" w:color="auto"/>
        <w:bottom w:val="none" w:sz="0" w:space="0" w:color="auto"/>
        <w:right w:val="none" w:sz="0" w:space="0" w:color="auto"/>
      </w:divBdr>
    </w:div>
    <w:div w:id="538471912">
      <w:bodyDiv w:val="1"/>
      <w:marLeft w:val="0"/>
      <w:marRight w:val="0"/>
      <w:marTop w:val="0"/>
      <w:marBottom w:val="0"/>
      <w:divBdr>
        <w:top w:val="none" w:sz="0" w:space="0" w:color="auto"/>
        <w:left w:val="none" w:sz="0" w:space="0" w:color="auto"/>
        <w:bottom w:val="none" w:sz="0" w:space="0" w:color="auto"/>
        <w:right w:val="none" w:sz="0" w:space="0" w:color="auto"/>
      </w:divBdr>
    </w:div>
    <w:div w:id="630746500">
      <w:bodyDiv w:val="1"/>
      <w:marLeft w:val="0"/>
      <w:marRight w:val="0"/>
      <w:marTop w:val="0"/>
      <w:marBottom w:val="0"/>
      <w:divBdr>
        <w:top w:val="none" w:sz="0" w:space="0" w:color="auto"/>
        <w:left w:val="none" w:sz="0" w:space="0" w:color="auto"/>
        <w:bottom w:val="none" w:sz="0" w:space="0" w:color="auto"/>
        <w:right w:val="none" w:sz="0" w:space="0" w:color="auto"/>
      </w:divBdr>
      <w:divsChild>
        <w:div w:id="632371395">
          <w:marLeft w:val="0"/>
          <w:marRight w:val="0"/>
          <w:marTop w:val="0"/>
          <w:marBottom w:val="0"/>
          <w:divBdr>
            <w:top w:val="none" w:sz="0" w:space="0" w:color="auto"/>
            <w:left w:val="none" w:sz="0" w:space="0" w:color="auto"/>
            <w:bottom w:val="none" w:sz="0" w:space="0" w:color="auto"/>
            <w:right w:val="none" w:sz="0" w:space="0" w:color="auto"/>
          </w:divBdr>
          <w:divsChild>
            <w:div w:id="917405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9589708">
      <w:bodyDiv w:val="1"/>
      <w:marLeft w:val="0"/>
      <w:marRight w:val="0"/>
      <w:marTop w:val="0"/>
      <w:marBottom w:val="0"/>
      <w:divBdr>
        <w:top w:val="none" w:sz="0" w:space="0" w:color="auto"/>
        <w:left w:val="none" w:sz="0" w:space="0" w:color="auto"/>
        <w:bottom w:val="none" w:sz="0" w:space="0" w:color="auto"/>
        <w:right w:val="none" w:sz="0" w:space="0" w:color="auto"/>
      </w:divBdr>
    </w:div>
    <w:div w:id="827289329">
      <w:bodyDiv w:val="1"/>
      <w:marLeft w:val="0"/>
      <w:marRight w:val="0"/>
      <w:marTop w:val="0"/>
      <w:marBottom w:val="0"/>
      <w:divBdr>
        <w:top w:val="none" w:sz="0" w:space="0" w:color="auto"/>
        <w:left w:val="none" w:sz="0" w:space="0" w:color="auto"/>
        <w:bottom w:val="none" w:sz="0" w:space="0" w:color="auto"/>
        <w:right w:val="none" w:sz="0" w:space="0" w:color="auto"/>
      </w:divBdr>
    </w:div>
    <w:div w:id="1012026761">
      <w:bodyDiv w:val="1"/>
      <w:marLeft w:val="0"/>
      <w:marRight w:val="0"/>
      <w:marTop w:val="0"/>
      <w:marBottom w:val="0"/>
      <w:divBdr>
        <w:top w:val="none" w:sz="0" w:space="0" w:color="auto"/>
        <w:left w:val="none" w:sz="0" w:space="0" w:color="auto"/>
        <w:bottom w:val="none" w:sz="0" w:space="0" w:color="auto"/>
        <w:right w:val="none" w:sz="0" w:space="0" w:color="auto"/>
      </w:divBdr>
      <w:divsChild>
        <w:div w:id="682823490">
          <w:marLeft w:val="0"/>
          <w:marRight w:val="0"/>
          <w:marTop w:val="0"/>
          <w:marBottom w:val="0"/>
          <w:divBdr>
            <w:top w:val="none" w:sz="0" w:space="0" w:color="auto"/>
            <w:left w:val="none" w:sz="0" w:space="0" w:color="auto"/>
            <w:bottom w:val="none" w:sz="0" w:space="0" w:color="auto"/>
            <w:right w:val="none" w:sz="0" w:space="0" w:color="auto"/>
          </w:divBdr>
        </w:div>
        <w:div w:id="1901986149">
          <w:marLeft w:val="0"/>
          <w:marRight w:val="0"/>
          <w:marTop w:val="0"/>
          <w:marBottom w:val="0"/>
          <w:divBdr>
            <w:top w:val="none" w:sz="0" w:space="0" w:color="auto"/>
            <w:left w:val="none" w:sz="0" w:space="0" w:color="auto"/>
            <w:bottom w:val="none" w:sz="0" w:space="0" w:color="auto"/>
            <w:right w:val="none" w:sz="0" w:space="0" w:color="auto"/>
          </w:divBdr>
        </w:div>
        <w:div w:id="2134597260">
          <w:marLeft w:val="0"/>
          <w:marRight w:val="0"/>
          <w:marTop w:val="0"/>
          <w:marBottom w:val="0"/>
          <w:divBdr>
            <w:top w:val="none" w:sz="0" w:space="0" w:color="auto"/>
            <w:left w:val="none" w:sz="0" w:space="0" w:color="auto"/>
            <w:bottom w:val="none" w:sz="0" w:space="0" w:color="auto"/>
            <w:right w:val="none" w:sz="0" w:space="0" w:color="auto"/>
          </w:divBdr>
        </w:div>
      </w:divsChild>
    </w:div>
    <w:div w:id="1191258621">
      <w:bodyDiv w:val="1"/>
      <w:marLeft w:val="0"/>
      <w:marRight w:val="0"/>
      <w:marTop w:val="0"/>
      <w:marBottom w:val="0"/>
      <w:divBdr>
        <w:top w:val="none" w:sz="0" w:space="0" w:color="auto"/>
        <w:left w:val="none" w:sz="0" w:space="0" w:color="auto"/>
        <w:bottom w:val="none" w:sz="0" w:space="0" w:color="auto"/>
        <w:right w:val="none" w:sz="0" w:space="0" w:color="auto"/>
      </w:divBdr>
      <w:divsChild>
        <w:div w:id="648362520">
          <w:marLeft w:val="0"/>
          <w:marRight w:val="0"/>
          <w:marTop w:val="0"/>
          <w:marBottom w:val="0"/>
          <w:divBdr>
            <w:top w:val="none" w:sz="0" w:space="0" w:color="auto"/>
            <w:left w:val="none" w:sz="0" w:space="0" w:color="auto"/>
            <w:bottom w:val="none" w:sz="0" w:space="0" w:color="auto"/>
            <w:right w:val="none" w:sz="0" w:space="0" w:color="auto"/>
          </w:divBdr>
          <w:divsChild>
            <w:div w:id="836382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1230194">
      <w:bodyDiv w:val="1"/>
      <w:marLeft w:val="0"/>
      <w:marRight w:val="0"/>
      <w:marTop w:val="0"/>
      <w:marBottom w:val="0"/>
      <w:divBdr>
        <w:top w:val="none" w:sz="0" w:space="0" w:color="auto"/>
        <w:left w:val="none" w:sz="0" w:space="0" w:color="auto"/>
        <w:bottom w:val="none" w:sz="0" w:space="0" w:color="auto"/>
        <w:right w:val="none" w:sz="0" w:space="0" w:color="auto"/>
      </w:divBdr>
      <w:divsChild>
        <w:div w:id="250434244">
          <w:marLeft w:val="0"/>
          <w:marRight w:val="0"/>
          <w:marTop w:val="0"/>
          <w:marBottom w:val="0"/>
          <w:divBdr>
            <w:top w:val="none" w:sz="0" w:space="0" w:color="auto"/>
            <w:left w:val="none" w:sz="0" w:space="0" w:color="auto"/>
            <w:bottom w:val="none" w:sz="0" w:space="0" w:color="auto"/>
            <w:right w:val="none" w:sz="0" w:space="0" w:color="auto"/>
          </w:divBdr>
        </w:div>
        <w:div w:id="735707720">
          <w:marLeft w:val="0"/>
          <w:marRight w:val="0"/>
          <w:marTop w:val="0"/>
          <w:marBottom w:val="0"/>
          <w:divBdr>
            <w:top w:val="none" w:sz="0" w:space="0" w:color="auto"/>
            <w:left w:val="none" w:sz="0" w:space="0" w:color="auto"/>
            <w:bottom w:val="none" w:sz="0" w:space="0" w:color="auto"/>
            <w:right w:val="none" w:sz="0" w:space="0" w:color="auto"/>
          </w:divBdr>
        </w:div>
        <w:div w:id="15336176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4.xml><?xml version="1.0" encoding="utf-8"?>
<Parts xmlns="http://lrs.lt/TAIS/DocParts">
  <Part Type="pagrindine" DocPartId="e22428c1c8df431cb487129e98164a96" PartId="492a8eba92794601922249a2ad9d2de9">
    <Part Type="pabaiga" DocPartId="086a932fd1424d3faf3c5f6882a4486d" PartId="cbd96a65c0b749ce851280acf3bcc0e3"/>
  </Part>
</Parts>
</file>

<file path=customXml/itemProps1.xml><?xml version="1.0" encoding="utf-8"?>
<ds:datastoreItem xmlns:ds="http://schemas.openxmlformats.org/officeDocument/2006/customXml" ds:itemID="{CE837C1D-AC65-4644-B5A3-6952BF56F3D0}">
  <ds:schemaRefs>
    <ds:schemaRef ds:uri="http://schemas.microsoft.com/sharepoint/v3/contenttype/forms"/>
  </ds:schemaRefs>
</ds:datastoreItem>
</file>

<file path=customXml/itemProps2.xml><?xml version="1.0" encoding="utf-8"?>
<ds:datastoreItem xmlns:ds="http://schemas.openxmlformats.org/officeDocument/2006/customXml" ds:itemID="{5E3D961E-619F-4A86-92E0-34E9BB2FC4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2094FA5-2E8B-4782-B06B-A828F7F128BB}">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4.xml><?xml version="1.0" encoding="utf-8"?>
<ds:datastoreItem xmlns:ds="http://schemas.openxmlformats.org/officeDocument/2006/customXml" ds:itemID="{CA6DD57D-6FB5-409F-9728-EFA09D06346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602</Words>
  <Characters>3840</Characters>
  <Application>Microsoft Office Word</Application>
  <DocSecurity>4</DocSecurity>
  <Lines>132</Lines>
  <Paragraphs>64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4378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2025-06-10T10:23:00Z</dcterms:created>
  <dc:creator>Aurelija Bajoraitienė</dc:creator>
  <lastModifiedBy>adlibuser</lastModifiedBy>
  <dcterms:modified xsi:type="dcterms:W3CDTF">2025-06-10T10:23:00Z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ies>
</file>