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intelligence2.xml" ContentType="application/vnd.ms-office.intelligence2+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ad3b0493d4041009fd14c597e0a30a8"/>
        <w:lock w:val="sdtLocked"/>
        <w:richText/>
      </w:sdtPr>
      <w:sdtContent>
        <w:p>
          <w:pPr>
            <w:jc w:val="center"/>
            <w:rPr>
              <w:b/>
              <w:caps/>
              <w:szCs w:val="24"/>
              <w:lang w:val="en-US"/>
            </w:rPr>
          </w:pPr>
        </w:p>
        <w:p>
          <w:pPr>
            <w:jc w:val="center"/>
            <w:rPr>
              <w:b/>
              <w:bCs/>
              <w:caps/>
              <w:lang w:val="en-US"/>
            </w:rPr>
          </w:pPr>
          <w:r>
            <w:rPr>
              <w:b/>
              <w:caps/>
              <w:szCs w:val="24"/>
            </w:rPr>
            <w:t>LIETUVOS</w:t>
          </w:r>
          <w:r>
            <w:rPr>
              <w:b/>
              <w:bCs/>
              <w:caps/>
              <w:szCs w:val="24"/>
              <w:vertAlign w:val="superscript"/>
            </w:rPr>
            <w:t xml:space="preserve"> </w:t>
          </w:r>
          <w:r>
            <w:rPr>
              <w:b/>
              <w:caps/>
              <w:szCs w:val="24"/>
            </w:rPr>
            <w:t xml:space="preserve">RESPUBLIKOS </w:t>
          </w:r>
          <w:r>
            <w:rPr>
              <w:b/>
              <w:bCs/>
              <w:caps/>
              <w:szCs w:val="24"/>
            </w:rPr>
            <w:t>APLINKOS APSAUGOS ĮSTATYMO NR. I-2223 1, 37, 40</w:t>
          </w:r>
          <w:r>
            <w:rPr>
              <w:b/>
              <w:bCs/>
              <w:caps/>
              <w:szCs w:val="24"/>
              <w:vertAlign w:val="superscript"/>
            </w:rPr>
            <w:t>1</w:t>
          </w:r>
          <w:r>
            <w:rPr>
              <w:b/>
              <w:bCs/>
              <w:caps/>
              <w:szCs w:val="24"/>
            </w:rPr>
            <w:t xml:space="preserve">, 47, 87, </w:t>
          </w:r>
          <w:r>
            <w:rPr>
              <w:b/>
              <w:bCs/>
              <w:szCs w:val="24"/>
            </w:rPr>
            <w:t>109</w:t>
          </w:r>
          <w:r>
            <w:rPr>
              <w:b/>
              <w:bCs/>
              <w:szCs w:val="24"/>
              <w:vertAlign w:val="superscript"/>
            </w:rPr>
            <w:t>1</w:t>
          </w:r>
          <w:r>
            <w:rPr>
              <w:b/>
              <w:bCs/>
              <w:caps/>
              <w:szCs w:val="24"/>
            </w:rPr>
            <w:t>, 110, 122</w:t>
          </w:r>
          <w:r>
            <w:rPr>
              <w:b/>
              <w:bCs/>
              <w:caps/>
              <w:szCs w:val="24"/>
              <w:vertAlign w:val="superscript"/>
            </w:rPr>
            <w:t>4</w:t>
          </w:r>
          <w:r>
            <w:rPr>
              <w:b/>
              <w:bCs/>
              <w:caps/>
              <w:szCs w:val="24"/>
            </w:rPr>
            <w:t xml:space="preserve"> STRAIPSNIų IR </w:t>
          </w:r>
          <w:r>
            <w:rPr>
              <w:b/>
              <w:bCs/>
              <w:szCs w:val="24"/>
            </w:rPr>
            <w:t>PRIEDO</w:t>
          </w:r>
          <w:r>
            <w:rPr>
              <w:b/>
              <w:bCs/>
              <w:caps/>
              <w:szCs w:val="24"/>
            </w:rPr>
            <w:t xml:space="preserve"> PAKEITIMO, ĮSTATYMO PAPILDYMO 110</w:t>
          </w:r>
          <w:r>
            <w:rPr>
              <w:b/>
              <w:bCs/>
              <w:caps/>
              <w:szCs w:val="24"/>
              <w:vertAlign w:val="superscript"/>
            </w:rPr>
            <w:t>2</w:t>
          </w:r>
          <w:r>
            <w:rPr>
              <w:b/>
              <w:bCs/>
              <w:caps/>
              <w:szCs w:val="24"/>
            </w:rPr>
            <w:t>, 110</w:t>
          </w:r>
          <w:r>
            <w:rPr>
              <w:b/>
              <w:bCs/>
              <w:caps/>
              <w:szCs w:val="24"/>
              <w:vertAlign w:val="superscript"/>
            </w:rPr>
            <w:t>3</w:t>
          </w:r>
          <w:r>
            <w:rPr>
              <w:b/>
              <w:bCs/>
              <w:caps/>
              <w:szCs w:val="24"/>
            </w:rPr>
            <w:t>, 110</w:t>
          </w:r>
          <w:r>
            <w:rPr>
              <w:b/>
              <w:bCs/>
              <w:caps/>
              <w:szCs w:val="24"/>
              <w:vertAlign w:val="superscript"/>
            </w:rPr>
            <w:t>4</w:t>
          </w:r>
          <w:r>
            <w:rPr>
              <w:b/>
              <w:bCs/>
              <w:caps/>
              <w:szCs w:val="24"/>
            </w:rPr>
            <w:t>, 118</w:t>
          </w:r>
          <w:r>
            <w:rPr>
              <w:b/>
              <w:bCs/>
              <w:caps/>
              <w:szCs w:val="24"/>
              <w:vertAlign w:val="superscript"/>
            </w:rPr>
            <w:t xml:space="preserve">2 </w:t>
          </w:r>
          <w:r>
            <w:rPr>
              <w:b/>
              <w:bCs/>
              <w:caps/>
              <w:szCs w:val="24"/>
            </w:rPr>
            <w:t>STRAIPSNIAIS IR 110</w:t>
          </w:r>
          <w:r>
            <w:rPr>
              <w:b/>
              <w:bCs/>
              <w:caps/>
              <w:szCs w:val="24"/>
              <w:vertAlign w:val="superscript"/>
            </w:rPr>
            <w:t xml:space="preserve">2 </w:t>
          </w:r>
          <w:r>
            <w:rPr>
              <w:b/>
              <w:bCs/>
              <w:caps/>
              <w:szCs w:val="24"/>
            </w:rPr>
            <w:t xml:space="preserve">STRAIPSNIO PRIPAŽINIMO NETEKUSIU GALIOS </w:t>
          </w:r>
          <w:r>
            <w:rPr>
              <w:b/>
              <w:bCs/>
              <w:caps/>
            </w:rPr>
            <w:t xml:space="preserve">ĮSTATYMO IR LIETUVOS RESPUBLIKOS ADMINISTRACINIŲ NUSIŽENGIMŲ KODEKSO 12, </w:t>
          </w:r>
          <w:r>
            <w:rPr>
              <w:b/>
              <w:bCs/>
            </w:rPr>
            <w:t>27, 29, 243</w:t>
          </w:r>
          <w:r>
            <w:rPr>
              <w:b/>
              <w:bCs/>
              <w:vertAlign w:val="superscript"/>
            </w:rPr>
            <w:t>1</w:t>
          </w:r>
          <w:r>
            <w:rPr>
              <w:b/>
              <w:bCs/>
            </w:rPr>
            <w:t>, 251, 304</w:t>
          </w:r>
          <w:r>
            <w:rPr>
              <w:b/>
              <w:bCs/>
              <w:caps/>
              <w:vertAlign w:val="superscript"/>
            </w:rPr>
            <w:t>2</w:t>
          </w:r>
          <w:r>
            <w:t xml:space="preserve">, </w:t>
          </w:r>
          <w:r>
            <w:rPr>
              <w:b/>
              <w:bCs/>
            </w:rPr>
            <w:t>308</w:t>
          </w:r>
          <w:r>
            <w:rPr>
              <w:b/>
              <w:bCs/>
              <w:vertAlign w:val="superscript"/>
            </w:rPr>
            <w:t>1</w:t>
          </w:r>
          <w:r>
            <w:rPr>
              <w:b/>
              <w:bCs/>
            </w:rPr>
            <w:t>, 310, 589 STRAIPSNIŲ IR PRIEDO PAKEITIMO, KODEKSO PAPILDYMO 31</w:t>
          </w:r>
          <w:r>
            <w:rPr>
              <w:b/>
              <w:bCs/>
              <w:vertAlign w:val="superscript"/>
            </w:rPr>
            <w:t>2</w:t>
          </w:r>
          <w:r>
            <w:rPr>
              <w:b/>
              <w:bCs/>
            </w:rPr>
            <w:t>, 243</w:t>
          </w:r>
          <w:r>
            <w:rPr>
              <w:b/>
              <w:bCs/>
              <w:vertAlign w:val="superscript"/>
            </w:rPr>
            <w:t>2</w:t>
          </w:r>
          <w:r>
            <w:rPr>
              <w:b/>
              <w:bCs/>
            </w:rPr>
            <w:t>, 270</w:t>
          </w:r>
          <w:r>
            <w:rPr>
              <w:b/>
              <w:bCs/>
              <w:vertAlign w:val="superscript"/>
            </w:rPr>
            <w:t>2</w:t>
          </w:r>
          <w:r>
            <w:rPr>
              <w:b/>
              <w:bCs/>
              <w:caps/>
            </w:rPr>
            <w:t xml:space="preserve"> STRAIPSNIAIS</w:t>
          </w:r>
          <w:r>
            <w:rPr>
              <w:b/>
              <w:bCs/>
            </w:rPr>
            <w:t xml:space="preserve"> IR 243</w:t>
          </w:r>
          <w:r>
            <w:rPr>
              <w:b/>
              <w:bCs/>
              <w:vertAlign w:val="superscript"/>
            </w:rPr>
            <w:t xml:space="preserve">1 </w:t>
          </w:r>
          <w:r>
            <w:rPr>
              <w:b/>
              <w:bCs/>
            </w:rPr>
            <w:t xml:space="preserve">STRAIPSNIO PRIPAŽINIMO NETEKUSIU GALIOS ĮSTATYMO </w:t>
          </w:r>
          <w:r>
            <w:rPr>
              <w:b/>
              <w:bCs/>
              <w:caps/>
              <w:color w:val="000000"/>
            </w:rPr>
            <w:t xml:space="preserve">projektŲ </w:t>
          </w:r>
          <w:r>
            <w:rPr>
              <w:b/>
              <w:bCs/>
              <w:caps/>
            </w:rPr>
            <w:t>AIŠKINAMASIS RAŠTAS</w:t>
          </w:r>
        </w:p>
        <w:p>
          <w:pPr>
            <w:jc w:val="center"/>
            <w:rPr>
              <w:b/>
              <w:caps/>
              <w:szCs w:val="24"/>
            </w:rPr>
          </w:pPr>
        </w:p>
        <w:sdt>
          <w:sdtPr>
            <w:alias w:val="1 p."/>
            <w:tag w:val="part_bfaa80f03e1540f68644e009d0b938d8"/>
            <w:lock w:val="sdtLocked"/>
            <w:richText/>
          </w:sdtPr>
          <w:sdtContent>
            <w:p>
              <w:pPr>
                <w:spacing w:line="276" w:lineRule="auto"/>
                <w:ind w:firstLine="709"/>
                <w:jc w:val="both"/>
                <w:rPr>
                  <w:b/>
                  <w:bCs/>
                  <w:szCs w:val="24"/>
                </w:rPr>
              </w:pPr>
              <w:sdt>
                <w:sdtPr>
                  <w:alias w:val="Numeris"/>
                  <w:tag w:val="nr_bfaa80f03e1540f68644e009d0b938d8"/>
                  <w:lock w:val="sdtLocked"/>
                  <w:richText/>
                </w:sdtPr>
                <w:sdtContent>
                  <w:r>
                    <w:rPr>
                      <w:b/>
                      <w:bCs/>
                      <w:szCs w:val="24"/>
                    </w:rPr>
                    <w:t>1</w:t>
                  </w:r>
                </w:sdtContent>
              </w:sdt>
              <w:r>
                <w:rPr>
                  <w:b/>
                  <w:bCs/>
                  <w:szCs w:val="24"/>
                </w:rPr>
                <w:t>. Įstatymų projektų rengimą paskatinusios priežastys, parengtų projektų tikslai ir uždaviniai</w:t>
              </w:r>
            </w:p>
            <w:p>
              <w:pPr>
                <w:spacing w:line="276" w:lineRule="auto"/>
                <w:ind w:firstLine="709"/>
                <w:jc w:val="both"/>
                <w:rPr>
                  <w:szCs w:val="24"/>
                  <w:lang w:val="lt"/>
                </w:rPr>
              </w:pPr>
              <w:r>
                <w:rPr>
                  <w:szCs w:val="24"/>
                  <w:lang w:eastAsia="lt-LT"/>
                </w:rPr>
                <w:t xml:space="preserve">Lietuvos Respublikos aplinkos apsaugos įstatymo Nr. I-2223 </w:t>
              </w:r>
              <w:r>
                <w:rPr>
                  <w:caps/>
                  <w:szCs w:val="24"/>
                </w:rPr>
                <w:t>1, 37, 40</w:t>
              </w:r>
              <w:r>
                <w:rPr>
                  <w:caps/>
                  <w:szCs w:val="24"/>
                  <w:vertAlign w:val="superscript"/>
                </w:rPr>
                <w:t>1</w:t>
              </w:r>
              <w:r>
                <w:rPr>
                  <w:caps/>
                  <w:szCs w:val="24"/>
                </w:rPr>
                <w:t xml:space="preserve">, 47, 87, </w:t>
              </w:r>
              <w:r>
                <w:rPr>
                  <w:szCs w:val="24"/>
                </w:rPr>
                <w:t>109</w:t>
              </w:r>
              <w:r>
                <w:rPr>
                  <w:szCs w:val="24"/>
                  <w:vertAlign w:val="superscript"/>
                </w:rPr>
                <w:t>1</w:t>
              </w:r>
              <w:r>
                <w:rPr>
                  <w:caps/>
                  <w:szCs w:val="24"/>
                </w:rPr>
                <w:t>, 110, 122</w:t>
              </w:r>
              <w:r>
                <w:rPr>
                  <w:caps/>
                  <w:szCs w:val="24"/>
                  <w:vertAlign w:val="superscript"/>
                </w:rPr>
                <w:t>4</w:t>
              </w:r>
              <w:r>
                <w:rPr>
                  <w:caps/>
                  <w:szCs w:val="24"/>
                </w:rPr>
                <w:t> </w:t>
              </w:r>
              <w:r>
                <w:rPr>
                  <w:color w:val="000000"/>
                  <w:szCs w:val="24"/>
                </w:rPr>
                <w:t xml:space="preserve">straipsnių ir priedo pakeitimo, Įstatymo papildymo </w:t>
              </w:r>
              <w:r>
                <w:rPr>
                  <w:caps/>
                  <w:color w:val="000000"/>
                  <w:szCs w:val="24"/>
                </w:rPr>
                <w:t>110</w:t>
              </w:r>
              <w:r>
                <w:rPr>
                  <w:caps/>
                  <w:color w:val="000000"/>
                  <w:szCs w:val="24"/>
                  <w:vertAlign w:val="superscript"/>
                </w:rPr>
                <w:t>2</w:t>
              </w:r>
              <w:r>
                <w:rPr>
                  <w:caps/>
                  <w:color w:val="000000"/>
                  <w:szCs w:val="24"/>
                </w:rPr>
                <w:t>, 110</w:t>
              </w:r>
              <w:r>
                <w:rPr>
                  <w:caps/>
                  <w:color w:val="000000"/>
                  <w:szCs w:val="24"/>
                  <w:vertAlign w:val="superscript"/>
                </w:rPr>
                <w:t>3</w:t>
              </w:r>
              <w:r>
                <w:rPr>
                  <w:caps/>
                  <w:color w:val="000000"/>
                  <w:szCs w:val="24"/>
                </w:rPr>
                <w:t>, 110</w:t>
              </w:r>
              <w:r>
                <w:rPr>
                  <w:caps/>
                  <w:szCs w:val="24"/>
                  <w:vertAlign w:val="superscript"/>
                </w:rPr>
                <w:t>4</w:t>
              </w:r>
              <w:r>
                <w:rPr>
                  <w:color w:val="000000"/>
                  <w:szCs w:val="24"/>
                </w:rPr>
                <w:t>,</w:t>
              </w:r>
              <w:r>
                <w:rPr>
                  <w:caps/>
                  <w:color w:val="000000"/>
                  <w:szCs w:val="24"/>
                  <w:vertAlign w:val="superscript"/>
                </w:rPr>
                <w:t xml:space="preserve"> </w:t>
              </w:r>
              <w:r>
                <w:rPr>
                  <w:caps/>
                  <w:color w:val="000000"/>
                  <w:szCs w:val="24"/>
                </w:rPr>
                <w:t>118</w:t>
              </w:r>
              <w:r>
                <w:rPr>
                  <w:caps/>
                  <w:color w:val="000000"/>
                  <w:szCs w:val="24"/>
                  <w:vertAlign w:val="superscript"/>
                </w:rPr>
                <w:t>2</w:t>
              </w:r>
              <w:r>
                <w:rPr>
                  <w:color w:val="000000"/>
                  <w:szCs w:val="24"/>
                  <w:vertAlign w:val="superscript"/>
                </w:rPr>
                <w:t xml:space="preserve"> </w:t>
              </w:r>
              <w:r>
                <w:rPr>
                  <w:color w:val="000000"/>
                  <w:szCs w:val="24"/>
                </w:rPr>
                <w:t xml:space="preserve">straipsniais ir </w:t>
              </w:r>
              <w:r>
                <w:rPr>
                  <w:caps/>
                  <w:color w:val="000000"/>
                  <w:szCs w:val="24"/>
                </w:rPr>
                <w:t>110</w:t>
              </w:r>
              <w:r>
                <w:rPr>
                  <w:caps/>
                  <w:color w:val="000000"/>
                  <w:szCs w:val="24"/>
                  <w:vertAlign w:val="superscript"/>
                </w:rPr>
                <w:t>2</w:t>
              </w:r>
              <w:r>
                <w:rPr>
                  <w:caps/>
                  <w:color w:val="000000"/>
                  <w:szCs w:val="24"/>
                </w:rPr>
                <w:t> </w:t>
              </w:r>
              <w:r>
                <w:rPr>
                  <w:color w:val="000000"/>
                  <w:szCs w:val="24"/>
                </w:rPr>
                <w:t xml:space="preserve">straipsnio pripažinimo netekusiu galios įstatymo projektas </w:t>
              </w:r>
              <w:r>
                <w:rPr>
                  <w:szCs w:val="24"/>
                </w:rPr>
                <w:t xml:space="preserve">(toliau – Įstatymo projektas) </w:t>
              </w:r>
              <w:r>
                <w:rPr>
                  <w:color w:val="000000"/>
                  <w:szCs w:val="24"/>
                </w:rPr>
                <w:t xml:space="preserve">ir Lietuvos Respublikos administracinių nusižengimų kodekso </w:t>
              </w:r>
              <w:r>
                <w:rPr>
                  <w:szCs w:val="24"/>
                </w:rPr>
                <w:t>12, 27, 29, 243</w:t>
              </w:r>
              <w:r>
                <w:rPr>
                  <w:szCs w:val="24"/>
                  <w:vertAlign w:val="superscript"/>
                </w:rPr>
                <w:t>1</w:t>
              </w:r>
              <w:r>
                <w:rPr>
                  <w:szCs w:val="24"/>
                </w:rPr>
                <w:t>, 251, 304</w:t>
              </w:r>
              <w:r>
                <w:rPr>
                  <w:caps/>
                  <w:szCs w:val="24"/>
                  <w:vertAlign w:val="superscript"/>
                </w:rPr>
                <w:t>2</w:t>
              </w:r>
              <w:r>
                <w:rPr>
                  <w:szCs w:val="24"/>
                </w:rPr>
                <w:t>, 308</w:t>
              </w:r>
              <w:r>
                <w:rPr>
                  <w:szCs w:val="24"/>
                  <w:vertAlign w:val="superscript"/>
                </w:rPr>
                <w:t>1</w:t>
              </w:r>
              <w:r>
                <w:rPr>
                  <w:szCs w:val="24"/>
                </w:rPr>
                <w:t xml:space="preserve">, 310, 589 </w:t>
              </w:r>
              <w:r>
                <w:rPr>
                  <w:color w:val="000000"/>
                  <w:szCs w:val="24"/>
                </w:rPr>
                <w:t>straipsnių ir priedo pakeitimo,</w:t>
              </w:r>
              <w:r>
                <w:rPr>
                  <w:szCs w:val="24"/>
                </w:rPr>
                <w:t xml:space="preserve"> Kodekso papildymo 31</w:t>
              </w:r>
              <w:r>
                <w:rPr>
                  <w:szCs w:val="24"/>
                  <w:vertAlign w:val="superscript"/>
                </w:rPr>
                <w:t>2</w:t>
              </w:r>
              <w:r>
                <w:rPr>
                  <w:szCs w:val="24"/>
                </w:rPr>
                <w:t>, 243</w:t>
              </w:r>
              <w:r>
                <w:rPr>
                  <w:szCs w:val="24"/>
                  <w:vertAlign w:val="superscript"/>
                </w:rPr>
                <w:t>2</w:t>
              </w:r>
              <w:r>
                <w:rPr>
                  <w:szCs w:val="24"/>
                </w:rPr>
                <w:t>,</w:t>
              </w:r>
              <w:r>
                <w:rPr>
                  <w:szCs w:val="24"/>
                  <w:vertAlign w:val="superscript"/>
                </w:rPr>
                <w:t xml:space="preserve"> </w:t>
              </w:r>
              <w:r>
                <w:rPr>
                  <w:szCs w:val="24"/>
                </w:rPr>
                <w:t>270</w:t>
              </w:r>
              <w:r>
                <w:rPr>
                  <w:szCs w:val="24"/>
                  <w:vertAlign w:val="superscript"/>
                </w:rPr>
                <w:t>2</w:t>
              </w:r>
              <w:r>
                <w:rPr>
                  <w:szCs w:val="24"/>
                </w:rPr>
                <w:t xml:space="preserve"> straipsniais ir 243</w:t>
              </w:r>
              <w:r>
                <w:rPr>
                  <w:szCs w:val="24"/>
                  <w:vertAlign w:val="superscript"/>
                </w:rPr>
                <w:t>1</w:t>
              </w:r>
              <w:r>
                <w:rPr>
                  <w:szCs w:val="24"/>
                </w:rPr>
                <w:t xml:space="preserve"> straipsnio pripažinimo netekusiu galios įstatymo projektas (toliau – Kodekso projektas) (toliau kartu – Įstatymų projektai) parengti </w:t>
              </w:r>
              <w:r>
                <w:rPr>
                  <w:szCs w:val="24"/>
                  <w:lang w:val="lt"/>
                </w:rPr>
                <w:t xml:space="preserve">siekiant aktualizuoti </w:t>
              </w:r>
              <w:r>
                <w:rPr>
                  <w:color w:val="000000"/>
                  <w:szCs w:val="24"/>
                  <w:lang w:eastAsia="ar-SA"/>
                </w:rPr>
                <w:t>Lietuvos Respublikos aplinkos</w:t>
              </w:r>
              <w:r>
                <w:rPr>
                  <w:szCs w:val="24"/>
                </w:rPr>
                <w:t xml:space="preserve"> apsaugos įstatymo (toliau – </w:t>
              </w:r>
              <w:r>
                <w:rPr>
                  <w:szCs w:val="24"/>
                  <w:lang w:val="lt"/>
                </w:rPr>
                <w:t xml:space="preserve">Įstatymas), </w:t>
              </w:r>
              <w:r>
                <w:rPr>
                  <w:color w:val="000000"/>
                  <w:szCs w:val="24"/>
                </w:rPr>
                <w:t>Lietuvos Respublikos administracinių</w:t>
              </w:r>
              <w:r>
                <w:rPr>
                  <w:szCs w:val="24"/>
                </w:rPr>
                <w:t xml:space="preserve"> teisės pažeidimų kodekso (toliau – Kodeksas)</w:t>
              </w:r>
              <w:r>
                <w:rPr>
                  <w:szCs w:val="24"/>
                  <w:lang w:val="lt"/>
                </w:rPr>
                <w:t xml:space="preserve"> nuostatas, pasikeitus susijusiam tarptautiniam ir nacionaliniam reguliavimui, įgyvendinant įpareigojimus valstybėms narėms nustatyti veiksmingas, proporcingas ir atgrasomas sankcijas, sustiprinti reguliacinę aplinką bei nustatyti tinkamą fizinių ir juridinių asmenų atsakomybę už teisės aktuose numatytų reikalavimų pažeidimus. Įstatymų projektų paketas parengtas vadovaujantis:</w:t>
              </w:r>
            </w:p>
            <w:p>
              <w:pPr>
                <w:spacing w:line="276" w:lineRule="auto"/>
                <w:ind w:firstLine="709"/>
                <w:jc w:val="both"/>
                <w:rPr>
                  <w:szCs w:val="24"/>
                </w:rPr>
              </w:pPr>
              <w:r>
                <w:rPr>
                  <w:szCs w:val="24"/>
                </w:rPr>
                <w:t xml:space="preserve">- 2024 m. birželio 13 d. Europos Parlamento ir Tarybos reglamento </w:t>
              </w:r>
              <w:fldSimple w:instr="HYPERLINK http://eur-lex.europa.eu/legal-content/LIT/TXT/?uri=CELEX:32024R1849&amp;locale=lt \t _blank">
                <w:r>
                  <w:rPr>
                    <w:szCs w:val="24"/>
                    <w:u w:val="single"/>
                    <w:color w:val="0000FF" w:themeColor="hyperlink"/>
                  </w:rPr>
                  <w:t>(ES) 2024/1849</w:t>
                </w:r>
              </w:fldSimple>
              <w:r>
                <w:rPr>
                  <w:szCs w:val="24"/>
                </w:rPr>
                <w:t xml:space="preserve">, kuriuo iš dalies keičiamas reglamentas </w:t>
              </w:r>
              <w:fldSimple w:instr="HYPERLINK http://eur-lex.europa.eu/legal-content/LIT/TXT/?uri=CELEX:32017R0852&amp;locale=lt \t _blank">
                <w:r>
                  <w:rPr>
                    <w:szCs w:val="24"/>
                    <w:u w:val="single"/>
                    <w:color w:val="0000FF" w:themeColor="hyperlink"/>
                  </w:rPr>
                  <w:t>(ES) 2017/852</w:t>
                </w:r>
              </w:fldSimple>
              <w:r>
                <w:rPr>
                  <w:szCs w:val="24"/>
                </w:rPr>
                <w:t xml:space="preserve"> dėl gyvsidabrio, kiek tai susiję su dantų amalgama ir kitais produktais, kurių sudėtyje yra gyvsidabrio ir kuriems taikomi eksporto, importo ir gamybos apribojimai, </w:t>
              </w:r>
              <w:r>
                <w:rPr>
                  <w:szCs w:val="24"/>
                  <w:lang w:eastAsia="lt-LT"/>
                </w:rPr>
                <w:t>1 straipsnio 1 punkto b papunktyje nustatytu draudimu eksportuoti, gaminti ir importuoti</w:t>
              </w:r>
              <w:r>
                <w:rPr>
                  <w:szCs w:val="24"/>
                </w:rPr>
                <w:t xml:space="preserve"> nustatytu dantų amalgamą </w:t>
              </w:r>
              <w:r>
                <w:rPr>
                  <w:szCs w:val="24"/>
                  <w:lang w:eastAsia="lt-LT"/>
                </w:rPr>
                <w:t xml:space="preserve">ir Reglamento </w:t>
              </w:r>
              <w:fldSimple w:instr="HYPERLINK http://eur-lex.europa.eu/legal-content/LIT/TXT/?uri=CELEX:32017R0852&amp;locale=lt \t _blank">
                <w:r>
                  <w:rPr>
                    <w:szCs w:val="24"/>
                    <w:lang w:eastAsia="lt-LT"/>
                    <w:u w:val="single"/>
                    <w:color w:val="0000FF" w:themeColor="hyperlink"/>
                  </w:rPr>
                  <w:t>(ES) 2017/852</w:t>
                </w:r>
              </w:fldSimple>
              <w:r>
                <w:rPr>
                  <w:szCs w:val="24"/>
                  <w:lang w:eastAsia="lt-LT"/>
                </w:rPr>
                <w:t xml:space="preserve"> 16 straipsniu, </w:t>
              </w:r>
              <w:r>
                <w:rPr>
                  <w:szCs w:val="24"/>
                </w:rPr>
                <w:t>įpareigojančiu valstybes nares nustatyti sankcijų už šio reglamento pažeidimus taikymo taisykles ir imtis visų jų įgyvendinimui užtikrinti būtinų priemonių.</w:t>
              </w:r>
            </w:p>
            <w:p>
              <w:pPr>
                <w:spacing w:line="276" w:lineRule="auto"/>
                <w:ind w:firstLine="709"/>
                <w:jc w:val="both"/>
                <w:rPr>
                  <w:szCs w:val="24"/>
                </w:rPr>
              </w:pPr>
              <w:r>
                <w:rPr>
                  <w:szCs w:val="24"/>
                </w:rPr>
                <w:t xml:space="preserve">Įstatymo, Kodekso ir Produktų saugos įstatymo nuostatų nepakanka Reglamentui </w:t>
              </w:r>
              <w:fldSimple w:instr="HYPERLINK http://eur-lex.europa.eu/legal-content/LIT/TXT/?uri=CELEX:32017R0852&amp;locale=lt \t _blank">
                <w:r>
                  <w:rPr>
                    <w:szCs w:val="24"/>
                    <w:u w:val="single"/>
                    <w:color w:val="0000FF" w:themeColor="hyperlink"/>
                  </w:rPr>
                  <w:t>(ES) 2017/852</w:t>
                </w:r>
              </w:fldSimple>
              <w:r>
                <w:rPr>
                  <w:szCs w:val="24"/>
                </w:rPr>
                <w:t xml:space="preserve"> ir jį iš dalies pakeičiančiam Reglamentui </w:t>
              </w:r>
              <w:fldSimple w:instr="HYPERLINK http://eur-lex.europa.eu/legal-content/LIT/TXT/?uri=CELEX:32024R1849&amp;locale=lt \t _blank">
                <w:r>
                  <w:rPr>
                    <w:szCs w:val="24"/>
                    <w:u w:val="single"/>
                    <w:color w:val="0000FF" w:themeColor="hyperlink"/>
                  </w:rPr>
                  <w:t>(ES) 2024/1849</w:t>
                </w:r>
              </w:fldSimple>
              <w:r>
                <w:rPr>
                  <w:szCs w:val="24"/>
                </w:rPr>
                <w:t xml:space="preserve"> tinkamai įgyvendinti. Įstatyme ir Kodekse nėra nuostatų, susijusių su atsakomybe už dantų amalgamos gamybos, importo, eksporto draudimo reikalavimų pažeidimus, kaip to reikalauja Reglamento </w:t>
              </w:r>
              <w:fldSimple w:instr="HYPERLINK http://eur-lex.europa.eu/legal-content/LIT/TXT/?uri=CELEX:32017R0852&amp;locale=lt \t _blank">
                <w:r>
                  <w:rPr>
                    <w:szCs w:val="24"/>
                    <w:u w:val="single"/>
                    <w:color w:val="0000FF" w:themeColor="hyperlink"/>
                  </w:rPr>
                  <w:t>(ES) 2017/852</w:t>
                </w:r>
              </w:fldSimple>
              <w:r>
                <w:rPr>
                  <w:szCs w:val="24"/>
                </w:rPr>
                <w:t xml:space="preserve"> 16 straipsnis. Neveiksminga Reglamente </w:t>
              </w:r>
              <w:fldSimple w:instr="HYPERLINK http://eur-lex.europa.eu/legal-content/LIT/TXT/?uri=CELEX:32017R0852&amp;locale=lt \t _blank">
                <w:r>
                  <w:rPr>
                    <w:szCs w:val="24"/>
                    <w:u w:val="single"/>
                    <w:color w:val="0000FF" w:themeColor="hyperlink"/>
                  </w:rPr>
                  <w:t>(ES) 2017/852</w:t>
                </w:r>
              </w:fldSimple>
              <w:r>
                <w:rPr>
                  <w:szCs w:val="24"/>
                </w:rPr>
                <w:t xml:space="preserve"> nustatyto reikalavimo odontologinės priežiūros (pagalbos) įstaigose įrengti amalgamos separatorius, atitinkančius šiame reglamente nustatytą specifikaciją, vykdymo priežiūra. Šią priežiūrą vykdantys Aplinkos apsaugos departamento inspektoriai neturi specialiųjų medicinos ir visuomenės (asmens) sveikatos priežiūros srities žinių, kad galėtų tinkamai vykdyti jiems pavestas užduotis. Nacionalinis visuomenės sveikatos centras prie Sveikatos apsaugos ministerijos (toliau – NVSC), vadovaudamasis Lietuvos Respublikos visuomenės sveikatos priežiūros įstatymu ir kitais susijusiais šios srities teisės aktais, vykdo odontologinės priežiūros (pagalbos) paslaugas teikiančių įstaigų veiklos priežiūrą (kontrolę), tikrina atitiktį teisės aktuose nustatytiems reikalavimams. NVSC kompetencija dantų amalgamos separatorių įrengimo odontologijos klinikose kontrolės srityje neapibrėžta teisės aktais, todėl tokių patikrinimų šios institucijos specialistai negali atlikti, nors turi tinkamą visuomenės sveikatos priežiūros ir medicinos srities kompetenciją;</w:t>
              </w:r>
            </w:p>
            <w:p>
              <w:pPr>
                <w:spacing w:line="276" w:lineRule="auto"/>
                <w:ind w:firstLine="709"/>
                <w:jc w:val="both"/>
                <w:rPr>
                  <w:color w:val="000000"/>
                  <w:szCs w:val="24"/>
                </w:rPr>
              </w:pPr>
              <w:r>
                <w:rPr>
                  <w:color w:val="000000"/>
                  <w:szCs w:val="24"/>
                </w:rPr>
                <w:t xml:space="preserve">- 2024 m. balandžio 11 d Europos Parlamento ir Tarybos reglamento </w:t>
              </w:r>
              <w:fldSimple w:instr="HYPERLINK http://eur-lex.europa.eu/legal-content/LIT/TXT/?uri=CELEX:32024R1157&amp;locale=lt \t _blank">
                <w:r>
                  <w:rPr>
                    <w:color w:val="0000FF" w:themeColor="hyperlink"/>
                    <w:szCs w:val="24"/>
                    <w:u w:val="single"/>
                  </w:rPr>
                  <w:t>(ES) 2024/1157</w:t>
                </w:r>
              </w:fldSimple>
              <w:r>
                <w:rPr>
                  <w:color w:val="000000"/>
                  <w:szCs w:val="24"/>
                </w:rPr>
                <w:t xml:space="preserve"> dėl atliekų vežimo, kuriuo iš dalies keičiami reglamentai </w:t>
              </w:r>
              <w:fldSimple w:instr="HYPERLINK http://eur-lex.europa.eu/legal-content/LIT/TXT/?uri=CELEX:32013R1257&amp;locale=lt \t _blank">
                <w:r>
                  <w:rPr>
                    <w:color w:val="0000FF" w:themeColor="hyperlink"/>
                    <w:szCs w:val="24"/>
                    <w:u w:val="single"/>
                  </w:rPr>
                  <w:t>(ES) Nr. 1257/2013</w:t>
                </w:r>
              </w:fldSimple>
              <w:r>
                <w:rPr>
                  <w:color w:val="000000"/>
                  <w:szCs w:val="24"/>
                </w:rPr>
                <w:t xml:space="preserve"> ir </w:t>
              </w:r>
              <w:fldSimple w:instr="HYPERLINK http://eur-lex.europa.eu/legal-content/LIT/TXT/?uri=CELEX:32020R1056&amp;locale=lt \t _blank">
                <w:r>
                  <w:rPr>
                    <w:color w:val="0000FF" w:themeColor="hyperlink"/>
                    <w:szCs w:val="24"/>
                    <w:u w:val="single"/>
                  </w:rPr>
                  <w:t>(ES) 2020/1056</w:t>
                </w:r>
              </w:fldSimple>
              <w:r>
                <w:rPr>
                  <w:color w:val="000000"/>
                  <w:szCs w:val="24"/>
                </w:rPr>
                <w:t xml:space="preserve"> ir panaikinamas Reglamentas </w:t>
              </w:r>
              <w:fldSimple w:instr="HYPERLINK http://eur-lex.europa.eu/legal-content/LIT/TXT/?uri=CELEX:32006R1013&amp;locale=lt \t _blank">
                <w:r>
                  <w:rPr>
                    <w:color w:val="0000FF" w:themeColor="hyperlink"/>
                    <w:szCs w:val="24"/>
                    <w:u w:val="single"/>
                  </w:rPr>
                  <w:t>(EB) Nr. 1013/2006</w:t>
                </w:r>
              </w:fldSimple>
              <w:r>
                <w:rPr>
                  <w:color w:val="000000"/>
                  <w:szCs w:val="24"/>
                </w:rPr>
                <w:t>, 63</w:t>
              </w:r>
              <w:r>
                <w:rPr>
                  <w:szCs w:val="24"/>
                </w:rPr>
                <w:t xml:space="preserve"> straipsnyje nustatytu reikalavimu numatyti atsakomybę už šio reglamento pažeidimus, pvz., už šio reglamento </w:t>
              </w:r>
              <w:r>
                <w:rPr>
                  <w:color w:val="000000"/>
                  <w:szCs w:val="24"/>
                </w:rPr>
                <w:t>4, 5, 6, 7, 16, 17, 18 straipsniuose ir 4 skyriuje nustatytų reikalavimų nevykdymą;</w:t>
              </w:r>
            </w:p>
            <w:p>
              <w:pPr>
                <w:spacing w:line="276" w:lineRule="auto"/>
                <w:ind w:firstLine="709"/>
                <w:jc w:val="both"/>
                <w:rPr>
                  <w:szCs w:val="24"/>
                </w:rPr>
              </w:pPr>
              <w:r>
                <w:rPr>
                  <w:szCs w:val="24"/>
                </w:rPr>
                <w:t xml:space="preserve">- 2024 m. vasario 7 d. Europos Parlamento ir Tarybos reglamento </w:t>
              </w:r>
              <w:fldSimple w:instr="HYPERLINK http://eur-lex.europa.eu/legal-content/LIT/TXT/?uri=CELEX:32024R0590&amp;locale=lt \t _blank">
                <w:r>
                  <w:rPr>
                    <w:szCs w:val="24"/>
                    <w:u w:val="single"/>
                    <w:color w:val="0000FF" w:themeColor="hyperlink"/>
                  </w:rPr>
                  <w:t>(ES) 2024/590</w:t>
                </w:r>
              </w:fldSimple>
              <w:r>
                <w:rPr>
                  <w:szCs w:val="24"/>
                </w:rPr>
                <w:t xml:space="preserve"> dėl ozono sluoksnį ardančių medžiagų, kuriuo panaikinamas Reglamentas </w:t>
              </w:r>
              <w:fldSimple w:instr="HYPERLINK http://eur-lex.europa.eu/legal-content/LIT/TXT/?uri=CELEX:32009R1005&amp;locale=lt \t _blank">
                <w:r>
                  <w:rPr>
                    <w:szCs w:val="24"/>
                    <w:u w:val="single"/>
                    <w:color w:val="0000FF" w:themeColor="hyperlink"/>
                  </w:rPr>
                  <w:t>(EB) Nr. 1005/2009</w:t>
                </w:r>
              </w:fldSimple>
              <w:r>
                <w:rPr>
                  <w:szCs w:val="24"/>
                </w:rPr>
                <w:t>, 27 straipsnyje nustatytu reikalavimu numatyti atsakomybę už šio reglamento pažeidimus;</w:t>
              </w:r>
            </w:p>
            <w:p>
              <w:pPr>
                <w:spacing w:line="276" w:lineRule="auto"/>
                <w:ind w:firstLine="709"/>
                <w:jc w:val="both"/>
                <w:rPr>
                  <w:szCs w:val="24"/>
                </w:rPr>
              </w:pPr>
              <w:r>
                <w:rPr>
                  <w:szCs w:val="24"/>
                </w:rPr>
                <w:t xml:space="preserve">- 2023 m. gegužės 31 d. Europos Parlamento ir Tarybos reglamento </w:t>
              </w:r>
              <w:fldSimple w:instr="HYPERLINK http://eur-lex.europa.eu/legal-content/LIT/TXT/?uri=CELEX:32023R1115&amp;locale=lt \t _blank">
                <w:r>
                  <w:rPr>
                    <w:szCs w:val="24"/>
                    <w:u w:val="single"/>
                    <w:color w:val="0000FF" w:themeColor="hyperlink"/>
                  </w:rPr>
                  <w:t>(ES) 2023/1115</w:t>
                </w:r>
              </w:fldSimple>
              <w:r>
                <w:rPr>
                  <w:szCs w:val="24"/>
                </w:rPr>
                <w:t xml:space="preserve"> dėl tam tikrų su miškų naikinimu ir alinimu siejamų biržos prekių ir produktų tiekimo Sąjungos rinkai ir jų eksporto iš Sąjungos, kuriuo panaikinimas Reglamentas </w:t>
              </w:r>
              <w:fldSimple w:instr="HYPERLINK http://eur-lex.europa.eu/legal-content/LIT/TXT/?uri=CELEX:32010R0995&amp;locale=lt \t _blank">
                <w:r>
                  <w:rPr>
                    <w:szCs w:val="24"/>
                    <w:u w:val="single"/>
                    <w:color w:val="0000FF" w:themeColor="hyperlink"/>
                  </w:rPr>
                  <w:t>(ES) Nr. 995/2010</w:t>
                </w:r>
              </w:fldSimple>
              <w:r>
                <w:rPr>
                  <w:szCs w:val="24"/>
                </w:rPr>
                <w:t xml:space="preserve">, 25 straipsnyje nustatytomis sankcijomis, siekiant sukurti </w:t>
              </w:r>
              <w:r>
                <w:rPr>
                  <w:color w:val="000000"/>
                  <w:szCs w:val="24"/>
                </w:rPr>
                <w:t xml:space="preserve">atgrasomąjį poveikį veiklos vykdytojams ir prekiautojams neteikti/netiekti rinkai, neeksportuoti biržos prekių ir atitinkamų produktų, kurie susiję su miškų naikinimu ir alinimu, taip prisidedant prie pasaulinės miškų naikinimo ir alinimo problemos sprendimo </w:t>
              </w:r>
              <w:r>
                <w:rPr>
                  <w:szCs w:val="24"/>
                </w:rPr>
                <w:t xml:space="preserve">bei įgyvendinant Reglamento </w:t>
              </w:r>
              <w:fldSimple w:instr="HYPERLINK http://eur-lex.europa.eu/legal-content/LIT/TXT/?uri=CELEX:32023R1115&amp;locale=lt \t _blank">
                <w:r>
                  <w:rPr>
                    <w:szCs w:val="24"/>
                    <w:u w:val="single"/>
                    <w:color w:val="0000FF" w:themeColor="hyperlink"/>
                  </w:rPr>
                  <w:t>(ES) 2023/1115</w:t>
                </w:r>
              </w:fldSimple>
              <w:r>
                <w:rPr>
                  <w:szCs w:val="24"/>
                </w:rPr>
                <w:t xml:space="preserve"> įpareigojimus valstybėms narėms nustatyti veiksmingas, proporcingas ir atgrasomas sankcijas;</w:t>
              </w:r>
            </w:p>
            <w:p>
              <w:pPr>
                <w:spacing w:line="276" w:lineRule="auto"/>
                <w:ind w:firstLine="709"/>
                <w:jc w:val="both"/>
                <w:rPr>
                  <w:szCs w:val="24"/>
                </w:rPr>
              </w:pPr>
              <w:r>
                <w:rPr>
                  <w:szCs w:val="24"/>
                </w:rPr>
                <w:t xml:space="preserve">- </w:t>
              </w:r>
              <w:r>
                <w:rPr>
                  <w:color w:val="000000"/>
                  <w:szCs w:val="24"/>
                </w:rPr>
                <w:t xml:space="preserve">2023 m. gegužės 11 d. Europos Parlamento ir Tarybos reglamento </w:t>
              </w:r>
              <w:fldSimple w:instr="HYPERLINK http://eur-lex.europa.eu/legal-content/LIT/TXT/?uri=CELEX:32023R0956&amp;locale=lt \t _blank">
                <w:r>
                  <w:rPr>
                    <w:color w:val="0000FF" w:themeColor="hyperlink"/>
                    <w:szCs w:val="24"/>
                    <w:u w:val="single"/>
                  </w:rPr>
                  <w:t>(ES) 2023/956</w:t>
                </w:r>
              </w:fldSimple>
              <w:r>
                <w:rPr>
                  <w:color w:val="000000"/>
                  <w:szCs w:val="24"/>
                </w:rPr>
                <w:t xml:space="preserve">, kuriuo nustatomas pasienio anglies dioksido korekcinis mechanizmas, 26 ir 35 straipsnyje nustatytomis sankcijomis, siekiant nustatyti atsakomybę už šio reglamento pažeidimus dėl ataskaitų ir (ar) deklaracijų nepateikimo, sertifikatų neatsisakymo ir importo neturint įgaliotojo deklaranto statuso, taip prisidėti prie anglies dioksido nutekėjimo mažinimo ir įgyvendinti Reglamento </w:t>
              </w:r>
              <w:fldSimple w:instr="HYPERLINK http://eur-lex.europa.eu/legal-content/LIT/TXT/?uri=CELEX:32023R0956&amp;locale=lt \t _blank">
                <w:r>
                  <w:rPr>
                    <w:color w:val="0000FF" w:themeColor="hyperlink"/>
                    <w:szCs w:val="24"/>
                    <w:u w:val="single"/>
                  </w:rPr>
                  <w:t>(ES) 2023/956</w:t>
                </w:r>
              </w:fldSimple>
              <w:r>
                <w:rPr>
                  <w:color w:val="000000"/>
                  <w:szCs w:val="24"/>
                </w:rPr>
                <w:t xml:space="preserve"> įpareigojimus valstybėms narėms nustatyti veiksmingas ir atgrasomas sankcijas;</w:t>
              </w:r>
            </w:p>
            <w:p>
              <w:pPr>
                <w:spacing w:line="276" w:lineRule="auto"/>
                <w:ind w:firstLine="709"/>
                <w:jc w:val="both"/>
                <w:rPr>
                  <w:szCs w:val="24"/>
                </w:rPr>
              </w:pPr>
              <w:r>
                <w:rPr>
                  <w:szCs w:val="24"/>
                </w:rPr>
                <w:t xml:space="preserve">- 2023 m. rugsėjo 13 d. Europos Parlamento ir Tarybos reglamento </w:t>
              </w:r>
              <w:fldSimple w:instr="HYPERLINK http://eur-lex.europa.eu/legal-content/LIT/TXT/?uri=CELEX:32023R1805&amp;locale=lt \t _blank">
                <w:r>
                  <w:rPr>
                    <w:szCs w:val="24"/>
                    <w:u w:val="single"/>
                    <w:color w:val="0000FF" w:themeColor="hyperlink"/>
                  </w:rPr>
                  <w:t>(ES) 2023/1805</w:t>
                </w:r>
              </w:fldSimple>
              <w:r>
                <w:rPr>
                  <w:szCs w:val="24"/>
                </w:rPr>
                <w:t xml:space="preserve"> dėl atsinaujinančiųjų energijos išteklių ir mažo anglies dioksido pėdsako kuro naudojimo jūrų transporto sektoriuje, kuriuo iš dalies keičiama Direktyva </w:t>
              </w:r>
              <w:fldSimple w:instr="HYPERLINK http://eur-lex.europa.eu/legal-content/LIT/TXT/?uri=CELEX:32009L0016&amp;locale=lt \t _blank">
                <w:r>
                  <w:rPr>
                    <w:szCs w:val="24"/>
                    <w:u w:val="single"/>
                    <w:color w:val="0000FF" w:themeColor="hyperlink"/>
                  </w:rPr>
                  <w:t>2009/16/EB</w:t>
                </w:r>
              </w:fldSimple>
              <w:r>
                <w:rPr>
                  <w:szCs w:val="24"/>
                </w:rPr>
                <w:t>, 23</w:t>
              </w:r>
              <w:r>
                <w:rPr>
                  <w:szCs w:val="24"/>
                  <w:lang w:eastAsia="lt-LT"/>
                </w:rPr>
                <w:t>–</w:t>
              </w:r>
              <w:r>
                <w:rPr>
                  <w:szCs w:val="24"/>
                </w:rPr>
                <w:t>25 straipsniuose nustatytais reikalavimais neviršyti laive sunaudojamai energijai tenkančios šiltnamio efektą sukeliančių dujų (toliau – ŠESD) taršos vidutinės metinės ribos, turėti atitinkamam laivui išduotą „FuelEU“ atitikties patvirtinimo dokumentą, sumokėti „FuelEU“ baudą;</w:t>
              </w:r>
            </w:p>
            <w:p>
              <w:pPr>
                <w:spacing w:line="276" w:lineRule="auto"/>
                <w:ind w:firstLine="709"/>
                <w:jc w:val="both"/>
                <w:rPr>
                  <w:color w:val="000000"/>
                  <w:szCs w:val="24"/>
                </w:rPr>
              </w:pPr>
              <w:r>
                <w:rPr>
                  <w:szCs w:val="24"/>
                </w:rPr>
                <w:t xml:space="preserve">- </w:t>
              </w:r>
              <w:r>
                <w:rPr>
                  <w:color w:val="000000"/>
                  <w:szCs w:val="24"/>
                </w:rPr>
                <w:t xml:space="preserve">2024 m. balandžio 11 d Europos Parlamento ir Tarybos Direktyvos </w:t>
              </w:r>
              <w:fldSimple w:instr="HYPERLINK http://eur-lex.europa.eu/legal-content/LIT/TXT/?uri=CELEX:32024L1203&amp;locale=lt \t _blank">
                <w:r>
                  <w:rPr>
                    <w:color w:val="0000FF" w:themeColor="hyperlink"/>
                    <w:szCs w:val="24"/>
                    <w:u w:val="single"/>
                  </w:rPr>
                  <w:t>(ES) 2024/1203</w:t>
                </w:r>
              </w:fldSimple>
              <w:r>
                <w:rPr>
                  <w:color w:val="000000"/>
                  <w:szCs w:val="24"/>
                </w:rPr>
                <w:t xml:space="preserve"> dėl aplinkos apsaugos baudžiamosios teisės priemonėmis, kuria pakeičiamos direktyvos </w:t>
              </w:r>
              <w:fldSimple w:instr="HYPERLINK http://eur-lex.europa.eu/legal-content/LIT/TXT/?uri=CELEX:32008L0099&amp;locale=lt \t _blank">
                <w:r>
                  <w:rPr>
                    <w:color w:val="0000FF" w:themeColor="hyperlink"/>
                    <w:szCs w:val="24"/>
                    <w:u w:val="single"/>
                  </w:rPr>
                  <w:t>2008/99/EB</w:t>
                </w:r>
              </w:fldSimple>
              <w:r>
                <w:rPr>
                  <w:color w:val="000000"/>
                  <w:szCs w:val="24"/>
                </w:rPr>
                <w:t xml:space="preserve"> ir </w:t>
              </w:r>
              <w:fldSimple w:instr="HYPERLINK http://eur-lex.europa.eu/legal-content/LIT/TXT/?uri=CELEX:32009L0123&amp;locale=lt \t _blank">
                <w:r>
                  <w:rPr>
                    <w:color w:val="0000FF" w:themeColor="hyperlink"/>
                    <w:szCs w:val="24"/>
                    <w:u w:val="single"/>
                  </w:rPr>
                  <w:t>2009/123/EB</w:t>
                </w:r>
              </w:fldSimple>
              <w:r>
                <w:rPr>
                  <w:color w:val="000000"/>
                  <w:szCs w:val="24"/>
                </w:rPr>
                <w:t xml:space="preserve">. (toliau – Direktyva </w:t>
              </w:r>
              <w:fldSimple w:instr="HYPERLINK http://eur-lex.europa.eu/legal-content/LIT/TXT/?uri=CELEX:32024L1203&amp;locale=lt \t _blank">
                <w:r>
                  <w:rPr>
                    <w:color w:val="0000FF" w:themeColor="hyperlink"/>
                    <w:szCs w:val="24"/>
                    <w:u w:val="single"/>
                  </w:rPr>
                  <w:t>(ES) 2024/1203</w:t>
                </w:r>
              </w:fldSimple>
              <w:r>
                <w:rPr>
                  <w:color w:val="000000"/>
                  <w:szCs w:val="24"/>
                </w:rPr>
                <w:t xml:space="preserve">) 28 straipsnyje nustatytais reikalavimais, kad valstybės narės, priimdamos Direktyvos </w:t>
              </w:r>
              <w:fldSimple w:instr="HYPERLINK http://eur-lex.europa.eu/legal-content/LIT/TXT/?uri=CELEX:32024L1203&amp;locale=lt \t _blank">
                <w:r>
                  <w:rPr>
                    <w:color w:val="0000FF" w:themeColor="hyperlink"/>
                    <w:szCs w:val="24"/>
                    <w:u w:val="single"/>
                  </w:rPr>
                  <w:t>(ES) 2024/1203</w:t>
                </w:r>
              </w:fldSimple>
              <w:r>
                <w:rPr>
                  <w:color w:val="000000"/>
                  <w:szCs w:val="24"/>
                </w:rPr>
                <w:t xml:space="preserve"> nuostatas, daro jose nuorodą į šią direktyvą;</w:t>
              </w:r>
            </w:p>
            <w:p>
              <w:pPr>
                <w:spacing w:line="276" w:lineRule="auto"/>
                <w:ind w:firstLine="709"/>
                <w:jc w:val="both"/>
                <w:rPr>
                  <w:color w:val="000000"/>
                  <w:szCs w:val="24"/>
                </w:rPr>
              </w:pPr>
              <w:r>
                <w:rPr>
                  <w:color w:val="000000"/>
                  <w:szCs w:val="24"/>
                </w:rPr>
                <w:t xml:space="preserve">- Įgyvendinant Europos Sąjungos teisės pažeidimo procedūros Nr. 2016/2193 dėl 1991 m. gegužės 21 d. Tarybos direktyvos </w:t>
              </w:r>
              <w:fldSimple w:instr="HYPERLINK http://eur-lex.europa.eu/legal-content/LIT/TXT/?uri=CELEX:31991L0271&amp;locale=lt \t _blank">
                <w:r>
                  <w:rPr>
                    <w:color w:val="0000FF" w:themeColor="hyperlink"/>
                    <w:szCs w:val="24"/>
                    <w:u w:val="single"/>
                  </w:rPr>
                  <w:t>91/271/EEB</w:t>
                </w:r>
              </w:fldSimple>
              <w:r>
                <w:rPr>
                  <w:color w:val="000000"/>
                  <w:szCs w:val="24"/>
                </w:rPr>
                <w:t xml:space="preserve"> dėl miesto nuotėkų valymo reikalavimų rekomendacijas buvo koreguotas teisinis reglamentavimas, Lietuvos Respublikos geriamojo vandens tiekimo ir nuotekų tvarko įstatymo (toliau – GVTINTĮ) 17 straipsnyje nustatytas Nuotekų tvarkymo informacinės sistemos (toliau – NTIS) steigimo teisinis reguliavimas. NTIS skirta individualių nuotekų tvarkymo įrenginių apskaitai (inventorizacijai), eksploatavimo stebėsenai ir kontrolei, Europos Komisijai reikalingų duomenų apie individualiai tvarkomas nuotekas surinkimo optimizavimui.</w:t>
              </w:r>
            </w:p>
            <w:p>
              <w:pPr>
                <w:spacing w:line="276" w:lineRule="auto"/>
                <w:ind w:firstLine="709"/>
                <w:jc w:val="both"/>
                <w:rPr>
                  <w:color w:val="000000"/>
                  <w:szCs w:val="24"/>
                </w:rPr>
              </w:pPr>
              <w:r>
                <w:rPr>
                  <w:color w:val="000000"/>
                  <w:szCs w:val="24"/>
                </w:rPr>
                <w:t>GVTINTĮ 23 str. 2 d. 3 p. nustato, kad asmenys, individualiai tvarkantys nuotekas, privalo ne rečiau kaip vieną kartą per kalendorinius metus savo lėšomis organizuoti į aplinką išleidžiamų nuotekų laboratorinę kontrolę. Iki šiol valstybinę aplinkos apsaugos kontrolę vykdanti institucija per metus patikrindavo nedidelę dalį individualių nuotekų tvarkymo įrenginių. Ženkliai padidėjus laboratorinių patikrinimų apimtims, tikėtina, kad atitinkamai daugiau bus nustatoma atvejų, kai į aplinką išleidžiamos nuotekos neatitiks reikalavimų, nustatytų Nuotekų tvarkymo reglamente, patvirtintame Lietuvos Respublikos aplinkos ministro 2026 m. gegužės 17 d. įsakymu Nr. D1-236 „Dėl nuotekų tvarkymo reglamento patvirtinimo“. Kiekvienu neatitikties reikalavimams atveju, valstybinę aplinkos apsaugos kontrolę vykdanti institucija privalėtų pradėti procedūrą dėl administracinės atsakomybės. Siekiant to išvengti, reikia patikslinti Kodekso 12 straipsnį;</w:t>
              </w:r>
            </w:p>
            <w:p>
              <w:pPr>
                <w:spacing w:line="276" w:lineRule="auto"/>
                <w:ind w:firstLine="709"/>
                <w:jc w:val="both"/>
                <w:rPr>
                  <w:color w:val="000000"/>
                  <w:szCs w:val="24"/>
                </w:rPr>
              </w:pPr>
              <w:r>
                <w:rPr>
                  <w:color w:val="000000"/>
                  <w:szCs w:val="24"/>
                </w:rPr>
                <w:t>- kad 2022 m. spalio 27 d. priimtas Lietuvos Respublikos geriamojo vandens tiekimo ir nuotekų tvarkymo įstatymo Nr. X-764 pakeitimo įstatymas Nr. XIV-1466. Šiuo pakeitimu savivaldybių vykdomosioms institucijoms pavesta organizuoti patikrą, ar asmenys, individualiai tvarkantys nuotekas, turi apmokėjimą už sukauptų nuotekų transportavimą patvirtinančius dokumentus arba viešąją sutartį su geriamojo vandens tiekėju ar garantiniu vandens tiekėju, arba sutartį su nuotekų transportavimo paslaugas teikiančiu asmeniu arba individualiųjų nuotekų valymo ir (arba) kaupimo įrenginių priežiūrą vykdančiu asmeniu, ar individualiųjų nuotekų valymo įrenginių priežiūra (eksploatacija) vykdoma aplinkos ministro tvirtinamų nuotekų kaupimo rezervuarų ir septikų įrengimo, eksploatavimo ir kontrolės tvarkos apraše ir nuotekų valymo įrenginių taikymo reglamente nustatyta tvarka. Atitinkamai buvo pakeistas Kodekso 589 str., 82 punktas numatant, kad savivaldybių administracijos taiko atsakomybę dėl 268 straipsnio 7, 8 dalyse numatytų nusižengimų. Tačiau Kodekso 589 str. 31 punktas liko nepakeistas, kas reiškia, jog aplinkos apsaugos valstybinės kontrolės pareigūnai taiko atsakomybę už visame 268 str. numatytus pažeidimus. Todėl yra poreikis patikslinti Kodekso 589 straipsnio 31 punktą.</w:t>
              </w:r>
            </w:p>
            <w:p>
              <w:pPr>
                <w:spacing w:line="276" w:lineRule="auto"/>
                <w:ind w:firstLine="709"/>
                <w:jc w:val="both"/>
                <w:rPr>
                  <w:color w:val="000000"/>
                  <w:szCs w:val="24"/>
                </w:rPr>
              </w:pPr>
              <w:r>
                <w:rPr>
                  <w:color w:val="000000"/>
                  <w:szCs w:val="24"/>
                </w:rPr>
                <w:t>Patikslinti Kodekso 589 straipsnio 31 punktą papildomai poreikis yra ir dėl 2024 m. gegužės 16 d. priimto Lietuvos Respublikos aplinkos oro apsaugos įstatymo Nr. VIII-1329 2, 4, 5, 7, 9, 10, 13 ir 17 straipsnių pakeitimo ir įstatymo papildymo 5</w:t>
              </w:r>
              <w:r>
                <w:rPr>
                  <w:color w:val="000000"/>
                  <w:szCs w:val="24"/>
                  <w:vertAlign w:val="superscript"/>
                </w:rPr>
                <w:t>1</w:t>
              </w:r>
              <w:r>
                <w:rPr>
                  <w:color w:val="000000"/>
                  <w:szCs w:val="24"/>
                </w:rPr>
                <w:t xml:space="preserve"> straipsniu įstatymo Nr. XIV-2661 ir Lietuvos Respublikos administracinių nusižengimų kodekso 242, 268, 286 ir 589 straipsnių pakeitimo įstatymo Nr. XIV-2662. Pakeisto Aplinkos oro apsaugos įstatymo 4 straipsnio 5 dalyje nustatyta, kad šio įstatymo 10 straipsnio 8 dalyje nurodyto sprendimo savivaldybės teritorijoje apriboti arba uždrausti naudoti vienos ar daugiau rūšių kurą, šio įstatymo 13 straipsnio 6 dalyje nustatyto draudimo deginti kietąjį iškastinį kurą buitiniuose taršos šaltiniuose ir šio įstatymo 20 straipsnio 2 dalyje nustatyto draudimo deginti atliekas buitiniuose taršos šaltiniuose laikymosi kontrolę vykdo savivaldybės administracijos direktoriaus įgalioti savivaldybės administracijos valstybės tarnautojai. Dėl Aplinkos oro apsaugos įstatymo naujos 10 straipsnio 8 dalies ir naujos 13 straipsnio 6 dalies bei veiksmingesnio 20 straipsnio 2 dalies įgyvendinimo, Kodekso 242 straipsnis papildytas naujomis 4 ir 5 dalimis, o 589 straipsnio 82 punkte nustatyta, kad dėl 242 straipsnio naujose 4 ir 5 dalyse numatytų administracinių nusižengimų atsakomybę taiko savivaldybių administracijų pareigūnai. Tačiau Kodekso 589 straipsnio 31 punktas liko nepakeistas, kas reiškia, kad aplinkos apsaugos valstybinės kontrolės pareigūnai taiko atsakomybę už visame Kodekso 242 straipsnyje numatytus pažeidimus.</w:t>
              </w:r>
            </w:p>
            <w:p>
              <w:pPr>
                <w:spacing w:line="276" w:lineRule="auto"/>
                <w:ind w:firstLine="709"/>
                <w:jc w:val="both"/>
                <w:rPr>
                  <w:szCs w:val="24"/>
                </w:rPr>
              </w:pPr>
              <w:r>
                <w:rPr>
                  <w:szCs w:val="24"/>
                </w:rPr>
                <w:t>Patikslinti Kodekso 304</w:t>
              </w:r>
              <w:r>
                <w:rPr>
                  <w:szCs w:val="24"/>
                  <w:vertAlign w:val="superscript"/>
                </w:rPr>
                <w:t>2</w:t>
              </w:r>
              <w:r>
                <w:rPr>
                  <w:szCs w:val="24"/>
                </w:rPr>
                <w:t xml:space="preserve"> straipsnio 1 dalį ir Įstatymo 122</w:t>
              </w:r>
              <w:r>
                <w:rPr>
                  <w:szCs w:val="24"/>
                  <w:vertAlign w:val="superscript"/>
                </w:rPr>
                <w:t>4</w:t>
              </w:r>
              <w:r>
                <w:rPr>
                  <w:szCs w:val="24"/>
                </w:rPr>
                <w:t xml:space="preserve"> straipsnio 1 dalį prireikė dėl nepakankamo Lietuvos Respublikos laukinės gyvūnijos įstatymo 24 straipsnio 6 dalies ir Lietuvos Respublikos laukinių augalų ir grybų įstatymo 13 straipsnio 6 dalies įgyvendinimo, kur numatyta, kad Aplinkos ministerija ir (ar) jos įgaliota institucija priima sprendimus dėl invazinių rūšių plitimo prevencijos ir valdymo priemonių, nustato įpareigojimus vandens telkinių ir žemės savininkams, naudotojams ir valdytojams dėl atskirų invazinių rūšių, kurios nurodomos Invazinių rūšių valdymo ir naikinimo tvarkos apraše, naikinimo priemonių, kuriomis siekiama užtikrinti, kad invazinės rūšys neplistų į gretimus sklypus ar vandens telkinius, įgyvendinimo. Įpareigojimai dėl atskirų invazinių rūšių naikinimo priemonių įgyvendinimo nustatomi atsižvelgiant į šių rūšių daromą neigiamą poveikį biologinei įvairovei, žmonių sveikatai, plitimo ypatumus ir į naikinimo priemonių veiksmingumą.</w:t>
              </w:r>
            </w:p>
            <w:p>
              <w:pPr>
                <w:spacing w:line="276" w:lineRule="auto"/>
                <w:ind w:firstLine="709"/>
                <w:jc w:val="both"/>
                <w:rPr>
                  <w:szCs w:val="24"/>
                </w:rPr>
              </w:pPr>
            </w:p>
          </w:sdtContent>
        </w:sdt>
        <w:sdt>
          <w:sdtPr>
            <w:alias w:val="2 p."/>
            <w:tag w:val="part_ccc05101fbb246879e0c3403da8c455b"/>
            <w:lock w:val="sdtLocked"/>
            <w:richText/>
          </w:sdtPr>
          <w:sdtContent>
            <w:p>
              <w:pPr>
                <w:spacing w:line="276" w:lineRule="auto"/>
                <w:ind w:firstLine="709"/>
                <w:jc w:val="both"/>
                <w:rPr>
                  <w:b/>
                  <w:szCs w:val="24"/>
                </w:rPr>
              </w:pPr>
              <w:sdt>
                <w:sdtPr>
                  <w:alias w:val="Numeris"/>
                  <w:tag w:val="nr_ccc05101fbb246879e0c3403da8c455b"/>
                  <w:lock w:val="sdtLocked"/>
                  <w:richText/>
                </w:sdtPr>
                <w:sdtContent>
                  <w:r>
                    <w:rPr>
                      <w:b/>
                      <w:bCs/>
                      <w:szCs w:val="24"/>
                    </w:rPr>
                    <w:t>2</w:t>
                  </w:r>
                </w:sdtContent>
              </w:sdt>
              <w:r>
                <w:rPr>
                  <w:b/>
                  <w:bCs/>
                  <w:szCs w:val="24"/>
                </w:rPr>
                <w:t>. Įstatymų projektų iniciatoriai ir rengėjai</w:t>
              </w:r>
            </w:p>
            <w:p>
              <w:pPr>
                <w:shd w:val="clear" w:color="auto" w:fill="FFFFFF"/>
                <w:spacing w:line="276" w:lineRule="auto"/>
                <w:ind w:firstLine="709"/>
                <w:jc w:val="both"/>
                <w:rPr>
                  <w:szCs w:val="24"/>
                  <w:lang w:bidi="en-US"/>
                </w:rPr>
              </w:pPr>
              <w:r>
                <w:rPr>
                  <w:rFonts w:eastAsia="Andale Sans UI"/>
                  <w:szCs w:val="24"/>
                  <w:lang w:bidi="en-US"/>
                </w:rPr>
                <w:t>Įstatymų projektus parengė Aplinkos ministerijos Atliekų politikos grupės (vadovė Vilma Slavinskienė, tel. +370 698 75 027, el. p. </w:t>
              </w:r>
              <w:r>
                <w:rPr>
                  <w:rFonts w:eastAsia="Andale Sans UI"/>
                  <w:color w:val="0563C1"/>
                  <w:szCs w:val="24"/>
                  <w:u w:val="single"/>
                  <w:lang w:bidi="en-US"/>
                </w:rPr>
                <w:t>vilma.slavinskiene@am.lt</w:t>
              </w:r>
              <w:r>
                <w:rPr>
                  <w:rFonts w:eastAsia="Andale Sans UI"/>
                  <w:szCs w:val="24"/>
                  <w:lang w:bidi="en-US"/>
                </w:rPr>
                <w:t>) vyr. patarėjas Mindaugas Kauzonas (tel. +370 695 26 717, el. p. </w:t>
              </w:r>
              <w:r>
                <w:rPr>
                  <w:rFonts w:eastAsia="Andale Sans UI"/>
                  <w:color w:val="0563C1"/>
                  <w:szCs w:val="24"/>
                  <w:u w:val="single"/>
                  <w:lang w:bidi="en-US"/>
                </w:rPr>
                <w:t>mindaugas.kauzonas@am.lt</w:t>
              </w:r>
              <w:r>
                <w:rPr>
                  <w:rFonts w:eastAsia="Andale Sans UI"/>
                  <w:szCs w:val="24"/>
                  <w:lang w:bidi="en-US"/>
                </w:rPr>
                <w:t xml:space="preserve">), vyr. specialistė Jurga Girdziušienė, (tel. +370 695 49899, el. p. </w:t>
              </w:r>
              <w:r>
                <w:rPr>
                  <w:rFonts w:eastAsia="Andale Sans UI"/>
                  <w:color w:val="0563C1"/>
                  <w:szCs w:val="24"/>
                  <w:u w:val="single"/>
                  <w:lang w:bidi="en-US"/>
                </w:rPr>
                <w:t>jurga.girdziusiene</w:t>
              </w:r>
              <w:r>
                <w:rPr>
                  <w:rFonts w:eastAsia="Andale Sans UI"/>
                  <w:color w:val="0563C1"/>
                  <w:szCs w:val="24"/>
                  <w:u w:val="single"/>
                  <w:lang w:val="pt-BR" w:bidi="en-US"/>
                </w:rPr>
                <w:t>@am.lt</w:t>
              </w:r>
              <w:r>
                <w:rPr>
                  <w:rFonts w:eastAsia="Andale Sans UI"/>
                  <w:szCs w:val="24"/>
                  <w:lang w:bidi="en-US"/>
                </w:rPr>
                <w:t xml:space="preserve">), Miškų politikos grupės (vadovas – Aurimas Saladžius, tel. +370 696 59321, el. p. aurimas.saladzius@am.lt) vyr. patarėjas Donatas Vaikasas (tel. +370 696 49889, el. p. </w:t>
              </w:r>
              <w:r>
                <w:rPr>
                  <w:rFonts w:eastAsia="Andale Sans UI"/>
                  <w:color w:val="0563C1"/>
                  <w:szCs w:val="24"/>
                  <w:u w:val="single"/>
                  <w:lang w:bidi="en-US"/>
                </w:rPr>
                <w:t>donatas.vaikasas@am.lt</w:t>
              </w:r>
              <w:r>
                <w:rPr>
                  <w:rFonts w:eastAsia="Andale Sans UI"/>
                  <w:szCs w:val="24"/>
                  <w:lang w:bidi="en-US"/>
                </w:rPr>
                <w:t xml:space="preserve">), vyr. specialistė Daiva Kazlauskienė, (tel. +370 686 07316, el. p. </w:t>
              </w:r>
              <w:r>
                <w:rPr>
                  <w:rFonts w:eastAsia="Andale Sans UI"/>
                  <w:color w:val="0563C1"/>
                  <w:szCs w:val="24"/>
                  <w:u w:val="single"/>
                  <w:lang w:bidi="en-US"/>
                </w:rPr>
                <w:t>daiva.kazlauskiene@am.lt</w:t>
              </w:r>
              <w:r>
                <w:rPr>
                  <w:rFonts w:eastAsia="Andale Sans UI"/>
                  <w:szCs w:val="24"/>
                  <w:lang w:bidi="en-US"/>
                </w:rPr>
                <w:t xml:space="preserve">), </w:t>
              </w:r>
              <w:r>
                <w:rPr>
                  <w:color w:val="000000"/>
                  <w:szCs w:val="24"/>
                  <w:lang w:bidi="en-US"/>
                </w:rPr>
                <w:t>Klimato politikos grupės (vadovė Vilija Augutavičienė, tel. +370 686 17484, el. p.</w:t>
              </w:r>
              <w:r>
                <w:rPr>
                  <w:color w:val="0563C1"/>
                  <w:szCs w:val="24"/>
                  <w:lang w:bidi="en-US"/>
                </w:rPr>
                <w:t xml:space="preserve"> </w:t>
              </w:r>
              <w:r>
                <w:rPr>
                  <w:color w:val="0563C1"/>
                  <w:szCs w:val="24"/>
                  <w:u w:val="single"/>
                  <w:lang w:bidi="en-US"/>
                </w:rPr>
                <w:t>vilija.augutaviciene@am.lt</w:t>
              </w:r>
              <w:r>
                <w:rPr>
                  <w:color w:val="000000"/>
                  <w:szCs w:val="24"/>
                  <w:lang w:bidi="en-US"/>
                </w:rPr>
                <w:t xml:space="preserve">) vyresn. patarėja Stasilė Znutienė (tel. +370 696 51357, el. p. </w:t>
              </w:r>
              <w:r>
                <w:rPr>
                  <w:color w:val="0563C1"/>
                  <w:szCs w:val="24"/>
                  <w:u w:val="single"/>
                  <w:lang w:bidi="en-US"/>
                </w:rPr>
                <w:t>stasile.znutiene@am.lt</w:t>
              </w:r>
              <w:r>
                <w:rPr>
                  <w:rFonts w:eastAsia="Andale Sans UI"/>
                  <w:szCs w:val="24"/>
                  <w:lang w:bidi="en-US"/>
                </w:rPr>
                <w:t>),</w:t>
              </w:r>
              <w:r>
                <w:rPr>
                  <w:color w:val="000000"/>
                  <w:szCs w:val="24"/>
                  <w:lang w:bidi="en-US"/>
                </w:rPr>
                <w:t xml:space="preserve"> vyr. specialistė Skaistė Garlaitė, (tel. +370 650 10109, el. p. </w:t>
              </w:r>
              <w:r>
                <w:rPr>
                  <w:color w:val="0563C1"/>
                  <w:szCs w:val="24"/>
                  <w:u w:val="single"/>
                  <w:lang w:bidi="en-US"/>
                </w:rPr>
                <w:t>skaiste.garlaite@am.lt</w:t>
              </w:r>
              <w:r>
                <w:rPr>
                  <w:rFonts w:eastAsia="Andale Sans UI"/>
                  <w:szCs w:val="24"/>
                  <w:lang w:bidi="en-US"/>
                </w:rPr>
                <w:t>)</w:t>
              </w:r>
              <w:r>
                <w:rPr>
                  <w:color w:val="000000"/>
                  <w:szCs w:val="24"/>
                  <w:lang w:bidi="en-US"/>
                </w:rPr>
                <w:t xml:space="preserve">, vyr. patarėjas Tomas Aukštinaitis, (tel. +370 610 79985, el. p. </w:t>
              </w:r>
              <w:r>
                <w:rPr>
                  <w:color w:val="0563C1"/>
                  <w:szCs w:val="24"/>
                  <w:lang w:bidi="en-US"/>
                </w:rPr>
                <w:t>tomas.aukstinaitis@am.lt</w:t>
              </w:r>
              <w:r>
                <w:rPr>
                  <w:color w:val="000000"/>
                  <w:szCs w:val="24"/>
                  <w:lang w:bidi="en-US"/>
                </w:rPr>
                <w:t xml:space="preserve">), </w:t>
              </w:r>
              <w:r>
                <w:rPr>
                  <w:szCs w:val="24"/>
                  <w:lang w:val="lt" w:bidi="en-US"/>
                </w:rPr>
                <w:t xml:space="preserve">Taršos prevencijos politikos grupės (vadovas Vitalijus Auglys, tel. +370 686 46087, el. p. </w:t>
              </w:r>
              <w:r>
                <w:rPr>
                  <w:color w:val="0563C1"/>
                  <w:szCs w:val="24"/>
                  <w:u w:val="single"/>
                  <w:lang w:val="lt" w:bidi="en-US"/>
                </w:rPr>
                <w:t>vitalijus.auglys@am.lt</w:t>
              </w:r>
              <w:r>
                <w:rPr>
                  <w:color w:val="000000"/>
                  <w:szCs w:val="24"/>
                  <w:lang w:val="lt" w:bidi="en-US"/>
                </w:rPr>
                <w:t>)</w:t>
              </w:r>
              <w:r>
                <w:rPr>
                  <w:szCs w:val="24"/>
                  <w:lang w:val="lt" w:bidi="en-US"/>
                </w:rPr>
                <w:t xml:space="preserve"> vyresn. patarėja Dovilė Navickienė (tel. +370 603 54457, el. p. </w:t>
              </w:r>
              <w:r>
                <w:rPr>
                  <w:color w:val="0563C1"/>
                  <w:szCs w:val="24"/>
                  <w:u w:val="single"/>
                  <w:lang w:val="lt" w:bidi="en-US"/>
                </w:rPr>
                <w:t>dovile.navickiene</w:t>
              </w:r>
              <w:r>
                <w:rPr>
                  <w:color w:val="0563C1"/>
                  <w:szCs w:val="24"/>
                  <w:u w:val="single"/>
                  <w:lang w:val="pt-BR" w:bidi="en-US"/>
                </w:rPr>
                <w:t>@am.lt</w:t>
              </w:r>
              <w:r>
                <w:rPr>
                  <w:szCs w:val="24"/>
                  <w:lang w:val="lt" w:bidi="en-US"/>
                </w:rPr>
                <w:t>)</w:t>
              </w:r>
              <w:r>
                <w:rPr>
                  <w:szCs w:val="24"/>
                  <w:lang w:val="pt-BR" w:bidi="en-US"/>
                </w:rPr>
                <w:t>, v</w:t>
              </w:r>
              <w:r>
                <w:rPr>
                  <w:szCs w:val="24"/>
                  <w:lang w:val="lt" w:bidi="en-US"/>
                </w:rPr>
                <w:t xml:space="preserve">yresn. patarėja Donata Pipiraitė-Vališkienė (tel. +370 687 25786, el. p. </w:t>
              </w:r>
              <w:r>
                <w:rPr>
                  <w:color w:val="0563C1"/>
                  <w:szCs w:val="24"/>
                  <w:lang w:val="lt" w:bidi="en-US"/>
                </w:rPr>
                <w:t>donata.valiskiene@am.lt</w:t>
              </w:r>
              <w:r>
                <w:rPr>
                  <w:color w:val="000000"/>
                  <w:szCs w:val="24"/>
                  <w:lang w:val="lt" w:bidi="en-US"/>
                </w:rPr>
                <w:t xml:space="preserve">), vyresn. patarėja Elena Auglienė (tel. + 370  645 22458, el. p. </w:t>
              </w:r>
              <w:r>
                <w:rPr>
                  <w:color w:val="0563C1"/>
                  <w:szCs w:val="24"/>
                  <w:u w:val="single"/>
                  <w:lang w:val="lt" w:bidi="en-US"/>
                </w:rPr>
                <w:t>elena.augliene@am.lt</w:t>
              </w:r>
              <w:r>
                <w:rPr>
                  <w:color w:val="000000"/>
                  <w:szCs w:val="24"/>
                  <w:lang w:val="lt" w:bidi="en-US"/>
                </w:rPr>
                <w:t xml:space="preserve">), vyresn. patarėjas Irmantas Valūnas (tel. +370 684 04000 el. p. </w:t>
              </w:r>
              <w:r>
                <w:rPr>
                  <w:color w:val="0563C1"/>
                  <w:szCs w:val="24"/>
                  <w:lang w:val="lt" w:bidi="en-US"/>
                </w:rPr>
                <w:t>irmantas.valunas@am.lt</w:t>
              </w:r>
              <w:r>
                <w:rPr>
                  <w:color w:val="000000"/>
                  <w:szCs w:val="24"/>
                  <w:lang w:val="lt" w:bidi="en-US"/>
                </w:rPr>
                <w:t>),</w:t>
              </w:r>
              <w:r>
                <w:rPr>
                  <w:color w:val="0563C1"/>
                  <w:szCs w:val="24"/>
                  <w:lang w:val="lt" w:bidi="en-US"/>
                </w:rPr>
                <w:t xml:space="preserve"> </w:t>
              </w:r>
              <w:r>
                <w:rPr>
                  <w:szCs w:val="24"/>
                  <w:lang w:val="lt" w:bidi="en-US"/>
                </w:rPr>
                <w:t xml:space="preserve">patarėja Ingrida Varžgalienė (tel. +370 618 60873, el. p. </w:t>
              </w:r>
              <w:r>
                <w:rPr>
                  <w:color w:val="0563C1"/>
                  <w:szCs w:val="24"/>
                  <w:lang w:val="lt" w:bidi="en-US"/>
                </w:rPr>
                <w:t>ingrida.varzgaliene@am.lt</w:t>
              </w:r>
              <w:r>
                <w:rPr>
                  <w:color w:val="000000"/>
                  <w:szCs w:val="24"/>
                  <w:lang w:val="lt" w:bidi="en-US"/>
                </w:rPr>
                <w:t>)</w:t>
              </w:r>
              <w:r>
                <w:rPr>
                  <w:szCs w:val="24"/>
                  <w:lang w:val="lt" w:bidi="en-US"/>
                </w:rPr>
                <w:t xml:space="preserve">, patarėja Aurelija Bajoraitienė (tel. +370 618 76434, el. p. </w:t>
              </w:r>
              <w:r>
                <w:rPr>
                  <w:color w:val="0563C1"/>
                  <w:szCs w:val="24"/>
                  <w:u w:val="single"/>
                  <w:lang w:val="lt" w:bidi="en-US"/>
                </w:rPr>
                <w:t>aurelija.bajoraitiene@am.lt</w:t>
              </w:r>
              <w:r>
                <w:rPr>
                  <w:rFonts w:eastAsia="Andale Sans UI"/>
                  <w:szCs w:val="24"/>
                  <w:lang w:bidi="en-US"/>
                </w:rPr>
                <w:t xml:space="preserve">), patarėjas Kastytis Gedminas (tel. +370 618 30134, </w:t>
              </w:r>
              <w:r>
                <w:rPr>
                  <w:rFonts w:eastAsia="Andale Sans UI"/>
                  <w:color w:val="0563C1"/>
                  <w:szCs w:val="24"/>
                  <w:u w:val="single"/>
                  <w:lang w:bidi="en-US"/>
                </w:rPr>
                <w:t>kastytis.gedminas@am.lt</w:t>
              </w:r>
              <w:r>
                <w:rPr>
                  <w:rFonts w:eastAsia="Andale Sans UI"/>
                  <w:szCs w:val="24"/>
                  <w:lang w:bidi="en-US"/>
                </w:rPr>
                <w:t xml:space="preserve">), </w:t>
              </w:r>
              <w:r>
                <w:rPr>
                  <w:szCs w:val="24"/>
                  <w:lang w:bidi="en-US"/>
                </w:rPr>
                <w:t xml:space="preserve">Gamtos apsaugos politikos grupės (vadovas – Algirdas Klimavičius, tel. +370 686 17295, el. p. </w:t>
              </w:r>
              <w:r>
                <w:rPr>
                  <w:color w:val="0563C1"/>
                  <w:szCs w:val="24"/>
                  <w:u w:val="single"/>
                  <w:lang w:bidi="en-US"/>
                </w:rPr>
                <w:t>algirdas.klimavicius@am.lt</w:t>
              </w:r>
              <w:r>
                <w:rPr>
                  <w:szCs w:val="24"/>
                  <w:lang w:bidi="en-US"/>
                </w:rPr>
                <w:t xml:space="preserve">) vyresn. patarėja Laura Janulaitienė (tel. +370 698 83219, el. p. </w:t>
              </w:r>
              <w:r>
                <w:rPr>
                  <w:color w:val="0563C1"/>
                  <w:szCs w:val="24"/>
                  <w:u w:val="single"/>
                  <w:lang w:bidi="en-US"/>
                </w:rPr>
                <w:t>laura.janulaitiene@am.lt</w:t>
              </w:r>
              <w:r>
                <w:rPr>
                  <w:szCs w:val="24"/>
                  <w:lang w:bidi="en-US"/>
                </w:rPr>
                <w:t xml:space="preserve">), vyr. specialistė Kristina Jankauskaitė (tel. +370 645 09324, el. p. </w:t>
              </w:r>
              <w:r>
                <w:rPr>
                  <w:color w:val="0563C1"/>
                  <w:szCs w:val="24"/>
                  <w:u w:val="single"/>
                  <w:lang w:bidi="en-US"/>
                </w:rPr>
                <w:t>kristina.jankauskaite@am.lt</w:t>
              </w:r>
              <w:r>
                <w:rPr>
                  <w:szCs w:val="24"/>
                  <w:lang w:bidi="en-US"/>
                </w:rPr>
                <w:t>)</w:t>
              </w:r>
              <w:r>
                <w:rPr>
                  <w:szCs w:val="24"/>
                  <w:lang w:val="lt" w:bidi="en-US"/>
                </w:rPr>
                <w:t xml:space="preserve">, Aplinkos apsaugos politikos įgyvendinimo koordinavimo grupės </w:t>
              </w:r>
              <w:r>
                <w:rPr>
                  <w:szCs w:val="24"/>
                  <w:lang w:bidi="en-US"/>
                </w:rPr>
                <w:t>(patarėjas, laikinai vykdantis grupės vadovo funkcijas – Andrius Girdziušas, tel. +370 695 62 741, el. p. </w:t>
              </w:r>
              <w:r>
                <w:rPr>
                  <w:color w:val="0563C1"/>
                  <w:szCs w:val="24"/>
                  <w:u w:val="single"/>
                  <w:lang w:bidi="en-US"/>
                </w:rPr>
                <w:t>andrius.girdziusas@am.lt</w:t>
              </w:r>
              <w:r>
                <w:rPr>
                  <w:szCs w:val="24"/>
                  <w:lang w:bidi="en-US"/>
                </w:rPr>
                <w:t>)</w:t>
              </w:r>
              <w:r>
                <w:rPr>
                  <w:szCs w:val="24"/>
                  <w:lang w:val="lt" w:bidi="en-US"/>
                </w:rPr>
                <w:t xml:space="preserve"> vyr. specialistė</w:t>
              </w:r>
              <w:r>
                <w:rPr>
                  <w:color w:val="4F6BED"/>
                  <w:szCs w:val="24"/>
                  <w:shd w:val="clear" w:color="auto" w:fill="FFFFFF"/>
                </w:rPr>
                <w:t xml:space="preserve"> </w:t>
              </w:r>
              <w:r>
                <w:rPr>
                  <w:szCs w:val="24"/>
                  <w:lang w:bidi="en-US"/>
                </w:rPr>
                <w:t>Justina Aukštinaitienė (tel. +370 695 01513, el. p. </w:t>
              </w:r>
              <w:r>
                <w:rPr>
                  <w:color w:val="0563C1"/>
                  <w:szCs w:val="24"/>
                  <w:lang w:bidi="en-US"/>
                </w:rPr>
                <w:t>justina.aukstinaitiene@am.lt</w:t>
              </w:r>
              <w:r>
                <w:rPr>
                  <w:szCs w:val="24"/>
                  <w:lang w:bidi="en-US"/>
                </w:rPr>
                <w:t>).</w:t>
              </w:r>
            </w:p>
            <w:p>
              <w:pPr>
                <w:shd w:val="clear" w:color="auto" w:fill="FFFFFF"/>
                <w:spacing w:line="276" w:lineRule="auto"/>
                <w:ind w:firstLine="709"/>
                <w:jc w:val="both"/>
                <w:rPr>
                  <w:rFonts w:eastAsia="Andale Sans UI"/>
                  <w:szCs w:val="24"/>
                  <w:lang w:val="lt" w:bidi="en-US"/>
                </w:rPr>
              </w:pPr>
            </w:p>
          </w:sdtContent>
        </w:sdt>
        <w:sdt>
          <w:sdtPr>
            <w:alias w:val="3 p."/>
            <w:tag w:val="part_f98cdb4674454f739a62a639f3b22d30"/>
            <w:lock w:val="sdtLocked"/>
            <w:richText/>
          </w:sdtPr>
          <w:sdtContent>
            <w:p>
              <w:pPr>
                <w:spacing w:line="276" w:lineRule="auto"/>
                <w:ind w:firstLine="709"/>
                <w:jc w:val="both"/>
                <w:rPr>
                  <w:b/>
                  <w:bCs/>
                  <w:szCs w:val="24"/>
                </w:rPr>
              </w:pPr>
              <w:sdt>
                <w:sdtPr>
                  <w:alias w:val="Numeris"/>
                  <w:tag w:val="nr_f98cdb4674454f739a62a639f3b22d30"/>
                  <w:lock w:val="sdtLocked"/>
                  <w:richText/>
                </w:sdtPr>
                <w:sdtContent>
                  <w:r>
                    <w:rPr>
                      <w:b/>
                      <w:bCs/>
                      <w:szCs w:val="24"/>
                    </w:rPr>
                    <w:t>3</w:t>
                  </w:r>
                </w:sdtContent>
              </w:sdt>
              <w:r>
                <w:rPr>
                  <w:b/>
                  <w:bCs/>
                  <w:szCs w:val="24"/>
                </w:rPr>
                <w:t>. Kaip šiuo metu yra reguliuojami Įstatymų projektuose aptarti teisiniai santykiai</w:t>
              </w:r>
            </w:p>
            <w:p>
              <w:pPr>
                <w:spacing w:line="276" w:lineRule="auto"/>
                <w:ind w:firstLine="709"/>
                <w:jc w:val="both"/>
                <w:rPr>
                  <w:b/>
                  <w:bCs/>
                  <w:szCs w:val="24"/>
                </w:rPr>
              </w:pPr>
            </w:p>
            <w:p>
              <w:pPr>
                <w:spacing w:line="276" w:lineRule="auto"/>
                <w:ind w:firstLine="709"/>
                <w:jc w:val="both"/>
                <w:rPr>
                  <w:i/>
                  <w:iCs/>
                  <w:szCs w:val="24"/>
                </w:rPr>
              </w:pPr>
              <w:r>
                <w:rPr>
                  <w:i/>
                  <w:iCs/>
                  <w:szCs w:val="24"/>
                </w:rPr>
                <w:t xml:space="preserve">Dėl Reglamento </w:t>
              </w:r>
              <w:fldSimple w:instr="HYPERLINK http://eur-lex.europa.eu/legal-content/LIT/TXT/?uri=CELEX:32017R0852&amp;locale=lt \t _blank">
                <w:r>
                  <w:rPr>
                    <w:i/>
                    <w:iCs/>
                    <w:szCs w:val="24"/>
                    <w:u w:val="single"/>
                    <w:color w:val="0000FF" w:themeColor="hyperlink"/>
                  </w:rPr>
                  <w:t>(ES) 2017/852</w:t>
                </w:r>
              </w:fldSimple>
              <w:r>
                <w:rPr>
                  <w:i/>
                  <w:iCs/>
                  <w:szCs w:val="24"/>
                </w:rPr>
                <w:t xml:space="preserve"> ir jį iš dalies pakeičiančio Reglamento </w:t>
              </w:r>
              <w:fldSimple w:instr="HYPERLINK http://eur-lex.europa.eu/legal-content/LIT/TXT/?uri=CELEX:32024R1849&amp;locale=lt \t _blank">
                <w:r>
                  <w:rPr>
                    <w:i/>
                    <w:iCs/>
                    <w:szCs w:val="24"/>
                    <w:u w:val="single"/>
                    <w:color w:val="0000FF" w:themeColor="hyperlink"/>
                  </w:rPr>
                  <w:t>(ES) 2024/1849</w:t>
                </w:r>
              </w:fldSimple>
              <w:r>
                <w:rPr>
                  <w:i/>
                  <w:iCs/>
                  <w:szCs w:val="24"/>
                </w:rPr>
                <w:t xml:space="preserve"> </w:t>
              </w:r>
              <w:r>
                <w:rPr>
                  <w:i/>
                  <w:iCs/>
                  <w:color w:val="000000"/>
                  <w:szCs w:val="24"/>
                </w:rPr>
                <w:t>nustatytų reikalavimų</w:t>
              </w:r>
            </w:p>
            <w:p>
              <w:pPr>
                <w:spacing w:line="276" w:lineRule="auto"/>
                <w:ind w:firstLine="709"/>
                <w:jc w:val="both"/>
                <w:rPr>
                  <w:szCs w:val="24"/>
                </w:rPr>
              </w:pPr>
              <w:r>
                <w:rPr>
                  <w:szCs w:val="24"/>
                </w:rPr>
                <w:t>Įstatymo 109</w:t>
              </w:r>
              <w:r>
                <w:rPr>
                  <w:szCs w:val="24"/>
                  <w:vertAlign w:val="superscript"/>
                </w:rPr>
                <w:t>1</w:t>
              </w:r>
              <w:r>
                <w:rPr>
                  <w:szCs w:val="24"/>
                </w:rPr>
                <w:t xml:space="preserve"> straipsnyje nustatyta juridinių asmenų atsakomybė už šių Reglamento </w:t>
              </w:r>
              <w:fldSimple w:instr="HYPERLINK http://eur-lex.europa.eu/legal-content/LIT/TXT/?uri=CELEX:32017R0852&amp;locale=lt \t _blank">
                <w:r>
                  <w:rPr>
                    <w:szCs w:val="24"/>
                    <w:u w:val="single"/>
                    <w:color w:val="0000FF" w:themeColor="hyperlink"/>
                  </w:rPr>
                  <w:t>(ES) 2017/852</w:t>
                </w:r>
              </w:fldSimple>
              <w:r>
                <w:rPr>
                  <w:szCs w:val="24"/>
                </w:rPr>
                <w:t xml:space="preserve"> nuostatų pažeidimus: gyvsidabrio, gyvsidabrio mišinių ir junginių ir tam tikrų gyvsidabrio turinčių produktų gamybos, importo, eksporto, naudojimo gamybos ir gavybos procesuose draudimo ar apribojimų; naujų produktų, kurių sudėtyje yra gyvsidabrio, gamybos ir tiekimo rinkai, gyvsidabrio arba gyvsidabrio junginių naudojimo naujuose gamybos procesuose draudimo arba apribojimo; amalgamos separatorių įrengimo odontologinės priežiūros (pagalbos) įstaigose.</w:t>
              </w:r>
            </w:p>
            <w:p>
              <w:pPr>
                <w:spacing w:line="276" w:lineRule="auto"/>
                <w:ind w:firstLine="709"/>
                <w:jc w:val="both"/>
                <w:rPr>
                  <w:szCs w:val="24"/>
                  <w:highlight w:val="yellow"/>
                </w:rPr>
              </w:pPr>
              <w:r>
                <w:rPr>
                  <w:szCs w:val="24"/>
                </w:rPr>
                <w:t xml:space="preserve">Įstatymo kituose straipsniuose nustatyta juridinių asmenų atsakomybė už šiuos su Reglamento </w:t>
              </w:r>
              <w:fldSimple w:instr="HYPERLINK http://eur-lex.europa.eu/legal-content/LIT/TXT/?uri=CELEX:32017R0852&amp;locale=lt \t _blank">
                <w:r>
                  <w:rPr>
                    <w:szCs w:val="24"/>
                    <w:u w:val="single"/>
                    <w:color w:val="0000FF" w:themeColor="hyperlink"/>
                  </w:rPr>
                  <w:t>(ES) 2017/852</w:t>
                </w:r>
              </w:fldSimple>
              <w:r>
                <w:rPr>
                  <w:szCs w:val="24"/>
                </w:rPr>
                <w:t xml:space="preserve"> nuostatomis susijusius pažeidimus: atliekų tvarkymą reglamentuojančių teisės aktų reikalavimų (78-81 straipsniai, 84-98 straipsniai, 100 straipsnis, 102-104 straipsniai); ū</w:t>
              </w:r>
              <w:r>
                <w:rPr>
                  <w:szCs w:val="24"/>
                  <w:shd w:val="clear" w:color="auto" w:fill="FFFFFF"/>
                </w:rPr>
                <w:t>kinės ar kitokios veiklos vykdymą, objektų naudojimą neturint taršos integruotos prevencijos ir kontrolės leidimo ar taršos leidimo (55 straipsnis)</w:t>
              </w:r>
              <w:r>
                <w:rPr>
                  <w:szCs w:val="24"/>
                </w:rPr>
                <w:t>.</w:t>
              </w:r>
            </w:p>
            <w:p>
              <w:pPr>
                <w:shd w:val="clear" w:color="auto" w:fill="FFFFFF"/>
                <w:spacing w:line="276" w:lineRule="auto"/>
                <w:ind w:firstLine="709"/>
                <w:jc w:val="both"/>
                <w:rPr>
                  <w:szCs w:val="24"/>
                </w:rPr>
              </w:pPr>
              <w:r>
                <w:rPr>
                  <w:color w:val="000000"/>
                  <w:szCs w:val="24"/>
                </w:rPr>
                <w:t>Kodekso 308</w:t>
              </w:r>
              <w:r>
                <w:rPr>
                  <w:color w:val="000000"/>
                  <w:szCs w:val="24"/>
                  <w:vertAlign w:val="superscript"/>
                </w:rPr>
                <w:t>1</w:t>
              </w:r>
              <w:r>
                <w:rPr>
                  <w:color w:val="000000"/>
                  <w:szCs w:val="24"/>
                </w:rPr>
                <w:t xml:space="preserve"> straipsnyje </w:t>
              </w:r>
              <w:r>
                <w:rPr>
                  <w:szCs w:val="24"/>
                </w:rPr>
                <w:t xml:space="preserve">nustatyta fiziniams asmenims atsakomybė už šių Reglamento </w:t>
              </w:r>
              <w:fldSimple w:instr="HYPERLINK http://eur-lex.europa.eu/legal-content/LIT/TXT/?uri=CELEX:32017R0852&amp;locale=lt \t _blank">
                <w:r>
                  <w:rPr>
                    <w:szCs w:val="24"/>
                    <w:u w:val="single"/>
                    <w:color w:val="0000FF" w:themeColor="hyperlink"/>
                  </w:rPr>
                  <w:t>(ES) 2017/852</w:t>
                </w:r>
              </w:fldSimple>
              <w:r>
                <w:rPr>
                  <w:szCs w:val="24"/>
                </w:rPr>
                <w:t xml:space="preserve"> nuostatų pažeidimus: gyvsidabrio, gyvsidabrio mišinių ir junginių ir tam tikrų gyvsidabrio turinčių produktų gamybos, importo, eksporto, naudojimo gamybos ir gavybos procesuose draudimo ar apribojimų; naujų produktų, kurių sudėtyje yra gyvsidabrio, gamybos ir tiekimo rinkai, gyvsidabrio arba gyvsidabrio junginių naudojimo naujuose gamybos procesuose draudimo arba apribojimo; amalgamos separatorių įrengimo odontologinės priežiūros (pagalbos) įstaigose.</w:t>
              </w:r>
            </w:p>
            <w:p>
              <w:pPr>
                <w:shd w:val="clear" w:color="auto" w:fill="FFFFFF"/>
                <w:spacing w:line="276" w:lineRule="auto"/>
                <w:ind w:firstLine="709"/>
                <w:jc w:val="both"/>
                <w:rPr>
                  <w:color w:val="000000"/>
                  <w:szCs w:val="24"/>
                </w:rPr>
              </w:pPr>
              <w:r>
                <w:rPr>
                  <w:szCs w:val="24"/>
                </w:rPr>
                <w:t xml:space="preserve">Kituose </w:t>
              </w:r>
              <w:r>
                <w:rPr>
                  <w:color w:val="000000"/>
                  <w:szCs w:val="24"/>
                </w:rPr>
                <w:t>Kodekso</w:t>
              </w:r>
              <w:r>
                <w:rPr>
                  <w:szCs w:val="24"/>
                </w:rPr>
                <w:t xml:space="preserve"> straipsniuose nustatyta fiziniams asmenims atsakomybė už šiuos su Reglamento </w:t>
              </w:r>
              <w:fldSimple w:instr="HYPERLINK http://eur-lex.europa.eu/legal-content/LIT/TXT/?uri=CELEX:32017R0852&amp;locale=lt \t _blank">
                <w:r>
                  <w:rPr>
                    <w:szCs w:val="24"/>
                    <w:u w:val="single"/>
                    <w:color w:val="0000FF" w:themeColor="hyperlink"/>
                  </w:rPr>
                  <w:t>(ES) 2017/852</w:t>
                </w:r>
              </w:fldSimple>
              <w:r>
                <w:rPr>
                  <w:szCs w:val="24"/>
                </w:rPr>
                <w:t xml:space="preserve"> nuostatomis susijusius pažeidimus: biocidinių produktų tiekimo rinkai reikalavimų (49 straipsnis); kosmetikos gaminių tiekimo rinkai reikalavimų (50 straipsnis); augalų apsaugos produktų tiekimo rinkai reikalavimų (342 straipsnis); prekių, paslaugų kokybės ir saugos reikalavimų (139 straipsnis); asmens sveikatos priežiūros veikla užsiimančių specialistų pareigų neatlikimą (54 straipsnis); ūkinės ar kitokios veiklos objektų statybos ir naudojimo aplinkos apsaugos reikalavimų (235 straipsnis), didelių pramoninių avarijų prevencijos ir likvidavimo reikalavimų (254 straipsnis), atliekų tvarkymą reglamentuojančių teisės aktų reikalavimų (247, 249, 251, 252 ir 255 straipsniai); </w:t>
              </w:r>
              <w:r>
                <w:rPr>
                  <w:bCs/>
                  <w:szCs w:val="24"/>
                </w:rPr>
                <w:t>cheminių medžiagų ir mišinių (preparatų) tvarkymo reikalavimų (308 straipsnis)</w:t>
              </w:r>
              <w:r>
                <w:rPr>
                  <w:szCs w:val="24"/>
                </w:rPr>
                <w:t>.</w:t>
              </w:r>
            </w:p>
            <w:p>
              <w:pPr>
                <w:spacing w:line="276" w:lineRule="auto"/>
                <w:ind w:firstLine="709"/>
                <w:jc w:val="both"/>
                <w:rPr>
                  <w:szCs w:val="24"/>
                </w:rPr>
              </w:pPr>
              <w:r>
                <w:rPr>
                  <w:bCs/>
                  <w:szCs w:val="24"/>
                </w:rPr>
                <w:t xml:space="preserve">Įstatymo, </w:t>
              </w:r>
              <w:r>
                <w:rPr>
                  <w:color w:val="000000"/>
                  <w:szCs w:val="24"/>
                </w:rPr>
                <w:t>Kodekso</w:t>
              </w:r>
              <w:r>
                <w:rPr>
                  <w:bCs/>
                  <w:szCs w:val="24"/>
                </w:rPr>
                <w:t xml:space="preserve"> ir Produktų saugos įstatymo nuostatų nepakanka Reglamentui </w:t>
              </w:r>
              <w:fldSimple w:instr="HYPERLINK http://eur-lex.europa.eu/legal-content/LIT/TXT/?uri=CELEX:32017R0852&amp;locale=lt \t _blank">
                <w:r>
                  <w:rPr>
                    <w:bCs/>
                    <w:szCs w:val="24"/>
                    <w:u w:val="single"/>
                    <w:color w:val="0000FF" w:themeColor="hyperlink"/>
                  </w:rPr>
                  <w:t>(ES) </w:t>
                </w:r>
                <w:r>
                  <w:rPr>
                    <w:szCs w:val="24"/>
                    <w:u w:val="single"/>
                    <w:color w:val="0000FF" w:themeColor="hyperlink"/>
                  </w:rPr>
                  <w:t>2017/852</w:t>
                </w:r>
              </w:fldSimple>
              <w:r>
                <w:rPr>
                  <w:szCs w:val="24"/>
                </w:rPr>
                <w:t> </w:t>
              </w:r>
              <w:r>
                <w:rPr>
                  <w:bCs/>
                  <w:szCs w:val="24"/>
                </w:rPr>
                <w:t xml:space="preserve">ir jį iš dalies pakeičiančiam </w:t>
              </w:r>
              <w:r>
                <w:rPr>
                  <w:bCs/>
                  <w:color w:val="000000"/>
                  <w:szCs w:val="24"/>
                </w:rPr>
                <w:t xml:space="preserve">Reglamentui </w:t>
              </w:r>
              <w:fldSimple w:instr="HYPERLINK http://eur-lex.europa.eu/legal-content/LIT/TXT/?uri=CELEX:32024R1849&amp;locale=lt \t _blank">
                <w:r>
                  <w:rPr>
                    <w:bCs/>
                    <w:color w:val="0000FF" w:themeColor="hyperlink"/>
                    <w:szCs w:val="24"/>
                    <w:u w:val="single"/>
                  </w:rPr>
                  <w:t xml:space="preserve">(ES) </w:t>
                </w:r>
                <w:r>
                  <w:rPr>
                    <w:bCs/>
                    <w:szCs w:val="24"/>
                    <w:u w:val="single"/>
                    <w:color w:val="0000FF" w:themeColor="hyperlink"/>
                  </w:rPr>
                  <w:t>2024/1849</w:t>
                </w:r>
              </w:fldSimple>
              <w:r>
                <w:rPr>
                  <w:bCs/>
                  <w:szCs w:val="24"/>
                </w:rPr>
                <w:t xml:space="preserve"> tinkamai įgyvendinti. Įstatyme ir </w:t>
              </w:r>
              <w:r>
                <w:rPr>
                  <w:color w:val="000000"/>
                  <w:szCs w:val="24"/>
                </w:rPr>
                <w:t>Kodekso</w:t>
              </w:r>
              <w:r>
                <w:rPr>
                  <w:bCs/>
                  <w:szCs w:val="24"/>
                </w:rPr>
                <w:t xml:space="preserve"> nėra nuostatų, susijusių su atsakomybe už dantų amalgamos gamybos, importo, eksporto draudimo reikalavimų pažeidimus.</w:t>
              </w:r>
              <w:r>
                <w:rPr>
                  <w:szCs w:val="24"/>
                </w:rPr>
                <w:t xml:space="preserve"> Už dantų amalgamos naudojimo dantų taisymui draudimo reikalavimų ir sąlygų pažeidimus taikomas </w:t>
              </w:r>
              <w:r>
                <w:rPr>
                  <w:color w:val="000000"/>
                  <w:szCs w:val="24"/>
                </w:rPr>
                <w:t>Kodekso</w:t>
              </w:r>
              <w:r>
                <w:rPr>
                  <w:szCs w:val="24"/>
                </w:rPr>
                <w:t xml:space="preserve"> 54 straipsnis. Šiuo metu</w:t>
              </w:r>
              <w:r>
                <w:rPr>
                  <w:bCs/>
                  <w:szCs w:val="24"/>
                </w:rPr>
                <w:t xml:space="preserve"> </w:t>
              </w:r>
              <w:r>
                <w:rPr>
                  <w:szCs w:val="24"/>
                </w:rPr>
                <w:t xml:space="preserve">Reglamente </w:t>
              </w:r>
              <w:fldSimple w:instr="HYPERLINK http://eur-lex.europa.eu/legal-content/LIT/TXT/?uri=CELEX:32017R0852&amp;locale=lt \t _blank">
                <w:r>
                  <w:rPr>
                    <w:szCs w:val="24"/>
                    <w:u w:val="single"/>
                    <w:color w:val="0000FF" w:themeColor="hyperlink"/>
                  </w:rPr>
                  <w:t>(ES) 2017/852</w:t>
                </w:r>
              </w:fldSimple>
              <w:r>
                <w:rPr>
                  <w:szCs w:val="24"/>
                </w:rPr>
                <w:t xml:space="preserve"> nustatytų reikalavimų vykdymo priežiūrą </w:t>
              </w:r>
              <w:r>
                <w:rPr>
                  <w:color w:val="000000"/>
                  <w:szCs w:val="24"/>
                </w:rPr>
                <w:t>vykdo šios</w:t>
              </w:r>
              <w:r>
                <w:rPr>
                  <w:bCs/>
                  <w:szCs w:val="24"/>
                </w:rPr>
                <w:t xml:space="preserve"> institucijos pagal </w:t>
              </w:r>
              <w:r>
                <w:rPr>
                  <w:szCs w:val="24"/>
                </w:rPr>
                <w:t xml:space="preserve">kompetenciją, atsižvelgdamos į joms teisės aktų nustatytą veiklos sritį: Aplinkos apsaugos departamentas prie Aplinkos ministerijos (toliau – Aplinkos apsaugos departamentas), Valstybinė vartotojų teisių apsaugos tarnyba, Valstybinė darbo inspekcija prie Socialinės apsaugos ir darbo ministerijos, Valstybinė augalininkystės tarnyba prie Žemės ūkio ministerijos, Nacionalinis visuomenės sveikatos centras prie Sveikatos apsaugos ministerijos (toliau – Nacionalinis visuomenės sveikatos centras), Muitinės departamento prie Finansų ministerijos įgaliotos muitinės įstaigos, Priešgaisrinės apsaugos ir gelbėjimo departamentas prie Vidaus reikalų ministerijos, Valstybinei maisto ir veterinarijos tarnyba. </w:t>
              </w:r>
            </w:p>
            <w:p>
              <w:pPr>
                <w:spacing w:line="276" w:lineRule="auto"/>
                <w:ind w:firstLine="709"/>
                <w:jc w:val="both"/>
                <w:rPr>
                  <w:bCs/>
                  <w:szCs w:val="24"/>
                </w:rPr>
              </w:pPr>
              <w:r>
                <w:rPr>
                  <w:bCs/>
                  <w:szCs w:val="24"/>
                </w:rPr>
                <w:t>Nacionalinis visuomenės sveikatos centras, vadovaudamasis Lietuvos Respublikos visuomenės sveikatos priežiūros įstatymu ir kitais susijusiais šios srities teisės aktais, vykdo odontologinės priežiūros (pagalbos) paslaugas teikiančių įstaigų veiklos priežiūrą (kontrolę), tikrina atitiktį teisės aktuose nustatytiems reikalavimams, tarp jų – dantų amalgamų naudojimo ribojimo reikalavimams ir sąlygoms (pvz., dantų amalgamą draudžiama naudoti vaikų iki 15 metų, nėščiųjų ir krūtimi maitinančių moterų dantims gydyti (nuo 2018 m. sausio 1 d.), leidžiama naudoti tik mediciniškai būtinais atvejais (nuo 2025 m. sausio 1 d.). Nacionalinio visuomenės sveikatos centro kompetencija dantų amalgamos separatorių įrengimo odontologijos klinikose kontrolės srityje neapibrėžta teisės aktais, todėl tokių patikrinimų šios institucijos specialistai negali atlikti, nors turi tinkamą visuomenės sveikatos priežiūros ir medicinos srities kompetenciją.</w:t>
              </w:r>
            </w:p>
            <w:p>
              <w:pPr>
                <w:spacing w:line="276" w:lineRule="auto"/>
                <w:ind w:firstLine="709"/>
                <w:jc w:val="both"/>
                <w:rPr>
                  <w:szCs w:val="24"/>
                </w:rPr>
              </w:pPr>
              <w:r>
                <w:rPr>
                  <w:szCs w:val="24"/>
                </w:rPr>
                <w:t xml:space="preserve">Aplinkos apsaugos departamentas pagal kompetenciją atsakingas už visų Reglamente </w:t>
              </w:r>
              <w:fldSimple w:instr="HYPERLINK http://eur-lex.europa.eu/legal-content/LIT/TXT/?uri=CELEX:32017R0852&amp;locale=lt \t _blank">
                <w:r>
                  <w:rPr>
                    <w:szCs w:val="24"/>
                    <w:u w:val="single"/>
                    <w:color w:val="0000FF" w:themeColor="hyperlink"/>
                  </w:rPr>
                  <w:t>(ES) 2017/852</w:t>
                </w:r>
              </w:fldSimple>
              <w:r>
                <w:rPr>
                  <w:szCs w:val="24"/>
                </w:rPr>
                <w:t xml:space="preserve"> nustatytų reikalavimų vykdymo priežiūrą, tarp jų – reikalavimo odontologinės </w:t>
              </w:r>
              <w:r>
                <w:rPr>
                  <w:szCs w:val="24"/>
                  <w:shd w:val="clear" w:color="auto" w:fill="FFFFFF"/>
                </w:rPr>
                <w:t>priežiūros (pagalbos)</w:t>
              </w:r>
              <w:r>
                <w:rPr>
                  <w:szCs w:val="24"/>
                </w:rPr>
                <w:t xml:space="preserve"> įstaigose įrengti amalgamos separatorius, atitinkančius šiame reglamente nustatytą specifikaciją, vykdymą. Aplinkos apsaugos departamento inspektoriai neturi specialiųjų medicinos ir visuomenės (asmens) sveikatos priežiūros srities žinių, kad galėtų tinkamai vykdyti jiems pavestas užduotis.</w:t>
              </w:r>
            </w:p>
            <w:p>
              <w:pPr>
                <w:shd w:val="clear" w:color="auto" w:fill="FFFFFF"/>
                <w:spacing w:line="276" w:lineRule="auto"/>
                <w:ind w:firstLine="709"/>
                <w:jc w:val="both"/>
                <w:rPr>
                  <w:i/>
                  <w:iCs/>
                  <w:szCs w:val="24"/>
                </w:rPr>
              </w:pPr>
            </w:p>
            <w:p>
              <w:pPr>
                <w:shd w:val="clear" w:color="auto" w:fill="FFFFFF"/>
                <w:spacing w:line="276" w:lineRule="auto"/>
                <w:ind w:firstLine="709"/>
                <w:jc w:val="both"/>
                <w:rPr>
                  <w:i/>
                  <w:iCs/>
                  <w:color w:val="000000"/>
                  <w:szCs w:val="24"/>
                </w:rPr>
              </w:pPr>
              <w:r>
                <w:rPr>
                  <w:i/>
                  <w:iCs/>
                  <w:color w:val="000000"/>
                  <w:szCs w:val="24"/>
                </w:rPr>
                <w:t xml:space="preserve">Dėl Reglamento </w:t>
              </w:r>
              <w:fldSimple w:instr="HYPERLINK http://eur-lex.europa.eu/legal-content/LIT/TXT/?uri=CELEX:33157R2024&amp;locale=lt \t _blank">
                <w:r>
                  <w:rPr>
                    <w:i/>
                    <w:iCs/>
                    <w:color w:val="0000FF" w:themeColor="hyperlink"/>
                    <w:szCs w:val="24"/>
                    <w:u w:val="single"/>
                  </w:rPr>
                  <w:t>(ES) Nr. 2024/1157</w:t>
                </w:r>
              </w:fldSimple>
              <w:r>
                <w:rPr>
                  <w:i/>
                  <w:iCs/>
                  <w:color w:val="000000"/>
                  <w:szCs w:val="24"/>
                </w:rPr>
                <w:t xml:space="preserve"> nustatytų reikalavimų</w:t>
              </w:r>
            </w:p>
            <w:p>
              <w:pPr>
                <w:shd w:val="clear" w:color="auto" w:fill="FFFFFF"/>
                <w:spacing w:line="276" w:lineRule="auto"/>
                <w:ind w:firstLine="709"/>
                <w:jc w:val="both"/>
                <w:rPr>
                  <w:color w:val="000000"/>
                  <w:szCs w:val="24"/>
                </w:rPr>
              </w:pPr>
              <w:r>
                <w:rPr>
                  <w:color w:val="000000"/>
                  <w:szCs w:val="24"/>
                </w:rPr>
                <w:t xml:space="preserve">Įstatyme ir Kodekse numatytos sankcijos juridiniams ir fiziniams asmenims įgyvendinant šiuo metu galiojantį 2006 m. birželio 14 d. Europos Parlamento ir Tarybos reglamentą </w:t>
              </w:r>
              <w:fldSimple w:instr="HYPERLINK http://eur-lex.europa.eu/legal-content/LIT/TXT/?uri=CELEX:32006R1013&amp;locale=lt \t _blank">
                <w:r>
                  <w:rPr>
                    <w:color w:val="0000FF" w:themeColor="hyperlink"/>
                    <w:szCs w:val="24"/>
                    <w:u w:val="single"/>
                  </w:rPr>
                  <w:t>(EB) Nr. 1013/2006</w:t>
                </w:r>
              </w:fldSimple>
              <w:r>
                <w:rPr>
                  <w:color w:val="000000"/>
                  <w:szCs w:val="24"/>
                </w:rPr>
                <w:t xml:space="preserve"> „Dėl atliekų vežimo“, jo galiojimo pabaiga 2026 m. gegužės 20 d. </w:t>
              </w:r>
            </w:p>
            <w:p>
              <w:pPr>
                <w:shd w:val="clear" w:color="auto" w:fill="FFFFFF"/>
                <w:spacing w:line="276" w:lineRule="auto"/>
                <w:ind w:firstLine="709"/>
                <w:jc w:val="both"/>
                <w:rPr>
                  <w:color w:val="000000"/>
                  <w:szCs w:val="24"/>
                </w:rPr>
              </w:pPr>
              <w:r>
                <w:rPr>
                  <w:color w:val="000000"/>
                  <w:szCs w:val="24"/>
                </w:rPr>
                <w:t>Įstatymo 87 straipsnyje juridiniams asmenims numatytos sankcijos už informacijos apie atliekų įvežimą, importą ir (ar) dokumentų, patvirtinančių įvežtų, importuotų atliekų gavimą, panaudojimą ir (ar) šalinimą, nepateikimą kompetentingoms institucijoms ir klaidingų duomenų pranešimo formoje ar vežimo kontrolės formoje, ar atliekų vežimo metu privalomame turėti informaciniame dokumente pateikimą:</w:t>
              </w:r>
            </w:p>
            <w:p>
              <w:pPr>
                <w:shd w:val="clear" w:color="auto" w:fill="FFFFFF"/>
                <w:spacing w:line="276" w:lineRule="auto"/>
                <w:ind w:firstLine="709"/>
                <w:jc w:val="both"/>
                <w:rPr>
                  <w:color w:val="000000"/>
                  <w:szCs w:val="24"/>
                </w:rPr>
              </w:pPr>
              <w:r>
                <w:rPr>
                  <w:color w:val="000000"/>
                  <w:szCs w:val="24"/>
                </w:rPr>
                <w:t>„Informacijos apie atliekų įvežimą, importą ir (ar) dokumentų, patvirtinančių įvežtų, importuotų</w:t>
              </w:r>
              <w:r>
                <w:rPr>
                  <w:i/>
                  <w:iCs/>
                  <w:color w:val="000000"/>
                  <w:szCs w:val="24"/>
                </w:rPr>
                <w:t> </w:t>
              </w:r>
              <w:r>
                <w:rPr>
                  <w:color w:val="000000"/>
                  <w:szCs w:val="24"/>
                </w:rPr>
                <w:t>atliekų gavimą, panaudojimą ir (ar) šalinimą, nepateikimas kompetentingoms institucijoms teisės aktų nustatyta tvarka ir (ar) terminais ir (ar) klaidingų duomenų pranešimo formoje ar vežimo kontrolės formoje, ar atliekų vežimo metu privalomame turėti informaciniame dokumente pateikimas užtraukia baudą nuo šešių šimtų iki vieno tūkstančio dviejų šimtų eurų.</w:t>
              </w:r>
            </w:p>
            <w:p>
              <w:pPr>
                <w:shd w:val="clear" w:color="auto" w:fill="FFFFFF"/>
                <w:spacing w:line="276" w:lineRule="auto"/>
                <w:ind w:firstLine="709"/>
                <w:jc w:val="both"/>
                <w:rPr>
                  <w:color w:val="000000"/>
                  <w:szCs w:val="24"/>
                </w:rPr>
              </w:pPr>
              <w:r>
                <w:rPr>
                  <w:color w:val="000000"/>
                  <w:szCs w:val="24"/>
                </w:rPr>
                <w:t>Šio straipsnio 1 dalyje numatytas pažeidimas, padarytas pakartotinai, užtraukia baudą nuo 1400 iki 3000 eurų.“</w:t>
              </w:r>
            </w:p>
            <w:p>
              <w:pPr>
                <w:shd w:val="clear" w:color="auto" w:fill="FFFFFF"/>
                <w:spacing w:line="276" w:lineRule="auto"/>
                <w:ind w:firstLine="709"/>
                <w:jc w:val="both"/>
                <w:rPr>
                  <w:color w:val="000000"/>
                  <w:szCs w:val="24"/>
                </w:rPr>
              </w:pPr>
              <w:r>
                <w:rPr>
                  <w:color w:val="000000"/>
                  <w:szCs w:val="24"/>
                </w:rPr>
                <w:t>Kodekso 251 straipsnyje nustatytos sankcijos už atliekų įvežimo ar importo į Lietuvos Respubliką, atliekų išvežimo ar eksporto iš Lietuvos Respublikos ir atliekų vežimo tranzitu per Lietuvos Respublikos teritoriją reikalavimų pažeidimas:</w:t>
              </w:r>
            </w:p>
            <w:p>
              <w:pPr>
                <w:shd w:val="clear" w:color="auto" w:fill="FFFFFF"/>
                <w:spacing w:line="276" w:lineRule="auto"/>
                <w:ind w:firstLine="709"/>
                <w:jc w:val="both"/>
                <w:rPr>
                  <w:color w:val="000000"/>
                  <w:szCs w:val="24"/>
                </w:rPr>
              </w:pPr>
              <w:r>
                <w:rPr>
                  <w:color w:val="000000"/>
                  <w:szCs w:val="24"/>
                </w:rPr>
                <w:t>„1.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hd w:val="clear" w:color="auto" w:fill="FFFFFF"/>
                <w:spacing w:line="276" w:lineRule="auto"/>
                <w:ind w:firstLine="709"/>
                <w:jc w:val="both"/>
                <w:rPr>
                  <w:color w:val="000000"/>
                  <w:szCs w:val="24"/>
                </w:rPr>
              </w:pPr>
              <w:r>
                <w:rPr>
                  <w:color w:val="000000"/>
                  <w:szCs w:val="24"/>
                </w:rPr>
                <w:t>užtraukia baudą nuo 30 iki 60 eurų.</w:t>
              </w:r>
            </w:p>
            <w:p>
              <w:pPr>
                <w:shd w:val="clear" w:color="auto" w:fill="FFFFFF"/>
                <w:spacing w:line="276" w:lineRule="auto"/>
                <w:ind w:firstLine="709"/>
                <w:jc w:val="both"/>
                <w:rPr>
                  <w:color w:val="000000"/>
                  <w:szCs w:val="24"/>
                </w:rPr>
              </w:pPr>
              <w:r>
                <w:rPr>
                  <w:color w:val="000000"/>
                  <w:szCs w:val="24"/>
                </w:rPr>
                <w:t>2. Reikalavimo turėti informacinį dokumentą atliekų vežimo metu pažeidimas arba vežimo kontrolės formų nepateikimas muitinės pareigūnams pareikalavus</w:t>
              </w:r>
            </w:p>
            <w:p>
              <w:pPr>
                <w:shd w:val="clear" w:color="auto" w:fill="FFFFFF"/>
                <w:spacing w:line="276" w:lineRule="auto"/>
                <w:ind w:firstLine="709"/>
                <w:jc w:val="both"/>
                <w:rPr>
                  <w:color w:val="000000"/>
                  <w:szCs w:val="24"/>
                </w:rPr>
              </w:pPr>
              <w:r>
                <w:rPr>
                  <w:color w:val="000000"/>
                  <w:szCs w:val="24"/>
                </w:rPr>
                <w:t>užtraukia baudą nuo 30 iki 60 eurų.</w:t>
              </w:r>
            </w:p>
            <w:p>
              <w:pPr>
                <w:shd w:val="clear" w:color="auto" w:fill="FFFFFF"/>
                <w:spacing w:line="276" w:lineRule="auto"/>
                <w:ind w:firstLine="709"/>
                <w:jc w:val="both"/>
                <w:rPr>
                  <w:color w:val="000000"/>
                  <w:szCs w:val="24"/>
                </w:rPr>
              </w:pPr>
              <w:r>
                <w:rPr>
                  <w:color w:val="000000"/>
                  <w:szCs w:val="24"/>
                </w:rPr>
                <w:t>3. Penkių šimtų kilogramų arba mažesnio kiekio skirtų šalinti nepavojingų atliekų išvežimas ar eksportas iš Lietuvos Respublikos be teisės aktuose nustatyta tvarka gauto sprendimo leisti vežti atliekas</w:t>
              </w:r>
            </w:p>
            <w:p>
              <w:pPr>
                <w:shd w:val="clear" w:color="auto" w:fill="FFFFFF"/>
                <w:spacing w:line="276" w:lineRule="auto"/>
                <w:ind w:firstLine="709"/>
                <w:jc w:val="both"/>
                <w:rPr>
                  <w:color w:val="000000"/>
                  <w:szCs w:val="24"/>
                </w:rPr>
              </w:pPr>
              <w:r>
                <w:rPr>
                  <w:color w:val="000000"/>
                  <w:szCs w:val="24"/>
                </w:rPr>
                <w:t>užtraukia baudą nuo 60 iki vieno 120 eurų.</w:t>
              </w:r>
            </w:p>
            <w:p>
              <w:pPr>
                <w:shd w:val="clear" w:color="auto" w:fill="FFFFFF"/>
                <w:spacing w:line="276" w:lineRule="auto"/>
                <w:ind w:firstLine="709"/>
                <w:jc w:val="both"/>
                <w:rPr>
                  <w:color w:val="000000"/>
                  <w:szCs w:val="24"/>
                </w:rPr>
              </w:pPr>
              <w:r>
                <w:rPr>
                  <w:color w:val="000000"/>
                  <w:szCs w:val="24"/>
                </w:rPr>
                <w:t>4.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w:t>
              </w:r>
            </w:p>
            <w:p>
              <w:pPr>
                <w:shd w:val="clear" w:color="auto" w:fill="FFFFFF"/>
                <w:spacing w:line="276" w:lineRule="auto"/>
                <w:ind w:firstLine="709"/>
                <w:jc w:val="both"/>
                <w:rPr>
                  <w:color w:val="000000"/>
                  <w:szCs w:val="24"/>
                </w:rPr>
              </w:pPr>
              <w:r>
                <w:rPr>
                  <w:color w:val="000000"/>
                  <w:szCs w:val="24"/>
                </w:rPr>
                <w:t>užtraukia baudą nuo 60 iki 140 eurų.</w:t>
              </w:r>
            </w:p>
            <w:p>
              <w:pPr>
                <w:shd w:val="clear" w:color="auto" w:fill="FFFFFF"/>
                <w:spacing w:line="276" w:lineRule="auto"/>
                <w:ind w:firstLine="709"/>
                <w:jc w:val="both"/>
                <w:rPr>
                  <w:color w:val="000000"/>
                  <w:szCs w:val="24"/>
                </w:rPr>
              </w:pPr>
              <w:r>
                <w:rPr>
                  <w:color w:val="000000"/>
                  <w:szCs w:val="24"/>
                </w:rPr>
                <w:t>5.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hd w:val="clear" w:color="auto" w:fill="FFFFFF"/>
                <w:spacing w:line="276" w:lineRule="auto"/>
                <w:ind w:firstLine="709"/>
                <w:jc w:val="both"/>
                <w:rPr>
                  <w:color w:val="000000"/>
                  <w:szCs w:val="24"/>
                </w:rPr>
              </w:pPr>
              <w:r>
                <w:rPr>
                  <w:color w:val="000000"/>
                  <w:szCs w:val="24"/>
                </w:rPr>
                <w:t>užtraukia baudą nuo 60 iki 300 eurų.</w:t>
              </w:r>
            </w:p>
            <w:p>
              <w:pPr>
                <w:shd w:val="clear" w:color="auto" w:fill="FFFFFF"/>
                <w:spacing w:line="276" w:lineRule="auto"/>
                <w:ind w:firstLine="709"/>
                <w:jc w:val="both"/>
                <w:rPr>
                  <w:color w:val="000000"/>
                  <w:szCs w:val="24"/>
                </w:rPr>
              </w:pPr>
              <w:r>
                <w:rPr>
                  <w:color w:val="000000"/>
                  <w:szCs w:val="24"/>
                </w:rPr>
                <w:t>6. Penkių šimtų kilogramų arba mažesnio kiekio skirtų naudoti pavojingų atliekų išvežimas ar eksportas iš Lietuvos Respublikos be teisės aktuose nustatyta tvarka gauto sprendimo leisti vežti atliekas</w:t>
              </w:r>
            </w:p>
            <w:p>
              <w:pPr>
                <w:shd w:val="clear" w:color="auto" w:fill="FFFFFF"/>
                <w:spacing w:line="276" w:lineRule="auto"/>
                <w:ind w:firstLine="709"/>
                <w:jc w:val="both"/>
                <w:rPr>
                  <w:color w:val="000000"/>
                  <w:szCs w:val="24"/>
                </w:rPr>
              </w:pPr>
              <w:r>
                <w:rPr>
                  <w:color w:val="000000"/>
                  <w:szCs w:val="24"/>
                </w:rPr>
                <w:t>užtraukia baudą nuo 80 iki 300 eurų.</w:t>
              </w:r>
            </w:p>
            <w:p>
              <w:pPr>
                <w:shd w:val="clear" w:color="auto" w:fill="FFFFFF"/>
                <w:spacing w:line="276" w:lineRule="auto"/>
                <w:ind w:firstLine="709"/>
                <w:jc w:val="both"/>
                <w:rPr>
                  <w:color w:val="000000"/>
                  <w:szCs w:val="24"/>
                </w:rPr>
              </w:pPr>
              <w:r>
                <w:rPr>
                  <w:color w:val="000000"/>
                  <w:szCs w:val="24"/>
                </w:rPr>
                <w:t>7. Didesnio kaip penki šimtai kilogramų, bet mažesnio negu dvidešimt penkios tonos kiekio skirtų šalinti nepavojingų atliekų išvežimas ar eksportas iš Lietuvos Respublikos be teisės aktuose nustatyta tvarka gauto sprendimo leisti vežti atliekas</w:t>
              </w:r>
            </w:p>
            <w:p>
              <w:pPr>
                <w:shd w:val="clear" w:color="auto" w:fill="FFFFFF"/>
                <w:spacing w:line="276" w:lineRule="auto"/>
                <w:ind w:firstLine="709"/>
                <w:jc w:val="both"/>
                <w:rPr>
                  <w:color w:val="000000"/>
                  <w:szCs w:val="24"/>
                </w:rPr>
              </w:pPr>
              <w:r>
                <w:rPr>
                  <w:color w:val="000000"/>
                  <w:szCs w:val="24"/>
                </w:rPr>
                <w:t>užtraukia baudą nuo 150 iki 400 šimtų eurų.</w:t>
              </w:r>
            </w:p>
            <w:p>
              <w:pPr>
                <w:shd w:val="clear" w:color="auto" w:fill="FFFFFF"/>
                <w:spacing w:line="276" w:lineRule="auto"/>
                <w:ind w:firstLine="709"/>
                <w:jc w:val="both"/>
                <w:rPr>
                  <w:color w:val="000000"/>
                  <w:szCs w:val="24"/>
                </w:rPr>
              </w:pPr>
              <w:r>
                <w:rPr>
                  <w:color w:val="000000"/>
                  <w:szCs w:val="24"/>
                </w:rPr>
                <w:t>8. Penkių šimtų kilogramų arba mažesnio kiekio skirtų šalinti pavojingų atliekų išvežimas ar eksportas iš Lietuvos Respublikos be teisės aktuose nustatyta tvarka gauto sprendimo leisti vežti atliekas</w:t>
              </w:r>
            </w:p>
            <w:p>
              <w:pPr>
                <w:shd w:val="clear" w:color="auto" w:fill="FFFFFF"/>
                <w:spacing w:line="276" w:lineRule="auto"/>
                <w:ind w:firstLine="709"/>
                <w:jc w:val="both"/>
                <w:rPr>
                  <w:color w:val="000000"/>
                  <w:szCs w:val="24"/>
                </w:rPr>
              </w:pPr>
              <w:r>
                <w:rPr>
                  <w:color w:val="000000"/>
                  <w:szCs w:val="24"/>
                </w:rPr>
                <w:t>užtraukia baudą nuo 150 iki 300 eurų.</w:t>
              </w:r>
            </w:p>
            <w:p>
              <w:pPr>
                <w:shd w:val="clear" w:color="auto" w:fill="FFFFFF"/>
                <w:spacing w:line="276" w:lineRule="auto"/>
                <w:ind w:firstLine="709"/>
                <w:jc w:val="both"/>
                <w:rPr>
                  <w:color w:val="000000"/>
                  <w:szCs w:val="24"/>
                </w:rPr>
              </w:pPr>
              <w:r>
                <w:rPr>
                  <w:color w:val="000000"/>
                  <w:szCs w:val="24"/>
                </w:rPr>
                <w:t>9. Atliekų vežimas nesilaikant pranešimo formoje ir vežimo kontrolės formoje nustatytų reikalavimų</w:t>
              </w:r>
            </w:p>
            <w:p>
              <w:pPr>
                <w:shd w:val="clear" w:color="auto" w:fill="FFFFFF"/>
                <w:spacing w:line="276" w:lineRule="auto"/>
                <w:ind w:firstLine="709"/>
                <w:jc w:val="both"/>
                <w:rPr>
                  <w:color w:val="000000"/>
                  <w:szCs w:val="24"/>
                </w:rPr>
              </w:pPr>
              <w:r>
                <w:rPr>
                  <w:color w:val="000000"/>
                  <w:szCs w:val="24"/>
                </w:rPr>
                <w:t>užtraukia baudą nuo 140 iki 440 eurų.</w:t>
              </w:r>
            </w:p>
            <w:p>
              <w:pPr>
                <w:shd w:val="clear" w:color="auto" w:fill="FFFFFF"/>
                <w:spacing w:line="276" w:lineRule="auto"/>
                <w:ind w:firstLine="709"/>
                <w:jc w:val="both"/>
                <w:rPr>
                  <w:color w:val="000000"/>
                  <w:szCs w:val="24"/>
                </w:rPr>
              </w:pPr>
              <w:r>
                <w:rPr>
                  <w:color w:val="000000"/>
                  <w:szCs w:val="24"/>
                </w:rPr>
                <w:t>10. Didesnio kaip penki šimtai kilogramų, bet mažesnio negu dvidešimt penkios tonos kiekio skirtų naudoti pavojingų atliekų išvežimas ar eksportas iš Lietuvos Respublikos be teisės aktuose nustatyta tvarka gauto sprendimo leisti vežti atliekas</w:t>
              </w:r>
            </w:p>
            <w:p>
              <w:pPr>
                <w:shd w:val="clear" w:color="auto" w:fill="FFFFFF"/>
                <w:spacing w:line="276" w:lineRule="auto"/>
                <w:ind w:firstLine="709"/>
                <w:jc w:val="both"/>
                <w:rPr>
                  <w:color w:val="000000"/>
                  <w:szCs w:val="24"/>
                </w:rPr>
              </w:pPr>
              <w:r>
                <w:rPr>
                  <w:color w:val="000000"/>
                  <w:szCs w:val="24"/>
                </w:rPr>
                <w:t>užtraukia baudą nuo 200 iki 550 eurų.</w:t>
              </w:r>
            </w:p>
            <w:p>
              <w:pPr>
                <w:shd w:val="clear" w:color="auto" w:fill="FFFFFF"/>
                <w:spacing w:line="276" w:lineRule="auto"/>
                <w:ind w:firstLine="709"/>
                <w:jc w:val="both"/>
                <w:rPr>
                  <w:color w:val="000000"/>
                  <w:szCs w:val="24"/>
                </w:rPr>
              </w:pPr>
              <w:r>
                <w:rPr>
                  <w:color w:val="000000"/>
                  <w:szCs w:val="24"/>
                </w:rPr>
                <w:t>11. Reikalavimo teisės aktuose nustatyta tvarka gauti leidimą įvežti ar importuoti atliekas į Lietuvos Respubliką pažeidimas</w:t>
              </w:r>
            </w:p>
            <w:p>
              <w:pPr>
                <w:shd w:val="clear" w:color="auto" w:fill="FFFFFF"/>
                <w:spacing w:line="276" w:lineRule="auto"/>
                <w:ind w:firstLine="709"/>
                <w:jc w:val="both"/>
                <w:rPr>
                  <w:color w:val="000000"/>
                  <w:szCs w:val="24"/>
                </w:rPr>
              </w:pPr>
              <w:r>
                <w:rPr>
                  <w:color w:val="000000"/>
                  <w:szCs w:val="24"/>
                </w:rPr>
                <w:t>užtraukia baudą nuo 300 iki 560 eurų.</w:t>
              </w:r>
            </w:p>
            <w:p>
              <w:pPr>
                <w:shd w:val="clear" w:color="auto" w:fill="FFFFFF"/>
                <w:spacing w:line="276" w:lineRule="auto"/>
                <w:ind w:firstLine="709"/>
                <w:jc w:val="both"/>
                <w:rPr>
                  <w:color w:val="000000"/>
                  <w:szCs w:val="24"/>
                </w:rPr>
              </w:pPr>
              <w:r>
                <w:rPr>
                  <w:color w:val="000000"/>
                  <w:szCs w:val="24"/>
                </w:rPr>
                <w:t>12.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hd w:val="clear" w:color="auto" w:fill="FFFFFF"/>
                <w:spacing w:line="276" w:lineRule="auto"/>
                <w:ind w:firstLine="709"/>
                <w:jc w:val="both"/>
                <w:rPr>
                  <w:color w:val="000000"/>
                  <w:szCs w:val="24"/>
                </w:rPr>
              </w:pPr>
              <w:r>
                <w:rPr>
                  <w:color w:val="000000"/>
                  <w:szCs w:val="24"/>
                </w:rPr>
                <w:t>užtraukia baudą nuo 300 iki 850 eurų.</w:t>
              </w:r>
            </w:p>
            <w:p>
              <w:pPr>
                <w:shd w:val="clear" w:color="auto" w:fill="FFFFFF"/>
                <w:spacing w:line="276" w:lineRule="auto"/>
                <w:ind w:firstLine="709"/>
                <w:jc w:val="both"/>
                <w:rPr>
                  <w:color w:val="000000"/>
                  <w:szCs w:val="24"/>
                </w:rPr>
              </w:pPr>
              <w:r>
                <w:rPr>
                  <w:color w:val="000000"/>
                  <w:szCs w:val="24"/>
                </w:rPr>
                <w:t>13. Didesnio kaip penki šimtai kilogramų, bet mažesnio negu dvidešimt penkios tonos kiekio skirtų šalinti pavojingų atliekų išvežimas ar eksportas iš Lietuvos Respublikos be teisės aktuose nustatyta tvarka gauto sprendimo leisti vežti atliekas</w:t>
              </w:r>
            </w:p>
            <w:p>
              <w:pPr>
                <w:shd w:val="clear" w:color="auto" w:fill="FFFFFF"/>
                <w:spacing w:line="276" w:lineRule="auto"/>
                <w:ind w:firstLine="709"/>
                <w:jc w:val="both"/>
                <w:rPr>
                  <w:color w:val="000000"/>
                  <w:szCs w:val="24"/>
                </w:rPr>
              </w:pPr>
              <w:r>
                <w:rPr>
                  <w:color w:val="000000"/>
                  <w:szCs w:val="24"/>
                </w:rPr>
                <w:t>užtraukia baudą nuo 300 iki 850 eurų.</w:t>
              </w:r>
            </w:p>
            <w:p>
              <w:pPr>
                <w:shd w:val="clear" w:color="auto" w:fill="FFFFFF"/>
                <w:spacing w:line="276" w:lineRule="auto"/>
                <w:ind w:firstLine="709"/>
                <w:jc w:val="both"/>
                <w:rPr>
                  <w:color w:val="000000"/>
                  <w:szCs w:val="24"/>
                </w:rPr>
              </w:pPr>
              <w:r>
                <w:rPr>
                  <w:color w:val="000000"/>
                  <w:szCs w:val="24"/>
                </w:rPr>
                <w:t>14. Dvidešimt penkių tonų arba didesnio kiekio skirtų šalinti nepavojingų atliekų išvežimas ar eksportas iš Lietuvos Respublikos be teisės aktuose nustatyta tvarka gauto sprendimo leisti vežti atliekas</w:t>
              </w:r>
            </w:p>
            <w:p>
              <w:pPr>
                <w:shd w:val="clear" w:color="auto" w:fill="FFFFFF"/>
                <w:spacing w:line="276" w:lineRule="auto"/>
                <w:ind w:firstLine="709"/>
                <w:jc w:val="both"/>
                <w:rPr>
                  <w:color w:val="000000"/>
                  <w:szCs w:val="24"/>
                </w:rPr>
              </w:pPr>
              <w:r>
                <w:rPr>
                  <w:color w:val="000000"/>
                  <w:szCs w:val="24"/>
                </w:rPr>
                <w:t>užtraukia baudą nuo 440 iki 1440 eurų.</w:t>
              </w:r>
            </w:p>
            <w:p>
              <w:pPr>
                <w:shd w:val="clear" w:color="auto" w:fill="FFFFFF"/>
                <w:spacing w:line="276" w:lineRule="auto"/>
                <w:ind w:firstLine="709"/>
                <w:jc w:val="both"/>
                <w:rPr>
                  <w:color w:val="000000"/>
                  <w:szCs w:val="24"/>
                </w:rPr>
              </w:pPr>
              <w:r>
                <w:rPr>
                  <w:color w:val="000000"/>
                  <w:szCs w:val="24"/>
                </w:rPr>
                <w:t>15. Dvidešimt penkių tonų arba didesnio kiekio skirtų naudoti pavojingų atliekų išvežimas ar eksportas iš Lietuvos Respublikos be teisės aktuose nustatyta tvarka gauto sprendimo leisti vežti atliekas</w:t>
              </w:r>
            </w:p>
            <w:p>
              <w:pPr>
                <w:shd w:val="clear" w:color="auto" w:fill="FFFFFF"/>
                <w:spacing w:line="276" w:lineRule="auto"/>
                <w:ind w:firstLine="709"/>
                <w:jc w:val="both"/>
                <w:rPr>
                  <w:color w:val="000000"/>
                  <w:szCs w:val="24"/>
                </w:rPr>
              </w:pPr>
              <w:r>
                <w:rPr>
                  <w:color w:val="000000"/>
                  <w:szCs w:val="24"/>
                </w:rPr>
                <w:t>užtraukia baudą nuo 600 iki 1700 eurų.</w:t>
              </w:r>
            </w:p>
            <w:p>
              <w:pPr>
                <w:shd w:val="clear" w:color="auto" w:fill="FFFFFF"/>
                <w:spacing w:line="276" w:lineRule="auto"/>
                <w:ind w:firstLine="709"/>
                <w:jc w:val="both"/>
                <w:rPr>
                  <w:color w:val="000000"/>
                  <w:szCs w:val="24"/>
                </w:rPr>
              </w:pPr>
              <w:r>
                <w:rPr>
                  <w:color w:val="000000"/>
                  <w:szCs w:val="24"/>
                </w:rPr>
                <w:t>16. Dvidešimt penkių tonų arba didesnio kiekio skirtų šalinti pavojingų atliekų išvežimas ar eksportas iš Lietuvos Respublikos be teisės aktuose nustatyta tvarka gauto sprendimo leisti vežti atliekas</w:t>
              </w:r>
            </w:p>
            <w:p>
              <w:pPr>
                <w:shd w:val="clear" w:color="auto" w:fill="FFFFFF"/>
                <w:spacing w:line="276" w:lineRule="auto"/>
                <w:ind w:firstLine="709"/>
                <w:jc w:val="both"/>
                <w:rPr>
                  <w:color w:val="000000"/>
                  <w:szCs w:val="24"/>
                </w:rPr>
              </w:pPr>
              <w:r>
                <w:rPr>
                  <w:color w:val="000000"/>
                  <w:szCs w:val="24"/>
                </w:rPr>
                <w:t>užtraukia baudą nuo 900 iki 2000 eurų.</w:t>
              </w:r>
            </w:p>
            <w:p>
              <w:pPr>
                <w:shd w:val="clear" w:color="auto" w:fill="FFFFFF"/>
                <w:spacing w:line="276" w:lineRule="auto"/>
                <w:ind w:firstLine="709"/>
                <w:jc w:val="both"/>
                <w:rPr>
                  <w:color w:val="000000"/>
                  <w:szCs w:val="24"/>
                  <w:lang w:val="pt-BR"/>
                </w:rPr>
              </w:pPr>
              <w:r>
                <w:rPr>
                  <w:color w:val="000000"/>
                  <w:szCs w:val="24"/>
                </w:rPr>
                <w:t>17. Šio straipsnio 1, 2, 3, 4, 5, 6, 9 dalyse numatyti administraciniai nusižengimai, padaryti pakartotinai,</w:t>
              </w:r>
            </w:p>
            <w:p>
              <w:pPr>
                <w:shd w:val="clear" w:color="auto" w:fill="FFFFFF"/>
                <w:spacing w:line="276" w:lineRule="auto"/>
                <w:ind w:firstLine="709"/>
                <w:jc w:val="both"/>
                <w:rPr>
                  <w:color w:val="000000"/>
                  <w:szCs w:val="24"/>
                  <w:lang w:val="pt-BR"/>
                </w:rPr>
              </w:pPr>
              <w:r>
                <w:rPr>
                  <w:color w:val="000000"/>
                  <w:szCs w:val="24"/>
                </w:rPr>
                <w:t>užtraukia baudą nuo 80 iki 600 eurų.</w:t>
              </w:r>
            </w:p>
            <w:p>
              <w:pPr>
                <w:shd w:val="clear" w:color="auto" w:fill="FFFFFF"/>
                <w:spacing w:line="276" w:lineRule="auto"/>
                <w:ind w:firstLine="709"/>
                <w:jc w:val="both"/>
                <w:rPr>
                  <w:color w:val="000000"/>
                  <w:szCs w:val="24"/>
                  <w:lang w:val="pt-BR"/>
                </w:rPr>
              </w:pPr>
              <w:r>
                <w:rPr>
                  <w:color w:val="000000"/>
                  <w:szCs w:val="24"/>
                </w:rPr>
                <w:t>18. Šio straipsnio 7, 8, 10, 11, 12, 13 dalyse numatyti administraciniai nusižengimai, padaryti pakartotinai,</w:t>
              </w:r>
            </w:p>
            <w:p>
              <w:pPr>
                <w:shd w:val="clear" w:color="auto" w:fill="FFFFFF"/>
                <w:spacing w:line="276" w:lineRule="auto"/>
                <w:ind w:firstLine="709"/>
                <w:jc w:val="both"/>
                <w:rPr>
                  <w:color w:val="000000"/>
                  <w:szCs w:val="24"/>
                  <w:lang w:val="pt-BR"/>
                </w:rPr>
              </w:pPr>
              <w:r>
                <w:rPr>
                  <w:color w:val="000000"/>
                  <w:szCs w:val="24"/>
                </w:rPr>
                <w:t>užtraukia baudą nuo 300 iki 1750 eurų.</w:t>
              </w:r>
            </w:p>
            <w:p>
              <w:pPr>
                <w:shd w:val="clear" w:color="auto" w:fill="FFFFFF"/>
                <w:spacing w:line="276" w:lineRule="auto"/>
                <w:ind w:firstLine="709"/>
                <w:jc w:val="both"/>
                <w:rPr>
                  <w:color w:val="000000"/>
                  <w:szCs w:val="24"/>
                  <w:lang w:val="pt-BR"/>
                </w:rPr>
              </w:pPr>
              <w:r>
                <w:rPr>
                  <w:color w:val="000000"/>
                  <w:szCs w:val="24"/>
                </w:rPr>
                <w:t>19. Šio straipsnio 14, 15, 16 dalyse numatyti administraciniai nusižengimai, padaryti pakartotinai,</w:t>
              </w:r>
            </w:p>
            <w:p>
              <w:pPr>
                <w:shd w:val="clear" w:color="auto" w:fill="FFFFFF"/>
                <w:spacing w:line="276" w:lineRule="auto"/>
                <w:ind w:firstLine="709"/>
                <w:jc w:val="both"/>
                <w:rPr>
                  <w:color w:val="000000"/>
                  <w:szCs w:val="24"/>
                  <w:lang w:val="pt-BR"/>
                </w:rPr>
              </w:pPr>
              <w:r>
                <w:rPr>
                  <w:color w:val="000000"/>
                  <w:szCs w:val="24"/>
                </w:rPr>
                <w:t>užtraukia baudą nuo 800 iki 3000 eurų.</w:t>
              </w:r>
              <w:r>
                <w:rPr>
                  <w:color w:val="000000"/>
                  <w:szCs w:val="24"/>
                  <w:lang w:val="pt-BR"/>
                </w:rPr>
                <w:t>”</w:t>
              </w:r>
            </w:p>
            <w:p>
              <w:pPr>
                <w:shd w:val="clear" w:color="auto" w:fill="FFFFFF"/>
                <w:spacing w:line="276" w:lineRule="auto"/>
                <w:ind w:firstLine="709"/>
                <w:jc w:val="both"/>
                <w:rPr>
                  <w:color w:val="000000"/>
                  <w:szCs w:val="24"/>
                  <w:lang w:val="pt-BR"/>
                </w:rPr>
              </w:pPr>
              <w:r>
                <w:rPr>
                  <w:color w:val="000000"/>
                  <w:szCs w:val="24"/>
                  <w:lang w:val="pt-BR"/>
                </w:rPr>
                <w:t xml:space="preserve">Įstatyme ir Kodekse nėra numatytas Reglamento </w:t>
              </w:r>
              <w:fldSimple w:instr="HYPERLINK http://eur-lex.europa.eu/legal-content/LIT/TXT/?uri=CELEX:32024R1157&amp;locale=lt \t _blank">
                <w:r>
                  <w:rPr>
                    <w:color w:val="0000FF" w:themeColor="hyperlink"/>
                    <w:szCs w:val="24"/>
                    <w:lang w:val="pt-BR"/>
                    <w:u w:val="single"/>
                  </w:rPr>
                  <w:t>(ES) 2024/1157</w:t>
                </w:r>
              </w:fldSimple>
              <w:r>
                <w:rPr>
                  <w:color w:val="000000"/>
                  <w:szCs w:val="24"/>
                  <w:lang w:val="pt-BR"/>
                </w:rPr>
                <w:t>, kuris įsigalios 2026 m. </w:t>
              </w:r>
              <w:r>
                <w:rPr>
                  <w:color w:val="000000"/>
                  <w:szCs w:val="24"/>
                </w:rPr>
                <w:t>gegužės </w:t>
              </w:r>
              <w:r>
                <w:rPr>
                  <w:color w:val="000000"/>
                  <w:szCs w:val="24"/>
                  <w:lang w:val="pt-BR"/>
                </w:rPr>
                <w:t xml:space="preserve">21 d., kaip nurodyta Reglamento </w:t>
              </w:r>
              <w:fldSimple w:instr="HYPERLINK http://eur-lex.europa.eu/legal-content/LIT/TXT/?uri=CELEX:32024R1157&amp;locale=lt \t _blank">
                <w:r>
                  <w:rPr>
                    <w:color w:val="0000FF" w:themeColor="hyperlink"/>
                    <w:szCs w:val="24"/>
                    <w:lang w:val="pt-BR"/>
                    <w:u w:val="single"/>
                  </w:rPr>
                  <w:t>(ES) 2024/1157</w:t>
                </w:r>
              </w:fldSimple>
              <w:r>
                <w:rPr>
                  <w:color w:val="000000"/>
                  <w:szCs w:val="24"/>
                  <w:lang w:val="pt-BR"/>
                </w:rPr>
                <w:t xml:space="preserve"> 86 straipsnio 2 dalyje, </w:t>
              </w:r>
              <w:r>
                <w:rPr>
                  <w:color w:val="000000"/>
                  <w:szCs w:val="24"/>
                </w:rPr>
                <w:t>į</w:t>
              </w:r>
              <w:r>
                <w:rPr>
                  <w:color w:val="000000"/>
                  <w:szCs w:val="24"/>
                  <w:lang w:val="pt-BR"/>
                </w:rPr>
                <w:t>gyvendinimas.</w:t>
              </w:r>
            </w:p>
            <w:p>
              <w:pPr>
                <w:spacing w:line="276" w:lineRule="auto"/>
                <w:ind w:firstLine="709"/>
                <w:jc w:val="both"/>
                <w:rPr>
                  <w:szCs w:val="24"/>
                  <w:lang w:val="pt-BR"/>
                </w:rPr>
              </w:pPr>
              <w:r>
                <w:rPr>
                  <w:color w:val="000000"/>
                  <w:szCs w:val="24"/>
                  <w:lang w:val="pt-BR"/>
                </w:rPr>
                <w:t xml:space="preserve">Taip pat, atsisakoma </w:t>
              </w:r>
              <w:r>
                <w:rPr>
                  <w:color w:val="000000"/>
                  <w:szCs w:val="24"/>
                </w:rPr>
                <w:t xml:space="preserve">Įstatymo </w:t>
              </w:r>
              <w:r>
                <w:rPr>
                  <w:color w:val="000000"/>
                  <w:szCs w:val="24"/>
                  <w:lang w:val="pt-BR"/>
                </w:rPr>
                <w:t xml:space="preserve">251 straipsnio 11 dalies: </w:t>
              </w:r>
              <w:r>
                <w:rPr>
                  <w:color w:val="000000"/>
                  <w:szCs w:val="24"/>
                </w:rPr>
                <w:t>„</w:t>
              </w:r>
              <w:r>
                <w:rPr>
                  <w:color w:val="000000"/>
                  <w:szCs w:val="24"/>
                  <w:lang w:val="pt-BR"/>
                </w:rPr>
                <w:t xml:space="preserve">11. </w:t>
              </w:r>
              <w:r>
                <w:rPr>
                  <w:color w:val="000000"/>
                  <w:szCs w:val="24"/>
                </w:rPr>
                <w:t>Reikalavimo teisės aktuose nustatyta tvarka gauti leidimą įvežti ar importuoti atliekas į Lietuvos Respubliką pažeidimas, užtraukia baudą nuo trijų šimtų iki penkių šimtų šešiasdešimt eurų</w:t>
              </w:r>
              <w:r>
                <w:rPr>
                  <w:color w:val="000000"/>
                  <w:szCs w:val="24"/>
                  <w:lang w:val="pt-BR"/>
                </w:rPr>
                <w:t>”</w:t>
              </w:r>
              <w:r>
                <w:rPr>
                  <w:color w:val="000000"/>
                  <w:szCs w:val="24"/>
                </w:rPr>
                <w:t xml:space="preserve">, </w:t>
              </w:r>
              <w:r>
                <w:rPr>
                  <w:color w:val="000000"/>
                  <w:szCs w:val="24"/>
                  <w:lang w:val="pt-BR"/>
                </w:rPr>
                <w:t>nes prievol</w:t>
              </w:r>
              <w:r>
                <w:rPr>
                  <w:color w:val="000000"/>
                  <w:szCs w:val="24"/>
                </w:rPr>
                <w:t xml:space="preserve">ė, vadovaujantis Reglamento </w:t>
              </w:r>
              <w:fldSimple w:instr="HYPERLINK http://eur-lex.europa.eu/legal-content/LIT/TXT/?uri=CELEX:33157R2024&amp;locale=lt \t _blank">
                <w:r>
                  <w:rPr>
                    <w:color w:val="0000FF" w:themeColor="hyperlink"/>
                    <w:szCs w:val="24"/>
                    <w:u w:val="single"/>
                  </w:rPr>
                  <w:t>(ES) Nr. 2024/1157</w:t>
                </w:r>
              </w:fldSimple>
              <w:r>
                <w:rPr>
                  <w:color w:val="000000"/>
                  <w:szCs w:val="24"/>
                </w:rPr>
                <w:t xml:space="preserve"> reikalavimais, gauti sutikimą vežti atliekas tenka atliekų siuntėjui/eksportuotojui užsienyje, t. y., sutikimas yra suteikiamas išvežti/eksportuoti atliekas, todėl taikyti baudą atliekų gavėjui/importuotojui nėra tikslinga.</w:t>
              </w:r>
            </w:p>
            <w:p>
              <w:pPr>
                <w:shd w:val="clear" w:color="auto" w:fill="FFFFFF"/>
                <w:spacing w:line="276" w:lineRule="auto"/>
                <w:ind w:firstLine="709"/>
                <w:jc w:val="both"/>
                <w:rPr>
                  <w:color w:val="000000"/>
                  <w:szCs w:val="24"/>
                </w:rPr>
              </w:pPr>
              <w:r>
                <w:rPr>
                  <w:color w:val="000000"/>
                  <w:szCs w:val="24"/>
                  <w:lang w:val="pt-BR"/>
                </w:rPr>
                <w:t>Baudžiamoji atsakomybė nustačius neteisėtą atliekų vežimą numatyta Baudžiamojo kodekso 270</w:t>
              </w:r>
              <w:r>
                <w:rPr>
                  <w:color w:val="000000"/>
                  <w:szCs w:val="24"/>
                  <w:vertAlign w:val="superscript"/>
                  <w:lang w:val="pt-BR"/>
                </w:rPr>
                <w:t>2</w:t>
              </w:r>
              <w:r>
                <w:rPr>
                  <w:color w:val="000000"/>
                  <w:szCs w:val="24"/>
                  <w:lang w:val="pt-BR"/>
                </w:rPr>
                <w:t xml:space="preserve"> straipsnyje: </w:t>
              </w:r>
            </w:p>
            <w:p>
              <w:pPr>
                <w:shd w:val="clear" w:color="auto" w:fill="FFFFFF"/>
                <w:spacing w:line="276" w:lineRule="auto"/>
                <w:ind w:firstLine="709"/>
                <w:jc w:val="both"/>
                <w:rPr>
                  <w:color w:val="000000"/>
                  <w:szCs w:val="24"/>
                </w:rPr>
              </w:pPr>
              <w:r>
                <w:rPr>
                  <w:color w:val="000000"/>
                  <w:szCs w:val="24"/>
                </w:rPr>
                <w:t>„</w:t>
              </w:r>
              <w:r>
                <w:rPr>
                  <w:color w:val="000000"/>
                  <w:szCs w:val="24"/>
                  <w:lang w:val="pt-BR"/>
                </w:rPr>
                <w:t>Neteisėtas atliekų gabenimas per Lietuvos Respublikos valstybės sieną</w:t>
              </w:r>
            </w:p>
            <w:p>
              <w:pPr>
                <w:shd w:val="clear" w:color="auto" w:fill="FFFFFF"/>
                <w:spacing w:line="276" w:lineRule="auto"/>
                <w:ind w:firstLine="709"/>
                <w:jc w:val="both"/>
                <w:rPr>
                  <w:color w:val="000000"/>
                  <w:szCs w:val="24"/>
                </w:rPr>
              </w:pPr>
              <w:r>
                <w:rPr>
                  <w:color w:val="000000"/>
                  <w:szCs w:val="24"/>
                </w:rPr>
                <w:t>1. Tas, kas neturėdamas leidimo ar kitaip pažeisdamas teisės aktų reikalavimus, per Lietuvos Respublikos valstybės sieną gabeno penkiasdešimt tonų arba didesnį kiekį skirtų naudoti arba šalinti nepavojingų atliekų,</w:t>
              </w:r>
            </w:p>
            <w:p>
              <w:pPr>
                <w:shd w:val="clear" w:color="auto" w:fill="FFFFFF"/>
                <w:spacing w:line="276" w:lineRule="auto"/>
                <w:ind w:firstLine="709"/>
                <w:jc w:val="both"/>
                <w:rPr>
                  <w:color w:val="000000"/>
                  <w:szCs w:val="24"/>
                </w:rPr>
              </w:pPr>
              <w:r>
                <w:rPr>
                  <w:color w:val="000000"/>
                  <w:szCs w:val="24"/>
                </w:rPr>
                <w:t>baudžiamas viešaisiais darbais arba bauda, arba laisvės apribojimu, arba areštu, arba laisvės atėmimu iki vienerių metų.</w:t>
              </w:r>
            </w:p>
            <w:p>
              <w:pPr>
                <w:shd w:val="clear" w:color="auto" w:fill="FFFFFF"/>
                <w:spacing w:line="276" w:lineRule="auto"/>
                <w:ind w:firstLine="709"/>
                <w:jc w:val="both"/>
                <w:rPr>
                  <w:color w:val="000000"/>
                  <w:szCs w:val="24"/>
                </w:rPr>
              </w:pPr>
              <w:r>
                <w:rPr>
                  <w:color w:val="000000"/>
                  <w:szCs w:val="24"/>
                </w:rPr>
                <w:t>2. Tas, kas neturėdamas leidimo ar kitaip pažeisdamas teisės aktų reikalavimus per Lietuvos Respublikos valstybės sieną gabeno penkiasdešimt tonų arba didesnį kiekį skirtų naudoti arba šalinti pavojingų atliekų,</w:t>
              </w:r>
            </w:p>
            <w:p>
              <w:pPr>
                <w:shd w:val="clear" w:color="auto" w:fill="FFFFFF"/>
                <w:spacing w:line="276" w:lineRule="auto"/>
                <w:ind w:firstLine="709"/>
                <w:jc w:val="both"/>
                <w:rPr>
                  <w:color w:val="000000"/>
                  <w:szCs w:val="24"/>
                </w:rPr>
              </w:pPr>
              <w:r>
                <w:rPr>
                  <w:color w:val="000000"/>
                  <w:szCs w:val="24"/>
                </w:rPr>
                <w:t>baudžiamas bauda arba laisvės apribojimu, arba areštu, arba laisvės atėmimu iki trejų metų.</w:t>
              </w:r>
            </w:p>
            <w:p>
              <w:pPr>
                <w:shd w:val="clear" w:color="auto" w:fill="FFFFFF"/>
                <w:spacing w:line="276" w:lineRule="auto"/>
                <w:ind w:firstLine="709"/>
                <w:jc w:val="both"/>
                <w:rPr>
                  <w:color w:val="000000"/>
                  <w:szCs w:val="24"/>
                  <w:lang w:val="pt-BR"/>
                </w:rPr>
              </w:pPr>
              <w:r>
                <w:rPr>
                  <w:color w:val="000000"/>
                  <w:szCs w:val="24"/>
                  <w:lang w:val="pt-BR"/>
                </w:rPr>
                <w:t>3. Už šiame straipsnyje numatytas veikas atsako ir juridinis asmuo.”</w:t>
              </w:r>
            </w:p>
            <w:p>
              <w:pPr>
                <w:shd w:val="clear" w:color="auto" w:fill="FFFFFF"/>
                <w:spacing w:line="276" w:lineRule="auto"/>
                <w:ind w:firstLine="709"/>
                <w:jc w:val="both"/>
                <w:rPr>
                  <w:color w:val="000000"/>
                  <w:szCs w:val="24"/>
                  <w:lang w:val="pt-BR"/>
                </w:rPr>
              </w:pPr>
            </w:p>
            <w:p>
              <w:pPr>
                <w:spacing w:line="276" w:lineRule="auto"/>
                <w:ind w:firstLine="709"/>
                <w:jc w:val="both"/>
                <w:rPr>
                  <w:szCs w:val="24"/>
                  <w:u w:val="single"/>
                  <w:lang w:val="lt"/>
                </w:rPr>
              </w:pPr>
              <w:r>
                <w:rPr>
                  <w:i/>
                  <w:iCs/>
                  <w:szCs w:val="24"/>
                </w:rPr>
                <w:t xml:space="preserve">Dėl Reglamento </w:t>
              </w:r>
              <w:fldSimple w:instr="HYPERLINK http://eur-lex.europa.eu/legal-content/LIT/TXT/?uri=CELEX:32590R2024&amp;locale=lt \t _blank">
                <w:r>
                  <w:rPr>
                    <w:i/>
                    <w:iCs/>
                    <w:szCs w:val="24"/>
                    <w:u w:val="single"/>
                    <w:color w:val="0000FF" w:themeColor="hyperlink"/>
                  </w:rPr>
                  <w:t>(ES) Nr.</w:t>
                </w:r>
                <w:r>
                  <w:rPr>
                    <w:szCs w:val="24"/>
                    <w:u w:val="single"/>
                    <w:color w:val="0000FF" w:themeColor="hyperlink"/>
                  </w:rPr>
                  <w:t xml:space="preserve"> 2024/590</w:t>
                </w:r>
              </w:fldSimple>
              <w:r>
                <w:rPr>
                  <w:szCs w:val="24"/>
                </w:rPr>
                <w:t xml:space="preserve"> </w:t>
              </w:r>
              <w:r>
                <w:rPr>
                  <w:i/>
                  <w:iCs/>
                  <w:color w:val="000000"/>
                  <w:szCs w:val="24"/>
                </w:rPr>
                <w:t>nustatytų reikalavimų</w:t>
              </w:r>
            </w:p>
            <w:p>
              <w:pPr>
                <w:spacing w:line="276" w:lineRule="auto"/>
                <w:ind w:firstLine="709"/>
                <w:jc w:val="both"/>
                <w:rPr>
                  <w:szCs w:val="24"/>
                  <w:lang w:val="lt"/>
                </w:rPr>
              </w:pPr>
              <w:r>
                <w:rPr>
                  <w:szCs w:val="24"/>
                  <w:lang w:val="lt"/>
                </w:rPr>
                <w:t xml:space="preserve">Šiuo metu juridiniams asmenims, pažeidusiems 2009 m. rugsėjo 16 d. Europos Parlamento ir Tarybos reglamento </w:t>
              </w:r>
              <w:fldSimple w:instr="HYPERLINK http://eur-lex.europa.eu/legal-content/LIT/TXT/?uri=CELEX:32009R1005&amp;locale=lt \t _blank">
                <w:r>
                  <w:rPr>
                    <w:szCs w:val="24"/>
                    <w:lang w:val="lt"/>
                    <w:u w:val="single"/>
                    <w:color w:val="0000FF" w:themeColor="hyperlink"/>
                  </w:rPr>
                  <w:t>(EB) Nr. 1005/2009</w:t>
                </w:r>
              </w:fldSimple>
              <w:r>
                <w:rPr>
                  <w:szCs w:val="24"/>
                  <w:lang w:val="lt"/>
                </w:rPr>
                <w:t xml:space="preserve"> dėl ozono sluoksnį ardančių medžiagų ir nacionalinių teisės aktų, reglamentuojančių ozono sluoksnį ardančių medžiagų reikalavimus, taikomas Įstatymo 110 straipsnis, fiziniams asmenims – Kodekso 310 straipsnis.</w:t>
              </w:r>
            </w:p>
            <w:p>
              <w:pPr>
                <w:spacing w:line="276" w:lineRule="auto"/>
                <w:ind w:firstLine="709"/>
                <w:jc w:val="both"/>
                <w:rPr>
                  <w:szCs w:val="24"/>
                  <w:lang w:val="lt"/>
                </w:rPr>
              </w:pPr>
              <w:r>
                <w:rPr>
                  <w:szCs w:val="24"/>
                  <w:lang w:val="lt"/>
                </w:rPr>
                <w:t>Įstatymo 110 straipsnyje nustatytos administracinės nuobaudos:</w:t>
              </w:r>
            </w:p>
            <w:p>
              <w:pPr>
                <w:spacing w:line="276" w:lineRule="auto"/>
                <w:ind w:firstLine="709"/>
                <w:jc w:val="both"/>
                <w:rPr>
                  <w:szCs w:val="24"/>
                  <w:lang w:val="lt"/>
                </w:rPr>
              </w:pPr>
              <w:r>
                <w:rPr>
                  <w:szCs w:val="24"/>
                </w:rPr>
                <w:t xml:space="preserve">- </w:t>
              </w:r>
              <w:r>
                <w:rPr>
                  <w:szCs w:val="24"/>
                  <w:lang w:val="lt"/>
                </w:rPr>
                <w:t>už pažeidimus, susijusius su įrangos ženklinimo, duomenų tvarkymo ir saugojimo reikalavimų pažeidimais, reikalavimo laikytis įrangos saugaus eksploatavimo ir priežiūros instrukcijos pažeidimas užtraukia baudą nuo 300 iki 600 eurų;</w:t>
              </w:r>
            </w:p>
            <w:p>
              <w:pPr>
                <w:spacing w:line="276" w:lineRule="auto"/>
                <w:ind w:firstLine="709"/>
                <w:jc w:val="both"/>
                <w:rPr>
                  <w:szCs w:val="24"/>
                  <w:lang w:val="lt"/>
                </w:rPr>
              </w:pPr>
              <w:r>
                <w:rPr>
                  <w:szCs w:val="24"/>
                </w:rPr>
                <w:t xml:space="preserve">- </w:t>
              </w:r>
              <w:r>
                <w:rPr>
                  <w:color w:val="000000"/>
                  <w:szCs w:val="24"/>
                  <w:lang w:val="lt"/>
                </w:rPr>
                <w:t>u</w:t>
              </w:r>
              <w:r>
                <w:rPr>
                  <w:color w:val="000000"/>
                  <w:szCs w:val="24"/>
                </w:rPr>
                <w:t>ž</w:t>
              </w:r>
              <w:r>
                <w:rPr>
                  <w:color w:val="000000"/>
                  <w:szCs w:val="24"/>
                  <w:lang w:val="lt"/>
                </w:rPr>
                <w:t xml:space="preserve"> informacijos pateikimo </w:t>
              </w:r>
              <w:r>
                <w:rPr>
                  <w:szCs w:val="24"/>
                  <w:lang w:val="lt"/>
                </w:rPr>
                <w:t xml:space="preserve">ozono sluoksnį ardančių medžiagų etiketėje reikalavimų pažeidimus nustatyta </w:t>
              </w:r>
              <w:r>
                <w:rPr>
                  <w:color w:val="000000"/>
                  <w:szCs w:val="24"/>
                  <w:lang w:val="lt"/>
                </w:rPr>
                <w:t>bauda</w:t>
              </w:r>
              <w:r>
                <w:rPr>
                  <w:szCs w:val="24"/>
                  <w:lang w:val="lt"/>
                </w:rPr>
                <w:t xml:space="preserve"> </w:t>
              </w:r>
              <w:r>
                <w:rPr>
                  <w:color w:val="000000"/>
                  <w:szCs w:val="24"/>
                  <w:lang w:val="lt"/>
                </w:rPr>
                <w:t>nuo 350 iki 850 eurų;</w:t>
              </w:r>
            </w:p>
            <w:p>
              <w:pPr>
                <w:spacing w:line="276" w:lineRule="auto"/>
                <w:ind w:firstLine="709"/>
                <w:jc w:val="both"/>
                <w:rPr>
                  <w:szCs w:val="24"/>
                  <w:lang w:val="lt"/>
                </w:rPr>
              </w:pPr>
              <w:r>
                <w:rPr>
                  <w:szCs w:val="24"/>
                </w:rPr>
                <w:t xml:space="preserve">- </w:t>
              </w:r>
              <w:r>
                <w:rPr>
                  <w:szCs w:val="24"/>
                  <w:lang w:val="lt"/>
                </w:rPr>
                <w:t>už pažeidimus, susijusius su informacijos apie ozono sluoksnį ardančias medžiagas, įrangą ar produktus nepateikimu Europos Sąjungos ar Lietuvos Respublikos institucijoms, informacijos nuslėpimu, iškraipymu taikoma bauda nuo 300 iki 1200 eurų.</w:t>
              </w:r>
            </w:p>
            <w:p>
              <w:pPr>
                <w:spacing w:line="276" w:lineRule="auto"/>
                <w:ind w:firstLine="709"/>
                <w:jc w:val="both"/>
                <w:rPr>
                  <w:szCs w:val="24"/>
                  <w:lang w:val="lt"/>
                </w:rPr>
              </w:pPr>
              <w:r>
                <w:rPr>
                  <w:szCs w:val="24"/>
                  <w:lang w:val="lt"/>
                </w:rPr>
                <w:t>Nuo 600 iki 1200 eurų baudos nustatytos už:</w:t>
              </w:r>
            </w:p>
            <w:p>
              <w:pPr>
                <w:spacing w:line="276" w:lineRule="auto"/>
                <w:ind w:firstLine="709"/>
                <w:jc w:val="both"/>
                <w:rPr>
                  <w:szCs w:val="24"/>
                  <w:lang w:val="lt"/>
                </w:rPr>
              </w:pPr>
              <w:r>
                <w:rPr>
                  <w:szCs w:val="24"/>
                </w:rPr>
                <w:t xml:space="preserve">- </w:t>
              </w:r>
              <w:r>
                <w:rPr>
                  <w:szCs w:val="24"/>
                  <w:lang w:val="lt"/>
                </w:rPr>
                <w:t>pažeidimus, susijusius su reikalavimų turėti darbuotojo kompetenciją įrodančius dokumentus atlikti įrangos ir produktų, kuriuose yra ozono sluoksnį ardančių medžiagų, montavimo, techninės priežiūros, remonto, tikrinimo dėl ozono sluoksnį ardančių medžiagų nuotėkio ar išmontavimo darbus pažeidimu;</w:t>
              </w:r>
            </w:p>
            <w:p>
              <w:pPr>
                <w:spacing w:line="276" w:lineRule="auto"/>
                <w:ind w:firstLine="709"/>
                <w:jc w:val="both"/>
                <w:rPr>
                  <w:szCs w:val="24"/>
                  <w:lang w:val="lt"/>
                </w:rPr>
              </w:pPr>
              <w:r>
                <w:rPr>
                  <w:szCs w:val="24"/>
                </w:rPr>
                <w:t xml:space="preserve">- </w:t>
              </w:r>
              <w:r>
                <w:rPr>
                  <w:szCs w:val="24"/>
                  <w:lang w:val="lt"/>
                </w:rPr>
                <w:t>reikalavimų tikrinti dėl galimo nuotėkio įrangą, kurioje yra ozono sluoksnį ardančių medžiagų, pažeidimą arba šios įrangos, turinčios gedimų eksploatavimą;</w:t>
              </w:r>
            </w:p>
            <w:p>
              <w:pPr>
                <w:spacing w:line="276" w:lineRule="auto"/>
                <w:ind w:firstLine="709"/>
                <w:jc w:val="both"/>
                <w:rPr>
                  <w:szCs w:val="24"/>
                  <w:lang w:val="lt"/>
                </w:rPr>
              </w:pPr>
              <w:r>
                <w:rPr>
                  <w:szCs w:val="24"/>
                </w:rPr>
                <w:t xml:space="preserve">- </w:t>
              </w:r>
              <w:r>
                <w:rPr>
                  <w:szCs w:val="24"/>
                  <w:lang w:val="lt"/>
                </w:rPr>
                <w:t>reikalavimų neužsiregistravus naudoti ozono sluoksnį ardančias medžiagas laboratorijos ir analizės reikmėms pažeidimą;</w:t>
              </w:r>
            </w:p>
            <w:p>
              <w:pPr>
                <w:spacing w:line="276" w:lineRule="auto"/>
                <w:ind w:firstLine="709"/>
                <w:jc w:val="both"/>
                <w:rPr>
                  <w:szCs w:val="24"/>
                  <w:highlight w:val="cyan"/>
                  <w:lang w:val="lt"/>
                </w:rPr>
              </w:pPr>
              <w:r>
                <w:rPr>
                  <w:szCs w:val="24"/>
                </w:rPr>
                <w:t xml:space="preserve">- </w:t>
              </w:r>
              <w:r>
                <w:rPr>
                  <w:szCs w:val="24"/>
                  <w:lang w:val="lt"/>
                </w:rPr>
                <w:t xml:space="preserve">reikalavimų imtis priemonių išvengti ozono sluoksnį ardančių medžiagų nuotėkio iš nenaudojamos įrangos pažeidimą ir (arba) nusidėvėjusios, netinkamos naudoti ir (arba) nereikalingos įrangos išmontavimo reikalavimų pažeidimus. </w:t>
              </w:r>
            </w:p>
            <w:p>
              <w:pPr>
                <w:spacing w:line="276" w:lineRule="auto"/>
                <w:ind w:firstLine="709"/>
                <w:jc w:val="both"/>
                <w:rPr>
                  <w:szCs w:val="24"/>
                  <w:lang w:val="lt"/>
                </w:rPr>
              </w:pPr>
              <w:r>
                <w:rPr>
                  <w:szCs w:val="24"/>
                  <w:lang w:val="lt"/>
                </w:rPr>
                <w:t>Nuo 850 iki 1700 eurų baudos nustatytos už:</w:t>
              </w:r>
            </w:p>
            <w:p>
              <w:pPr>
                <w:spacing w:line="276" w:lineRule="auto"/>
                <w:ind w:firstLine="709"/>
                <w:jc w:val="both"/>
                <w:rPr>
                  <w:szCs w:val="24"/>
                  <w:lang w:val="lt"/>
                </w:rPr>
              </w:pPr>
              <w:r>
                <w:rPr>
                  <w:szCs w:val="24"/>
                </w:rPr>
                <w:t xml:space="preserve">- </w:t>
              </w:r>
              <w:r>
                <w:rPr>
                  <w:szCs w:val="24"/>
                  <w:lang w:val="lt"/>
                </w:rPr>
                <w:t>reikalavimų surinkti ozono sluoksnį ardančias medžiagas įrangos techninės priežiūros, remonto metu arba prieš įrangą išmontuojant ir pašalinant, pažeidimą;</w:t>
              </w:r>
            </w:p>
            <w:p>
              <w:pPr>
                <w:spacing w:line="276" w:lineRule="auto"/>
                <w:ind w:firstLine="709"/>
                <w:jc w:val="both"/>
                <w:rPr>
                  <w:szCs w:val="24"/>
                  <w:lang w:val="lt"/>
                </w:rPr>
              </w:pPr>
              <w:r>
                <w:rPr>
                  <w:szCs w:val="24"/>
                </w:rPr>
                <w:t xml:space="preserve">- </w:t>
              </w:r>
              <w:r>
                <w:rPr>
                  <w:szCs w:val="24"/>
                  <w:lang w:val="lt"/>
                </w:rPr>
                <w:t>pažeidimus, susijusius su ozono sluoksnį ardančių medžiagų išmetimo į aplinką iš nenaudojamos įrangos, nesiimant priemonių išvengti nuotėkio ir (arba) nusidėvėjusios, netinkamos naudoti ir (arba) nereikalingos įrangos, pažeidžiant išmontavimo reikalavimus, pažeidimais;</w:t>
              </w:r>
            </w:p>
            <w:p>
              <w:pPr>
                <w:spacing w:line="276" w:lineRule="auto"/>
                <w:ind w:firstLine="709"/>
                <w:jc w:val="both"/>
                <w:rPr>
                  <w:szCs w:val="24"/>
                  <w:lang w:val="lt"/>
                </w:rPr>
              </w:pPr>
              <w:r>
                <w:rPr>
                  <w:szCs w:val="24"/>
                </w:rPr>
                <w:t xml:space="preserve">- </w:t>
              </w:r>
              <w:r>
                <w:rPr>
                  <w:szCs w:val="24"/>
                  <w:lang w:val="lt"/>
                </w:rPr>
                <w:t>pažeidimus, susijusius su įrangos ir produktų, kuriuose yra hidrochlorfluorangliavandenilių importo, tiekimo rinkai, eksporto ir (arba) eksploatavimo reikalavimų pažeidimais;</w:t>
              </w:r>
            </w:p>
            <w:p>
              <w:pPr>
                <w:spacing w:line="276" w:lineRule="auto"/>
                <w:ind w:firstLine="709"/>
                <w:jc w:val="both"/>
                <w:rPr>
                  <w:szCs w:val="24"/>
                  <w:lang w:val="lt"/>
                </w:rPr>
              </w:pPr>
              <w:r>
                <w:rPr>
                  <w:szCs w:val="24"/>
                </w:rPr>
                <w:t xml:space="preserve">- </w:t>
              </w:r>
              <w:r>
                <w:rPr>
                  <w:szCs w:val="24"/>
                  <w:lang w:val="lt"/>
                </w:rPr>
                <w:t>pažeidimus, susijusius su halonų saugojimo reikalavimų pažeidimu.</w:t>
              </w:r>
            </w:p>
            <w:p>
              <w:pPr>
                <w:spacing w:line="276" w:lineRule="auto"/>
                <w:ind w:firstLine="709"/>
                <w:jc w:val="both"/>
                <w:rPr>
                  <w:szCs w:val="24"/>
                  <w:lang w:val="lt"/>
                </w:rPr>
              </w:pPr>
              <w:r>
                <w:rPr>
                  <w:szCs w:val="24"/>
                  <w:lang w:val="lt"/>
                </w:rPr>
                <w:t>Už pažeidimus, susijusius su ozono sluoksnį ardančių medžiagų arba įrangos ir produktų, kuriuose yra šių medžiagų, naikinimo reikalavimų pažeidimus, taikoma bauda nuo 1200 iki 2300 eurų.</w:t>
              </w:r>
            </w:p>
            <w:p>
              <w:pPr>
                <w:spacing w:line="276" w:lineRule="auto"/>
                <w:ind w:firstLine="709"/>
                <w:jc w:val="both"/>
                <w:rPr>
                  <w:szCs w:val="24"/>
                  <w:lang w:val="lt"/>
                </w:rPr>
              </w:pPr>
              <w:r>
                <w:rPr>
                  <w:szCs w:val="24"/>
                  <w:lang w:val="lt"/>
                </w:rPr>
                <w:t>Už pažeidimus, susijusius su įrangos ir produktų, kuriuose tam tikrų ozono sluoksnį ardančių medžiagų, importo, tiekimo rinkai, eksporto ir (arba) eksploatavimo reikalavimų pažeidimais, taikomos baudos nuo 1400 iki 3000 eurų.</w:t>
              </w:r>
            </w:p>
            <w:p>
              <w:pPr>
                <w:spacing w:line="276" w:lineRule="auto"/>
                <w:ind w:firstLine="709"/>
                <w:jc w:val="both"/>
                <w:rPr>
                  <w:szCs w:val="24"/>
                  <w:lang w:val="lt"/>
                </w:rPr>
              </w:pPr>
              <w:r>
                <w:rPr>
                  <w:szCs w:val="24"/>
                  <w:lang w:val="lt"/>
                </w:rPr>
                <w:t xml:space="preserve">Šiuo metu fiziniams asmenims, pažeidusiems 2009 m. rugsėjo 16 d. Europos Parlamento ir Tarybos reglamento </w:t>
              </w:r>
              <w:fldSimple w:instr="HYPERLINK http://eur-lex.europa.eu/legal-content/LIT/TXT/?uri=CELEX:32009R1005&amp;locale=lt \t _blank">
                <w:r>
                  <w:rPr>
                    <w:szCs w:val="24"/>
                    <w:lang w:val="lt"/>
                    <w:u w:val="single"/>
                    <w:color w:val="0000FF" w:themeColor="hyperlink"/>
                  </w:rPr>
                  <w:t>(EB) Nr. 1005/2009</w:t>
                </w:r>
              </w:fldSimple>
              <w:r>
                <w:rPr>
                  <w:szCs w:val="24"/>
                  <w:lang w:val="lt"/>
                </w:rPr>
                <w:t xml:space="preserve"> dėl ozono sluoksnį ardančių medžiagų ir nacionalinių teisės aktų, reglamentuojančių ozono sluoksnį ardančių medžiagų, produktų ir įrangos, kuriuose yra šių medžiagų ar kurių veikimas nuo jų priklauso, tvarkymo reikalavimus taikomas Kodekso 310 straipsnis.</w:t>
              </w:r>
            </w:p>
            <w:p>
              <w:pPr>
                <w:spacing w:line="276" w:lineRule="auto"/>
                <w:ind w:firstLine="709"/>
                <w:jc w:val="both"/>
                <w:rPr>
                  <w:szCs w:val="24"/>
                  <w:lang w:val="lt"/>
                </w:rPr>
              </w:pPr>
              <w:r>
                <w:rPr>
                  <w:szCs w:val="24"/>
                  <w:lang w:val="lt"/>
                </w:rPr>
                <w:t xml:space="preserve">Kodekso 310 straipsnyje nustatytos </w:t>
              </w:r>
              <w:r>
                <w:rPr>
                  <w:color w:val="000000"/>
                  <w:szCs w:val="24"/>
                  <w:lang w:val="lt"/>
                </w:rPr>
                <w:t xml:space="preserve">administracinės nuobaudos </w:t>
              </w:r>
              <w:r>
                <w:rPr>
                  <w:szCs w:val="24"/>
                  <w:lang w:val="lt"/>
                </w:rPr>
                <w:t xml:space="preserve">fiziniams asmenims, diferencijuotos asmenims ir juridinių asmenų vadovams ar kitiems atsakingiems asmenims. Už padarytus ozono sluoksnį ardančių medžiagų, įrangos ir produktų, kuriuose yra šių medžiagų ar kurių veikimas nuo jų priklauso, tvarkymo </w:t>
              </w:r>
              <w:r>
                <w:rPr>
                  <w:szCs w:val="24"/>
                </w:rPr>
                <w:t xml:space="preserve">reikalavimų </w:t>
              </w:r>
              <w:r>
                <w:rPr>
                  <w:szCs w:val="24"/>
                  <w:lang w:val="lt"/>
                </w:rPr>
                <w:t xml:space="preserve">pažeidimus gali būti skiriamas įspėjimas arba bauda, nuo 30 eurų iki 1450 eurų, priklausomai nuo pažeidimo sunkumo. </w:t>
              </w:r>
            </w:p>
            <w:p>
              <w:pPr>
                <w:spacing w:line="276" w:lineRule="auto"/>
                <w:ind w:firstLine="709"/>
                <w:jc w:val="both"/>
                <w:rPr>
                  <w:szCs w:val="24"/>
                  <w:lang w:val="lt"/>
                </w:rPr>
              </w:pPr>
              <w:r>
                <w:rPr>
                  <w:szCs w:val="24"/>
                  <w:lang w:val="lt"/>
                </w:rPr>
                <w:t xml:space="preserve">Įstatyme ir Kodekse numatyta atsakomybė juridiniams ir fiziniams asmenims už ozono sluoksnį ardančių medžiagų, produktų ir įrangos, kuriuose yra šių medžiagų ar kurių veikimas nuo jų priklauso, tvarkymo reikalavimų pažeidimus neužtikrina 2024 m. vasario 7 d. Europos Parlamento ir Tarybos reglamente </w:t>
              </w:r>
              <w:fldSimple w:instr="HYPERLINK http://eur-lex.europa.eu/legal-content/LIT/TXT/?uri=CELEX:32024R0590&amp;locale=lt \t _blank">
                <w:r>
                  <w:rPr>
                    <w:szCs w:val="24"/>
                    <w:lang w:val="lt"/>
                    <w:u w:val="single"/>
                    <w:color w:val="0000FF" w:themeColor="hyperlink"/>
                  </w:rPr>
                  <w:t>(ES) 2024/590</w:t>
                </w:r>
              </w:fldSimple>
              <w:r>
                <w:rPr>
                  <w:szCs w:val="24"/>
                  <w:lang w:val="lt"/>
                </w:rPr>
                <w:t xml:space="preserve"> dėl ozono sluoksnį ardančių medžiagų, kuriuo panaikinamas Reglamentas </w:t>
              </w:r>
              <w:fldSimple w:instr="HYPERLINK http://eur-lex.europa.eu/legal-content/LIT/TXT/?uri=CELEX:32009R1005&amp;locale=lt \t _blank">
                <w:r>
                  <w:rPr>
                    <w:szCs w:val="24"/>
                    <w:lang w:val="lt"/>
                    <w:u w:val="single"/>
                    <w:color w:val="0000FF" w:themeColor="hyperlink"/>
                  </w:rPr>
                  <w:t>(EB) Nr. 1005/2009</w:t>
                </w:r>
              </w:fldSimple>
              <w:r>
                <w:rPr>
                  <w:szCs w:val="24"/>
                  <w:lang w:val="lt"/>
                </w:rPr>
                <w:t xml:space="preserve">, 27 straipsnyje valstybėms narėms nustatytų įpareigojimų dėl sankcijų. Be to, kai kurios nustatytos baudos, nebeaktualios dėl Reglamentu </w:t>
              </w:r>
              <w:fldSimple w:instr="HYPERLINK http://eur-lex.europa.eu/legal-content/LIT/TXT/?uri=CELEX:32024R0590&amp;locale=lt \t _blank">
                <w:r>
                  <w:rPr>
                    <w:szCs w:val="24"/>
                    <w:lang w:val="lt"/>
                    <w:u w:val="single"/>
                    <w:color w:val="0000FF" w:themeColor="hyperlink"/>
                  </w:rPr>
                  <w:t>(ES) 2024/590</w:t>
                </w:r>
              </w:fldSimple>
              <w:r>
                <w:rPr>
                  <w:szCs w:val="24"/>
                  <w:lang w:val="lt"/>
                </w:rPr>
                <w:t xml:space="preserve"> pakeistų ar panaikintų reikalavimų, pvz., atsakomybė už reikalavimus neužsiregistravus naudoti ozono sluoksnį ardančias medžiagas laboratorijų ir analizės reikmėms.</w:t>
              </w:r>
            </w:p>
            <w:p>
              <w:pPr>
                <w:tabs>
                  <w:tab w:val="left" w:pos="851"/>
                </w:tabs>
                <w:spacing w:line="276" w:lineRule="auto"/>
                <w:ind w:firstLine="709"/>
                <w:jc w:val="both"/>
                <w:rPr>
                  <w:szCs w:val="24"/>
                  <w:lang w:val="lt"/>
                </w:rPr>
              </w:pPr>
              <w:r>
                <w:rPr>
                  <w:szCs w:val="24"/>
                  <w:lang w:val="lt"/>
                </w:rPr>
                <w:t xml:space="preserve">Pažeidimų dėl ozono sluoksnį ardančių medžiagų, produktų ir įrangos, kuriuose yra šių medžiagų ar kurių veikimas nuo jų priklauso reikalavimų nesilaikymo mažėja. 2021–2023 m. nustatyti 4 juridinių asmenų ir 8 fizinių asmenų padaryti pažeidimai. 2024 m. pažeidimų nenustatyta. </w:t>
              </w:r>
            </w:p>
            <w:p>
              <w:pPr>
                <w:spacing w:line="276" w:lineRule="auto"/>
                <w:ind w:firstLine="709"/>
                <w:jc w:val="both"/>
                <w:rPr>
                  <w:szCs w:val="24"/>
                  <w:lang w:val="lt"/>
                </w:rPr>
              </w:pPr>
              <w:r>
                <w:rPr>
                  <w:szCs w:val="24"/>
                  <w:lang w:val="lt"/>
                </w:rPr>
                <w:t xml:space="preserve">Ozono sluoksnį ardančias medžiagas draudžiama gaminti, pateikti rinkai, importuoti, eksportuoti ar naudoti, išskyrus Reglamente </w:t>
              </w:r>
              <w:fldSimple w:instr="HYPERLINK http://eur-lex.europa.eu/legal-content/LIT/TXT/?uri=CELEX:32024R0590&amp;locale=lt \t _blank">
                <w:r>
                  <w:rPr>
                    <w:szCs w:val="24"/>
                    <w:lang w:val="lt"/>
                    <w:u w:val="single"/>
                    <w:color w:val="0000FF" w:themeColor="hyperlink"/>
                  </w:rPr>
                  <w:t>(ES) 2024/590</w:t>
                </w:r>
              </w:fldSimple>
              <w:r>
                <w:rPr>
                  <w:szCs w:val="24"/>
                  <w:lang w:val="lt"/>
                </w:rPr>
                <w:t xml:space="preserve"> nustatytas išimtis. Siekiant spręsti ozono sluoksnio ardymo problemą, prisidėti prie stratosferos ozono atsistatymo, klimato atšilimo mažinimo ir 1985 m. kovo 22 d. Vienos konvencijos dėl ozono sluoksnio apsaugos, 1987 m. rugsėjo 16 d. Monrealio protokolo dėl ozono sluoksnį ardančių medžiagų reikalavimų laikymosi užtikrinimo, Europos Sąjungoje ypatingai griežtai reguliuojamos ozono sluoksnį ardančios medžiagos. Reglamentu </w:t>
              </w:r>
              <w:fldSimple w:instr="HYPERLINK http://eur-lex.europa.eu/legal-content/LIT/TXT/?uri=CELEX:32024R0590&amp;locale=lt \t _blank">
                <w:r>
                  <w:rPr>
                    <w:szCs w:val="24"/>
                    <w:lang w:val="lt"/>
                    <w:u w:val="single"/>
                    <w:color w:val="0000FF" w:themeColor="hyperlink"/>
                  </w:rPr>
                  <w:t>(ES) 2024/590</w:t>
                </w:r>
              </w:fldSimple>
              <w:r>
                <w:rPr>
                  <w:szCs w:val="24"/>
                  <w:lang w:val="lt"/>
                </w:rPr>
                <w:t xml:space="preserve"> valstybės narės įpareigojamos užtikrinti, kad už reglamento pažeidimus būtų taikomos veiksmingos, proporcingos ir atgrasomos sankcijos. Darytina išvada, kad Įstatyme ir Kodekse baudos neadekvačios pagal padarytą nusižengimą ir gaunamą naudą, todėl būtų tikslinga baudos dydį diferencijuoti pagal pažeidimo mastą, atsižvelgiant į ozono sluoksnį ardančių medžiagų, produktų ir įrangos, kuriuose yra šių medžiagų ar kurių veikimas nuo jų priklauso rinkos vertę, nustatyti draudimą </w:t>
              </w:r>
              <w:r>
                <w:rPr>
                  <w:color w:val="000000"/>
                  <w:szCs w:val="24"/>
                  <w:lang w:val="lt"/>
                </w:rPr>
                <w:t>naudoti, gaminti, importuoti, eksportuoti arba pateikti rinkai</w:t>
              </w:r>
              <w:r>
                <w:rPr>
                  <w:szCs w:val="24"/>
                  <w:lang w:val="lt"/>
                </w:rPr>
                <w:t xml:space="preserve"> konfiskuoti šias medžiagas, produktus ar įrangą</w:t>
              </w:r>
              <w:r>
                <w:rPr>
                  <w:color w:val="000000"/>
                  <w:szCs w:val="24"/>
                  <w:lang w:val="lt"/>
                </w:rPr>
                <w:t>, taip pat</w:t>
              </w:r>
              <w:r>
                <w:rPr>
                  <w:szCs w:val="24"/>
                  <w:lang w:val="lt"/>
                </w:rPr>
                <w:t xml:space="preserve"> konfiskavimą.</w:t>
              </w:r>
            </w:p>
            <w:p>
              <w:pPr>
                <w:spacing w:line="276" w:lineRule="auto"/>
                <w:ind w:firstLine="709"/>
                <w:jc w:val="both"/>
                <w:rPr>
                  <w:szCs w:val="24"/>
                  <w:u w:val="single"/>
                </w:rPr>
              </w:pPr>
            </w:p>
            <w:p>
              <w:pPr>
                <w:spacing w:line="276" w:lineRule="auto"/>
                <w:ind w:firstLine="709"/>
                <w:jc w:val="both"/>
                <w:rPr>
                  <w:i/>
                  <w:iCs/>
                  <w:color w:val="000000"/>
                  <w:szCs w:val="24"/>
                </w:rPr>
              </w:pPr>
              <w:r>
                <w:rPr>
                  <w:i/>
                  <w:iCs/>
                  <w:color w:val="000000"/>
                  <w:szCs w:val="24"/>
                </w:rPr>
                <w:t xml:space="preserve">Dėl Reglamento </w:t>
              </w:r>
              <w:fldSimple w:instr="HYPERLINK http://eur-lex.europa.eu/legal-content/LIT/TXT/?uri=CELEX:32023R1805&amp;locale=lt \t _blank">
                <w:r>
                  <w:rPr>
                    <w:i/>
                    <w:iCs/>
                    <w:color w:val="0000FF" w:themeColor="hyperlink"/>
                    <w:szCs w:val="24"/>
                    <w:u w:val="single"/>
                  </w:rPr>
                  <w:t>(ES) 2023/1805</w:t>
                </w:r>
              </w:fldSimple>
              <w:r>
                <w:rPr>
                  <w:i/>
                  <w:iCs/>
                  <w:color w:val="000000"/>
                  <w:szCs w:val="24"/>
                </w:rPr>
                <w:t xml:space="preserve"> nustatytų reikalavimų</w:t>
              </w:r>
            </w:p>
            <w:p>
              <w:pPr>
                <w:spacing w:line="276" w:lineRule="auto"/>
                <w:ind w:firstLine="709"/>
                <w:jc w:val="both"/>
                <w:rPr>
                  <w:color w:val="000000"/>
                  <w:szCs w:val="24"/>
                </w:rPr>
              </w:pPr>
              <w:r>
                <w:rPr>
                  <w:color w:val="000000"/>
                  <w:szCs w:val="24"/>
                </w:rPr>
                <w:t xml:space="preserve">Įstatyme nėra reglamentuota juridinių asmenų atsakomybė už laivybos bendrovei priklausančiame laive sunaudojamai energijai tenkančios šiltnamio efektą sukeliančių dujų taršos vidutinės metinės ribos reikalavimų pažeidimus ir galiojančio „FuelEU“ atitikties patvirtinimo dokumento neturėjimą pagal Reglamento </w:t>
              </w:r>
              <w:fldSimple w:instr="HYPERLINK http://eur-lex.europa.eu/legal-content/LIT/TXT/?uri=CELEX:32023R1805&amp;locale=lt \t _blank">
                <w:r>
                  <w:rPr>
                    <w:color w:val="0000FF" w:themeColor="hyperlink"/>
                    <w:szCs w:val="24"/>
                    <w:u w:val="single"/>
                  </w:rPr>
                  <w:t>(ES) 2023/1805</w:t>
                </w:r>
              </w:fldSimple>
              <w:r>
                <w:rPr>
                  <w:color w:val="000000"/>
                  <w:szCs w:val="24"/>
                </w:rPr>
                <w:t xml:space="preserve"> 4 straipsnio, 23 – 25 straipsnių nuostatas.</w:t>
              </w:r>
            </w:p>
            <w:p>
              <w:pPr>
                <w:shd w:val="clear" w:color="auto" w:fill="FFFFFF"/>
                <w:spacing w:line="276" w:lineRule="auto"/>
                <w:ind w:firstLine="709"/>
                <w:jc w:val="both"/>
                <w:rPr>
                  <w:i/>
                  <w:iCs/>
                  <w:szCs w:val="24"/>
                </w:rPr>
              </w:pPr>
            </w:p>
            <w:p>
              <w:pPr>
                <w:shd w:val="clear" w:color="auto" w:fill="FFFFFF"/>
                <w:spacing w:line="276" w:lineRule="auto"/>
                <w:ind w:firstLine="709"/>
                <w:jc w:val="both"/>
                <w:rPr>
                  <w:i/>
                  <w:iCs/>
                  <w:szCs w:val="24"/>
                </w:rPr>
              </w:pPr>
              <w:r>
                <w:rPr>
                  <w:i/>
                  <w:iCs/>
                  <w:szCs w:val="24"/>
                </w:rPr>
                <w:t xml:space="preserve">Dėl Reglamento </w:t>
              </w:r>
              <w:fldSimple w:instr="HYPERLINK http://eur-lex.europa.eu/legal-content/LIT/TXT/?uri=CELEX:32023R1115&amp;locale=lt \t _blank">
                <w:r>
                  <w:rPr>
                    <w:i/>
                    <w:iCs/>
                    <w:szCs w:val="24"/>
                    <w:u w:val="single"/>
                    <w:color w:val="0000FF" w:themeColor="hyperlink"/>
                  </w:rPr>
                  <w:t>(ES) 2023/1115</w:t>
                </w:r>
              </w:fldSimple>
              <w:r>
                <w:rPr>
                  <w:i/>
                  <w:iCs/>
                  <w:color w:val="000000"/>
                  <w:szCs w:val="24"/>
                </w:rPr>
                <w:t xml:space="preserve"> reikalavimų</w:t>
              </w:r>
              <w:r>
                <w:rPr>
                  <w:i/>
                  <w:iCs/>
                  <w:szCs w:val="24"/>
                </w:rPr>
                <w:t xml:space="preserve"> </w:t>
              </w:r>
            </w:p>
            <w:p>
              <w:pPr>
                <w:shd w:val="clear" w:color="auto" w:fill="FFFFFF"/>
                <w:spacing w:line="276" w:lineRule="auto"/>
                <w:ind w:firstLine="709"/>
                <w:jc w:val="both"/>
                <w:rPr>
                  <w:b/>
                  <w:bCs/>
                  <w:szCs w:val="24"/>
                </w:rPr>
              </w:pPr>
              <w:r>
                <w:rPr>
                  <w:szCs w:val="24"/>
                </w:rPr>
                <w:t>Vadovaujantis Įstatymo 118</w:t>
              </w:r>
              <w:r>
                <w:rPr>
                  <w:szCs w:val="24"/>
                  <w:vertAlign w:val="superscript"/>
                </w:rPr>
                <w:t>1</w:t>
              </w:r>
              <w:r>
                <w:rPr>
                  <w:szCs w:val="24"/>
                </w:rPr>
                <w:t xml:space="preserve"> straipsniu, šiuo metu juridiniams asmenims, kurie padaro pažeidimus nesilaikydami 2010 m. spalio 20 d. Europos Parlamento ir Tarybos reglamente </w:t>
              </w:r>
              <w:fldSimple w:instr="HYPERLINK http://eur-lex.europa.eu/legal-content/LIT/TXT/?uri=CELEX:32010R0995&amp;locale=lt \t _blank">
                <w:r>
                  <w:rPr>
                    <w:szCs w:val="24"/>
                    <w:u w:val="single"/>
                    <w:color w:val="0000FF" w:themeColor="hyperlink"/>
                  </w:rPr>
                  <w:t>(ES) Nr. 995/2010</w:t>
                </w:r>
              </w:fldSimple>
              <w:r>
                <w:rPr>
                  <w:szCs w:val="24"/>
                </w:rPr>
                <w:t xml:space="preserve">, kuriuo nustatomos veiklos vykdytojų, pateikiančių rinkai medieną ir medienos produktus, pareigos, su paskutiniais pakeitimais, padarytais 2019 m. birželio 5 d. Europos Parlamento ir Tarybos reglamentu </w:t>
              </w:r>
              <w:fldSimple w:instr="HYPERLINK http://eur-lex.europa.eu/legal-content/LIT/TXT/?uri=CELEX:32019R1010&amp;locale=lt \t _blank">
                <w:r>
                  <w:rPr>
                    <w:szCs w:val="24"/>
                    <w:u w:val="single"/>
                    <w:color w:val="0000FF" w:themeColor="hyperlink"/>
                  </w:rPr>
                  <w:t>(ES) 2019/1010</w:t>
                </w:r>
              </w:fldSimple>
              <w:r>
                <w:rPr>
                  <w:szCs w:val="24"/>
                </w:rPr>
                <w:t>, nustatytų reikalavimų, taikomos Įstatymo 118</w:t>
              </w:r>
              <w:r>
                <w:rPr>
                  <w:szCs w:val="24"/>
                  <w:vertAlign w:val="superscript"/>
                </w:rPr>
                <w:t>1</w:t>
              </w:r>
              <w:r>
                <w:rPr>
                  <w:szCs w:val="24"/>
                </w:rPr>
                <w:t xml:space="preserve"> straipsnyje nustatytos sankcijos. </w:t>
              </w:r>
            </w:p>
            <w:p>
              <w:pPr>
                <w:shd w:val="clear" w:color="auto" w:fill="FFFFFF"/>
                <w:spacing w:line="276" w:lineRule="auto"/>
                <w:ind w:firstLine="709"/>
                <w:jc w:val="both"/>
                <w:rPr>
                  <w:b/>
                  <w:bCs/>
                  <w:szCs w:val="24"/>
                </w:rPr>
              </w:pPr>
              <w:r>
                <w:rPr>
                  <w:szCs w:val="24"/>
                </w:rPr>
                <w:t>Vadovaujantis Kodekso 270</w:t>
              </w:r>
              <w:r>
                <w:rPr>
                  <w:szCs w:val="24"/>
                  <w:vertAlign w:val="superscript"/>
                </w:rPr>
                <w:t>1</w:t>
              </w:r>
              <w:r>
                <w:rPr>
                  <w:szCs w:val="24"/>
                </w:rPr>
                <w:t xml:space="preserve"> straipsniu, šiuo metu fiziniams asmenims, pažeidusiems 2010 m. spalio 20 d. Europos Parlamento ir Tarybos reglamente </w:t>
              </w:r>
              <w:fldSimple w:instr="HYPERLINK http://eur-lex.europa.eu/legal-content/LIT/TXT/?uri=CELEX:32010R0995&amp;locale=lt \t _blank">
                <w:r>
                  <w:rPr>
                    <w:szCs w:val="24"/>
                    <w:u w:val="single"/>
                    <w:color w:val="0000FF" w:themeColor="hyperlink"/>
                  </w:rPr>
                  <w:t>(ES) Nr. 995/2010</w:t>
                </w:r>
              </w:fldSimple>
              <w:r>
                <w:rPr>
                  <w:szCs w:val="24"/>
                </w:rPr>
                <w:t xml:space="preserve">, kuriuo nustatomos veiklos vykdytojų, pateikiančių rinkai medieną ir medienos produktus, pareigos, su paskutiniais pakeitimais, padarytais 2019 m. birželio 5 d. Europos Parlamento ir Tarybos reglamentu </w:t>
              </w:r>
              <w:fldSimple w:instr="HYPERLINK http://eur-lex.europa.eu/legal-content/LIT/TXT/?uri=CELEX:32019R1010&amp;locale=lt \t _blank">
                <w:r>
                  <w:rPr>
                    <w:szCs w:val="24"/>
                    <w:u w:val="single"/>
                    <w:color w:val="0000FF" w:themeColor="hyperlink"/>
                  </w:rPr>
                  <w:t>(ES) 2019/1010</w:t>
                </w:r>
              </w:fldSimple>
              <w:r>
                <w:rPr>
                  <w:szCs w:val="24"/>
                </w:rPr>
                <w:t>, nustatytus reikalavimus, taikomos 270</w:t>
              </w:r>
              <w:r>
                <w:rPr>
                  <w:szCs w:val="24"/>
                  <w:vertAlign w:val="superscript"/>
                </w:rPr>
                <w:t>1</w:t>
              </w:r>
              <w:r>
                <w:rPr>
                  <w:szCs w:val="24"/>
                </w:rPr>
                <w:t> straipsnyje įtvirtintos sankcijos.</w:t>
              </w:r>
              <w:r>
                <w:rPr>
                  <w:b/>
                  <w:bCs/>
                  <w:szCs w:val="24"/>
                </w:rPr>
                <w:t xml:space="preserve">  </w:t>
              </w:r>
            </w:p>
            <w:p>
              <w:pPr>
                <w:shd w:val="clear" w:color="auto" w:fill="FFFFFF"/>
                <w:spacing w:line="276" w:lineRule="auto"/>
                <w:ind w:firstLine="709"/>
                <w:jc w:val="both"/>
                <w:rPr>
                  <w:szCs w:val="24"/>
                </w:rPr>
              </w:pPr>
              <w:r>
                <w:rPr>
                  <w:szCs w:val="24"/>
                </w:rPr>
                <w:t xml:space="preserve">Atsižvelgiant į tai, kad 2023 m. gegužės 31 d. priimtas Europos Parlamento ir Tarybos reglamentas </w:t>
              </w:r>
              <w:fldSimple w:instr="HYPERLINK http://eur-lex.europa.eu/legal-content/LIT/TXT/?uri=CELEX:32023R1115&amp;locale=lt \t _blank">
                <w:r>
                  <w:rPr>
                    <w:szCs w:val="24"/>
                    <w:u w:val="single"/>
                    <w:color w:val="0000FF" w:themeColor="hyperlink"/>
                  </w:rPr>
                  <w:t>(ES) 2023/1115</w:t>
                </w:r>
              </w:fldSimple>
              <w:r>
                <w:rPr>
                  <w:szCs w:val="24"/>
                </w:rPr>
                <w:t xml:space="preserve"> dėl tam tikrų su miškų naikinimu ir alinimu siejamų biržos prekių ir produktų tiekimo Sąjungos rinkai ir jų eksporto iš Sąjungos, kuriuo naikinamas Reglamentas </w:t>
              </w:r>
              <w:fldSimple w:instr="HYPERLINK http://eur-lex.europa.eu/legal-content/LIT/TXT/?uri=CELEX:32010R0995&amp;locale=lt \t _blank">
                <w:r>
                  <w:rPr>
                    <w:szCs w:val="24"/>
                    <w:u w:val="single"/>
                    <w:color w:val="0000FF" w:themeColor="hyperlink"/>
                  </w:rPr>
                  <w:t>(ES) Nr. 995/2010</w:t>
                </w:r>
              </w:fldSimple>
              <w:r>
                <w:rPr>
                  <w:szCs w:val="24"/>
                </w:rPr>
                <w:t xml:space="preserve">, Įstatyme ir Kodekse nėra nustatyta atsakomybė juridiniams asmenims už </w:t>
              </w:r>
              <w:r>
                <w:rPr>
                  <w:color w:val="000000"/>
                  <w:szCs w:val="24"/>
                </w:rPr>
                <w:t xml:space="preserve">Reglamente </w:t>
              </w:r>
              <w:fldSimple w:instr="HYPERLINK http://eur-lex.europa.eu/legal-content/LIT/TXT/?uri=CELEX:32023R1115&amp;locale=lt \t _blank">
                <w:r>
                  <w:rPr>
                    <w:color w:val="0000FF" w:themeColor="hyperlink"/>
                    <w:szCs w:val="24"/>
                    <w:u w:val="single"/>
                  </w:rPr>
                  <w:t>(ES) 2023/1115</w:t>
                </w:r>
              </w:fldSimple>
              <w:r>
                <w:rPr>
                  <w:color w:val="000000"/>
                  <w:szCs w:val="24"/>
                </w:rPr>
                <w:t xml:space="preserve"> </w:t>
              </w:r>
              <w:r>
                <w:rPr>
                  <w:szCs w:val="24"/>
                </w:rPr>
                <w:t xml:space="preserve">nustatytų reikalavimų nesilaikymą. </w:t>
              </w:r>
            </w:p>
            <w:p>
              <w:pPr>
                <w:shd w:val="clear" w:color="auto" w:fill="FFFFFF"/>
                <w:spacing w:line="276" w:lineRule="auto"/>
                <w:ind w:firstLine="709"/>
                <w:jc w:val="both"/>
                <w:rPr>
                  <w:rFonts w:eastAsia="Aptos"/>
                  <w:szCs w:val="24"/>
                </w:rPr>
              </w:pPr>
              <w:r>
                <w:rPr>
                  <w:color w:val="000000"/>
                  <w:szCs w:val="24"/>
                </w:rPr>
                <w:t xml:space="preserve">Reglamento </w:t>
              </w:r>
              <w:fldSimple w:instr="HYPERLINK http://eur-lex.europa.eu/legal-content/LIT/TXT/?uri=CELEX:32023R1115&amp;locale=lt \t _blank">
                <w:r>
                  <w:rPr>
                    <w:color w:val="0000FF" w:themeColor="hyperlink"/>
                    <w:szCs w:val="24"/>
                    <w:u w:val="single"/>
                  </w:rPr>
                  <w:t xml:space="preserve">(ES)  2023/1115</w:t>
                </w:r>
              </w:fldSimple>
              <w:r>
                <w:rPr>
                  <w:color w:val="000000"/>
                  <w:szCs w:val="24"/>
                </w:rPr>
                <w:t xml:space="preserve"> </w:t>
              </w:r>
              <w:r>
                <w:rPr>
                  <w:szCs w:val="24"/>
                </w:rPr>
                <w:t xml:space="preserve">25 straipsnyje „Sankcijos“ nustatyta: </w:t>
              </w:r>
            </w:p>
            <w:p>
              <w:pPr>
                <w:shd w:val="clear" w:color="auto" w:fill="FFFFFF"/>
                <w:spacing w:line="276" w:lineRule="auto"/>
                <w:ind w:firstLine="709"/>
                <w:jc w:val="both"/>
                <w:rPr>
                  <w:rFonts w:eastAsia="Aptos"/>
                  <w:szCs w:val="24"/>
                </w:rPr>
              </w:pPr>
              <w:r>
                <w:rPr>
                  <w:szCs w:val="24"/>
                </w:rPr>
                <w:t xml:space="preserve">„1. Nedarant poveikio valstybių narių pareigoms pagal Europos Parlamento ir Tarybos direktyvą </w:t>
              </w:r>
              <w:fldSimple w:instr="HYPERLINK http://eur-lex.europa.eu/legal-content/LIT/TXT/?uri=CELEX:32008L0099&amp;locale=lt \t _blank">
                <w:r>
                  <w:rPr>
                    <w:szCs w:val="24"/>
                    <w:u w:val="single"/>
                    <w:color w:val="0000FF" w:themeColor="hyperlink"/>
                  </w:rPr>
                  <w:t>2008/99/EB</w:t>
                </w:r>
              </w:fldSimple>
              <w:r>
                <w:rPr>
                  <w:szCs w:val="24"/>
                </w:rPr>
                <w:t xml:space="preserve"> (23), valstybės narės nustato sankcijų, taikomų veiklos vykdytojams ir prekiautojams pažeidus šį reglamentą, taisykles ir imasi visų būtinų priemonių užtikrinti, kad šios sankcijos būtų įgyvendinamos. Valstybės narės praneša apie tas taisykles ir priemones Komisijai ir nedelsdamos jai praneša apie visus vėlesnius joms įtakos turinčius pakeitimus. </w:t>
              </w:r>
            </w:p>
            <w:p>
              <w:pPr>
                <w:shd w:val="clear" w:color="auto" w:fill="FFFFFF"/>
                <w:spacing w:line="276" w:lineRule="auto"/>
                <w:ind w:firstLine="709"/>
                <w:jc w:val="both"/>
                <w:rPr>
                  <w:rFonts w:eastAsia="Aptos"/>
                  <w:szCs w:val="24"/>
                </w:rPr>
              </w:pPr>
              <w:r>
                <w:rPr>
                  <w:szCs w:val="24"/>
                </w:rPr>
                <w:t xml:space="preserve">2. 1 dalyje numatytos sankcijos turi būti veiksmingos, proporcingos ir atgrasomos. Tos sankcijos turi apimti: </w:t>
              </w:r>
            </w:p>
            <w:p>
              <w:pPr>
                <w:shd w:val="clear" w:color="auto" w:fill="FFFFFF"/>
                <w:spacing w:line="276" w:lineRule="auto"/>
                <w:ind w:firstLine="709"/>
                <w:jc w:val="both"/>
                <w:rPr>
                  <w:rFonts w:eastAsia="Aptos"/>
                  <w:szCs w:val="24"/>
                </w:rPr>
              </w:pPr>
              <w:r>
                <w:rPr>
                  <w:szCs w:val="24"/>
                </w:rPr>
                <w:t xml:space="preserve">a) baudas, proporcingas aplinkai padarytai žalai ir atitinkamų biržos prekių ar atitinkamų produktų vertei, tokių baudų dydį skaičiuojant taip, kad būtų užtikrinta, kad atsakingi asmenys veiksmingai netektų įvykdžius šiuos pažeidimus gautos ekonominės naudos, ir laipsniškai didinant tokių baudų dydį už pakartotinius pažeidimus; juridinio asmens atveju, didžiausia tokios baudos suma turi būti ne mažesnė kaip 4 % veiklos vykdytojo arba prekiautojo bendros metinės apyvartos Sąjungos mastu finansiniais metais, einančiais prieš priimant sprendimą skirti baudą, apskaičiuotos pagal Tarybos reglamento </w:t>
              </w:r>
              <w:fldSimple w:instr="HYPERLINK http://eur-lex.europa.eu/legal-content/LIT/TXT/?uri=CELEX:32004R0139&amp;locale=lt \t _blank">
                <w:r>
                  <w:rPr>
                    <w:szCs w:val="24"/>
                    <w:u w:val="single"/>
                    <w:color w:val="0000FF" w:themeColor="hyperlink"/>
                  </w:rPr>
                  <w:t>(EB) Nr. 139/2004</w:t>
                </w:r>
              </w:fldSimple>
              <w:r>
                <w:rPr>
                  <w:szCs w:val="24"/>
                </w:rPr>
                <w:t xml:space="preserve"> (24) 5 straipsnio 1 dalyje nustatytą įmonių bendros apyvartos apskaičiavimą, ir prireikus padidinama, kad viršytų galimą įgyjamą ekonominę naudą; </w:t>
              </w:r>
            </w:p>
            <w:p>
              <w:pPr>
                <w:shd w:val="clear" w:color="auto" w:fill="FFFFFF"/>
                <w:spacing w:line="276" w:lineRule="auto"/>
                <w:ind w:firstLine="709"/>
                <w:jc w:val="both"/>
                <w:rPr>
                  <w:rFonts w:eastAsia="Aptos"/>
                  <w:szCs w:val="24"/>
                </w:rPr>
              </w:pPr>
              <w:r>
                <w:rPr>
                  <w:szCs w:val="24"/>
                </w:rPr>
                <w:t xml:space="preserve">b) atitinkamų produktų konfiskavimą iš veiklos vykdytojo ir (arba) prekiautojo; </w:t>
              </w:r>
            </w:p>
            <w:p>
              <w:pPr>
                <w:shd w:val="clear" w:color="auto" w:fill="FFFFFF"/>
                <w:spacing w:line="276" w:lineRule="auto"/>
                <w:ind w:firstLine="709"/>
                <w:jc w:val="both"/>
                <w:rPr>
                  <w:rFonts w:eastAsia="Aptos"/>
                  <w:szCs w:val="24"/>
                </w:rPr>
              </w:pPr>
              <w:r>
                <w:rPr>
                  <w:szCs w:val="24"/>
                </w:rPr>
                <w:t xml:space="preserve">c) pajamų, kurias veiklos vykdytojas ir (arba) prekiautojas gavo iš sandorio, susijusio su atitinkamais produktais, konfiskavimą; </w:t>
              </w:r>
            </w:p>
            <w:p>
              <w:pPr>
                <w:shd w:val="clear" w:color="auto" w:fill="FFFFFF"/>
                <w:spacing w:line="276" w:lineRule="auto"/>
                <w:ind w:firstLine="709"/>
                <w:jc w:val="both"/>
                <w:rPr>
                  <w:rFonts w:eastAsia="Aptos"/>
                  <w:szCs w:val="24"/>
                </w:rPr>
              </w:pPr>
              <w:r>
                <w:rPr>
                  <w:szCs w:val="24"/>
                </w:rPr>
                <w:t>d) laikiną pašalinimą ilgiausiai 12 mėnesių laikotarpiui iš viešųjų pirkimų procesų ir laikiną draudimą gauti viešąjį finansavimą, įskaitant konkursų procedūras, dotacijas bei koncesijas;</w:t>
              </w:r>
            </w:p>
            <w:p>
              <w:pPr>
                <w:shd w:val="clear" w:color="auto" w:fill="FFFFFF"/>
                <w:spacing w:line="276" w:lineRule="auto"/>
                <w:ind w:firstLine="709"/>
                <w:jc w:val="both"/>
                <w:rPr>
                  <w:rFonts w:eastAsia="Aptos"/>
                  <w:szCs w:val="24"/>
                </w:rPr>
              </w:pPr>
              <w:r>
                <w:rPr>
                  <w:szCs w:val="24"/>
                </w:rPr>
                <w:t>e) laikiną draudimą pateikti ar tiekti rinkai arba atitinkamas biržos prekes ir produktus eksportuoti, jei padaromas sunkus pažeidimas arba pakartotiniai pažeidimai;</w:t>
              </w:r>
            </w:p>
            <w:p>
              <w:pPr>
                <w:shd w:val="clear" w:color="auto" w:fill="FFFFFF"/>
                <w:spacing w:line="276" w:lineRule="auto"/>
                <w:ind w:firstLine="709"/>
                <w:jc w:val="both"/>
                <w:rPr>
                  <w:szCs w:val="24"/>
                </w:rPr>
              </w:pPr>
              <w:r>
                <w:rPr>
                  <w:szCs w:val="24"/>
                </w:rPr>
                <w:t>f) draudimą taikyti 13 straipsnyje nustatytą supaprastintą išsamų patikrinimą, jei padaromas sunkus pažeidimas arba pakartotiniai pažeidimai.“</w:t>
              </w:r>
            </w:p>
            <w:p>
              <w:pPr>
                <w:spacing w:line="276" w:lineRule="auto"/>
                <w:ind w:firstLine="771"/>
                <w:jc w:val="both"/>
                <w:rPr>
                  <w:szCs w:val="24"/>
                </w:rPr>
              </w:pPr>
              <w:r>
                <w:rPr>
                  <w:szCs w:val="24"/>
                </w:rPr>
                <w:t xml:space="preserve">Įstatyme nenustatyta, kas Reglamente </w:t>
              </w:r>
              <w:fldSimple w:instr="HYPERLINK http://eur-lex.europa.eu/legal-content/LIT/TXT/?uri=CELEX:32023R1115&amp;locale=lt \t _blank">
                <w:r>
                  <w:rPr>
                    <w:szCs w:val="24"/>
                    <w:u w:val="single"/>
                    <w:color w:val="0000FF" w:themeColor="hyperlink"/>
                  </w:rPr>
                  <w:t xml:space="preserve">(ES)  2023/1115</w:t>
                </w:r>
              </w:fldSimple>
              <w:r>
                <w:rPr>
                  <w:szCs w:val="24"/>
                </w:rPr>
                <w:t xml:space="preserve"> nustatytų reikalavimų pažeidimo atveju, taikant  Įstatymo projekto 14 straipsniu siūlomas 118</w:t>
              </w:r>
              <w:r>
                <w:rPr>
                  <w:szCs w:val="24"/>
                  <w:vertAlign w:val="superscript"/>
                </w:rPr>
                <w:t>2</w:t>
              </w:r>
              <w:r>
                <w:rPr>
                  <w:szCs w:val="24"/>
                </w:rPr>
                <w:t xml:space="preserve"> straipsnyje nustatyti sankcijas,</w:t>
              </w:r>
              <w:r>
                <w:rPr>
                  <w:szCs w:val="24"/>
                  <w:vertAlign w:val="superscript"/>
                </w:rPr>
                <w:t xml:space="preserve"> </w:t>
              </w:r>
              <w:r>
                <w:rPr>
                  <w:szCs w:val="24"/>
                </w:rPr>
                <w:t xml:space="preserve">turi teisę tirti juridinių asmenų padarytus pažeidimus, surašyti juridinių asmenų padarytų pažeidimų protokolus ir nagrinėti bylas dėl ekonominių sankcijų skyrimo (poreikis papildyti Įstatymo 37 straipsnio pirmąją dalį), trūksta nuostatų dėl turto (produktų, pajamų) konfiskavimo atsižvelgiant į  Įstatymo projekto 14 straipsniu siūlomo 118</w:t>
              </w:r>
              <w:r>
                <w:rPr>
                  <w:szCs w:val="24"/>
                  <w:vertAlign w:val="superscript"/>
                </w:rPr>
                <w:t>2</w:t>
              </w:r>
              <w:r>
                <w:rPr>
                  <w:szCs w:val="24"/>
                </w:rPr>
                <w:t xml:space="preserve"> straipsnio 5, 6 dalis (poreikis papildyti Įstatymo 40</w:t>
              </w:r>
              <w:r>
                <w:rPr>
                  <w:szCs w:val="24"/>
                  <w:vertAlign w:val="superscript"/>
                </w:rPr>
                <w:t xml:space="preserve">1 </w:t>
              </w:r>
              <w:r>
                <w:rPr>
                  <w:szCs w:val="24"/>
                </w:rPr>
                <w:t xml:space="preserve">straipsnio 4 dalį), rašytinio įspėjimo, atsižvelgiant į  Įstatymo projekto 14 straipsniu siūlomo 118</w:t>
              </w:r>
              <w:r>
                <w:rPr>
                  <w:szCs w:val="24"/>
                  <w:vertAlign w:val="superscript"/>
                </w:rPr>
                <w:t>2</w:t>
              </w:r>
              <w:r>
                <w:rPr>
                  <w:szCs w:val="24"/>
                </w:rPr>
                <w:t xml:space="preserve"> straipsnio 1, 3, 5 dalis (poreikis pildyti Įstatymo 47 straipsnio pirmąją dalį). </w:t>
              </w:r>
            </w:p>
            <w:p>
              <w:pPr>
                <w:spacing w:line="276" w:lineRule="auto"/>
                <w:ind w:firstLine="709"/>
                <w:jc w:val="both"/>
                <w:rPr>
                  <w:szCs w:val="24"/>
                </w:rPr>
              </w:pPr>
              <w:r>
                <w:rPr>
                  <w:szCs w:val="24"/>
                </w:rPr>
                <w:t xml:space="preserve">Kodekse nenustatyta, kas Reglamente </w:t>
              </w:r>
              <w:fldSimple w:instr="HYPERLINK http://eur-lex.europa.eu/legal-content/LIT/TXT/?uri=CELEX:32023R1115&amp;locale=lt \t _blank">
                <w:r>
                  <w:rPr>
                    <w:szCs w:val="24"/>
                    <w:u w:val="single"/>
                    <w:color w:val="0000FF" w:themeColor="hyperlink"/>
                  </w:rPr>
                  <w:t xml:space="preserve">(ES)  2023/1115</w:t>
                </w:r>
              </w:fldSimple>
              <w:r>
                <w:rPr>
                  <w:szCs w:val="24"/>
                </w:rPr>
                <w:t xml:space="preserve"> nustatytų reikalavimų pažeidimo atveju, taikant Kodekso projekto 11 straipsniu siūlomas 270</w:t>
              </w:r>
              <w:r>
                <w:rPr>
                  <w:szCs w:val="24"/>
                  <w:vertAlign w:val="superscript"/>
                </w:rPr>
                <w:t xml:space="preserve">2 </w:t>
              </w:r>
              <w:r>
                <w:rPr>
                  <w:szCs w:val="24"/>
                </w:rPr>
                <w:t xml:space="preserve">straipsnyje  nustatyti sankcijas,</w:t>
              </w:r>
              <w:r>
                <w:rPr>
                  <w:szCs w:val="24"/>
                  <w:vertAlign w:val="superscript"/>
                </w:rPr>
                <w:t xml:space="preserve"> </w:t>
              </w:r>
              <w:r>
                <w:rPr>
                  <w:szCs w:val="24"/>
                </w:rPr>
                <w:t>turi teisę tirti fizinių asmenų ar juridinių asmenų vadovų padarytus administracinius nusižengimus ir surašyti protokolus (poreikis pildyti Kodekso 589 straipsnio 31 punktą). Atsižvelgiant į tai, kad Kodekso projekto 11 straipsniu siūlomos 270</w:t>
              </w:r>
              <w:r>
                <w:rPr>
                  <w:szCs w:val="24"/>
                  <w:vertAlign w:val="superscript"/>
                </w:rPr>
                <w:t xml:space="preserve">2 </w:t>
              </w:r>
              <w:r>
                <w:rPr>
                  <w:szCs w:val="24"/>
                </w:rPr>
                <w:t xml:space="preserve">straipsnio 7 dalies nuostatos yra laikomos administracinio poveikio priemonėmis, yra poreikis papildyti Kodekso 27 straipsnio 1 ir 2 dalis. Šiuo metu Kodekse trūksta teisinio reglamentavimo dėl turto konfiskavimo, atsižvelgiant į  Kodekso projekto 11 straipsniu siūlomo 270</w:t>
              </w:r>
              <w:r>
                <w:rPr>
                  <w:szCs w:val="24"/>
                  <w:vertAlign w:val="superscript"/>
                </w:rPr>
                <w:t>2 </w:t>
              </w:r>
              <w:r>
                <w:rPr>
                  <w:szCs w:val="24"/>
                </w:rPr>
                <w:t xml:space="preserve">straipsnio 5, 6 dalyse nustatytus reikalavimus (poreikis pildyti Kodekso 29 straipsnio 4 dalį). </w:t>
              </w:r>
            </w:p>
            <w:p>
              <w:pPr>
                <w:spacing w:line="276" w:lineRule="auto"/>
                <w:ind w:firstLine="709"/>
                <w:jc w:val="both"/>
                <w:rPr>
                  <w:i/>
                  <w:iCs/>
                  <w:szCs w:val="24"/>
                </w:rPr>
              </w:pPr>
            </w:p>
            <w:p>
              <w:pPr>
                <w:spacing w:line="276" w:lineRule="auto"/>
                <w:ind w:firstLine="709"/>
                <w:jc w:val="both"/>
                <w:rPr>
                  <w:szCs w:val="24"/>
                </w:rPr>
              </w:pPr>
              <w:r>
                <w:rPr>
                  <w:i/>
                  <w:iCs/>
                  <w:szCs w:val="24"/>
                </w:rPr>
                <w:t xml:space="preserve">Dėl Reglamento </w:t>
              </w:r>
              <w:fldSimple w:instr="HYPERLINK http://eur-lex.europa.eu/legal-content/LIT/TXT/?uri=CELEX:32023R0956&amp;locale=lt \t _blank">
                <w:r>
                  <w:rPr>
                    <w:i/>
                    <w:iCs/>
                    <w:szCs w:val="24"/>
                    <w:u w:val="single"/>
                    <w:color w:val="0000FF" w:themeColor="hyperlink"/>
                  </w:rPr>
                  <w:t>(ES) 2023/956</w:t>
                </w:r>
              </w:fldSimple>
              <w:r>
                <w:rPr>
                  <w:i/>
                  <w:iCs/>
                  <w:szCs w:val="24"/>
                </w:rPr>
                <w:t xml:space="preserve"> nustatytų reikalavimų</w:t>
              </w:r>
            </w:p>
            <w:p>
              <w:pPr>
                <w:tabs>
                  <w:tab w:val="left" w:pos="993"/>
                </w:tabs>
                <w:spacing w:line="276" w:lineRule="auto"/>
                <w:ind w:firstLine="709"/>
                <w:jc w:val="both"/>
                <w:rPr>
                  <w:color w:val="000000"/>
                  <w:szCs w:val="24"/>
                </w:rPr>
              </w:pPr>
              <w:r>
                <w:rPr>
                  <w:color w:val="000000"/>
                  <w:szCs w:val="24"/>
                </w:rPr>
                <w:t xml:space="preserve">Juridinių asmenų atsakomybė už pasienio anglies dioksido korekcinio mechanizmo (toliau – PADKM) reikalavimų pažeidimus pagal Reglamento </w:t>
              </w:r>
              <w:fldSimple w:instr="HYPERLINK http://eur-lex.europa.eu/legal-content/LIT/TXT/?uri=CELEX:32023R0956&amp;locale=lt \t _blank">
                <w:r>
                  <w:rPr>
                    <w:color w:val="0000FF" w:themeColor="hyperlink"/>
                    <w:szCs w:val="24"/>
                    <w:u w:val="single"/>
                  </w:rPr>
                  <w:t>(ES) 2023/956</w:t>
                </w:r>
              </w:fldSimple>
              <w:r>
                <w:rPr>
                  <w:color w:val="000000"/>
                  <w:szCs w:val="24"/>
                </w:rPr>
                <w:t xml:space="preserve"> 26 straipsnio nuostatas, kuriose nustatytas įpareigojimas valstybėms narėms taikyti baudas, nėra reglamentuota:</w:t>
              </w:r>
            </w:p>
            <w:p>
              <w:pPr>
                <w:spacing w:line="276" w:lineRule="auto"/>
                <w:ind w:firstLine="709"/>
                <w:jc w:val="both"/>
                <w:rPr>
                  <w:color w:val="000000"/>
                  <w:szCs w:val="24"/>
                </w:rPr>
              </w:pPr>
              <w:r>
                <w:rPr>
                  <w:szCs w:val="24"/>
                </w:rPr>
                <w:t xml:space="preserve">- </w:t>
              </w:r>
              <w:r>
                <w:rPr>
                  <w:color w:val="000000"/>
                  <w:szCs w:val="24"/>
                </w:rPr>
                <w:t>kai įgaliotasis PADKM deklarantas neatsisako per praėjusius kalendorinius metus importuotoms prekėms būdingą išmetamų šiltnamio efektą sukeliančių dujų (toliau – ŠESD) kiekį atitinkančio PADKM sertifikatų skaičiaus;</w:t>
              </w:r>
            </w:p>
            <w:p>
              <w:pPr>
                <w:spacing w:line="276" w:lineRule="auto"/>
                <w:ind w:firstLine="709"/>
                <w:jc w:val="both"/>
                <w:rPr>
                  <w:color w:val="000000"/>
                  <w:szCs w:val="24"/>
                </w:rPr>
              </w:pPr>
              <w:r>
                <w:rPr>
                  <w:szCs w:val="24"/>
                </w:rPr>
                <w:t xml:space="preserve">- </w:t>
              </w:r>
              <w:r>
                <w:rPr>
                  <w:color w:val="000000"/>
                  <w:szCs w:val="24"/>
                </w:rPr>
                <w:t>kai asmuo, kuris nėra įgaliotasis PADKM deklarantas, įveža prekes į Sąjungos muitų teritoriją nesilaikydamas reglamente nustatytų pareigų;</w:t>
              </w:r>
            </w:p>
            <w:p>
              <w:pPr>
                <w:spacing w:line="276" w:lineRule="auto"/>
                <w:ind w:firstLine="709"/>
                <w:jc w:val="both"/>
                <w:rPr>
                  <w:color w:val="000000"/>
                  <w:szCs w:val="24"/>
                </w:rPr>
              </w:pPr>
              <w:r>
                <w:rPr>
                  <w:szCs w:val="24"/>
                </w:rPr>
                <w:t xml:space="preserve">- </w:t>
              </w:r>
              <w:r>
                <w:rPr>
                  <w:color w:val="000000"/>
                  <w:szCs w:val="24"/>
                </w:rPr>
                <w:t xml:space="preserve">kai nėra laikomasi PADKM ataskaitų pateikimo reikalavimų, nustatytų 2023 m. rugpjūčio 17 d. Europos Komisijos įgyvendinimo reglamente </w:t>
              </w:r>
              <w:fldSimple w:instr="HYPERLINK http://eur-lex.europa.eu/legal-content/LIT/TXT/?uri=CELEX:32023R1773&amp;locale=lt \t _blank">
                <w:r>
                  <w:rPr>
                    <w:color w:val="0000FF" w:themeColor="hyperlink"/>
                    <w:szCs w:val="24"/>
                    <w:u w:val="single"/>
                  </w:rPr>
                  <w:t>(ES) 2023/1773</w:t>
                </w:r>
              </w:fldSimple>
              <w:r>
                <w:rPr>
                  <w:color w:val="000000"/>
                  <w:szCs w:val="24"/>
                </w:rPr>
                <w:t xml:space="preserve">, kuriuo nustatomos Europos Parlamento ir Tarybos reglamento </w:t>
              </w:r>
              <w:fldSimple w:instr="HYPERLINK http://eur-lex.europa.eu/legal-content/LIT/TXT/?uri=CELEX:32023R0956&amp;locale=lt \t _blank">
                <w:r>
                  <w:rPr>
                    <w:color w:val="0000FF" w:themeColor="hyperlink"/>
                    <w:szCs w:val="24"/>
                    <w:u w:val="single"/>
                  </w:rPr>
                  <w:t>(ES) 2023/956</w:t>
                </w:r>
              </w:fldSimple>
              <w:r>
                <w:rPr>
                  <w:color w:val="000000"/>
                  <w:szCs w:val="24"/>
                </w:rPr>
                <w:t xml:space="preserve"> taikymo taisyklės, pagal kurias vykdoma pareiga teikti pasienio anglies dioksido korekcinio mechanizmo ataskaitas.</w:t>
              </w:r>
            </w:p>
            <w:p>
              <w:pPr>
                <w:shd w:val="clear" w:color="auto" w:fill="FFFFFF"/>
                <w:spacing w:line="276" w:lineRule="auto"/>
                <w:ind w:firstLine="709"/>
                <w:jc w:val="both"/>
                <w:rPr>
                  <w:color w:val="000000"/>
                  <w:szCs w:val="24"/>
                </w:rPr>
              </w:pPr>
              <w:r>
                <w:rPr>
                  <w:color w:val="000000"/>
                  <w:szCs w:val="24"/>
                </w:rPr>
                <w:t xml:space="preserve">Fizinių asmenų atsakomybė už PADKM reikalavimų pažeidimus pagal Reglamento </w:t>
              </w:r>
              <w:fldSimple w:instr="HYPERLINK http://eur-lex.europa.eu/legal-content/LIT/TXT/?uri=CELEX:32023R0956&amp;locale=lt \t _blank">
                <w:r>
                  <w:rPr>
                    <w:color w:val="0000FF" w:themeColor="hyperlink"/>
                    <w:szCs w:val="24"/>
                    <w:u w:val="single"/>
                  </w:rPr>
                  <w:t>(ES) 2023/956</w:t>
                </w:r>
              </w:fldSimple>
              <w:r>
                <w:rPr>
                  <w:color w:val="000000"/>
                  <w:szCs w:val="24"/>
                </w:rPr>
                <w:t xml:space="preserve"> 26 ir 35 straipsnio nuostatas nėra reglamentuota.</w:t>
              </w:r>
            </w:p>
            <w:p>
              <w:pPr>
                <w:shd w:val="clear" w:color="auto" w:fill="FFFFFF"/>
                <w:spacing w:line="276" w:lineRule="auto"/>
                <w:ind w:firstLine="709"/>
                <w:jc w:val="both"/>
                <w:rPr>
                  <w:szCs w:val="24"/>
                  <w:lang w:val="lt"/>
                </w:rPr>
              </w:pPr>
            </w:p>
            <w:p>
              <w:pPr>
                <w:spacing w:line="276" w:lineRule="auto"/>
                <w:ind w:firstLine="709"/>
                <w:jc w:val="both"/>
                <w:rPr>
                  <w:i/>
                  <w:iCs/>
                  <w:szCs w:val="24"/>
                  <w:lang w:val="lt"/>
                </w:rPr>
              </w:pPr>
              <w:r>
                <w:rPr>
                  <w:i/>
                  <w:iCs/>
                  <w:szCs w:val="24"/>
                  <w:lang w:val="lt"/>
                </w:rPr>
                <w:t>Dėl Kodekso 12 str.</w:t>
              </w:r>
            </w:p>
            <w:p>
              <w:pPr>
                <w:spacing w:line="276" w:lineRule="auto"/>
                <w:ind w:firstLine="709"/>
                <w:jc w:val="both"/>
                <w:rPr>
                  <w:szCs w:val="24"/>
                  <w:lang w:val="lt"/>
                </w:rPr>
              </w:pPr>
              <w:r>
                <w:rPr>
                  <w:szCs w:val="24"/>
                  <w:lang w:val="lt"/>
                </w:rPr>
                <w:t xml:space="preserve">Šiuo metu galiojanti Kodekso 246 straipsnio 1 dalis nustato, kad nuotekų išleidimas į aplinką [...] pažeidžiant teisės aktuose nustatytas išleidžiamų teršalų ribines vertes ar kitus nuotekų išleidimo į aplinką reikalavimus, kai pagal teisės aktus leidimas išleisti nuotekas nereikalingas, užtraukia baudą asmenims nuo 60 iki 300 Eur. </w:t>
              </w:r>
            </w:p>
            <w:p>
              <w:pPr>
                <w:spacing w:line="276" w:lineRule="auto"/>
                <w:ind w:firstLine="709"/>
                <w:jc w:val="both"/>
                <w:rPr>
                  <w:szCs w:val="24"/>
                  <w:lang w:val="lt"/>
                </w:rPr>
              </w:pPr>
              <w:r>
                <w:rPr>
                  <w:szCs w:val="24"/>
                  <w:lang w:val="lt"/>
                </w:rPr>
                <w:t>Šiuo Kodekso projektu siūlomas keisti Kodekso 12 straipsnis nustato išlygas, kada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w:t>
              </w:r>
            </w:p>
            <w:p>
              <w:pPr>
                <w:spacing w:line="276" w:lineRule="auto"/>
                <w:ind w:firstLine="709"/>
                <w:jc w:val="both"/>
                <w:rPr>
                  <w:szCs w:val="24"/>
                  <w:lang w:val="lt"/>
                </w:rPr>
              </w:pPr>
              <w:r>
                <w:rPr>
                  <w:szCs w:val="24"/>
                  <w:lang w:val="lt"/>
                </w:rPr>
                <w:t>Kodekso 22 str. 2 d. 1 p. apibrėžiama administracinės nuobaudos paskirtis – atgrasyti asmenis nuo administracinių nusižengimų ar nusikalstamų veikų darymo ir paveikti administracinius nusižengimus padariusius asmenis, kad jie laikytųsi įstatymų ir vėl nedarytų administracinių nusižengimų. Manytina, kad norint pasiekti šį tikslą, pakanka poįstatyminiais teisės aktais reglamentuoti, kad pirmojo pažeidimo atveju taikomas žodinis įspėjimas ir tik nustačius pasikartojimo faktą, kurį būtų galima vertinti kaip piktybišką veikimą, imtis griežtesnių sankcijų.</w:t>
              </w:r>
            </w:p>
            <w:p>
              <w:pPr>
                <w:spacing w:line="276" w:lineRule="auto"/>
                <w:ind w:firstLine="709"/>
                <w:jc w:val="both"/>
                <w:rPr>
                  <w:szCs w:val="24"/>
                  <w:lang w:val="lt"/>
                </w:rPr>
              </w:pPr>
            </w:p>
            <w:p>
              <w:pPr>
                <w:spacing w:line="276" w:lineRule="auto"/>
                <w:ind w:firstLine="709"/>
                <w:jc w:val="both"/>
                <w:rPr>
                  <w:i/>
                  <w:iCs/>
                  <w:szCs w:val="24"/>
                  <w:lang w:val="lt"/>
                </w:rPr>
              </w:pPr>
              <w:r>
                <w:rPr>
                  <w:i/>
                  <w:iCs/>
                  <w:szCs w:val="24"/>
                  <w:lang w:val="lt"/>
                </w:rPr>
                <w:t>Dėl Kodekso 589 straipsnio.</w:t>
              </w:r>
            </w:p>
            <w:p>
              <w:pPr>
                <w:spacing w:line="276" w:lineRule="auto"/>
                <w:ind w:firstLine="709"/>
                <w:jc w:val="both"/>
                <w:rPr>
                  <w:szCs w:val="24"/>
                  <w:lang w:val="lt"/>
                </w:rPr>
              </w:pPr>
              <w:r>
                <w:rPr>
                  <w:szCs w:val="24"/>
                  <w:lang w:val="lt"/>
                </w:rPr>
                <w:t>2022 m. spalio 27 d. priimtas Lietuvos Respublikos geriamojo vandens tiekimo ir nuotekų tvarkymo įstatymo Nr. X-764 pakeitimo įstatymas Nr. XIV-1466. Šiuo pakeitimu savivaldybių vykdomosioms institucijoms pavesta organizuoti patikrą, ar asmenys, individualiai tvarkantys nuotekas, turi apmokėjimą už sukauptų nuotekų transportavimą patvirtinančius dokumentus arba viešąją sutartį su geriamojo vandens tiekėju ar garantiniu vandens tiekėju, arba sutartį su nuotekų transportavimo paslaugas teikiančiu asmeniu arba individualiųjų nuotekų valymo ir (arba) kaupimo įrenginių priežiūrą vykdančiu asmeniu, ar individualiųjų nuotekų valymo įrenginių priežiūra (eksploatacija) vykdoma aplinkos ministro tvirtinamų nuotekų kaupimo rezervuarų ir septikų įrengimo, eksploatavimo ir kontrolės tvarkos apraše ir nuotekų valymo įrenginių taikymo reglamente nustatyta tvarka. Atitinkamai buvo pakeistas Kodekso 589 str, 82 punktas numatant, kad savivaldybių administracijos taiko atsakomybę dėl 268 straipsnio 7, 8 dalyse numatytų nusižengimų. Tačiau Kodekso 589 str. 31 punktas liko nepakeistas, kas reiškia, jog aplinkos apsaugos valstybinės kontrolės pareigūnai taiko atsakomybę už visame 268 str. numatytus pažeidimus.</w:t>
              </w:r>
            </w:p>
            <w:p>
              <w:pPr>
                <w:spacing w:line="276" w:lineRule="auto"/>
                <w:ind w:firstLine="709"/>
                <w:jc w:val="both"/>
                <w:rPr>
                  <w:szCs w:val="24"/>
                </w:rPr>
              </w:pPr>
              <w:r>
                <w:rPr>
                  <w:color w:val="000000"/>
                  <w:szCs w:val="24"/>
                </w:rPr>
                <w:t>2024 m. gegužės 16 d. priimtas Lietuvos Respublikos aplinkos oro apsaugos įstatymo Nr.VIII-1329 2, 4, 5, 7, 9, 10, 13 ir 17 straipsnių pakeitimo ir įstatymo papildymo 5</w:t>
              </w:r>
              <w:r>
                <w:rPr>
                  <w:color w:val="000000"/>
                  <w:szCs w:val="24"/>
                  <w:vertAlign w:val="superscript"/>
                </w:rPr>
                <w:t>1</w:t>
              </w:r>
              <w:r>
                <w:rPr>
                  <w:color w:val="000000"/>
                  <w:szCs w:val="24"/>
                </w:rPr>
                <w:t xml:space="preserve"> straipsniu įstatymas Nr. XIV-2661 ir Lietuvos Respublikos administracinių nusižengimų kodekso 242, 268, 286 ir 589 straipsnių pakeitimo įstatymas Nr. XIV-2662. Pakeisto Aplinkos oro apsaugos įstatymo 10 straipsnio naujoje 8 dalyje nustatyta, kad esant toje dalyje nustatytoms sąlygoms, savivaldybės taryba turi teisę priimti sprendimą toje savivaldybės teritorijoje apriboti arba uždrausti naudoti vienos ar daugiau rūšių kurą; 13 straipsnio naujoje 6 dalyje nustatytas draudimas toje dalyje nustatytomis aplinkybėmis deginti kietąjį iškastinį kurą; 20 straipsnio 2 dalyje nustatytas draudimas deginti atliekas ne atliekų deginimo įrenginiuose; 4 straipsnio 5 dalyje nustatyta, kad šio įstatymo 10 straipsnio 8 dalyje nurodyto sprendimo savivaldybės teritorijoje apriboti arba uždrausti naudoti vienos ar daugiau rūšių kurą, šio įstatymo 13 straipsnio 6 dalyje nustatyto draudimo deginti kietąjį iškastinį kurą buitiniuose taršos šaltiniuose ir šio įstatymo 20 straipsnio 2 dalyje nustatyto draudimo deginti atliekas buitiniuose taršos šaltiniuose laikymosi kontrolę vykdo savivaldybės administracijos direktoriaus įgalioti savivaldybės administracijos valstybės tarnautojai. Dėl Aplinkos oro apsaugos įstatymo naujos 10 straipsnio 8 dalies ir naujos 13 straipsnio 6 dalies bei veiksmingesnio 20 straipsnio 2 dalies įgyvendinimo, Kodekso 242 straipsnis papildytas naujomis 4 ir 5 dalimis, o 589 straipsnio 82 punkte nustatyta, kad dėl 242 straipsnio 4 ir 5 dalyse numatytų administracinių nusižengimų atsakomybę taiko savivaldybių administracijų pareigūnai. Tačiau Kodekso 589 straipsnio 31 punktas liko nepakeistas, kas reiškia, kad aplinkos apsaugos valstybinės kontrolės pareigūnai taiko atsakomybę už visame Kodekso 242 straipsnyje numatytus pažeidimus, t. y. ir tuos, kuriuos nustatyti ir tirti pareiga nustatyta savivaldybėms.</w:t>
              </w:r>
            </w:p>
            <w:p>
              <w:pPr>
                <w:spacing w:line="276" w:lineRule="auto"/>
                <w:ind w:firstLine="709"/>
                <w:jc w:val="both"/>
                <w:rPr>
                  <w:szCs w:val="24"/>
                </w:rPr>
              </w:pPr>
              <w:r>
                <w:rPr>
                  <w:szCs w:val="24"/>
                </w:rPr>
                <w:t>Šiuo metu Kodekso 304</w:t>
              </w:r>
              <w:r>
                <w:rPr>
                  <w:szCs w:val="24"/>
                  <w:vertAlign w:val="superscript"/>
                </w:rPr>
                <w:t>2</w:t>
              </w:r>
              <w:r>
                <w:rPr>
                  <w:szCs w:val="24"/>
                </w:rPr>
                <w:t xml:space="preserve"> straipsnio 1 dalyje ir Įstatymo 122</w:t>
              </w:r>
              <w:r>
                <w:rPr>
                  <w:szCs w:val="24"/>
                  <w:vertAlign w:val="superscript"/>
                </w:rPr>
                <w:t>4</w:t>
              </w:r>
              <w:r>
                <w:rPr>
                  <w:szCs w:val="24"/>
                </w:rPr>
                <w:t xml:space="preserve"> straipsnio 1 dalyje numatyta atsakomybė tik už invazinių rūšių naikinimo, izoliavimo ar gausos reguliavimo priemonių naudojimą pažeidžiant invazinių rūšių naudojimą, valdymą, gausos reguliavimą ir plitimo prevenciją reglamentuojančius teisės aktus ar Reglamentą </w:t>
              </w:r>
              <w:fldSimple w:instr="HYPERLINK http://eur-lex.europa.eu/legal-content/LIT/TXT/?uri=CELEX:33143R2014&amp;locale=lt \t _blank">
                <w:r>
                  <w:rPr>
                    <w:szCs w:val="24"/>
                    <w:u w:val="single"/>
                    <w:color w:val="0000FF" w:themeColor="hyperlink"/>
                  </w:rPr>
                  <w:t>(ES) 1143/2014</w:t>
                </w:r>
              </w:fldSimple>
              <w:r>
                <w:rPr>
                  <w:szCs w:val="24"/>
                </w:rPr>
                <w:t>.</w:t>
              </w:r>
            </w:p>
            <w:p>
              <w:pPr>
                <w:spacing w:line="276" w:lineRule="auto"/>
                <w:ind w:firstLine="709"/>
                <w:jc w:val="both"/>
                <w:rPr>
                  <w:szCs w:val="24"/>
                </w:rPr>
              </w:pPr>
            </w:p>
          </w:sdtContent>
        </w:sdt>
        <w:sdt>
          <w:sdtPr>
            <w:alias w:val="4 p."/>
            <w:tag w:val="part_65d313b228b241d2bc851d4dd7ba9856"/>
            <w:lock w:val="sdtLocked"/>
            <w:richText/>
          </w:sdtPr>
          <w:sdtContent>
            <w:p>
              <w:pPr>
                <w:spacing w:line="276" w:lineRule="auto"/>
                <w:ind w:firstLine="709"/>
                <w:jc w:val="both"/>
                <w:rPr>
                  <w:b/>
                  <w:bCs/>
                  <w:szCs w:val="24"/>
                </w:rPr>
              </w:pPr>
              <w:sdt>
                <w:sdtPr>
                  <w:alias w:val="Numeris"/>
                  <w:tag w:val="nr_65d313b228b241d2bc851d4dd7ba9856"/>
                  <w:lock w:val="sdtLocked"/>
                  <w:richText/>
                </w:sdtPr>
                <w:sdtContent>
                  <w:r>
                    <w:rPr>
                      <w:b/>
                      <w:bCs/>
                      <w:szCs w:val="24"/>
                    </w:rPr>
                    <w:t>4</w:t>
                  </w:r>
                </w:sdtContent>
              </w:sdt>
              <w:r>
                <w:rPr>
                  <w:b/>
                  <w:bCs/>
                  <w:szCs w:val="24"/>
                </w:rPr>
                <w:t>. Kokios siūlomos naujos teisinio reguliavimo nuostatos ir kokių teigiamų rezultatų laukiama</w:t>
              </w:r>
            </w:p>
            <w:p>
              <w:pPr>
                <w:spacing w:line="276" w:lineRule="auto"/>
                <w:ind w:firstLine="709"/>
                <w:jc w:val="both"/>
                <w:rPr>
                  <w:b/>
                  <w:bCs/>
                  <w:szCs w:val="24"/>
                </w:rPr>
              </w:pPr>
            </w:p>
            <w:p>
              <w:pPr>
                <w:tabs>
                  <w:tab w:val="left" w:pos="3119"/>
                </w:tabs>
                <w:spacing w:line="276" w:lineRule="auto"/>
                <w:ind w:firstLine="709"/>
                <w:jc w:val="both"/>
                <w:rPr>
                  <w:i/>
                  <w:iCs/>
                  <w:szCs w:val="24"/>
                </w:rPr>
              </w:pPr>
              <w:r>
                <w:rPr>
                  <w:i/>
                  <w:iCs/>
                  <w:szCs w:val="24"/>
                </w:rPr>
                <w:t xml:space="preserve">Dėl Reglamento </w:t>
              </w:r>
              <w:fldSimple w:instr="HYPERLINK http://eur-lex.europa.eu/legal-content/LIT/TXT/?uri=CELEX:32852R2017&amp;locale=lt \t _blank">
                <w:r>
                  <w:rPr>
                    <w:i/>
                    <w:iCs/>
                    <w:szCs w:val="24"/>
                    <w:u w:val="single"/>
                    <w:color w:val="0000FF" w:themeColor="hyperlink"/>
                  </w:rPr>
                  <w:t>(ES) Nr. 2017/852</w:t>
                </w:r>
              </w:fldSimple>
              <w:r>
                <w:rPr>
                  <w:i/>
                  <w:iCs/>
                  <w:szCs w:val="24"/>
                </w:rPr>
                <w:t xml:space="preserve"> nustatytų reikalavimų:</w:t>
              </w:r>
            </w:p>
            <w:p>
              <w:pPr>
                <w:tabs>
                  <w:tab w:val="left" w:pos="3119"/>
                </w:tabs>
                <w:spacing w:line="276" w:lineRule="auto"/>
                <w:ind w:firstLine="709"/>
                <w:jc w:val="both"/>
                <w:rPr>
                  <w:szCs w:val="24"/>
                </w:rPr>
              </w:pPr>
              <w:r>
                <w:rPr>
                  <w:szCs w:val="24"/>
                </w:rPr>
                <w:t xml:space="preserve">Reglamentas </w:t>
              </w:r>
              <w:fldSimple w:instr="HYPERLINK http://eur-lex.europa.eu/legal-content/LIT/TXT/?uri=CELEX:32017R0852&amp;locale=lt \t _blank">
                <w:r>
                  <w:rPr>
                    <w:szCs w:val="24"/>
                    <w:u w:val="single"/>
                    <w:color w:val="0000FF" w:themeColor="hyperlink"/>
                  </w:rPr>
                  <w:t xml:space="preserve">(ES) </w:t>
                </w:r>
                <w:r>
                  <w:rPr>
                    <w:i/>
                    <w:iCs/>
                    <w:szCs w:val="24"/>
                    <w:u w:val="single"/>
                    <w:color w:val="0000FF" w:themeColor="hyperlink"/>
                  </w:rPr>
                  <w:t>2017/852</w:t>
                </w:r>
              </w:fldSimple>
              <w:r>
                <w:rPr>
                  <w:i/>
                  <w:iCs/>
                  <w:szCs w:val="24"/>
                </w:rPr>
                <w:t xml:space="preserve"> </w:t>
              </w:r>
              <w:r>
                <w:rPr>
                  <w:szCs w:val="24"/>
                </w:rPr>
                <w:t>yra nustatantis priemones ir sąlygas, susijusias su gyvsidabrio, gyvsidabrio mišinių ir junginių, gyvsidabrio produktų, kurių sudėtyje yra gyvsidabrio, gamyba, importu, eksportu, naudojimu, saugojimu, dantų amalgamos naudojimo apribojimais, gyvsidabrio atliekų tvarkymu, odontologinės priežiūros (pagalbos) įstaigose įrengti amalgamos separatorius (amalgamos dalelėms sulaikyti ir surinkti, įskaitant panaudotame vandenyje esančias daleles).</w:t>
              </w:r>
            </w:p>
            <w:p>
              <w:pPr>
                <w:tabs>
                  <w:tab w:val="left" w:pos="3119"/>
                </w:tabs>
                <w:spacing w:line="276" w:lineRule="auto"/>
                <w:ind w:firstLine="709"/>
                <w:jc w:val="both"/>
                <w:rPr>
                  <w:szCs w:val="24"/>
                </w:rPr>
              </w:pPr>
              <w:r>
                <w:rPr>
                  <w:szCs w:val="24"/>
                </w:rPr>
                <w:t xml:space="preserve">Reglamentas </w:t>
              </w:r>
              <w:fldSimple w:instr="HYPERLINK http://eur-lex.europa.eu/legal-content/LIT/TXT/?uri=CELEX:32017R0852&amp;locale=lt \t _blank">
                <w:r>
                  <w:rPr>
                    <w:szCs w:val="24"/>
                    <w:u w:val="single"/>
                    <w:color w:val="0000FF" w:themeColor="hyperlink"/>
                  </w:rPr>
                  <w:t>(ES) 2017/852</w:t>
                </w:r>
              </w:fldSimple>
              <w:r>
                <w:rPr>
                  <w:szCs w:val="24"/>
                </w:rPr>
                <w:t xml:space="preserve"> yra skirtas ES teisėje įgyvendinti Minamatos konvenciją dėl gyvsidabrio. </w:t>
              </w:r>
            </w:p>
            <w:p>
              <w:pPr>
                <w:tabs>
                  <w:tab w:val="left" w:pos="3119"/>
                </w:tabs>
                <w:spacing w:line="276" w:lineRule="auto"/>
                <w:ind w:firstLine="709"/>
                <w:jc w:val="both"/>
                <w:rPr>
                  <w:szCs w:val="24"/>
                </w:rPr>
              </w:pPr>
              <w:r>
                <w:rPr>
                  <w:szCs w:val="24"/>
                </w:rPr>
                <w:t xml:space="preserve">Reglamentu </w:t>
              </w:r>
              <w:fldSimple w:instr="HYPERLINK http://eur-lex.europa.eu/legal-content/LIT/TXT/?uri=CELEX:32024R1849&amp;locale=lt \t _blank">
                <w:r>
                  <w:rPr>
                    <w:szCs w:val="24"/>
                    <w:u w:val="single"/>
                    <w:color w:val="0000FF" w:themeColor="hyperlink"/>
                  </w:rPr>
                  <w:t>(ES) 2024/1849</w:t>
                </w:r>
              </w:fldSimple>
              <w:r>
                <w:rPr>
                  <w:szCs w:val="24"/>
                </w:rPr>
                <w:t xml:space="preserve"> siekiama ES teisę suderinti su Minamatos konvencijos Šalių konferencijos sprendimais MC-4/3</w:t>
              </w:r>
              <w:r>
                <w:rPr>
                  <w:szCs w:val="24"/>
                  <w:vertAlign w:val="superscript"/>
                </w:rPr>
                <w:footnoteReference w:id="2"/>
              </w:r>
              <w:r>
                <w:rPr>
                  <w:szCs w:val="24"/>
                </w:rPr>
                <w:t xml:space="preserve"> ir MC-5/4</w:t>
              </w:r>
              <w:r>
                <w:rPr>
                  <w:szCs w:val="24"/>
                  <w:vertAlign w:val="superscript"/>
                </w:rPr>
                <w:footnoteReference w:id="3"/>
              </w:r>
              <w:r>
                <w:rPr>
                  <w:szCs w:val="24"/>
                </w:rPr>
                <w:t xml:space="preserve"> ir įgyvendinti Europos Komisijos Reglamento </w:t>
              </w:r>
              <w:fldSimple w:instr="HYPERLINK http://eur-lex.europa.eu/legal-content/LIT/TXT/?uri=CELEX:32017R0852&amp;locale=lt \t _blank">
                <w:r>
                  <w:rPr>
                    <w:szCs w:val="24"/>
                    <w:u w:val="single"/>
                    <w:color w:val="0000FF" w:themeColor="hyperlink"/>
                  </w:rPr>
                  <w:t>(ES) 2017/852</w:t>
                </w:r>
              </w:fldSimple>
              <w:r>
                <w:rPr>
                  <w:szCs w:val="24"/>
                </w:rPr>
                <w:t xml:space="preserve"> peržiūros ataskaitos išvadas, poveikio vertinimo ataskaitą.</w:t>
              </w:r>
            </w:p>
            <w:p>
              <w:pPr>
                <w:tabs>
                  <w:tab w:val="left" w:pos="3119"/>
                </w:tabs>
                <w:spacing w:line="276" w:lineRule="auto"/>
                <w:ind w:firstLine="709"/>
                <w:jc w:val="both"/>
                <w:rPr>
                  <w:szCs w:val="24"/>
                </w:rPr>
              </w:pPr>
              <w:r>
                <w:rPr>
                  <w:szCs w:val="24"/>
                </w:rPr>
                <w:t xml:space="preserve">Produktai, kurių sudėtyje yra gyvsidabrio ir kuriuos draudžiama eksportuoti, importuoti ir gaminti nuo Reglamento </w:t>
              </w:r>
              <w:fldSimple w:instr="HYPERLINK http://eur-lex.europa.eu/legal-content/LIT/TXT/?uri=CELEX:32017R0852&amp;locale=lt \t _blank">
                <w:r>
                  <w:rPr>
                    <w:szCs w:val="24"/>
                    <w:u w:val="single"/>
                    <w:color w:val="0000FF" w:themeColor="hyperlink"/>
                  </w:rPr>
                  <w:t>(ES) 2017/852</w:t>
                </w:r>
              </w:fldSimple>
              <w:r>
                <w:rPr>
                  <w:szCs w:val="24"/>
                </w:rPr>
                <w:t xml:space="preserve"> II priede nustatytų datų (daugumoje atvejų atitinkamai nuo 2018 m. gruodžio 31 d., 2020 m. gruodžio 31 d., 2025 m. gruodžio 31 d., 2026 m. gruodžio 31 d.): baterijos ir akumuliatoriai, tam tikra elektros ir elektroninė įranga (pavyzdžiui, jungikliai ir relės), įvairių tipų lempos, kosmetikos gaminiai, pesticidai (augalų apsaugos produktai), biocidai ir vietiškai vartojami antiseptikai, matavimo prietaisai, kt.</w:t>
              </w:r>
            </w:p>
            <w:p>
              <w:pPr>
                <w:tabs>
                  <w:tab w:val="left" w:pos="3119"/>
                </w:tabs>
                <w:spacing w:line="276" w:lineRule="auto"/>
                <w:ind w:firstLine="709"/>
                <w:jc w:val="both"/>
                <w:rPr>
                  <w:szCs w:val="24"/>
                </w:rPr>
              </w:pPr>
              <w:r>
                <w:rPr>
                  <w:szCs w:val="24"/>
                </w:rPr>
                <w:t xml:space="preserve">Iš naujų Reglamento </w:t>
              </w:r>
              <w:fldSimple w:instr="HYPERLINK http://eur-lex.europa.eu/legal-content/LIT/TXT/?uri=CELEX:32017R0852&amp;locale=lt \t _blank">
                <w:r>
                  <w:rPr>
                    <w:szCs w:val="24"/>
                    <w:u w:val="single"/>
                    <w:color w:val="0000FF" w:themeColor="hyperlink"/>
                  </w:rPr>
                  <w:t>(ES) 2017/852</w:t>
                </w:r>
              </w:fldSimple>
              <w:r>
                <w:rPr>
                  <w:szCs w:val="24"/>
                </w:rPr>
                <w:t xml:space="preserve">, kuriuos nustato jį iš dalies pakeičiantis Reglamentas </w:t>
              </w:r>
              <w:fldSimple w:instr="HYPERLINK http://eur-lex.europa.eu/legal-content/LIT/TXT/?uri=CELEX:32024R1849&amp;locale=lt \t _blank">
                <w:r>
                  <w:rPr>
                    <w:szCs w:val="24"/>
                    <w:u w:val="single"/>
                    <w:color w:val="0000FF" w:themeColor="hyperlink"/>
                  </w:rPr>
                  <w:t>(ES) 2024/1849</w:t>
                </w:r>
              </w:fldSimple>
              <w:r>
                <w:rPr>
                  <w:szCs w:val="24"/>
                </w:rPr>
                <w:t xml:space="preserve">, nuostatų pažymėtinos: </w:t>
              </w:r>
            </w:p>
            <w:p>
              <w:pPr>
                <w:spacing w:line="276" w:lineRule="auto"/>
                <w:ind w:firstLine="709"/>
                <w:jc w:val="both"/>
                <w:rPr>
                  <w:szCs w:val="24"/>
                </w:rPr>
              </w:pPr>
              <w:r>
                <w:rPr>
                  <w:szCs w:val="24"/>
                </w:rPr>
                <w:t>- visiškas draudimas naudoti dantų amalgamą dantų taisymui, išskyrus mediciniškai būtinus atvejus ir laikiną išimtį toms ES valstybėms narėms, kurioms pagrįstai reikia daugiau laiko pritaikyti nacionalines kompensavimo už pacientų gydymą valstybės lėšomis sistemas (nuo 2025 m. sausio 1 d.);</w:t>
              </w:r>
            </w:p>
            <w:p>
              <w:pPr>
                <w:spacing w:line="276" w:lineRule="auto"/>
                <w:ind w:firstLine="709"/>
                <w:jc w:val="both"/>
                <w:rPr>
                  <w:szCs w:val="24"/>
                </w:rPr>
              </w:pPr>
              <w:r>
                <w:rPr>
                  <w:szCs w:val="24"/>
                </w:rPr>
                <w:t>- draudimas eksportuoti dantų amalgamą (nuo 2025 m. sausio 1 d.);</w:t>
              </w:r>
            </w:p>
            <w:p>
              <w:pPr>
                <w:tabs>
                  <w:tab w:val="left" w:pos="3119"/>
                </w:tabs>
                <w:spacing w:line="276" w:lineRule="auto"/>
                <w:ind w:firstLine="709"/>
                <w:jc w:val="both"/>
                <w:rPr>
                  <w:szCs w:val="24"/>
                </w:rPr>
              </w:pPr>
              <w:r>
                <w:rPr>
                  <w:szCs w:val="24"/>
                </w:rPr>
                <w:t>- draudimas importuoti ir gaminti dantų amalgamą, išskyrus dantų amalgamos gamybą ir importą specialiesiems medicininiams poreikiams užtikrinti (nuo 2026 m. liepos 1 d.);</w:t>
              </w:r>
            </w:p>
            <w:p>
              <w:pPr>
                <w:spacing w:line="276" w:lineRule="auto"/>
                <w:ind w:firstLine="709"/>
                <w:jc w:val="both"/>
                <w:rPr>
                  <w:szCs w:val="24"/>
                </w:rPr>
              </w:pPr>
              <w:r>
                <w:rPr>
                  <w:szCs w:val="24"/>
                </w:rPr>
                <w:t xml:space="preserve">- draudimas gaminti, importuoti ir eksportuoti naujai į Reglamento </w:t>
              </w:r>
              <w:fldSimple w:instr="HYPERLINK http://eur-lex.europa.eu/legal-content/LIT/TXT/?uri=CELEX:32017R0852&amp;locale=lt \t _blank">
                <w:r>
                  <w:rPr>
                    <w:szCs w:val="24"/>
                    <w:u w:val="single"/>
                    <w:color w:val="0000FF" w:themeColor="hyperlink"/>
                  </w:rPr>
                  <w:t>(ES) 2017/852</w:t>
                </w:r>
              </w:fldSimple>
              <w:r>
                <w:rPr>
                  <w:szCs w:val="24"/>
                </w:rPr>
                <w:t xml:space="preserve"> II priedą (Reglamentas </w:t>
              </w:r>
              <w:fldSimple w:instr="HYPERLINK http://eur-lex.europa.eu/legal-content/LIT/TXT/?uri=CELEX:32024R1849&amp;locale=lt \t _blank">
                <w:r>
                  <w:rPr>
                    <w:szCs w:val="24"/>
                    <w:u w:val="single"/>
                    <w:color w:val="0000FF" w:themeColor="hyperlink"/>
                  </w:rPr>
                  <w:t>(ES) 2024/1849</w:t>
                </w:r>
              </w:fldSimple>
              <w:r>
                <w:rPr>
                  <w:szCs w:val="24"/>
                </w:rPr>
                <w:t>) įtrauktas šešių tipų gyvsidabrio turinčias lempas (nuo 2025 m. gruodžio 31 d. arba 2026 m. gruodžio 31 d. (priklausomai nuo tipo)).</w:t>
              </w:r>
            </w:p>
            <w:p>
              <w:pPr>
                <w:tabs>
                  <w:tab w:val="left" w:pos="3119"/>
                </w:tabs>
                <w:spacing w:line="276" w:lineRule="auto"/>
                <w:ind w:firstLine="709"/>
                <w:jc w:val="both"/>
                <w:rPr>
                  <w:szCs w:val="24"/>
                </w:rPr>
              </w:pPr>
              <w:r>
                <w:rPr>
                  <w:szCs w:val="24"/>
                </w:rPr>
                <w:t xml:space="preserve">Priėmus Įstatymų projektus bus numatytos baudos juridiniams ir fiziniams asmenims (atitinkamai) už Reglamente </w:t>
              </w:r>
              <w:fldSimple w:instr="HYPERLINK http://eur-lex.europa.eu/legal-content/LIT/TXT/?uri=CELEX:32024R1849&amp;locale=lt \t _blank">
                <w:r>
                  <w:rPr>
                    <w:szCs w:val="24"/>
                    <w:u w:val="single"/>
                    <w:color w:val="0000FF" w:themeColor="hyperlink"/>
                  </w:rPr>
                  <w:t>(ES) 2024/1849</w:t>
                </w:r>
              </w:fldSimple>
              <w:r>
                <w:rPr>
                  <w:szCs w:val="24"/>
                </w:rPr>
                <w:t xml:space="preserve"> nustatytų dantų amalgamos gamybos, importo, eksporto draudimo  reikalavimų pažeidimus. Bus įgyvendintos Reglamento </w:t>
              </w:r>
              <w:fldSimple w:instr="HYPERLINK http://eur-lex.europa.eu/legal-content/LIT/TXT/?uri=CELEX:32017R0852&amp;locale=lt \t _blank">
                <w:r>
                  <w:rPr>
                    <w:szCs w:val="24"/>
                    <w:u w:val="single"/>
                    <w:color w:val="0000FF" w:themeColor="hyperlink"/>
                  </w:rPr>
                  <w:t>(ES) 2017/852</w:t>
                </w:r>
              </w:fldSimple>
              <w:r>
                <w:rPr>
                  <w:szCs w:val="24"/>
                </w:rPr>
                <w:t xml:space="preserve"> 16 straipsnio nuostatos dėl sankcijų už šio reglamento pažeidimus, taikant ekonomines sankcijas (baudas) juridiniams ir fiziniams asmenims. </w:t>
              </w:r>
            </w:p>
            <w:p>
              <w:pPr>
                <w:tabs>
                  <w:tab w:val="left" w:pos="3119"/>
                </w:tabs>
                <w:spacing w:line="276" w:lineRule="auto"/>
                <w:ind w:firstLine="709"/>
                <w:jc w:val="both"/>
                <w:rPr>
                  <w:szCs w:val="24"/>
                </w:rPr>
              </w:pPr>
              <w:r>
                <w:rPr>
                  <w:szCs w:val="24"/>
                </w:rPr>
                <w:t xml:space="preserve">Baudų dydžiai nustatyti atsižvelgiant į baudos dydžius, nustatytus Įstatymo 109 straipsnyje „Juridinių asmenų atsakomybė už cheminių medžiagų ir cheminių mišinių tvarkymo reikalavimų pažeidimą“ ir Kodekso 308 straipsnyje „Cheminių medžiagų ir cheminių mišinių  tvarkymo reikalavimų pažeidimas“ už veikas, susijusias su pavojingųjų cheminių medžiagų ir mišinių, jų turinčių gaminių, importu ir eksportu (pažeidžiant Reglamente </w:t>
              </w:r>
              <w:fldSimple w:instr="HYPERLINK http://eur-lex.europa.eu/legal-content/LIT/TXT/?uri=CELEX:32012R0649&amp;locale=lt \t _blank">
                <w:r>
                  <w:rPr>
                    <w:szCs w:val="24"/>
                    <w:u w:val="single"/>
                    <w:color w:val="0000FF" w:themeColor="hyperlink"/>
                  </w:rPr>
                  <w:t>(EB) Nr. 649/2012</w:t>
                </w:r>
              </w:fldSimple>
              <w:r>
                <w:rPr>
                  <w:szCs w:val="24"/>
                </w:rPr>
                <w:t xml:space="preserve"> nustatytus reikalavimus), įvertinant su kitomis konkrečiomis veikomis susijusias aplinkybes, lemiančias pažeidimų pobūdį, pavojingumą, administracinės atsakomybės subjektų specifiką, sankcijos atgrasomąjį poveikį ir pažeidimų prevencijos poreikius. </w:t>
              </w:r>
            </w:p>
            <w:p>
              <w:pPr>
                <w:tabs>
                  <w:tab w:val="left" w:pos="3119"/>
                </w:tabs>
                <w:spacing w:line="276" w:lineRule="auto"/>
                <w:ind w:firstLine="709"/>
                <w:jc w:val="both"/>
                <w:rPr>
                  <w:szCs w:val="24"/>
                </w:rPr>
              </w:pPr>
              <w:r>
                <w:rPr>
                  <w:szCs w:val="24"/>
                </w:rPr>
                <w:t xml:space="preserve">Priėmus Įstatymų projektus, Reglamento </w:t>
              </w:r>
              <w:fldSimple w:instr="HYPERLINK http://eur-lex.europa.eu/legal-content/LIT/TXT/?uri=CELEX:32017R0852&amp;locale=lt \t _blank">
                <w:r>
                  <w:rPr>
                    <w:szCs w:val="24"/>
                    <w:u w:val="single"/>
                    <w:color w:val="0000FF" w:themeColor="hyperlink"/>
                  </w:rPr>
                  <w:t>(ES) 2017/852</w:t>
                </w:r>
              </w:fldSimple>
              <w:r>
                <w:rPr>
                  <w:szCs w:val="24"/>
                </w:rPr>
                <w:t xml:space="preserve"> reikalavimų vykdymo priežiūra bus efektyvesnė, bus sumažinta administracinė našta ir prisitaikymo prie reguliavimo išlaidos odontologijos įstaigoms. Bus sustiprinta Reglamento </w:t>
              </w:r>
              <w:fldSimple w:instr="HYPERLINK http://eur-lex.europa.eu/legal-content/LIT/TXT/?uri=CELEX:32017R0852&amp;locale=lt \t _blank">
                <w:r>
                  <w:rPr>
                    <w:szCs w:val="24"/>
                    <w:u w:val="single"/>
                    <w:color w:val="0000FF" w:themeColor="hyperlink"/>
                  </w:rPr>
                  <w:t>(ES) 2017/852</w:t>
                </w:r>
              </w:fldSimple>
              <w:r>
                <w:rPr>
                  <w:szCs w:val="24"/>
                </w:rPr>
                <w:t xml:space="preserve"> nustatyto reikalavimo odontologinės priežiūros (pagalbos) įstaigose įrengti amalgamos separatorius, atitinkančius šiame reglamente nustatytą specifikaciją, vykdymo priežiūra, Nacionaliniam visuomenės sveikatos centrui suteikiant teisę tirti administracinius nusižengimus ir surašyti protokolus asmenims už Kodekso 308</w:t>
              </w:r>
              <w:r>
                <w:rPr>
                  <w:szCs w:val="24"/>
                  <w:vertAlign w:val="superscript"/>
                </w:rPr>
                <w:t>1</w:t>
              </w:r>
              <w:r>
                <w:rPr>
                  <w:szCs w:val="24"/>
                </w:rPr>
                <w:t xml:space="preserve"> straipsnio 9 dalyje ir Įstatymo </w:t>
              </w:r>
              <w:r>
                <w:rPr>
                  <w:caps/>
                  <w:szCs w:val="24"/>
                </w:rPr>
                <w:t>109</w:t>
              </w:r>
              <w:r>
                <w:rPr>
                  <w:caps/>
                  <w:szCs w:val="24"/>
                  <w:vertAlign w:val="superscript"/>
                </w:rPr>
                <w:t>1</w:t>
              </w:r>
              <w:r>
                <w:rPr>
                  <w:szCs w:val="24"/>
                </w:rPr>
                <w:t xml:space="preserve"> straipsnio 9 dalyje numatytus administracinius nusižengimus (susijusius su reikalavimu odontologinės priežiūros (pagalbos) įstaigose įrengti amalgamos separatorius) ir vykdyti bylų dėl ekonominių sankcijų skyrimo juridiniams asmenims teiseną. Šiuo metu minėtas funkcijas pavesta vykdyti Aplinkos apsaugos departamento pareigūnams, kuriems trūkta specializuotų medicinos srities ir visuomenės sveikatos priežiūros srities kompetencijos. </w:t>
              </w:r>
            </w:p>
            <w:p>
              <w:pPr>
                <w:tabs>
                  <w:tab w:val="left" w:pos="3119"/>
                </w:tabs>
                <w:spacing w:line="276" w:lineRule="auto"/>
                <w:ind w:firstLine="709"/>
                <w:jc w:val="both"/>
                <w:rPr>
                  <w:szCs w:val="24"/>
                </w:rPr>
              </w:pPr>
              <w:r>
                <w:rPr>
                  <w:szCs w:val="24"/>
                </w:rPr>
                <w:t>Nacionaliniam visuomenės sveikatos centrui būtų maža pridėtinė našta, nes ši institucija vykdo odontologinės priežiūros (pagalbos) paslaugas teikiančių įstaigų veiklos priežiūrą. Įvykdžius šį priežiūrą vykdančių institucijų funkcijų perskirstymą, sumažės administracinė našta verslo subjektams, nesidubliuotų patikrinimai, odontologinės priežiūros (pagalbos) įstaigas tikrintų specialių žinių turintys pareigūnai.</w:t>
              </w:r>
            </w:p>
            <w:p>
              <w:pPr>
                <w:tabs>
                  <w:tab w:val="left" w:pos="3119"/>
                </w:tabs>
                <w:spacing w:line="276" w:lineRule="auto"/>
                <w:ind w:firstLine="709"/>
                <w:jc w:val="both"/>
                <w:rPr>
                  <w:szCs w:val="24"/>
                </w:rPr>
              </w:pPr>
            </w:p>
            <w:p>
              <w:pPr>
                <w:shd w:val="clear" w:color="auto" w:fill="FFFFFF"/>
                <w:spacing w:line="276" w:lineRule="auto"/>
                <w:ind w:firstLine="709"/>
                <w:jc w:val="both"/>
                <w:rPr>
                  <w:i/>
                  <w:iCs/>
                  <w:color w:val="000000"/>
                  <w:szCs w:val="24"/>
                </w:rPr>
              </w:pPr>
              <w:r>
                <w:rPr>
                  <w:i/>
                  <w:iCs/>
                  <w:color w:val="000000"/>
                  <w:szCs w:val="24"/>
                </w:rPr>
                <w:t xml:space="preserve">Dėl Reglamento </w:t>
              </w:r>
              <w:fldSimple w:instr="HYPERLINK http://eur-lex.europa.eu/legal-content/LIT/TXT/?uri=CELEX:33157R2024&amp;locale=lt \t _blank">
                <w:r>
                  <w:rPr>
                    <w:i/>
                    <w:iCs/>
                    <w:color w:val="0000FF" w:themeColor="hyperlink"/>
                    <w:szCs w:val="24"/>
                    <w:u w:val="single"/>
                  </w:rPr>
                  <w:t>(ES) Nr. 2024/1157</w:t>
                </w:r>
              </w:fldSimple>
              <w:r>
                <w:rPr>
                  <w:i/>
                  <w:iCs/>
                  <w:color w:val="000000"/>
                  <w:szCs w:val="24"/>
                </w:rPr>
                <w:t xml:space="preserve"> nustatytų reikalavimų</w:t>
              </w:r>
            </w:p>
            <w:p>
              <w:pPr>
                <w:spacing w:line="276" w:lineRule="auto"/>
                <w:ind w:firstLine="709"/>
                <w:jc w:val="both"/>
                <w:rPr>
                  <w:i/>
                  <w:iCs/>
                  <w:szCs w:val="24"/>
                  <w:u w:val="single"/>
                </w:rPr>
              </w:pPr>
              <w:r>
                <w:rPr>
                  <w:szCs w:val="24"/>
                </w:rPr>
                <w:t>Atsižvelgiant į tai, kad atliekų vežimo</w:t>
              </w:r>
              <w:r>
                <w:rPr>
                  <w:i/>
                  <w:iCs/>
                  <w:szCs w:val="24"/>
                  <w:u w:val="single"/>
                </w:rPr>
                <w:t xml:space="preserve"> </w:t>
              </w:r>
              <w:r>
                <w:rPr>
                  <w:szCs w:val="24"/>
                </w:rPr>
                <w:t xml:space="preserve">Reglamentas </w:t>
              </w:r>
              <w:fldSimple w:instr="HYPERLINK http://eur-lex.europa.eu/legal-content/LIT/TXT/?uri=CELEX:32024R1157&amp;locale=lt \t _blank">
                <w:r>
                  <w:rPr>
                    <w:szCs w:val="24"/>
                    <w:u w:val="single"/>
                    <w:color w:val="0000FF" w:themeColor="hyperlink"/>
                  </w:rPr>
                  <w:t>(ES) 2024/1157</w:t>
                </w:r>
              </w:fldSimple>
              <w:r>
                <w:rPr>
                  <w:szCs w:val="24"/>
                </w:rPr>
                <w:t xml:space="preserve"> pradedamas taikyti nuo 2026 m. gegužės 21 d., yra tikslinga tikslinti šiuo metu galiojančio Įstatymo 87 straipsnį ir Kodekso </w:t>
              </w:r>
              <w:r>
                <w:rPr>
                  <w:szCs w:val="24"/>
                  <w:lang w:val="lt"/>
                </w:rPr>
                <w:t>251</w:t>
              </w:r>
              <w:r>
                <w:rPr>
                  <w:szCs w:val="24"/>
                </w:rPr>
                <w:t xml:space="preserve"> straipsnį pritaikant Reglamento </w:t>
              </w:r>
              <w:fldSimple w:instr="HYPERLINK http://eur-lex.europa.eu/legal-content/LIT/TXT/?uri=CELEX:32024R1157&amp;locale=lt \t _blank">
                <w:r>
                  <w:rPr>
                    <w:szCs w:val="24"/>
                    <w:u w:val="single"/>
                    <w:color w:val="0000FF" w:themeColor="hyperlink"/>
                  </w:rPr>
                  <w:t>(ES) 2024/1157</w:t>
                </w:r>
              </w:fldSimple>
              <w:r>
                <w:rPr>
                  <w:szCs w:val="24"/>
                </w:rPr>
                <w:t xml:space="preserve"> 63 straipsnio nuostatas, nustatančias sankcijas už šiame reglamente nustatytų reikalavimų nesilaikymą.</w:t>
              </w:r>
            </w:p>
            <w:p>
              <w:pPr>
                <w:spacing w:line="276" w:lineRule="auto"/>
                <w:ind w:firstLine="709"/>
                <w:jc w:val="both"/>
                <w:rPr>
                  <w:szCs w:val="24"/>
                </w:rPr>
              </w:pPr>
              <w:r>
                <w:rPr>
                  <w:szCs w:val="24"/>
                </w:rPr>
                <w:t xml:space="preserve">Reglamente </w:t>
              </w:r>
              <w:fldSimple w:instr="HYPERLINK http://eur-lex.europa.eu/legal-content/LIT/TXT/?uri=CELEX:32024R1157&amp;locale=lt \t _blank">
                <w:r>
                  <w:rPr>
                    <w:szCs w:val="24"/>
                    <w:u w:val="single"/>
                    <w:color w:val="0000FF" w:themeColor="hyperlink"/>
                  </w:rPr>
                  <w:t>(ES) 2024/1157</w:t>
                </w:r>
              </w:fldSimple>
              <w:r>
                <w:rPr>
                  <w:szCs w:val="24"/>
                </w:rPr>
                <w:t xml:space="preserve"> nustatomos priemonės, kuriomis siekiama apsaugoti aplinką ir žmonių sveikatą, prisidėti prie poveikio klimatui neutralumo ir žiedinės ekonomikos kūrimo ir nulinės taršos, užkertant kelią neigiamam poveikiui, kurį gali sukelti atliekų vežimas ir jų apdorojimas paskirties vietoje, arba jį sumažinant. Šiame reglamente nustatomos atliekų vežimo procedūros ir kontrolės režimas priklausomai nuo atliekų kilmės, paskirties vietos ir vežimo kelio, atliekų rūšies ir jų numatyto tvarkymo būdo paskirties vietoje.</w:t>
              </w:r>
            </w:p>
            <w:p>
              <w:pPr>
                <w:spacing w:line="276" w:lineRule="auto"/>
                <w:ind w:firstLine="709"/>
                <w:jc w:val="both"/>
                <w:rPr>
                  <w:szCs w:val="24"/>
                </w:rPr>
              </w:pPr>
              <w:r>
                <w:rPr>
                  <w:szCs w:val="24"/>
                </w:rPr>
                <w:t xml:space="preserve">Vadovaujantis Reglamento </w:t>
              </w:r>
              <w:fldSimple w:instr="HYPERLINK http://eur-lex.europa.eu/legal-content/LIT/TXT/?uri=CELEX:32024R1157&amp;locale=lt \t _blank">
                <w:r>
                  <w:rPr>
                    <w:szCs w:val="24"/>
                    <w:u w:val="single"/>
                    <w:color w:val="0000FF" w:themeColor="hyperlink"/>
                  </w:rPr>
                  <w:t>(ES) 2024/1157</w:t>
                </w:r>
              </w:fldSimple>
              <w:r>
                <w:rPr>
                  <w:szCs w:val="24"/>
                </w:rPr>
                <w:t xml:space="preserve"> 63 straipsniu, valstybės narės nustato sankcijų, taikomų pažeidus Reglamentą </w:t>
              </w:r>
              <w:fldSimple w:instr="HYPERLINK http://eur-lex.europa.eu/legal-content/LIT/TXT/?uri=CELEX:32024R1157&amp;locale=lt \t _blank">
                <w:r>
                  <w:rPr>
                    <w:szCs w:val="24"/>
                    <w:u w:val="single"/>
                    <w:color w:val="0000FF" w:themeColor="hyperlink"/>
                  </w:rPr>
                  <w:t>(ES) 2024/1157</w:t>
                </w:r>
              </w:fldSimple>
              <w:r>
                <w:rPr>
                  <w:szCs w:val="24"/>
                </w:rPr>
                <w:t>, taisykles ir imasi visų būtinų priemonių užtikrinti, kad šios sankcijos būtų taikomos. Numatytos sankcijos turi būti veiksmingos, proporcingos ir atgrasančios.</w:t>
              </w:r>
            </w:p>
            <w:p>
              <w:pPr>
                <w:spacing w:line="276" w:lineRule="auto"/>
                <w:ind w:firstLine="709"/>
                <w:jc w:val="both"/>
                <w:rPr>
                  <w:szCs w:val="24"/>
                </w:rPr>
              </w:pPr>
              <w:r>
                <w:rPr>
                  <w:szCs w:val="24"/>
                </w:rPr>
                <w:t>Taip pat, vadovaujantis šio straipsnio 2 dalimi, valstybės narės užtikrina, kad pagal šį straipsnį nustatytomis sankcijomis būtų tinkamai atsižvelgiama į atitinkamai:</w:t>
              </w:r>
            </w:p>
            <w:sdt>
              <w:sdtPr>
                <w:alias w:val="4 p. a pp."/>
                <w:tag w:val="part_8170e00cfb444ddd8f3c3af50f65d561"/>
                <w:lock w:val="sdtLocked"/>
                <w:richText/>
              </w:sdtPr>
              <w:sdtContent>
                <w:p>
                  <w:pPr>
                    <w:spacing w:line="276" w:lineRule="auto"/>
                    <w:ind w:firstLine="709"/>
                    <w:jc w:val="both"/>
                    <w:rPr>
                      <w:szCs w:val="24"/>
                    </w:rPr>
                  </w:pPr>
                  <w:sdt>
                    <w:sdtPr>
                      <w:alias w:val="Numeris"/>
                      <w:tag w:val="nr_8170e00cfb444ddd8f3c3af50f65d561"/>
                      <w:lock w:val="sdtLocked"/>
                      <w:richText/>
                    </w:sdtPr>
                    <w:sdtContent>
                      <w:r>
                        <w:rPr>
                          <w:szCs w:val="24"/>
                        </w:rPr>
                        <w:t>a</w:t>
                      </w:r>
                    </w:sdtContent>
                  </w:sdt>
                  <w:r>
                    <w:rPr>
                      <w:szCs w:val="24"/>
                    </w:rPr>
                    <w:t xml:space="preserve">) pažeidimo pobūdį, sunkumą ir mastą; </w:t>
                  </w:r>
                </w:p>
              </w:sdtContent>
            </w:sdt>
            <w:sdt>
              <w:sdtPr>
                <w:alias w:val="4 p. b pp."/>
                <w:tag w:val="part_fa930705090449af9c7400e500d66136"/>
                <w:lock w:val="sdtLocked"/>
                <w:richText/>
              </w:sdtPr>
              <w:sdtContent>
                <w:p>
                  <w:pPr>
                    <w:spacing w:line="276" w:lineRule="auto"/>
                    <w:ind w:firstLine="709"/>
                    <w:jc w:val="both"/>
                    <w:rPr>
                      <w:szCs w:val="24"/>
                    </w:rPr>
                  </w:pPr>
                  <w:sdt>
                    <w:sdtPr>
                      <w:alias w:val="Numeris"/>
                      <w:tag w:val="nr_fa930705090449af9c7400e500d66136"/>
                      <w:lock w:val="sdtLocked"/>
                      <w:richText/>
                    </w:sdtPr>
                    <w:sdtContent>
                      <w:r>
                        <w:rPr>
                          <w:szCs w:val="24"/>
                        </w:rPr>
                        <w:t>b</w:t>
                      </w:r>
                    </w:sdtContent>
                  </w:sdt>
                  <w:r>
                    <w:rPr>
                      <w:szCs w:val="24"/>
                    </w:rPr>
                    <w:t xml:space="preserve">) atitinkamais atvejais tai, ar pažeidimas padarytas tyčia ar dėl aplaidumo; </w:t>
                  </w:r>
                </w:p>
              </w:sdtContent>
            </w:sdt>
            <w:sdt>
              <w:sdtPr>
                <w:alias w:val="4 p. c pp."/>
                <w:tag w:val="part_6a3cb7c33f4f4a4b84cfa209b4c0f28f"/>
                <w:lock w:val="sdtLocked"/>
                <w:richText/>
              </w:sdtPr>
              <w:sdtContent>
                <w:p>
                  <w:pPr>
                    <w:spacing w:line="276" w:lineRule="auto"/>
                    <w:ind w:firstLine="709"/>
                    <w:jc w:val="both"/>
                    <w:rPr>
                      <w:szCs w:val="24"/>
                    </w:rPr>
                  </w:pPr>
                  <w:sdt>
                    <w:sdtPr>
                      <w:alias w:val="Numeris"/>
                      <w:tag w:val="nr_6a3cb7c33f4f4a4b84cfa209b4c0f28f"/>
                      <w:lock w:val="sdtLocked"/>
                      <w:richText/>
                    </w:sdtPr>
                    <w:sdtContent>
                      <w:r>
                        <w:rPr>
                          <w:szCs w:val="24"/>
                        </w:rPr>
                        <w:t>c</w:t>
                      </w:r>
                    </w:sdtContent>
                  </w:sdt>
                  <w:r>
                    <w:rPr>
                      <w:szCs w:val="24"/>
                    </w:rPr>
                    <w:t xml:space="preserve">) atsakingu laikomo fizinio ar juridinio asmens finansinį pajėgumą; </w:t>
                  </w:r>
                </w:p>
              </w:sdtContent>
            </w:sdt>
            <w:sdt>
              <w:sdtPr>
                <w:alias w:val="4 p. d pp."/>
                <w:tag w:val="part_3271cbfe4a08484bb634e6ddc85c3643"/>
                <w:lock w:val="sdtLocked"/>
                <w:richText/>
              </w:sdtPr>
              <w:sdtContent>
                <w:p>
                  <w:pPr>
                    <w:spacing w:line="276" w:lineRule="auto"/>
                    <w:ind w:firstLine="709"/>
                    <w:jc w:val="both"/>
                    <w:rPr>
                      <w:szCs w:val="24"/>
                    </w:rPr>
                  </w:pPr>
                  <w:sdt>
                    <w:sdtPr>
                      <w:alias w:val="Numeris"/>
                      <w:tag w:val="nr_3271cbfe4a08484bb634e6ddc85c3643"/>
                      <w:lock w:val="sdtLocked"/>
                      <w:richText/>
                    </w:sdtPr>
                    <w:sdtContent>
                      <w:r>
                        <w:rPr>
                          <w:szCs w:val="24"/>
                        </w:rPr>
                        <w:t>d</w:t>
                      </w:r>
                    </w:sdtContent>
                  </w:sdt>
                  <w:r>
                    <w:rPr>
                      <w:szCs w:val="24"/>
                    </w:rPr>
                    <w:t xml:space="preserve">) ekonominę naudą, gaunamą atsakingu laikomam fiziniam ar juridiniam asmeniui įvykdžius pažeidimą, jei ją galima nustatyti; </w:t>
                  </w:r>
                </w:p>
              </w:sdtContent>
            </w:sdt>
            <w:sdt>
              <w:sdtPr>
                <w:alias w:val="4 p. e pp."/>
                <w:tag w:val="part_1f6f890c4f0c48d198dc35945bcc3845"/>
                <w:lock w:val="sdtLocked"/>
                <w:richText/>
              </w:sdtPr>
              <w:sdtContent>
                <w:p>
                  <w:pPr>
                    <w:spacing w:line="276" w:lineRule="auto"/>
                    <w:ind w:firstLine="709"/>
                    <w:jc w:val="both"/>
                    <w:rPr>
                      <w:szCs w:val="24"/>
                    </w:rPr>
                  </w:pPr>
                  <w:sdt>
                    <w:sdtPr>
                      <w:alias w:val="Numeris"/>
                      <w:tag w:val="nr_1f6f890c4f0c48d198dc35945bcc3845"/>
                      <w:lock w:val="sdtLocked"/>
                      <w:richText/>
                    </w:sdtPr>
                    <w:sdtContent>
                      <w:r>
                        <w:rPr>
                          <w:szCs w:val="24"/>
                        </w:rPr>
                        <w:t>e</w:t>
                      </w:r>
                    </w:sdtContent>
                  </w:sdt>
                  <w:r>
                    <w:rPr>
                      <w:szCs w:val="24"/>
                    </w:rPr>
                    <w:t xml:space="preserve">) dėl pažeidimo padarytą žalą aplinkai; </w:t>
                  </w:r>
                </w:p>
              </w:sdtContent>
            </w:sdt>
            <w:sdt>
              <w:sdtPr>
                <w:alias w:val="4 p. f pp."/>
                <w:tag w:val="part_2e9b509fc46d41cc817ab38586b998ce"/>
                <w:lock w:val="sdtLocked"/>
                <w:richText/>
              </w:sdtPr>
              <w:sdtContent>
                <w:p>
                  <w:pPr>
                    <w:spacing w:line="276" w:lineRule="auto"/>
                    <w:ind w:firstLine="709"/>
                    <w:jc w:val="both"/>
                    <w:rPr>
                      <w:szCs w:val="24"/>
                    </w:rPr>
                  </w:pPr>
                  <w:sdt>
                    <w:sdtPr>
                      <w:alias w:val="Numeris"/>
                      <w:tag w:val="nr_2e9b509fc46d41cc817ab38586b998ce"/>
                      <w:lock w:val="sdtLocked"/>
                      <w:richText/>
                    </w:sdtPr>
                    <w:sdtContent>
                      <w:r>
                        <w:rPr>
                          <w:szCs w:val="24"/>
                        </w:rPr>
                        <w:t>f</w:t>
                      </w:r>
                    </w:sdtContent>
                  </w:sdt>
                  <w:r>
                    <w:rPr>
                      <w:szCs w:val="24"/>
                    </w:rPr>
                    <w:t xml:space="preserve">) bet kokius veiksmus, kurių ėmėsi atsakingas fizinis ar juridinis asmuo, siekdamas sušvelninti ar atlyginti padarytą žalą; </w:t>
                  </w:r>
                </w:p>
              </w:sdtContent>
            </w:sdt>
            <w:sdt>
              <w:sdtPr>
                <w:alias w:val="4 p. g pp."/>
                <w:tag w:val="part_23657979b5e74567afa58d8529be931e"/>
                <w:lock w:val="sdtLocked"/>
                <w:richText/>
              </w:sdtPr>
              <w:sdtContent>
                <w:p>
                  <w:pPr>
                    <w:spacing w:line="276" w:lineRule="auto"/>
                    <w:ind w:firstLine="709"/>
                    <w:jc w:val="both"/>
                    <w:rPr>
                      <w:szCs w:val="24"/>
                    </w:rPr>
                  </w:pPr>
                  <w:sdt>
                    <w:sdtPr>
                      <w:alias w:val="Numeris"/>
                      <w:tag w:val="nr_23657979b5e74567afa58d8529be931e"/>
                      <w:lock w:val="sdtLocked"/>
                      <w:richText/>
                    </w:sdtPr>
                    <w:sdtContent>
                      <w:r>
                        <w:rPr>
                          <w:szCs w:val="24"/>
                        </w:rPr>
                        <w:t>g</w:t>
                      </w:r>
                    </w:sdtContent>
                  </w:sdt>
                  <w:r>
                    <w:rPr>
                      <w:szCs w:val="24"/>
                    </w:rPr>
                    <w:t xml:space="preserve">) tai, ar pažeidimas yra kartotinis, ar pavienis; </w:t>
                  </w:r>
                </w:p>
              </w:sdtContent>
            </w:sdt>
            <w:sdt>
              <w:sdtPr>
                <w:alias w:val="4 p. h pp."/>
                <w:tag w:val="part_d60fda4f18894c28a90d1a2aeb42151d"/>
                <w:lock w:val="sdtLocked"/>
                <w:richText/>
              </w:sdtPr>
              <w:sdtContent>
                <w:p>
                  <w:pPr>
                    <w:spacing w:line="276" w:lineRule="auto"/>
                    <w:ind w:firstLine="709"/>
                    <w:jc w:val="both"/>
                    <w:rPr>
                      <w:szCs w:val="24"/>
                    </w:rPr>
                  </w:pPr>
                  <w:sdt>
                    <w:sdtPr>
                      <w:alias w:val="Numeris"/>
                      <w:tag w:val="nr_d60fda4f18894c28a90d1a2aeb42151d"/>
                      <w:lock w:val="sdtLocked"/>
                      <w:richText/>
                    </w:sdtPr>
                    <w:sdtContent>
                      <w:r>
                        <w:rPr>
                          <w:szCs w:val="24"/>
                        </w:rPr>
                        <w:t>h</w:t>
                      </w:r>
                    </w:sdtContent>
                  </w:sdt>
                  <w:r>
                    <w:rPr>
                      <w:szCs w:val="24"/>
                    </w:rPr>
                    <w:t>) bet kokį kitą sunkinantį ar lengvinantį veiksnį, taikomą atvejo aplinkybėmis.</w:t>
                  </w:r>
                </w:p>
                <w:p>
                  <w:pPr>
                    <w:spacing w:line="276" w:lineRule="auto"/>
                    <w:ind w:firstLine="709"/>
                    <w:jc w:val="both"/>
                    <w:rPr>
                      <w:szCs w:val="24"/>
                    </w:rPr>
                  </w:pPr>
                  <w:r>
                    <w:rPr>
                      <w:szCs w:val="24"/>
                    </w:rPr>
                    <w:t xml:space="preserve">Vadovaujantis šio straipsnio 3 dalimi, pažeidus šį reglamentą, valstybės narės turėtų galėti taikyti, kai aktualu, bent šias sankcijas: </w:t>
                  </w:r>
                </w:p>
              </w:sdtContent>
            </w:sdt>
            <w:sdt>
              <w:sdtPr>
                <w:alias w:val="4 p. a pp."/>
                <w:tag w:val="part_306aac7cbcdf4c618ea3c876e4b85927"/>
                <w:lock w:val="sdtLocked"/>
                <w:richText/>
              </w:sdtPr>
              <w:sdtContent>
                <w:p>
                  <w:pPr>
                    <w:spacing w:line="276" w:lineRule="auto"/>
                    <w:ind w:firstLine="709"/>
                    <w:jc w:val="both"/>
                    <w:rPr>
                      <w:szCs w:val="24"/>
                    </w:rPr>
                  </w:pPr>
                  <w:sdt>
                    <w:sdtPr>
                      <w:alias w:val="Numeris"/>
                      <w:tag w:val="nr_306aac7cbcdf4c618ea3c876e4b85927"/>
                      <w:lock w:val="sdtLocked"/>
                      <w:richText/>
                    </w:sdtPr>
                    <w:sdtContent>
                      <w:r>
                        <w:rPr>
                          <w:szCs w:val="24"/>
                        </w:rPr>
                        <w:t>a</w:t>
                      </w:r>
                    </w:sdtContent>
                  </w:sdt>
                  <w:r>
                    <w:rPr>
                      <w:szCs w:val="24"/>
                    </w:rPr>
                    <w:t xml:space="preserve">) baudas; </w:t>
                  </w:r>
                </w:p>
              </w:sdtContent>
            </w:sdt>
            <w:sdt>
              <w:sdtPr>
                <w:alias w:val="4 p. b pp."/>
                <w:tag w:val="part_082947d200204fe28e9ed5111042342c"/>
                <w:lock w:val="sdtLocked"/>
                <w:richText/>
              </w:sdtPr>
              <w:sdtContent>
                <w:p>
                  <w:pPr>
                    <w:spacing w:line="276" w:lineRule="auto"/>
                    <w:ind w:firstLine="709"/>
                    <w:jc w:val="both"/>
                    <w:rPr>
                      <w:szCs w:val="24"/>
                    </w:rPr>
                  </w:pPr>
                  <w:sdt>
                    <w:sdtPr>
                      <w:alias w:val="Numeris"/>
                      <w:tag w:val="nr_082947d200204fe28e9ed5111042342c"/>
                      <w:lock w:val="sdtLocked"/>
                      <w:richText/>
                    </w:sdtPr>
                    <w:sdtContent>
                      <w:r>
                        <w:rPr>
                          <w:szCs w:val="24"/>
                        </w:rPr>
                        <w:t>b</w:t>
                      </w:r>
                    </w:sdtContent>
                  </w:sdt>
                  <w:r>
                    <w:rPr>
                      <w:szCs w:val="24"/>
                    </w:rPr>
                    <w:t xml:space="preserve">) su atliekų tvarkymu ir vežimu susijusios veiklos leidimo panaikinimą arba laikiną sustabdymą, jei ši veikla patenka į šio reglamento taikymo sritį; </w:t>
                  </w:r>
                </w:p>
              </w:sdtContent>
            </w:sdt>
            <w:sdt>
              <w:sdtPr>
                <w:alias w:val="4 p. c pp."/>
                <w:tag w:val="part_0b4d40791b1b4d9bba27670b5713a939"/>
                <w:lock w:val="sdtLocked"/>
                <w:richText/>
              </w:sdtPr>
              <w:sdtContent>
                <w:p>
                  <w:pPr>
                    <w:spacing w:line="276" w:lineRule="auto"/>
                    <w:ind w:firstLine="709"/>
                    <w:jc w:val="both"/>
                    <w:rPr>
                      <w:szCs w:val="24"/>
                    </w:rPr>
                  </w:pPr>
                  <w:sdt>
                    <w:sdtPr>
                      <w:alias w:val="Numeris"/>
                      <w:tag w:val="nr_0b4d40791b1b4d9bba27670b5713a939"/>
                      <w:lock w:val="sdtLocked"/>
                      <w:richText/>
                    </w:sdtPr>
                    <w:sdtContent>
                      <w:r>
                        <w:rPr>
                          <w:szCs w:val="24"/>
                        </w:rPr>
                        <w:t>c</w:t>
                      </w:r>
                    </w:sdtContent>
                  </w:sdt>
                  <w:r>
                    <w:rPr>
                      <w:szCs w:val="24"/>
                    </w:rPr>
                    <w:t>) laikiną pašalinimą iš viešųjų pirkimų procedūrų.</w:t>
                  </w:r>
                </w:p>
                <w:p>
                  <w:pPr>
                    <w:spacing w:line="276" w:lineRule="auto"/>
                    <w:ind w:firstLine="709"/>
                    <w:jc w:val="both"/>
                    <w:rPr>
                      <w:szCs w:val="24"/>
                    </w:rPr>
                  </w:pPr>
                  <w:r>
                    <w:rPr>
                      <w:szCs w:val="24"/>
                    </w:rPr>
                    <w:t xml:space="preserve">Priėmus Įstatymo ir Kodekso projektus, bus numatytos sankcijos juridiniams ir fiziniams asmenims už Reglamente </w:t>
                  </w:r>
                  <w:fldSimple w:instr="HYPERLINK http://eur-lex.europa.eu/legal-content/LIT/TXT/?uri=CELEX:32024R1157&amp;locale=lt \t _blank">
                    <w:r>
                      <w:rPr>
                        <w:szCs w:val="24"/>
                        <w:u w:val="single"/>
                        <w:color w:val="0000FF" w:themeColor="hyperlink"/>
                      </w:rPr>
                      <w:t>(ES) 2024/1157</w:t>
                    </w:r>
                  </w:fldSimple>
                  <w:r>
                    <w:rPr>
                      <w:szCs w:val="24"/>
                    </w:rPr>
                    <w:t xml:space="preserve"> nustatytų atliekų vežimo procedūrų reikalavimų pažeidimus. Bus įgyvendintos Reglamento </w:t>
                  </w:r>
                  <w:fldSimple w:instr="HYPERLINK http://eur-lex.europa.eu/legal-content/LIT/TXT/?uri=CELEX:32024R1157&amp;locale=lt \t _blank">
                    <w:r>
                      <w:rPr>
                        <w:szCs w:val="24"/>
                        <w:u w:val="single"/>
                        <w:color w:val="0000FF" w:themeColor="hyperlink"/>
                      </w:rPr>
                      <w:t>2024/1157</w:t>
                    </w:r>
                  </w:fldSimple>
                  <w:r>
                    <w:rPr>
                      <w:szCs w:val="24"/>
                    </w:rPr>
                    <w:t xml:space="preserve"> 63 straipsnio nuostatos dėl sankcijų už šio reglamento pažeidimus, taikant ekonomines sankcijas juridiniams asmenims. Priėmus Įstatymo projektą bus suteikta daugiau galimybių Aplinkos apsaugos departamentui prie Lietuvos Respublikos aplinkos ministerijos, kontrolę vykdančiai institucijai, užtikrinti Reglamento </w:t>
                  </w:r>
                  <w:fldSimple w:instr="HYPERLINK http://eur-lex.europa.eu/legal-content/LIT/TXT/?uri=CELEX:32024R1157&amp;locale=lt \t _blank">
                    <w:r>
                      <w:rPr>
                        <w:szCs w:val="24"/>
                        <w:u w:val="single"/>
                        <w:color w:val="0000FF" w:themeColor="hyperlink"/>
                      </w:rPr>
                      <w:t>(ES) 2024/1157</w:t>
                    </w:r>
                  </w:fldSimple>
                  <w:r>
                    <w:rPr>
                      <w:szCs w:val="24"/>
                    </w:rPr>
                    <w:t xml:space="preserve"> reikalavimų laikymąsi.</w:t>
                  </w:r>
                </w:p>
                <w:p>
                  <w:pPr>
                    <w:spacing w:line="276" w:lineRule="auto"/>
                    <w:ind w:firstLine="709"/>
                    <w:jc w:val="both"/>
                    <w:rPr>
                      <w:szCs w:val="24"/>
                    </w:rPr>
                  </w:pPr>
                </w:p>
                <w:p>
                  <w:pPr>
                    <w:tabs>
                      <w:tab w:val="left" w:pos="3119"/>
                    </w:tabs>
                    <w:spacing w:line="276" w:lineRule="auto"/>
                    <w:ind w:firstLine="709"/>
                    <w:jc w:val="both"/>
                    <w:rPr>
                      <w:i/>
                      <w:iCs/>
                      <w:szCs w:val="24"/>
                    </w:rPr>
                  </w:pPr>
                  <w:r>
                    <w:rPr>
                      <w:i/>
                      <w:iCs/>
                      <w:szCs w:val="24"/>
                    </w:rPr>
                    <w:t xml:space="preserve">Dėl Reglamento </w:t>
                  </w:r>
                  <w:fldSimple w:instr="HYPERLINK http://eur-lex.europa.eu/legal-content/LIT/TXT/?uri=CELEX:32590R2024&amp;locale=lt \t _blank">
                    <w:r>
                      <w:rPr>
                        <w:i/>
                        <w:iCs/>
                        <w:szCs w:val="24"/>
                        <w:u w:val="single"/>
                        <w:color w:val="0000FF" w:themeColor="hyperlink"/>
                      </w:rPr>
                      <w:t>(ES) Nr. 2024/590</w:t>
                    </w:r>
                  </w:fldSimple>
                  <w:r>
                    <w:rPr>
                      <w:i/>
                      <w:iCs/>
                      <w:szCs w:val="24"/>
                    </w:rPr>
                    <w:t xml:space="preserve"> nustatytų reikalavimų</w:t>
                  </w:r>
                </w:p>
                <w:p>
                  <w:pPr>
                    <w:tabs>
                      <w:tab w:val="left" w:pos="3119"/>
                    </w:tabs>
                    <w:spacing w:line="276" w:lineRule="auto"/>
                    <w:ind w:firstLine="771"/>
                    <w:jc w:val="both"/>
                    <w:rPr>
                      <w:szCs w:val="24"/>
                    </w:rPr>
                  </w:pPr>
                  <w:r>
                    <w:rPr>
                      <w:szCs w:val="24"/>
                    </w:rPr>
                    <w:t xml:space="preserve">Įstatymo projekte siūlomi AAĮ 110 straipsnio pakeitimai siekiant nustatyti veiksmingas, proporcingas ir atgrasomas sankcijas už ozono sluoksnį ardančių medžiagų, produktų ir įrangos, kuriuose yra šių medžiagų ar kurių veikimas nuo jų priklauso, tvarkymo pažeidimus juridiniams asmenims, įgyvendinant Reglamento </w:t>
                  </w:r>
                  <w:fldSimple w:instr="HYPERLINK http://eur-lex.europa.eu/legal-content/LIT/TXT/?uri=CELEX:32024R0590&amp;locale=lt \t _blank">
                    <w:r>
                      <w:rPr>
                        <w:szCs w:val="24"/>
                        <w:u w:val="single"/>
                        <w:color w:val="0000FF" w:themeColor="hyperlink"/>
                      </w:rPr>
                      <w:t>(ES) 2024/590</w:t>
                    </w:r>
                  </w:fldSimple>
                  <w:r>
                    <w:rPr>
                      <w:szCs w:val="24"/>
                    </w:rPr>
                    <w:t xml:space="preserve"> 27 straipsnio nuostatas dėl atsakomybės taikymo už šiame reglamente nustatytų reikalavimų nesilaikymą.</w:t>
                  </w:r>
                </w:p>
                <w:p>
                  <w:pPr>
                    <w:tabs>
                      <w:tab w:val="left" w:pos="3119"/>
                    </w:tabs>
                    <w:spacing w:line="276" w:lineRule="auto"/>
                    <w:ind w:firstLine="709"/>
                    <w:jc w:val="both"/>
                    <w:rPr>
                      <w:szCs w:val="24"/>
                    </w:rPr>
                  </w:pPr>
                  <w:r>
                    <w:rPr>
                      <w:szCs w:val="24"/>
                    </w:rPr>
                    <w:t>Siūloma nustatyti didesnes finansines nuobaudas, taikyti ne tik administracinę atsakomybę, bet už nurodytus pažeidimus:</w:t>
                  </w:r>
                </w:p>
                <w:p>
                  <w:pPr>
                    <w:spacing w:line="276" w:lineRule="auto"/>
                    <w:ind w:firstLine="709"/>
                    <w:jc w:val="both"/>
                    <w:rPr>
                      <w:szCs w:val="24"/>
                    </w:rPr>
                  </w:pPr>
                  <w:r>
                    <w:rPr>
                      <w:szCs w:val="24"/>
                    </w:rPr>
                    <w:t xml:space="preserve">- taikyti draudimą naudoti, gaminti, importuoti, eksportuoti arba pateikti rinkai ozono sluoksnį ardančias medžiagas arba  produktus ir įrangą, kuriuose yra šių medžiagų arba kurių veikimas nuo jų priklauso;</w:t>
                  </w:r>
                </w:p>
                <w:p>
                  <w:pPr>
                    <w:spacing w:line="276" w:lineRule="auto"/>
                    <w:ind w:firstLine="709"/>
                    <w:jc w:val="both"/>
                    <w:rPr>
                      <w:szCs w:val="24"/>
                    </w:rPr>
                  </w:pPr>
                  <w:r>
                    <w:rPr>
                      <w:szCs w:val="24"/>
                    </w:rPr>
                    <w:t>- skirti pažeidimo padarymo įrankių ir priemonių, ozono sluoksnį ardančių medžiagų, produktų ir įrangos, kuriuose yra tokių medžiagų arba kurių veikimas nuo jų priklauso, bei pakartotinai neužpildomų ozono sluoksnį ardančių medžiagų talpyklų, kurios yra tuščios arba visiškai ar iš dalies užpildytos, konfiskavimą, taip pat už neteisėtą veiklą gautų pajamų konfiskavimą.</w:t>
                  </w:r>
                </w:p>
                <w:p>
                  <w:pPr>
                    <w:tabs>
                      <w:tab w:val="left" w:pos="3119"/>
                    </w:tabs>
                    <w:spacing w:line="276" w:lineRule="auto"/>
                    <w:ind w:firstLine="709"/>
                    <w:jc w:val="both"/>
                    <w:rPr>
                      <w:szCs w:val="24"/>
                    </w:rPr>
                  </w:pPr>
                  <w:r>
                    <w:rPr>
                      <w:szCs w:val="24"/>
                    </w:rPr>
                    <w:t>Už ozono sluoksnį ardančių medžiagų arba produktų ir įrangos, kuriuose yra šių medžiagų arba kurių veikimas nuo jų priklauso, gamybos, importo, eksporto, pateikimo į rinką ar naudojimo reikalavimų pažeidimus siūloma nustatyti baudas penkis kartus didesnes už atitinkamų ozono sluoksnį ardančių medžiagų ar produktų ir įrangos rinkos vertę pažeidimo padarymo metu. Jei pažeidimai yra pakartojami per penkerių metų laikotarpį, nustatyti baudas aštuonis kartus didesnes už atitinkamų ozono sluoksnį ardančių medžiagų ar produktų ir įrangos rinkos vertę pažeidimo padarymo metu.</w:t>
                  </w:r>
                </w:p>
                <w:p>
                  <w:pPr>
                    <w:tabs>
                      <w:tab w:val="left" w:pos="3119"/>
                    </w:tabs>
                    <w:spacing w:line="276" w:lineRule="auto"/>
                    <w:ind w:firstLine="709"/>
                    <w:jc w:val="both"/>
                    <w:rPr>
                      <w:szCs w:val="24"/>
                    </w:rPr>
                  </w:pPr>
                  <w:r>
                    <w:rPr>
                      <w:szCs w:val="24"/>
                    </w:rPr>
                    <w:t xml:space="preserve">Už  ozono sluoksnį ardančių medžiagų tvarkymo reikalavimų pažeidimus baudų dydžius siūloma diferencijuoti pagal galimą pažeidimų žalą aplinkai: </w:t>
                  </w:r>
                </w:p>
                <w:p>
                  <w:pPr>
                    <w:spacing w:line="276" w:lineRule="auto"/>
                    <w:ind w:firstLine="709"/>
                    <w:jc w:val="both"/>
                    <w:rPr>
                      <w:szCs w:val="24"/>
                    </w:rPr>
                  </w:pPr>
                  <w:r>
                    <w:rPr>
                      <w:szCs w:val="24"/>
                    </w:rPr>
                    <w:t xml:space="preserve">- pažeidimai, susiję su aplaidžiu duomenų rinkimu, kaupimu, atitikties deklaracijų rengimu, įrašų ir dokumentų saugojimu,  informacijos teikimo Europos Sąjungos ir Lietuvos Respublikos institucijoms reikalavimų pažeidimais, talpyklų, kuriuose yra ozono sluoksnį ardančių medžiagų, ženklinimu, už kuriuos siūloma padidinti numatytą mažiausios vertės baudų rėžį  juridiniams asmenims nuo 1000 iki 2000 eurų;</w:t>
                  </w:r>
                </w:p>
                <w:p>
                  <w:pPr>
                    <w:spacing w:line="276" w:lineRule="auto"/>
                    <w:ind w:firstLine="709"/>
                    <w:jc w:val="both"/>
                    <w:rPr>
                      <w:szCs w:val="24"/>
                    </w:rPr>
                  </w:pPr>
                  <w:r>
                    <w:rPr>
                      <w:szCs w:val="24"/>
                    </w:rPr>
                    <w:t xml:space="preserve">- pažeidimai, susiję su darbuotojų kompetencijos reikalavimų pažeidimu, už kuriuos siūloma nustatyti dvigubai didesnės vertės baudas  juridiniams asmenims, nuo 2000 iki 4000 eurų;</w:t>
                  </w:r>
                </w:p>
                <w:p>
                  <w:pPr>
                    <w:spacing w:line="276" w:lineRule="auto"/>
                    <w:ind w:firstLine="709"/>
                    <w:jc w:val="both"/>
                    <w:rPr>
                      <w:szCs w:val="24"/>
                    </w:rPr>
                  </w:pPr>
                  <w:r>
                    <w:rPr>
                      <w:szCs w:val="24"/>
                    </w:rPr>
                    <w:t xml:space="preserve">- pažeidimai, susiję su neteisėtu ozono sluoksnį ardančių medžiagų išleidimu į atmosferą, nuotėkio prevencijos ir tikrinimo reikalavimais, įrangos, turinčios gedimų, eksploatavimu ar eksploatacijos nutraukimu, ozono sluoksnį ardančių medžiagų surinkimu iš produktų ir įrangos bei statybinių medžiagų putų, pakartotinai neužpildomų ozono sluoksnį ardančių medžiagų talpyklų importu, pateikimu rinkai, naudojimu arba eksportu, ozono sluoksnį ardančių medžiagų, produktų ir įrangos, kuriuose yra šių medžiagų, naikinimu, halonų, naudojamų būtiniausioms reikmėms, saugojimu, </w:t>
                  </w:r>
                  <w:r>
                    <w:rPr>
                      <w:szCs w:val="24"/>
                      <w:lang w:val="lt"/>
                    </w:rPr>
                    <w:t xml:space="preserve">priešgaisrinių sistemų ir gesintuvų, kuriuose yra halonų, naudojamų būtiniausioms reikmėms arba kurių veikimas nuo jų priklauso, eksploatacijos nutraukimu ir halonų surinkimu, </w:t>
                  </w:r>
                  <w:r>
                    <w:rPr>
                      <w:szCs w:val="24"/>
                    </w:rPr>
                    <w:t xml:space="preserve">ozono sluoksnį ardančių medžiagų, skirtų svarbiausioms laboratorijų ir analizės reikmėms, pateikimu rinkai ir vėlesniu tiekimu ar teikimu kitam asmeniui Europos Sąjungoje arba naudojimu, laikomi sunkiais pažeidimais, už kuriuos siūloma nustatyti didesnės vertės baudų rėžį, paliekant galimybę tyrimų metu nustatyti adekvačią atsakomybę už padarytą žalą aplinkai  juridiniams asmenims nuo 2000 iki 8000 eurų.</w:t>
                  </w:r>
                </w:p>
                <w:p>
                  <w:pPr>
                    <w:tabs>
                      <w:tab w:val="left" w:pos="3119"/>
                    </w:tabs>
                    <w:spacing w:line="276" w:lineRule="auto"/>
                    <w:ind w:firstLine="709"/>
                    <w:jc w:val="both"/>
                    <w:rPr>
                      <w:szCs w:val="24"/>
                    </w:rPr>
                  </w:pPr>
                  <w:r>
                    <w:rPr>
                      <w:szCs w:val="24"/>
                    </w:rPr>
                    <w:t xml:space="preserve">Kodekso projekte  siūlomi 310 straipsnio pakeitimai siekiant nustatyti veiksmingas, proporcingas ir atgrasomas ozono sluoksnį ardančių medžiagų, produktų ir įrangos, kuriuose yra šių medžiagų ar kurių veikimas nuo jų priklauso, tvarkymo sankcijas fiziniams asmenims, įgyvendinant Reglamento </w:t>
                  </w:r>
                  <w:fldSimple w:instr="HYPERLINK http://eur-lex.europa.eu/legal-content/LIT/TXT/?uri=CELEX:32024R0590&amp;locale=lt \t _blank">
                    <w:r>
                      <w:rPr>
                        <w:szCs w:val="24"/>
                        <w:u w:val="single"/>
                        <w:color w:val="0000FF" w:themeColor="hyperlink"/>
                      </w:rPr>
                      <w:t>(ES) 2024/590</w:t>
                    </w:r>
                  </w:fldSimple>
                  <w:r>
                    <w:rPr>
                      <w:szCs w:val="24"/>
                    </w:rPr>
                    <w:t xml:space="preserve"> 27 straipsnio nuostatas dėl atsakomybės taikymo už  šiame reglamente nustatytų reikalavimų nesilaikymą.</w:t>
                  </w:r>
                </w:p>
                <w:p>
                  <w:pPr>
                    <w:tabs>
                      <w:tab w:val="left" w:pos="3119"/>
                    </w:tabs>
                    <w:spacing w:line="276" w:lineRule="auto"/>
                    <w:ind w:firstLine="709"/>
                    <w:jc w:val="both"/>
                    <w:rPr>
                      <w:szCs w:val="24"/>
                    </w:rPr>
                  </w:pPr>
                  <w:r>
                    <w:rPr>
                      <w:szCs w:val="24"/>
                    </w:rPr>
                    <w:t>Siūloma nustatyti didesnes baudas, taikyti ne tik administracinę atsakomybę, bet už nurodytus administracinius nusižengimus:</w:t>
                  </w:r>
                </w:p>
                <w:p>
                  <w:pPr>
                    <w:spacing w:line="276" w:lineRule="auto"/>
                    <w:ind w:firstLine="709"/>
                    <w:jc w:val="both"/>
                    <w:rPr>
                      <w:szCs w:val="24"/>
                    </w:rPr>
                  </w:pPr>
                  <w:r>
                    <w:rPr>
                      <w:szCs w:val="24"/>
                    </w:rPr>
                    <w:t xml:space="preserve">- taikyti draudimą naudoti, gaminti, importuoti, eksportuoti arba pateikti rinkai ozono sluoksnį ardančias medžiagas arba  produktus ir įrangą, kuriuose yra šių medžiagų arba kurių veikimas nuo jų priklauso;</w:t>
                  </w:r>
                </w:p>
                <w:p>
                  <w:pPr>
                    <w:spacing w:line="276" w:lineRule="auto"/>
                    <w:ind w:firstLine="709"/>
                    <w:jc w:val="both"/>
                    <w:rPr>
                      <w:szCs w:val="24"/>
                    </w:rPr>
                  </w:pPr>
                  <w:r>
                    <w:rPr>
                      <w:szCs w:val="24"/>
                    </w:rPr>
                    <w:t>- skirti administracinio nusižengimo padarymo įrankių ir priemonių, ozono sluoksnį ardančių medžiagų, produktų ir įrangos, kuriuose yra tokių medžiagų arba kurių veikimas nuo jų priklauso, bei pakartotinai neužpildomų ozono sluoksnį ardančių medžiagų talpyklų, kurios yra tuščios arba visiškai ar iš dalies užpildytos, konfiskavimą, taip pat už neteisėtą veiklą gautų pajamų konfiskavimą.</w:t>
                  </w:r>
                </w:p>
                <w:p>
                  <w:pPr>
                    <w:tabs>
                      <w:tab w:val="left" w:pos="3119"/>
                    </w:tabs>
                    <w:spacing w:line="276" w:lineRule="auto"/>
                    <w:ind w:firstLine="709"/>
                    <w:jc w:val="both"/>
                    <w:rPr>
                      <w:szCs w:val="24"/>
                    </w:rPr>
                  </w:pPr>
                  <w:r>
                    <w:rPr>
                      <w:szCs w:val="24"/>
                    </w:rPr>
                    <w:t>Už ozono sluoksnį ardančių medžiagų arba produktų ir įrangos, kuriuose yra šių medžiagų arba kurių veikimas nuo jų priklauso, gamybos, importo, eksporto, pateikimo į rinką ar naudojimo reikalavimų pažeidimus siūloma nustatyti baudas penkis kartus didesnes už atitinkamų ozono sluoksnį ardančių medžiagų ar produktų ir įrangos rinkos vertę pažeidimo padarymo metu, bet ne didesnę kaip šeši tūkstančiai eurų. Jei pažeidimai yra pakartojami per penkerių metų laikotarpį, nustatyti baudas aštuonis kartus didesnes už atitinkamų ozono sluoksnį ardančių medžiagų ar produktų ir įrangos rinkos vertę pažeidimo padarymo metu, bet ne didesnę kaip šeši tūkstančiai eurų.</w:t>
                  </w:r>
                </w:p>
                <w:p>
                  <w:pPr>
                    <w:tabs>
                      <w:tab w:val="left" w:pos="3119"/>
                    </w:tabs>
                    <w:spacing w:line="276" w:lineRule="auto"/>
                    <w:ind w:firstLine="709"/>
                    <w:jc w:val="both"/>
                    <w:rPr>
                      <w:szCs w:val="24"/>
                    </w:rPr>
                  </w:pPr>
                  <w:r>
                    <w:rPr>
                      <w:szCs w:val="24"/>
                    </w:rPr>
                    <w:t xml:space="preserve">Už  reikalavimų veiklos vykdytojams pažeidimus baudų dydžius siūloma diferencijuoti pagal galimą nusižengimų žalą aplinkai: </w:t>
                  </w:r>
                </w:p>
                <w:p>
                  <w:pPr>
                    <w:spacing w:line="276" w:lineRule="auto"/>
                    <w:ind w:firstLine="709"/>
                    <w:jc w:val="both"/>
                    <w:rPr>
                      <w:szCs w:val="24"/>
                    </w:rPr>
                  </w:pPr>
                  <w:r>
                    <w:rPr>
                      <w:szCs w:val="24"/>
                    </w:rPr>
                    <w:t xml:space="preserve">- nusižengimai, susiję su aplaidžiu duomenų rinkimu, kaupimu, atitikties deklaracijų rengimu, įrašų ir dokumentų saugojimu,  informacijos teikimo Europos Sąjungos ir Lietuvos Respublikos institucijoms reikalavimų pažeidimais, talpyklų, kuriuose yra ozono sluoksnį ardančių medžiagų, ženklinimu, už kuriuos siūloma padidinti numatytą mažiausios vertės baudų rėžį fiziniams asmenims nuo 500 iki 1000 eurų;</w:t>
                  </w:r>
                </w:p>
                <w:p>
                  <w:pPr>
                    <w:spacing w:line="276" w:lineRule="auto"/>
                    <w:ind w:firstLine="709"/>
                    <w:jc w:val="both"/>
                    <w:rPr>
                      <w:szCs w:val="24"/>
                    </w:rPr>
                  </w:pPr>
                  <w:r>
                    <w:rPr>
                      <w:szCs w:val="24"/>
                    </w:rPr>
                    <w:t>- nusižengimai, susiję su darbuotojų kompetencijos reikalavimų pažeidimu, už kuriuos siūloma nustatyti dvigubai didesnės vertės baudas fiziniams asmenims, nuo1000 iki 2000 eurų;</w:t>
                  </w:r>
                </w:p>
                <w:p>
                  <w:pPr>
                    <w:spacing w:line="276" w:lineRule="auto"/>
                    <w:ind w:firstLine="709"/>
                    <w:jc w:val="both"/>
                    <w:rPr>
                      <w:szCs w:val="24"/>
                    </w:rPr>
                  </w:pPr>
                  <w:r>
                    <w:rPr>
                      <w:szCs w:val="24"/>
                    </w:rPr>
                    <w:t xml:space="preserve">- nusižengimai, susiję su neteisėtu ozono sluoksnį ardančių medžiagų išleidimu į atmosferą, nuotėkio prevencijos ir tikrinimo reikalavimais, įrangos, turinčios gedimų, eksploatavimu ar eksploatacijos nutraukimu, ozono sluoksnį ardančių medžiagų surinkimu iš produktų ir įrangos bei statybinių medžiagų putų, pakartotinai neužpildomų ozono sluoksnį ardančių medžiagų talpyklų importu, pateikimu rinkai, naudojimu arba eksportu, ozono sluoksnį ardančių medžiagų, produktų ir įrangos, kuriuose yra šių medžiagų, naikinimu, halonų, naudojamų būtiniausioms reikmėms, saugojimu, </w:t>
                  </w:r>
                  <w:r>
                    <w:rPr>
                      <w:szCs w:val="24"/>
                      <w:lang w:val="lt"/>
                    </w:rPr>
                    <w:t xml:space="preserve">priešgaisrinių sistemų ir gesintuvų, kuriuose yra halonų, naudojamų būtiniausioms reikmėms arba kurių veikimas nuo jų priklauso, eksploatacijos nutraukimu ir halonų surinkimu, </w:t>
                  </w:r>
                  <w:r>
                    <w:rPr>
                      <w:szCs w:val="24"/>
                    </w:rPr>
                    <w:t>ozono sluoksnį ardančių medžiagų, skirtų svarbiausioms laboratorijų ir analizės reikmėms, pateikimu rinkai ir vėlesniu tiekimu ar teikimu kitam asmeniui Europos Sąjungoje arba naudojimu, laikomi sunkiais pažeidimais, už kuriuos siūloma nustatyti didesnės vertės baudų rėžį, paliekant galimybę tyrimų metu nustatyti adekvačią atsakomybę už padarytą žalą aplinkai fiziniams asmenims nuo 1000 iki 4000 eurų.</w:t>
                  </w:r>
                </w:p>
                <w:p>
                  <w:pPr>
                    <w:spacing w:line="276" w:lineRule="auto"/>
                    <w:ind w:firstLine="709"/>
                    <w:jc w:val="both"/>
                    <w:rPr>
                      <w:i/>
                      <w:iCs/>
                      <w:color w:val="000000"/>
                      <w:szCs w:val="24"/>
                    </w:rPr>
                  </w:pPr>
                </w:p>
                <w:p>
                  <w:pPr>
                    <w:spacing w:line="276" w:lineRule="auto"/>
                    <w:ind w:firstLine="709"/>
                    <w:jc w:val="both"/>
                    <w:rPr>
                      <w:i/>
                      <w:iCs/>
                      <w:color w:val="000000"/>
                      <w:szCs w:val="24"/>
                    </w:rPr>
                  </w:pPr>
                  <w:r>
                    <w:rPr>
                      <w:i/>
                      <w:iCs/>
                      <w:color w:val="000000"/>
                      <w:szCs w:val="24"/>
                    </w:rPr>
                    <w:t xml:space="preserve">Dėl Reglamento </w:t>
                  </w:r>
                  <w:fldSimple w:instr="HYPERLINK http://eur-lex.europa.eu/legal-content/LIT/TXT/?uri=CELEX:32023R1805&amp;locale=lt \t _blank">
                    <w:r>
                      <w:rPr>
                        <w:i/>
                        <w:iCs/>
                        <w:color w:val="0000FF" w:themeColor="hyperlink"/>
                        <w:szCs w:val="24"/>
                        <w:u w:val="single"/>
                      </w:rPr>
                      <w:t>(ES) 2023/1805</w:t>
                    </w:r>
                  </w:fldSimple>
                  <w:r>
                    <w:rPr>
                      <w:i/>
                      <w:iCs/>
                      <w:color w:val="000000"/>
                      <w:szCs w:val="24"/>
                    </w:rPr>
                    <w:t xml:space="preserve"> nustatytų reikalavimų</w:t>
                  </w:r>
                </w:p>
                <w:p>
                  <w:pPr>
                    <w:tabs>
                      <w:tab w:val="left" w:pos="3119"/>
                    </w:tabs>
                    <w:spacing w:line="276" w:lineRule="auto"/>
                    <w:ind w:firstLine="709"/>
                    <w:jc w:val="both"/>
                    <w:rPr>
                      <w:szCs w:val="24"/>
                    </w:rPr>
                  </w:pPr>
                  <w:r>
                    <w:rPr>
                      <w:szCs w:val="24"/>
                    </w:rPr>
                    <w:t xml:space="preserve">Įstatymo projektu siūloma įtvirtinti sankcijas juridiniams asmenims už </w:t>
                  </w:r>
                  <w:r>
                    <w:rPr>
                      <w:color w:val="000000"/>
                      <w:szCs w:val="24"/>
                    </w:rPr>
                    <w:t xml:space="preserve">Reglamente </w:t>
                  </w:r>
                  <w:fldSimple w:instr="HYPERLINK http://eur-lex.europa.eu/legal-content/LIT/TXT/?uri=CELEX:32023R1805&amp;locale=lt \t _blank">
                    <w:r>
                      <w:rPr>
                        <w:color w:val="0000FF" w:themeColor="hyperlink"/>
                        <w:szCs w:val="24"/>
                        <w:u w:val="single"/>
                      </w:rPr>
                      <w:t>(ES) 2023/1805</w:t>
                    </w:r>
                  </w:fldSimple>
                  <w:r>
                    <w:rPr>
                      <w:color w:val="000000"/>
                      <w:szCs w:val="24"/>
                    </w:rPr>
                    <w:t xml:space="preserve"> </w:t>
                  </w:r>
                  <w:r>
                    <w:rPr>
                      <w:szCs w:val="24"/>
                    </w:rPr>
                    <w:t>nustatytų reikalavimų nesilaikymą papildant Įstatymo projektą nauju 110</w:t>
                  </w:r>
                  <w:r>
                    <w:rPr>
                      <w:szCs w:val="24"/>
                      <w:vertAlign w:val="superscript"/>
                    </w:rPr>
                    <w:t>3</w:t>
                  </w:r>
                  <w:r>
                    <w:rPr>
                      <w:szCs w:val="24"/>
                    </w:rPr>
                    <w:t xml:space="preserve"> straipsniu.</w:t>
                  </w:r>
                </w:p>
                <w:p>
                  <w:pPr>
                    <w:spacing w:line="276" w:lineRule="auto"/>
                    <w:ind w:firstLine="709"/>
                    <w:jc w:val="both"/>
                    <w:rPr>
                      <w:szCs w:val="24"/>
                    </w:rPr>
                  </w:pPr>
                  <w:r>
                    <w:rPr>
                      <w:color w:val="000000"/>
                      <w:szCs w:val="24"/>
                    </w:rPr>
                    <w:t xml:space="preserve">Siekiant įtvirtinti sankcijas juridiniams asmenims (laivybos bendrovėms), pažeidžiantiems Reglamente </w:t>
                  </w:r>
                  <w:fldSimple w:instr="HYPERLINK http://eur-lex.europa.eu/legal-content/LIT/TXT/?uri=CELEX:32023R1805&amp;locale=lt \t _blank">
                    <w:r>
                      <w:rPr>
                        <w:color w:val="0000FF" w:themeColor="hyperlink"/>
                        <w:szCs w:val="24"/>
                        <w:u w:val="single"/>
                      </w:rPr>
                      <w:t>(ES) 2023/1805</w:t>
                    </w:r>
                  </w:fldSimple>
                  <w:r>
                    <w:rPr>
                      <w:color w:val="000000"/>
                      <w:szCs w:val="24"/>
                    </w:rPr>
                    <w:t xml:space="preserve"> nustatytus reikalavimus laivybos bendrovei priklausančiame laive ataskaitiniu laikotarpiu neviršyti laive sunaudojamai energijai tenkančios ŠESD taršos vidutinės metinės ribos, nustatytos Reglamente </w:t>
                  </w:r>
                  <w:fldSimple w:instr="HYPERLINK http://eur-lex.europa.eu/legal-content/LIT/TXT/?uri=CELEX:32023R1805&amp;locale=lt \t _blank">
                    <w:r>
                      <w:rPr>
                        <w:color w:val="0000FF" w:themeColor="hyperlink"/>
                        <w:szCs w:val="24"/>
                        <w:u w:val="single"/>
                      </w:rPr>
                      <w:t>(ES) 2023/1805</w:t>
                    </w:r>
                  </w:fldSimple>
                  <w:r>
                    <w:rPr>
                      <w:color w:val="000000"/>
                      <w:szCs w:val="24"/>
                    </w:rPr>
                    <w:t xml:space="preserve"> 4 straipsnio 2 dalyje, Įstatymą numatoma papildyti nauju 110</w:t>
                  </w:r>
                  <w:r>
                    <w:rPr>
                      <w:color w:val="000000"/>
                      <w:szCs w:val="24"/>
                      <w:vertAlign w:val="superscript"/>
                    </w:rPr>
                    <w:t>3</w:t>
                  </w:r>
                  <w:r>
                    <w:rPr>
                      <w:color w:val="000000"/>
                      <w:szCs w:val="24"/>
                    </w:rPr>
                    <w:t xml:space="preserve"> straipsniu. Šiame straipsnyje nustatomos sankcijos už laive sunaudojamai energijai tenkančios ŠESD taršos vidutinės metinės ribos viršijimą, kurios dydis apskaičiuojamas pagal Reglamento </w:t>
                  </w:r>
                  <w:fldSimple w:instr="HYPERLINK http://eur-lex.europa.eu/legal-content/LIT/TXT/?uri=CELEX:32023R1805&amp;locale=lt \t _blank">
                    <w:r>
                      <w:rPr>
                        <w:color w:val="0000FF" w:themeColor="hyperlink"/>
                        <w:szCs w:val="24"/>
                        <w:u w:val="single"/>
                      </w:rPr>
                      <w:t>(ES) 2023/1805</w:t>
                    </w:r>
                  </w:fldSimple>
                  <w:r>
                    <w:rPr>
                      <w:color w:val="000000"/>
                      <w:szCs w:val="24"/>
                    </w:rPr>
                    <w:t xml:space="preserve"> 23 straipsnio 2 dalyje nurodytą metodiką, taip pat nustatyti sankcijas už pareigos turėti galiojantį „FuelEU“ atitikties patvirtinimo dokumentą pažeidimą ir nustatyto reikalavimo laivybos bendrovei sumokėti „FuelEU“ baudą pažeidimą, kurių dydžiai būtų analogiški šiuo metu galiojančioms sankcijoms, nustatytoms Administracinių nusižengimų kodekso 243 straipsnyje, vykdant veiklą neturint šiltnamio efektą sukeliančių dujų leidimo.</w:t>
                  </w:r>
                </w:p>
                <w:p>
                  <w:pPr>
                    <w:shd w:val="clear" w:color="auto" w:fill="FFFFFF"/>
                    <w:spacing w:line="276" w:lineRule="auto"/>
                    <w:ind w:firstLine="709"/>
                    <w:jc w:val="both"/>
                    <w:rPr>
                      <w:color w:val="000000"/>
                      <w:szCs w:val="24"/>
                    </w:rPr>
                  </w:pPr>
                </w:p>
                <w:p>
                  <w:pPr>
                    <w:shd w:val="clear" w:color="auto" w:fill="FFFFFF"/>
                    <w:spacing w:line="276" w:lineRule="auto"/>
                    <w:ind w:firstLine="709"/>
                    <w:jc w:val="both"/>
                    <w:rPr>
                      <w:i/>
                      <w:iCs/>
                      <w:color w:val="000000"/>
                      <w:szCs w:val="24"/>
                    </w:rPr>
                  </w:pPr>
                  <w:r>
                    <w:rPr>
                      <w:i/>
                      <w:iCs/>
                      <w:color w:val="000000"/>
                      <w:szCs w:val="24"/>
                    </w:rPr>
                    <w:t xml:space="preserve">Dėl Reglamento </w:t>
                  </w:r>
                  <w:fldSimple w:instr="HYPERLINK http://eur-lex.europa.eu/legal-content/LIT/TXT/?uri=CELEX:32023R1115&amp;locale=lt \t _blank">
                    <w:r>
                      <w:rPr>
                        <w:i/>
                        <w:iCs/>
                        <w:color w:val="0000FF" w:themeColor="hyperlink"/>
                        <w:szCs w:val="24"/>
                        <w:u w:val="single"/>
                      </w:rPr>
                      <w:t>(ES) 2023/1115</w:t>
                    </w:r>
                  </w:fldSimple>
                  <w:r>
                    <w:rPr>
                      <w:i/>
                      <w:iCs/>
                      <w:color w:val="000000"/>
                      <w:szCs w:val="24"/>
                    </w:rPr>
                    <w:t xml:space="preserve"> reikalavimų</w:t>
                  </w:r>
                </w:p>
                <w:p>
                  <w:pPr>
                    <w:shd w:val="clear" w:color="auto" w:fill="FFFFFF"/>
                    <w:tabs>
                      <w:tab w:val="left" w:pos="3119"/>
                    </w:tabs>
                    <w:spacing w:line="276" w:lineRule="auto"/>
                    <w:ind w:firstLine="709"/>
                    <w:jc w:val="both"/>
                    <w:rPr>
                      <w:szCs w:val="24"/>
                    </w:rPr>
                  </w:pPr>
                  <w:r>
                    <w:rPr>
                      <w:szCs w:val="24"/>
                    </w:rPr>
                    <w:t xml:space="preserve">Įstatymo projektu siūloma įtvirtinti sankcijas juridiniams asmenims už </w:t>
                  </w:r>
                  <w:r>
                    <w:rPr>
                      <w:color w:val="000000"/>
                      <w:szCs w:val="24"/>
                    </w:rPr>
                    <w:t xml:space="preserve">Reglamente </w:t>
                  </w:r>
                  <w:fldSimple w:instr="HYPERLINK http://eur-lex.europa.eu/legal-content/LIT/TXT/?uri=CELEX:32023R1115&amp;locale=lt \t _blank">
                    <w:r>
                      <w:rPr>
                        <w:color w:val="0000FF" w:themeColor="hyperlink"/>
                        <w:szCs w:val="24"/>
                        <w:u w:val="single"/>
                      </w:rPr>
                      <w:t>(ES) 2023/1115</w:t>
                    </w:r>
                  </w:fldSimple>
                  <w:r>
                    <w:rPr>
                      <w:color w:val="000000"/>
                      <w:szCs w:val="24"/>
                    </w:rPr>
                    <w:t xml:space="preserve"> </w:t>
                  </w:r>
                  <w:r>
                    <w:rPr>
                      <w:szCs w:val="24"/>
                    </w:rPr>
                    <w:t>nustatytų reikalavimų nesilaikymą Įstatymo projekto 10 straipsniu papildant Įstatymą 118</w:t>
                  </w:r>
                  <w:r>
                    <w:rPr>
                      <w:szCs w:val="24"/>
                      <w:vertAlign w:val="superscript"/>
                    </w:rPr>
                    <w:t>2</w:t>
                  </w:r>
                  <w:r>
                    <w:rPr>
                      <w:szCs w:val="24"/>
                    </w:rPr>
                    <w:t xml:space="preserve"> straipsniu. </w:t>
                  </w:r>
                </w:p>
                <w:p>
                  <w:pPr>
                    <w:shd w:val="clear" w:color="auto" w:fill="FFFFFF"/>
                    <w:spacing w:line="276" w:lineRule="auto"/>
                    <w:ind w:firstLine="709"/>
                    <w:jc w:val="both"/>
                    <w:textAlignment w:val="baseline"/>
                    <w:rPr>
                      <w:szCs w:val="24"/>
                    </w:rPr>
                  </w:pPr>
                  <w:r>
                    <w:rPr>
                      <w:szCs w:val="24"/>
                    </w:rPr>
                    <w:t>Įstatymo 118</w:t>
                  </w:r>
                  <w:r>
                    <w:rPr>
                      <w:szCs w:val="24"/>
                      <w:vertAlign w:val="superscript"/>
                    </w:rPr>
                    <w:t>2</w:t>
                  </w:r>
                  <w:r>
                    <w:rPr>
                      <w:szCs w:val="24"/>
                    </w:rPr>
                    <w:t xml:space="preserve"> straipsniu siūloma nustatyti, kad Reglamente </w:t>
                  </w:r>
                  <w:fldSimple w:instr="HYPERLINK http://eur-lex.europa.eu/legal-content/LIT/TXT/?uri=CELEX:32023R1115&amp;locale=lt \t _blank">
                    <w:r>
                      <w:rPr>
                        <w:szCs w:val="24"/>
                        <w:u w:val="single"/>
                        <w:color w:val="0000FF" w:themeColor="hyperlink"/>
                      </w:rPr>
                      <w:t>(ES) 2023/1115</w:t>
                    </w:r>
                  </w:fldSimple>
                  <w:r>
                    <w:rPr>
                      <w:szCs w:val="24"/>
                    </w:rPr>
                    <w:t xml:space="preserve"> nustatytų informacijos saugojimo ir teikimo kompetentingoms institucijoms reikalavimų pažeidimas po rašytinio įspėjimo (rašytinis įspėjimas taikomas jei dar įmanoma atlikti taisomuosius veiksmus) užtraukia baudą nuo 600 iki 1000 eurų.</w:t>
                  </w:r>
                  <w:r>
                    <w:rPr>
                      <w:color w:val="8764B8"/>
                      <w:szCs w:val="24"/>
                    </w:rPr>
                    <w:t> </w:t>
                  </w:r>
                  <w:r>
                    <w:rPr>
                      <w:szCs w:val="24"/>
                    </w:rPr>
                    <w:t xml:space="preserve">Numatytas pažeidimas, padarytas pakartotinai, užtraukia baudą, kurios dydis nuo 0,5 procentų iki 1 procento veiklos vykdytojo arba prekiautojo bendros metinės apyvartos Sąjungos mastu finansiniais metais, einančiais prieš priimant sprendimą skirti baudą, apskaičiuotos pagal Tarybos reglamento </w:t>
                  </w:r>
                  <w:fldSimple w:instr="HYPERLINK http://eur-lex.europa.eu/legal-content/LIT/TXT/?uri=CELEX:32004R0139&amp;locale=lt \t _blank">
                    <w:r>
                      <w:rPr>
                        <w:szCs w:val="24"/>
                        <w:u w:val="single"/>
                        <w:color w:val="0000FF" w:themeColor="hyperlink"/>
                      </w:rPr>
                      <w:t>(EB) Nr. 139/2004</w:t>
                    </w:r>
                  </w:fldSimple>
                  <w:r>
                    <w:rPr>
                      <w:szCs w:val="24"/>
                    </w:rPr>
                    <w:t xml:space="preserve"> (24) 5 straipsnio 1 dalyje nustatytą įmonių bendros apyvartos apskaičiavimą.  </w:t>
                  </w:r>
                </w:p>
                <w:p>
                  <w:pPr>
                    <w:shd w:val="clear" w:color="auto" w:fill="FFFFFF"/>
                    <w:spacing w:line="276" w:lineRule="auto"/>
                    <w:ind w:firstLine="709"/>
                    <w:jc w:val="both"/>
                    <w:rPr>
                      <w:szCs w:val="24"/>
                    </w:rPr>
                  </w:pPr>
                  <w:r>
                    <w:rPr>
                      <w:szCs w:val="24"/>
                    </w:rPr>
                    <w:t xml:space="preserve">Reglamente </w:t>
                  </w:r>
                  <w:fldSimple w:instr="HYPERLINK http://eur-lex.europa.eu/legal-content/LIT/TXT/?uri=CELEX:32023R1115&amp;locale=lt \t _blank">
                    <w:r>
                      <w:rPr>
                        <w:szCs w:val="24"/>
                        <w:u w:val="single"/>
                        <w:color w:val="0000FF" w:themeColor="hyperlink"/>
                      </w:rPr>
                      <w:t>(ES) 2023/1115</w:t>
                    </w:r>
                  </w:fldSimple>
                  <w:r>
                    <w:rPr>
                      <w:szCs w:val="24"/>
                    </w:rPr>
                    <w:t xml:space="preserve"> nustatytos išsamaus patikrinimo sistemos netaikymas arba šios sistemos reikalavimų pažeidimas po rašytinio įspėjimo (rašytinis įspėjimas taikomas jei dar įmanoma atlikti taisomuosius veiksmus) užtraukia baudą, kurios dydis nuo 1  procento iki 2  procentų veiklos vykdytojo arba prekiautojo bendros metinės apyvartos Sąjungos mastu finansiniais metais, einančiais prieš priimant sprendimą skirti baudą, apskaičiuotos pagal Tarybos reglamento </w:t>
                  </w:r>
                  <w:fldSimple w:instr="HYPERLINK http://eur-lex.europa.eu/legal-content/LIT/TXT/?uri=CELEX:32004R0139&amp;locale=lt \t _blank">
                    <w:r>
                      <w:rPr>
                        <w:szCs w:val="24"/>
                        <w:u w:val="single"/>
                        <w:color w:val="0000FF" w:themeColor="hyperlink"/>
                      </w:rPr>
                      <w:t>(EB) Nr. 139/2004</w:t>
                    </w:r>
                  </w:fldSimple>
                  <w:r>
                    <w:rPr>
                      <w:szCs w:val="24"/>
                    </w:rPr>
                    <w:t xml:space="preserve"> (24) 5 straipsnio 1 dalyje nustatytą įmonių bendros apyvartos apskaičiavimą. Numatytas pažeidimas, padarytas pakartotinai, užtraukia baudą, kurios dydis nuo 2 procentų iki 3 procentų veiklos vykdytojo arba prekiautojo bendros metinės apyvartos Sąjungos mastu finansiniais metais, einančiais prieš priimant sprendimą skirti baudą, apskaičiuotos pagal Tarybos reglamento </w:t>
                  </w:r>
                  <w:fldSimple w:instr="HYPERLINK http://eur-lex.europa.eu/legal-content/LIT/TXT/?uri=CELEX:32004R0139&amp;locale=lt \t _blank">
                    <w:r>
                      <w:rPr>
                        <w:szCs w:val="24"/>
                        <w:u w:val="single"/>
                        <w:color w:val="0000FF" w:themeColor="hyperlink"/>
                      </w:rPr>
                      <w:t>(EB) Nr. 139/2004</w:t>
                    </w:r>
                  </w:fldSimple>
                  <w:r>
                    <w:rPr>
                      <w:szCs w:val="24"/>
                    </w:rPr>
                    <w:t> (24) 5 straipsnio 1 dalyje nustatytą įmonių bendros apyvartos apskaičiavimą.</w:t>
                  </w:r>
                </w:p>
                <w:p>
                  <w:pPr>
                    <w:shd w:val="clear" w:color="auto" w:fill="FFFFFF"/>
                    <w:spacing w:line="276" w:lineRule="auto"/>
                    <w:ind w:firstLine="709"/>
                    <w:jc w:val="both"/>
                    <w:textAlignment w:val="baseline"/>
                    <w:rPr>
                      <w:szCs w:val="24"/>
                    </w:rPr>
                  </w:pPr>
                  <w:r>
                    <w:rPr>
                      <w:szCs w:val="24"/>
                    </w:rPr>
                    <w:t xml:space="preserve">Reglamento </w:t>
                  </w:r>
                  <w:fldSimple w:instr="HYPERLINK http://eur-lex.europa.eu/legal-content/LIT/TXT/?uri=CELEX:32023R1115&amp;locale=lt \t _blank">
                    <w:r>
                      <w:rPr>
                        <w:szCs w:val="24"/>
                        <w:u w:val="single"/>
                        <w:color w:val="0000FF" w:themeColor="hyperlink"/>
                      </w:rPr>
                      <w:t>(ES) 2023/1115</w:t>
                    </w:r>
                  </w:fldSimple>
                  <w:r>
                    <w:rPr>
                      <w:szCs w:val="24"/>
                    </w:rPr>
                    <w:t xml:space="preserve"> I priede nurodytų produktų pateikimas arba tiekimas rinkai arba eksportas pažeidžiant Reglamento </w:t>
                  </w:r>
                  <w:fldSimple w:instr="HYPERLINK http://eur-lex.europa.eu/legal-content/LIT/TXT/?uri=CELEX:32023R1115&amp;locale=lt \t _blank">
                    <w:r>
                      <w:rPr>
                        <w:szCs w:val="24"/>
                        <w:u w:val="single"/>
                        <w:color w:val="0000FF" w:themeColor="hyperlink"/>
                      </w:rPr>
                      <w:t xml:space="preserve">(ES)  2023/1115</w:t>
                    </w:r>
                  </w:fldSimple>
                  <w:r>
                    <w:rPr>
                      <w:szCs w:val="24"/>
                    </w:rPr>
                    <w:t xml:space="preserve"> 3 straipsnyje nustatytus reikalavimus užtraukia baudą, kurios dydis nuo 3  procentų iki 4  procentų veiklos vykdytojo arba prekiautojo bendros metinės apyvartos Sąjungos mastu finansiniais metais, einančiais prieš priimant sprendimą skirti baudą, apskaičiuotos pagal Tarybos reglamento </w:t>
                  </w:r>
                  <w:fldSimple w:instr="HYPERLINK http://eur-lex.europa.eu/legal-content/LIT/TXT/?uri=CELEX:32004R0139&amp;locale=lt \t _blank">
                    <w:r>
                      <w:rPr>
                        <w:szCs w:val="24"/>
                        <w:u w:val="single"/>
                        <w:color w:val="0000FF" w:themeColor="hyperlink"/>
                      </w:rPr>
                      <w:t>(EB) Nr. 139/2004</w:t>
                    </w:r>
                  </w:fldSimple>
                  <w:r>
                    <w:rPr>
                      <w:szCs w:val="24"/>
                    </w:rPr>
                    <w:t xml:space="preserve"> (24) 5 straipsnio 1 dalyje nustatytą įmonių bendros apyvartos apskaičiavimą ir skiriamas Reglamento I priede nurodytų produktų konfiskavimas ir (arba) iš sandorio gautų pajamų konfiskavimas</w:t>
                  </w:r>
                  <w:r>
                    <w:rPr>
                      <w:color w:val="000000"/>
                      <w:szCs w:val="24"/>
                    </w:rPr>
                    <w:t xml:space="preserve"> – </w:t>
                  </w:r>
                  <w:r>
                    <w:rPr>
                      <w:szCs w:val="24"/>
                    </w:rPr>
                    <w:t xml:space="preserve">jei produktai jau parduoti.  Numatytas pažeidimas, padarytas pakartotinai, užtraukia baudą, kurios dydis nuo 4  procentų iki 8  procentų veiklos vykdytojo arba prekiautojo bendros metinės apyvartos Sąjungos mastu finansiniais metais, einančiais prieš priimant sprendimą skirti baudą, apskaičiuotos pagal Tarybos reglamento </w:t>
                  </w:r>
                  <w:fldSimple w:instr="HYPERLINK http://eur-lex.europa.eu/legal-content/LIT/TXT/?uri=CELEX:32004R0139&amp;locale=lt \t _blank">
                    <w:r>
                      <w:rPr>
                        <w:szCs w:val="24"/>
                        <w:u w:val="single"/>
                        <w:color w:val="0000FF" w:themeColor="hyperlink"/>
                      </w:rPr>
                      <w:t>(EB) Nr. 139/2004</w:t>
                    </w:r>
                  </w:fldSimple>
                  <w:r>
                    <w:rPr>
                      <w:szCs w:val="24"/>
                    </w:rPr>
                    <w:t xml:space="preserve"> (24) 5 straipsnio 1 dalyje nustatytą įmonių bendros apyvartos apskaičiavimą ir skiriamas Reglamento I priede nurodytų produktų konfiskavimas ir(arba) iš sandorio gautų pajamų konfiskavimas</w:t>
                  </w:r>
                  <w:r>
                    <w:rPr>
                      <w:color w:val="000000"/>
                      <w:szCs w:val="24"/>
                    </w:rPr>
                    <w:t xml:space="preserve"> – </w:t>
                  </w:r>
                  <w:r>
                    <w:rPr>
                      <w:szCs w:val="24"/>
                    </w:rPr>
                    <w:t>jei produktai jau parduoti. </w:t>
                  </w:r>
                </w:p>
                <w:p>
                  <w:pPr>
                    <w:shd w:val="clear" w:color="auto" w:fill="FFFFFF"/>
                    <w:spacing w:line="276" w:lineRule="auto"/>
                    <w:ind w:firstLine="709"/>
                    <w:jc w:val="both"/>
                    <w:textAlignment w:val="baseline"/>
                    <w:rPr>
                      <w:szCs w:val="24"/>
                    </w:rPr>
                  </w:pPr>
                  <w:r>
                    <w:rPr>
                      <w:szCs w:val="24"/>
                    </w:rPr>
                    <w:t>Už dvejus ir daugiau metų iš eilės pasikartojančius 118</w:t>
                  </w:r>
                  <w:r>
                    <w:rPr>
                      <w:szCs w:val="24"/>
                      <w:vertAlign w:val="superscript"/>
                    </w:rPr>
                    <w:t>2</w:t>
                  </w:r>
                  <w:r>
                    <w:rPr>
                      <w:szCs w:val="24"/>
                    </w:rPr>
                    <w:t xml:space="preserve"> straipsnio šeštojoje dalyje nurodytus pažeidimus skiriamas laikinas (vienų metų) draudimas pateikti rinkai arba tiekti rinkai arba eksportuoti Reglamento </w:t>
                  </w:r>
                  <w:fldSimple w:instr="HYPERLINK http://eur-lex.europa.eu/legal-content/LIT/TXT/?uri=CELEX:32023R1115&amp;locale=lt \t _blank">
                    <w:r>
                      <w:rPr>
                        <w:szCs w:val="24"/>
                        <w:u w:val="single"/>
                        <w:color w:val="0000FF" w:themeColor="hyperlink"/>
                      </w:rPr>
                      <w:t>(ES) 2023/1115</w:t>
                    </w:r>
                  </w:fldSimple>
                  <w:r>
                    <w:rPr>
                      <w:szCs w:val="24"/>
                    </w:rPr>
                    <w:t xml:space="preserve"> I priede nurodytus produktus ir skiriamas laikinas (vienų metų) draudimas taikyti Reglamento </w:t>
                  </w:r>
                  <w:fldSimple w:instr="HYPERLINK http://eur-lex.europa.eu/legal-content/LIT/TXT/?uri=CELEX:32023R1115&amp;locale=lt \t _blank">
                    <w:r>
                      <w:rPr>
                        <w:szCs w:val="24"/>
                        <w:u w:val="single"/>
                        <w:color w:val="0000FF" w:themeColor="hyperlink"/>
                      </w:rPr>
                      <w:t xml:space="preserve">(ES)  2023/1115</w:t>
                    </w:r>
                  </w:fldSimple>
                  <w:r>
                    <w:rPr>
                      <w:szCs w:val="24"/>
                    </w:rPr>
                    <w:t xml:space="preserve"> 13 straipsnyje nustatytą supaprastintą išsamų patikrinimą.</w:t>
                  </w:r>
                </w:p>
                <w:p>
                  <w:pPr>
                    <w:shd w:val="clear" w:color="auto" w:fill="FFFFFF"/>
                    <w:tabs>
                      <w:tab w:val="left" w:pos="3119"/>
                    </w:tabs>
                    <w:spacing w:line="276" w:lineRule="auto"/>
                    <w:ind w:firstLine="709"/>
                    <w:jc w:val="both"/>
                    <w:rPr>
                      <w:szCs w:val="24"/>
                    </w:rPr>
                  </w:pPr>
                  <w:r>
                    <w:rPr>
                      <w:szCs w:val="24"/>
                    </w:rPr>
                    <w:t xml:space="preserve">Siūlomos įtvirtinti baudos nustatytos vadovaujantis Reglamento </w:t>
                  </w:r>
                  <w:fldSimple w:instr="HYPERLINK http://eur-lex.europa.eu/legal-content/LIT/TXT/?uri=CELEX:32023R1115&amp;locale=lt \t _blank">
                    <w:r>
                      <w:rPr>
                        <w:szCs w:val="24"/>
                        <w:u w:val="single"/>
                        <w:color w:val="0000FF" w:themeColor="hyperlink"/>
                      </w:rPr>
                      <w:t>(ES) 2023/1115</w:t>
                    </w:r>
                  </w:fldSimple>
                  <w:r>
                    <w:rPr>
                      <w:szCs w:val="24"/>
                    </w:rPr>
                    <w:t xml:space="preserve"> 25 straipsnyje nustatytais reikalavimais, diferencijuotos atsižvelgiant į pažeidimo lygį, reikšmingumą, siekiant užtikrinti, kad atsakingi asmenys veiksmingai netektų įvykdžius šiuos pažeidimus gautos ekonominės naudos ir laipsniškai didinant tokių baudų dydį už pakartotinius pažeidimus. </w:t>
                  </w:r>
                  <w:r>
                    <w:rPr>
                      <w:color w:val="000000"/>
                      <w:szCs w:val="24"/>
                    </w:rPr>
                    <w:t xml:space="preserve">Vadovaujantis Reglamento </w:t>
                  </w:r>
                  <w:fldSimple w:instr="HYPERLINK http://eur-lex.europa.eu/legal-content/LIT/TXT/?uri=CELEX:32023R1115&amp;locale=lt \t _blank">
                    <w:r>
                      <w:rPr>
                        <w:color w:val="0000FF" w:themeColor="hyperlink"/>
                        <w:szCs w:val="24"/>
                        <w:u w:val="single"/>
                      </w:rPr>
                      <w:t>(ES) 2023/1115</w:t>
                    </w:r>
                  </w:fldSimple>
                  <w:r>
                    <w:rPr>
                      <w:color w:val="000000"/>
                      <w:szCs w:val="24"/>
                    </w:rPr>
                    <w:t xml:space="preserve"> 25 straipsnio 2 dalies a punktu, </w:t>
                  </w:r>
                  <w:r>
                    <w:rPr>
                      <w:szCs w:val="24"/>
                    </w:rPr>
                    <w:t xml:space="preserve">juridinio asmens atveju, didžiausia tokios baudos suma turi būti ne mažesnė kaip 4 procentai veiklos vykdytojo arba prekiautojo bendros metinės apyvartos Sąjungos mastu finansiniais metais, einančiais prieš priimant sprendimą skirti baudą, apskaičiuotos pagal Tarybos reglamento </w:t>
                  </w:r>
                  <w:fldSimple w:instr="HYPERLINK http://eur-lex.europa.eu/legal-content/LIT/TXT/?uri=CELEX:32004R0139&amp;locale=lt \t _blank">
                    <w:r>
                      <w:rPr>
                        <w:szCs w:val="24"/>
                        <w:u w:val="single"/>
                        <w:color w:val="0000FF" w:themeColor="hyperlink"/>
                      </w:rPr>
                      <w:t>(EB) Nr. 139/2004</w:t>
                    </w:r>
                  </w:fldSimple>
                  <w:r>
                    <w:rPr>
                      <w:szCs w:val="24"/>
                    </w:rPr>
                    <w:t xml:space="preserve"> ( 24 ) 5 straipsnio 1 dalyje nustatytą įmonių bendros apyvartos apskaičiavimą, ir prireikus padidinama, kad viršytų galimą įgyjamą ekonominę naudą.  Reglamente </w:t>
                  </w:r>
                  <w:fldSimple w:instr="HYPERLINK http://eur-lex.europa.eu/legal-content/LIT/TXT/?uri=CELEX:32023R1115&amp;locale=lt \t _blank">
                    <w:r>
                      <w:rPr>
                        <w:szCs w:val="24"/>
                        <w:u w:val="single"/>
                        <w:color w:val="0000FF" w:themeColor="hyperlink"/>
                      </w:rPr>
                      <w:t>(ES) 2023/1115</w:t>
                    </w:r>
                  </w:fldSimple>
                  <w:r>
                    <w:rPr>
                      <w:szCs w:val="24"/>
                    </w:rPr>
                    <w:t xml:space="preserve"> nustatytų informacijos saugojimo ir teikimo kompetentingoms institucijoms reikalavimų pažeidimas laikytinas lengvu (mažiau reikšmingu, kurį dažnu atveju galima ištaisyti ir nedarančiu esminės įtakos Reglamento </w:t>
                  </w:r>
                  <w:fldSimple w:instr="HYPERLINK http://eur-lex.europa.eu/legal-content/LIT/TXT/?uri=CELEX:32023R1115&amp;locale=lt \t _blank">
                    <w:r>
                      <w:rPr>
                        <w:color w:val="0000FF" w:themeColor="hyperlink"/>
                        <w:szCs w:val="24"/>
                        <w:u w:val="single"/>
                      </w:rPr>
                      <w:t>(ES) 2023/1115</w:t>
                    </w:r>
                  </w:fldSimple>
                  <w:r>
                    <w:rPr>
                      <w:szCs w:val="24"/>
                    </w:rPr>
                    <w:t xml:space="preserve"> tikslų įgyvendinimo užtikrinimui) pažeidimu, todėl mažiausias baudos dydis siūlomas 600 eurų, pakartotinio pažeidimo atveju - 0,5 procento</w:t>
                  </w:r>
                  <w:r>
                    <w:rPr>
                      <w:color w:val="000000"/>
                      <w:szCs w:val="24"/>
                    </w:rPr>
                    <w:t xml:space="preserve"> </w:t>
                  </w:r>
                  <w:r>
                    <w:rPr>
                      <w:szCs w:val="24"/>
                    </w:rPr>
                    <w:t xml:space="preserve">veiklos vykdytojo arba prekiautojo bendros metinės apyvartos Sąjungos mastu finansiniais metais, einančiais prieš priimant sprendimą skirti baudą, apskaičiuotos pagal Tarybos reglamento </w:t>
                  </w:r>
                  <w:fldSimple w:instr="HYPERLINK http://eur-lex.europa.eu/legal-content/LIT/TXT/?uri=CELEX:32004R0139&amp;locale=lt \t _blank">
                    <w:r>
                      <w:rPr>
                        <w:szCs w:val="24"/>
                        <w:u w:val="single"/>
                        <w:color w:val="0000FF" w:themeColor="hyperlink"/>
                      </w:rPr>
                      <w:t>(EB) Nr. 139/2004</w:t>
                    </w:r>
                  </w:fldSimple>
                  <w:r>
                    <w:rPr>
                      <w:szCs w:val="24"/>
                    </w:rPr>
                    <w:t xml:space="preserve"> (24) 5 straipsnio 1 dalyje nustatytą įmonių bendros apyvartos apskaičiavimą. Reglamento </w:t>
                  </w:r>
                  <w:fldSimple w:instr="HYPERLINK http://eur-lex.europa.eu/legal-content/LIT/TXT/?uri=CELEX:32023R1115&amp;locale=lt \t _blank">
                    <w:r>
                      <w:rPr>
                        <w:szCs w:val="24"/>
                        <w:u w:val="single"/>
                        <w:color w:val="0000FF" w:themeColor="hyperlink"/>
                      </w:rPr>
                      <w:t>(ES) 2023/1115</w:t>
                    </w:r>
                  </w:fldSimple>
                  <w:r>
                    <w:rPr>
                      <w:szCs w:val="24"/>
                    </w:rPr>
                    <w:t xml:space="preserve"> I priede nurodytų produktų pateikimas arba tiekimas rinkai arba eksportas pažeidžiant Reglamento </w:t>
                  </w:r>
                  <w:fldSimple w:instr="HYPERLINK http://eur-lex.europa.eu/legal-content/LIT/TXT/?uri=CELEX:32023R1115&amp;locale=lt \t _blank">
                    <w:r>
                      <w:rPr>
                        <w:szCs w:val="24"/>
                        <w:u w:val="single"/>
                        <w:color w:val="0000FF" w:themeColor="hyperlink"/>
                      </w:rPr>
                      <w:t>(ES) 2023/1115</w:t>
                    </w:r>
                  </w:fldSimple>
                  <w:r>
                    <w:rPr>
                      <w:szCs w:val="24"/>
                    </w:rPr>
                    <w:t xml:space="preserve"> 3 straipsnyje nustatytus reikalavimus laikytinas sunkiu pažeidimu (konstatuotas pažeidimas reikštų, kad miškas buvo sunaikintas ir pažeidimo ištaisyti neįmanoma), todėl didžiausias siūlomas baudos dydis - 4 procentai veiklos vykdytojo arba prekiautojo bendros metinės apyvartos Sąjungos mastu finansiniais metais, einančiais prieš priimant sprendimą skirti baudą, apskaičiuotos pagal Tarybos reglamento </w:t>
                  </w:r>
                  <w:fldSimple w:instr="HYPERLINK http://eur-lex.europa.eu/legal-content/LIT/TXT/?uri=CELEX:32004R0139&amp;locale=lt \t _blank">
                    <w:r>
                      <w:rPr>
                        <w:szCs w:val="24"/>
                        <w:u w:val="single"/>
                        <w:color w:val="0000FF" w:themeColor="hyperlink"/>
                      </w:rPr>
                      <w:t>(EB) Nr. 139/2004</w:t>
                    </w:r>
                  </w:fldSimple>
                  <w:r>
                    <w:rPr>
                      <w:szCs w:val="24"/>
                    </w:rPr>
                    <w:t xml:space="preserve"> (24) 5 straipsnio 1 dalyje nustatytą įmonių bendros apyvartos apskaičiavimą. Pakartotinio sunkaus pažeidimo atveju baudos dydis didinamas iki 8 procentų. Šiuo metu Lietuvoje pagal rekvizitai.vz.lt duomenis yra 68 medienos įmonės, kurių metinė apyvarta yra virš 10 000 000 Eur (tokių įmonių mažiausia bauda galėtų būti 50 000 Eur, didžiausia – 800 000 Eur),  o vienos didžiausių medienos įmonių metinė apyvarta</w:t>
                  </w:r>
                  <w:r>
                    <w:rPr>
                      <w:color w:val="000000"/>
                      <w:szCs w:val="24"/>
                    </w:rPr>
                    <w:t xml:space="preserve"> – </w:t>
                  </w:r>
                  <w:r>
                    <w:rPr>
                      <w:szCs w:val="24"/>
                    </w:rPr>
                    <w:t xml:space="preserve">virš 200 000 000 Eur per metus (atitinkamai baudos rėžiai būtų nuo 1 000 000 iki 16 000 000 Eur). Kodekso projektu siūloma įtvirtinti sankcijas fiziniams asmenims už Reglamente </w:t>
                  </w:r>
                  <w:fldSimple w:instr="HYPERLINK http://eur-lex.europa.eu/legal-content/LIT/TXT/?uri=CELEX:32023R1115&amp;locale=lt \t _blank">
                    <w:r>
                      <w:rPr>
                        <w:szCs w:val="24"/>
                        <w:u w:val="single"/>
                        <w:color w:val="0000FF" w:themeColor="hyperlink"/>
                      </w:rPr>
                      <w:t xml:space="preserve">(ES)  2023/1115</w:t>
                    </w:r>
                  </w:fldSimple>
                  <w:r>
                    <w:rPr>
                      <w:szCs w:val="24"/>
                    </w:rPr>
                    <w:t xml:space="preserve">  nustatytų reikalavimų nesilaikymą Kodekso projekto 8 straipsniu papildant Kodeksą 270</w:t>
                  </w:r>
                  <w:r>
                    <w:rPr>
                      <w:szCs w:val="24"/>
                      <w:vertAlign w:val="superscript"/>
                    </w:rPr>
                    <w:t>2</w:t>
                  </w:r>
                  <w:r>
                    <w:rPr>
                      <w:szCs w:val="24"/>
                    </w:rPr>
                    <w:t xml:space="preserve"> straipsniu. </w:t>
                  </w:r>
                </w:p>
                <w:p>
                  <w:pPr>
                    <w:shd w:val="clear" w:color="auto" w:fill="FFFFFF"/>
                    <w:spacing w:line="276" w:lineRule="auto"/>
                    <w:ind w:firstLine="709"/>
                    <w:jc w:val="both"/>
                    <w:rPr>
                      <w:szCs w:val="24"/>
                    </w:rPr>
                  </w:pPr>
                  <w:r>
                    <w:rPr>
                      <w:szCs w:val="24"/>
                    </w:rPr>
                    <w:t>Kodekso projekto 8 straipsniu Kodeksą papildant 270</w:t>
                  </w:r>
                  <w:r>
                    <w:rPr>
                      <w:szCs w:val="24"/>
                      <w:vertAlign w:val="superscript"/>
                    </w:rPr>
                    <w:t>2</w:t>
                  </w:r>
                  <w:r>
                    <w:rPr>
                      <w:szCs w:val="24"/>
                    </w:rPr>
                    <w:t xml:space="preserve"> straipsniu siūloma nustatyti, kad Reglamente </w:t>
                  </w:r>
                  <w:fldSimple w:instr="HYPERLINK http://eur-lex.europa.eu/legal-content/LIT/TXT/?uri=CELEX:32023R1115&amp;locale=lt \t _blank">
                    <w:r>
                      <w:rPr>
                        <w:szCs w:val="24"/>
                        <w:u w:val="single"/>
                        <w:color w:val="0000FF" w:themeColor="hyperlink"/>
                      </w:rPr>
                      <w:t xml:space="preserve">(ES)  2023/1115</w:t>
                    </w:r>
                  </w:fldSimple>
                  <w:r>
                    <w:rPr>
                      <w:szCs w:val="24"/>
                    </w:rPr>
                    <w:t xml:space="preserve"> nustatytų informacijos saugojimo ir teikimo kompetentingoms institucijoms reikalavimų pažeidimas užtraukia įspėjimą (įspėjimas taikomas jei dar įmanoma atlikti taisomuosius veiksmus) arba baudą prekiautojams fiziniams asmenims nuo  300 iki 500 eurų ir prekiautojų juridinių asmenų vadovams ar kitiems atsakingiems asmenims – nuo 100 iki 1000 eurų. Numatytas pažeidimas, padarytas pakartotinai, užtraukia baudą prekiautojams fiziniams asmenims nuo 600 iki 1000 eurų ir prekiautojų juridinių asmenų vadovams ar kitiems atsakingiems asmenims – nuo 1200 iki 2000 eurų.</w:t>
                  </w:r>
                </w:p>
                <w:p>
                  <w:pPr>
                    <w:shd w:val="clear" w:color="auto" w:fill="FFFFFF"/>
                    <w:spacing w:line="276" w:lineRule="auto"/>
                    <w:ind w:firstLine="709"/>
                    <w:jc w:val="both"/>
                    <w:rPr>
                      <w:szCs w:val="24"/>
                    </w:rPr>
                  </w:pPr>
                  <w:r>
                    <w:rPr>
                      <w:szCs w:val="24"/>
                    </w:rPr>
                    <w:t xml:space="preserve">Reglamente </w:t>
                  </w:r>
                  <w:fldSimple w:instr="HYPERLINK http://eur-lex.europa.eu/legal-content/LIT/TXT/?uri=CELEX:32023R1115&amp;locale=lt \t _blank">
                    <w:r>
                      <w:rPr>
                        <w:szCs w:val="24"/>
                        <w:u w:val="single"/>
                        <w:color w:val="0000FF" w:themeColor="hyperlink"/>
                      </w:rPr>
                      <w:t>(ES) 2023/1115</w:t>
                    </w:r>
                  </w:fldSimple>
                  <w:r>
                    <w:rPr>
                      <w:szCs w:val="24"/>
                    </w:rPr>
                    <w:t xml:space="preserve"> nustatytos išsamaus patikrinimo sistemos netaikymas arba šios sistemos reikalavimų pažeidimas užtraukia įspėjimą (įspėjimas taikomas jei dar įmanoma atlikti taisomuosius veiksmus) arba baudą veiklos vykdytojams fiziniams asmenims nuo 500 iki 700 eurų ir veiklos vykdytojų juridinių asmenų vadovams ar kitiems atsakingiems asmenims – nuo 1000 iki 1400 eurų. Numatytas pažeidimas, padarytas pakartotinai, užtraukia baudą veiklos vykdytojams fiziniams asmenims nuo 1000 iki 1400 eurų ir veiklos vykdytojų juridinių asmenų vadovams ar kitiems atsakingiems asmenims – nuo 2000 iki 2800 eurų. </w:t>
                  </w:r>
                </w:p>
                <w:p>
                  <w:pPr>
                    <w:shd w:val="clear" w:color="auto" w:fill="FFFFFF"/>
                    <w:spacing w:line="276" w:lineRule="auto"/>
                    <w:ind w:firstLine="709"/>
                    <w:jc w:val="both"/>
                    <w:rPr>
                      <w:szCs w:val="24"/>
                    </w:rPr>
                  </w:pPr>
                  <w:r>
                    <w:rPr>
                      <w:szCs w:val="24"/>
                    </w:rPr>
                    <w:t xml:space="preserve">Reglamento </w:t>
                  </w:r>
                  <w:fldSimple w:instr="HYPERLINK http://eur-lex.europa.eu/legal-content/LIT/TXT/?uri=CELEX:32023R1115&amp;locale=lt \t _blank">
                    <w:r>
                      <w:rPr>
                        <w:szCs w:val="24"/>
                        <w:u w:val="single"/>
                        <w:color w:val="0000FF" w:themeColor="hyperlink"/>
                      </w:rPr>
                      <w:t xml:space="preserve">(ES)  2023/1115</w:t>
                    </w:r>
                  </w:fldSimple>
                  <w:r>
                    <w:rPr>
                      <w:szCs w:val="24"/>
                    </w:rPr>
                    <w:t xml:space="preserve"> I priede nurodytų produktų pateikimas arba tiekimas rinkai arba eksportas pažeidžiant Reglamento </w:t>
                  </w:r>
                  <w:fldSimple w:instr="HYPERLINK http://eur-lex.europa.eu/legal-content/LIT/TXT/?uri=CELEX:32023R1115&amp;locale=lt \t _blank">
                    <w:r>
                      <w:rPr>
                        <w:szCs w:val="24"/>
                        <w:u w:val="single"/>
                        <w:color w:val="0000FF" w:themeColor="hyperlink"/>
                      </w:rPr>
                      <w:t xml:space="preserve">(ES)  2023/1115</w:t>
                    </w:r>
                  </w:fldSimple>
                  <w:r>
                    <w:rPr>
                      <w:szCs w:val="24"/>
                    </w:rPr>
                    <w:t xml:space="preserve"> 3 straipsnyje nustatytus reikalavimus, užtraukia baudą veiklos vykdytojams fiziniams asmenims nuo 1000 iki 2000 eurų ir veiklos vykdytojų juridinių asmenų vadovams ar kitiems atsakingiems asmenims – nuo 2000 iki 4000 eurų, skiriamas Reglamento I priede nurodytų produktų konfiskavimas ir (arba) iš sandorio gautų pajamų konfiskavimas – jei produktai jau parduoti. Numatytas pažeidimas, padarytas pakartotinai, užtraukia baudą veiklos vykdytojams fiziniams asmenims nuo 2000 iki 4000 eurų ir veiklos vykdytojų juridinių asmenų vadovams ar kitiems atsakingiems asmenims – nuo 4000 iki 8000 eurų ir skiriamas Reglamento I priede nurodytų produktų konfiskavimas ir (arba) iš sandorio gautų pajamų konfiskavimas – jei produktai jau parduoti.   </w:t>
                  </w:r>
                </w:p>
                <w:p>
                  <w:pPr>
                    <w:shd w:val="clear" w:color="auto" w:fill="FFFFFF"/>
                    <w:spacing w:line="276" w:lineRule="auto"/>
                    <w:ind w:firstLine="709"/>
                    <w:jc w:val="both"/>
                    <w:rPr>
                      <w:szCs w:val="24"/>
                    </w:rPr>
                  </w:pPr>
                  <w:r>
                    <w:rPr>
                      <w:szCs w:val="24"/>
                    </w:rPr>
                    <w:t xml:space="preserve">Už dvejus metus ar daugiau metų iš eilės pasikartojančius šio straipsnio 6 dalyje nurodytus pažeidimus skiriamas laikinas (vienų metų) draudimas pateikti rinkai arba tiekti rinkai arba eksportuoti Reglamento </w:t>
                  </w:r>
                  <w:fldSimple w:instr="HYPERLINK http://eur-lex.europa.eu/legal-content/LIT/TXT/?uri=CELEX:32023R1115&amp;locale=lt \t _blank">
                    <w:r>
                      <w:rPr>
                        <w:szCs w:val="24"/>
                        <w:u w:val="single"/>
                        <w:color w:val="0000FF" w:themeColor="hyperlink"/>
                      </w:rPr>
                      <w:t xml:space="preserve">(ES)  2023/1115</w:t>
                    </w:r>
                  </w:fldSimple>
                  <w:r>
                    <w:rPr>
                      <w:szCs w:val="24"/>
                    </w:rPr>
                    <w:t xml:space="preserve"> I priede nurodytus produktus ir laikinas (vienų metų) draudimas taikyti Reglamento </w:t>
                  </w:r>
                  <w:fldSimple w:instr="HYPERLINK http://eur-lex.europa.eu/legal-content/LIT/TXT/?uri=CELEX:32023R1115&amp;locale=lt \t _blank">
                    <w:r>
                      <w:rPr>
                        <w:szCs w:val="24"/>
                        <w:u w:val="single"/>
                        <w:color w:val="0000FF" w:themeColor="hyperlink"/>
                      </w:rPr>
                      <w:t xml:space="preserve">(ES)  2023/1115</w:t>
                    </w:r>
                  </w:fldSimple>
                  <w:r>
                    <w:rPr>
                      <w:szCs w:val="24"/>
                    </w:rPr>
                    <w:t xml:space="preserve"> 13 straipsnyje nustatytą supaprastintą išsamų patikrinimą.</w:t>
                  </w:r>
                </w:p>
                <w:p>
                  <w:pPr>
                    <w:spacing w:line="276" w:lineRule="auto"/>
                    <w:ind w:firstLine="709"/>
                    <w:jc w:val="both"/>
                    <w:rPr>
                      <w:szCs w:val="24"/>
                      <w:lang w:val="lt"/>
                    </w:rPr>
                  </w:pPr>
                  <w:r>
                    <w:rPr>
                      <w:szCs w:val="24"/>
                      <w:lang w:val="lt"/>
                    </w:rPr>
                    <w:t xml:space="preserve">Siūlomos įtvirtinti baudos nustatytos vadovaujantis 2024 m. rugpjūčio 28 d. Lietuvos Respublikos Vyriausybės nutarimu Nr. 709 „Dėl 2025 metais taikomo minimaliojo darbo užmokesčio“ patvirtinta minimaliąja mėnesine alga (1038 eurai). Nustatant baudas už informacijos saugojimo, teikimo kompetentingoms institucijoms pažeidimus siūloma imti 30 procentų minimaliosios mėnesinės algos dydį, atitinkamai jį dvigubinant pakartotinio pažeidimo atvejais. Nustatant baudas išsamaus patikrinimo sistemos netaikymo ar šios sistemos pažeidimo atvejais </w:t>
                  </w:r>
                  <w:r>
                    <w:rPr>
                      <w:szCs w:val="24"/>
                    </w:rPr>
                    <w:t>–</w:t>
                  </w:r>
                  <w:r>
                    <w:rPr>
                      <w:szCs w:val="24"/>
                      <w:lang w:val="lt"/>
                    </w:rPr>
                    <w:t xml:space="preserve"> siūloma imti pusę minimaliosios mėnesinės algos atitinkamai ją didinant pakartotinių pažeidimų atvejais ir imti visą minimaliąją mėnesinę algą produktų pateikimo rinkai ar tiekimo rinkai ir eksporto atvejais, atitinkamai dvigubinant už pakartotinius pažeidimus. Taip pat siūlomos baudos diferencijuotos atsižvelgiant į pažeidimo lygį ir reikšmingumą.</w:t>
                  </w:r>
                </w:p>
                <w:p>
                  <w:pPr>
                    <w:shd w:val="clear" w:color="auto" w:fill="FFFFFF"/>
                    <w:spacing w:line="276" w:lineRule="auto"/>
                    <w:ind w:firstLine="709"/>
                    <w:jc w:val="both"/>
                    <w:rPr>
                      <w:szCs w:val="24"/>
                    </w:rPr>
                  </w:pPr>
                  <w:r>
                    <w:rPr>
                      <w:szCs w:val="24"/>
                    </w:rPr>
                    <w:t>Taip pat siūloma keisti Įstatymo 37 straipsnio 1 dalies 1 punktą, įtraukiant naują 118</w:t>
                  </w:r>
                  <w:r>
                    <w:rPr>
                      <w:szCs w:val="24"/>
                      <w:vertAlign w:val="superscript"/>
                    </w:rPr>
                    <w:t xml:space="preserve">2 </w:t>
                  </w:r>
                  <w:r>
                    <w:rPr>
                      <w:szCs w:val="24"/>
                    </w:rPr>
                    <w:t xml:space="preserve">straipsnį, kad juridinių asmenų padarytus pažeidimus, susijusius su Reglamento </w:t>
                  </w:r>
                  <w:fldSimple w:instr="HYPERLINK http://eur-lex.europa.eu/legal-content/LIT/TXT/?uri=CELEX:32023R1115&amp;locale=lt \t _blank">
                    <w:r>
                      <w:rPr>
                        <w:szCs w:val="24"/>
                        <w:u w:val="single"/>
                        <w:color w:val="0000FF" w:themeColor="hyperlink"/>
                      </w:rPr>
                      <w:t>(ES) 2023/1115</w:t>
                    </w:r>
                  </w:fldSimple>
                  <w:r>
                    <w:rPr>
                      <w:szCs w:val="24"/>
                    </w:rPr>
                    <w:t xml:space="preserve"> pažeidimais tiria, juridinių asmenų padarytų pažeidimų protokolus surašo ir bylas dėl ekonominių sankcijų skyrimo nagrinėja vyriausieji valstybiniai aplinkos apsaugos inspektoriai, 40</w:t>
                  </w:r>
                  <w:r>
                    <w:rPr>
                      <w:szCs w:val="24"/>
                      <w:vertAlign w:val="superscript"/>
                    </w:rPr>
                    <w:t xml:space="preserve">1 </w:t>
                  </w:r>
                  <w:r>
                    <w:rPr>
                      <w:szCs w:val="24"/>
                    </w:rPr>
                    <w:t>straipsnio</w:t>
                  </w:r>
                  <w:r>
                    <w:rPr>
                      <w:szCs w:val="24"/>
                      <w:vertAlign w:val="superscript"/>
                    </w:rPr>
                    <w:t xml:space="preserve"> </w:t>
                  </w:r>
                  <w:r>
                    <w:rPr>
                      <w:szCs w:val="24"/>
                    </w:rPr>
                    <w:t>4 dalį – įtraukiant 118</w:t>
                  </w:r>
                  <w:r>
                    <w:rPr>
                      <w:szCs w:val="24"/>
                      <w:vertAlign w:val="superscript"/>
                    </w:rPr>
                    <w:t>2</w:t>
                  </w:r>
                  <w:r>
                    <w:rPr>
                      <w:szCs w:val="24"/>
                    </w:rPr>
                    <w:t> straipsnio 5, 6 dalyse minimą produktų ir pajamų konfiskavimą, 47 straipsnio 1 dalį – įtraukiant 118</w:t>
                  </w:r>
                  <w:r>
                    <w:rPr>
                      <w:szCs w:val="24"/>
                      <w:vertAlign w:val="superscript"/>
                    </w:rPr>
                    <w:t>2</w:t>
                  </w:r>
                  <w:r>
                    <w:rPr>
                      <w:szCs w:val="24"/>
                    </w:rPr>
                    <w:t xml:space="preserve"> straipsnio 1, 3 dalyse minimą rašytinį įspėjimą. </w:t>
                  </w:r>
                </w:p>
                <w:p>
                  <w:pPr>
                    <w:shd w:val="clear" w:color="auto" w:fill="FFFFFF"/>
                    <w:spacing w:line="276" w:lineRule="auto"/>
                    <w:ind w:firstLine="709"/>
                    <w:jc w:val="both"/>
                    <w:rPr>
                      <w:szCs w:val="24"/>
                      <w:lang w:val="lt"/>
                    </w:rPr>
                  </w:pPr>
                  <w:r>
                    <w:rPr>
                      <w:szCs w:val="24"/>
                    </w:rPr>
                    <w:t>Siūloma keisti Kodekso 27 straipsnio 1 ir 2 dalis, patikslinant nuostatas dėl administracinio poveikio priemonių, , 29 straipsnio 4 dalį, patikslinant nuostatas dėl turto konfiskavimo, 589 straipsnio 31 punktą papildant 270</w:t>
                  </w:r>
                  <w:r>
                    <w:rPr>
                      <w:szCs w:val="24"/>
                      <w:vertAlign w:val="superscript"/>
                    </w:rPr>
                    <w:t>2</w:t>
                  </w:r>
                  <w:r>
                    <w:rPr>
                      <w:szCs w:val="24"/>
                    </w:rPr>
                    <w:t xml:space="preserve"> straipsniu – įtvirtinant, kad administracinius nusižengimus dėl Reglamento (ES) N2023/1115 tiria ir protokolus surašo </w:t>
                  </w:r>
                  <w:r>
                    <w:rPr>
                      <w:szCs w:val="24"/>
                      <w:lang w:val="lt"/>
                    </w:rPr>
                    <w:t xml:space="preserve">aplinkos apsaugos valstybinės kontrolės pareigūnai. </w:t>
                  </w:r>
                </w:p>
                <w:p>
                  <w:pPr>
                    <w:spacing w:line="276" w:lineRule="auto"/>
                    <w:ind w:firstLine="709"/>
                    <w:jc w:val="both"/>
                    <w:rPr>
                      <w:szCs w:val="24"/>
                    </w:rPr>
                  </w:pPr>
                  <w:r>
                    <w:rPr>
                      <w:szCs w:val="24"/>
                      <w:lang w:val="es-ES"/>
                    </w:rPr>
                    <w:t xml:space="preserve">Reglamento </w:t>
                  </w:r>
                  <w:fldSimple w:instr="HYPERLINK http://eur-lex.europa.eu/legal-content/LIT/TXT/?uri=CELEX:32023R1115&amp;locale=lt \t _blank">
                    <w:r>
                      <w:rPr>
                        <w:szCs w:val="24"/>
                        <w:lang w:val="es-ES"/>
                        <w:u w:val="single"/>
                        <w:color w:val="0000FF" w:themeColor="hyperlink"/>
                      </w:rPr>
                      <w:t>(ES) 2023/1115</w:t>
                    </w:r>
                  </w:fldSimple>
                  <w:r>
                    <w:rPr>
                      <w:szCs w:val="24"/>
                      <w:lang w:val="es-ES"/>
                    </w:rPr>
                    <w:t xml:space="preserve"> 25 </w:t>
                  </w:r>
                  <w:r>
                    <w:rPr>
                      <w:szCs w:val="24"/>
                    </w:rPr>
                    <w:t>straipsnio „Sankcijos“</w:t>
                  </w:r>
                  <w:r>
                    <w:rPr>
                      <w:szCs w:val="24"/>
                      <w:lang w:val="es-ES"/>
                    </w:rPr>
                    <w:t xml:space="preserve"> </w:t>
                  </w:r>
                  <w:r>
                    <w:rPr>
                      <w:szCs w:val="24"/>
                    </w:rPr>
                    <w:t>d dalyje nurodytos sankcijos – „laikiną pašalinimą ilgiausiai 12 mėnesių laikotarpiui iš viešųjų pirkimų procesų ir laikiną draudimą gauti viešąjį finansavimą, įskaitant konkursų procedūras, dotacijas bei koncesijas“ įgyvendinti Įsakymo ir Kodekso projektais nenumatoma</w:t>
                  </w:r>
                  <w:r>
                    <w:rPr>
                      <w:color w:val="000000"/>
                      <w:szCs w:val="24"/>
                    </w:rPr>
                    <w:t xml:space="preserve">. Dėl šios sankcijos įgyvendinamo tariamasi su Viešųjų pirkimų tarnyba ir Lietuvos Respublikos ekonomikos ir inovacijų ministerija, diskutuojama dėl galimų veiksmų, teisės aktų pakeitimų, konsultuojamasi su kitų valstybių ekspertais. </w:t>
                  </w:r>
                  <w:r>
                    <w:rPr>
                      <w:szCs w:val="24"/>
                    </w:rPr>
                    <w:t xml:space="preserve">Siekiant paskirti kompetentingas institucijas, atsakingas už Reglamento </w:t>
                  </w:r>
                  <w:fldSimple w:instr="HYPERLINK http://eur-lex.europa.eu/legal-content/LIT/TXT/?uri=CELEX:32023R1115&amp;locale=lt \t _blank">
                    <w:r>
                      <w:rPr>
                        <w:szCs w:val="24"/>
                        <w:u w:val="single"/>
                        <w:color w:val="0000FF" w:themeColor="hyperlink"/>
                      </w:rPr>
                      <w:t>(ES) 2023/1115</w:t>
                    </w:r>
                  </w:fldSimple>
                  <w:r>
                    <w:rPr>
                      <w:szCs w:val="24"/>
                    </w:rPr>
                    <w:t xml:space="preserve"> taikymą, rengiamas Lietuvos Respublikos Vyriausybės nutarimo projektas. Jame siūloma paskirti 3 kompetentingas institucijas: Aplinkos apsaugos departamentą prie Aplinkos ministerijos – atsakingu už Reglamento </w:t>
                  </w:r>
                  <w:fldSimple w:instr="HYPERLINK http://eur-lex.europa.eu/legal-content/LIT/TXT/?uri=CELEX:33115R2023&amp;locale=lt \t _blank">
                    <w:r>
                      <w:rPr>
                        <w:szCs w:val="24"/>
                        <w:u w:val="single"/>
                        <w:color w:val="0000FF" w:themeColor="hyperlink"/>
                      </w:rPr>
                      <w:t>(ES) Nr. 2023/1115</w:t>
                    </w:r>
                  </w:fldSimple>
                  <w:r>
                    <w:rPr>
                      <w:szCs w:val="24"/>
                    </w:rPr>
                    <w:t xml:space="preserve"> taikymą jo I priede nustatytų medienos ir medienos produktų (kodai 4401, 4403) pateikimą ir tiekimą rinkai srityje, Valstybinę vartotojų teisių apsaugos tarnybą – atsakinga už Reglamento </w:t>
                  </w:r>
                  <w:fldSimple w:instr="HYPERLINK http://eur-lex.europa.eu/legal-content/LIT/TXT/?uri=CELEX:33115R2023&amp;locale=lt \t _blank">
                    <w:r>
                      <w:rPr>
                        <w:szCs w:val="24"/>
                        <w:u w:val="single"/>
                        <w:color w:val="0000FF" w:themeColor="hyperlink"/>
                      </w:rPr>
                      <w:t>(ES) Nr. 2023/1115</w:t>
                    </w:r>
                  </w:fldSimple>
                  <w:r>
                    <w:rPr>
                      <w:szCs w:val="24"/>
                    </w:rPr>
                    <w:t xml:space="preserve"> taikymą jo I priede nustatytų visų medienos ir medienos produktų ir gumos produktų pateikimo ir tiekimo rinkai srityje, Valstybinę maisto ir veterinarijos tarnybą – atsakinga už Reglamento </w:t>
                  </w:r>
                  <w:fldSimple w:instr="HYPERLINK http://eur-lex.europa.eu/legal-content/LIT/TXT/?uri=CELEX:33115R2023&amp;locale=lt \t _blank">
                    <w:r>
                      <w:rPr>
                        <w:szCs w:val="24"/>
                        <w:u w:val="single"/>
                        <w:color w:val="0000FF" w:themeColor="hyperlink"/>
                      </w:rPr>
                      <w:t>(ES) Nr. 2023/1115</w:t>
                    </w:r>
                  </w:fldSimple>
                  <w:r>
                    <w:rPr>
                      <w:szCs w:val="24"/>
                    </w:rPr>
                    <w:t xml:space="preserve"> taikymą jo I priede nustatytų galvijų, kakavos, kavos, alyvpalmių aliejaus ir sojos produktų pateikimo ir tiekimo rinkai srityje.</w:t>
                  </w:r>
                </w:p>
                <w:p>
                  <w:pPr>
                    <w:spacing w:line="276" w:lineRule="auto"/>
                    <w:ind w:firstLine="709"/>
                    <w:jc w:val="both"/>
                    <w:rPr>
                      <w:szCs w:val="24"/>
                      <w:lang w:val="lt"/>
                    </w:rPr>
                  </w:pPr>
                </w:p>
                <w:p>
                  <w:pPr>
                    <w:spacing w:line="276" w:lineRule="auto"/>
                    <w:ind w:firstLine="709"/>
                    <w:jc w:val="both"/>
                    <w:rPr>
                      <w:i/>
                      <w:iCs/>
                      <w:color w:val="000000"/>
                      <w:szCs w:val="24"/>
                    </w:rPr>
                  </w:pPr>
                  <w:r>
                    <w:rPr>
                      <w:i/>
                      <w:iCs/>
                      <w:color w:val="000000"/>
                      <w:szCs w:val="24"/>
                    </w:rPr>
                    <w:t xml:space="preserve">Dėl Reglamento </w:t>
                  </w:r>
                  <w:fldSimple w:instr="HYPERLINK http://eur-lex.europa.eu/legal-content/LIT/TXT/?uri=CELEX:32023R0956&amp;locale=lt \t _blank">
                    <w:r>
                      <w:rPr>
                        <w:i/>
                        <w:iCs/>
                        <w:color w:val="0000FF" w:themeColor="hyperlink"/>
                        <w:szCs w:val="24"/>
                        <w:u w:val="single"/>
                      </w:rPr>
                      <w:t>(ES) 2023/956</w:t>
                    </w:r>
                  </w:fldSimple>
                  <w:r>
                    <w:rPr>
                      <w:i/>
                      <w:iCs/>
                      <w:color w:val="000000"/>
                      <w:szCs w:val="24"/>
                    </w:rPr>
                    <w:t xml:space="preserve"> nustatytų reikalavimų</w:t>
                  </w:r>
                </w:p>
                <w:p>
                  <w:pPr>
                    <w:tabs>
                      <w:tab w:val="left" w:pos="3119"/>
                    </w:tabs>
                    <w:spacing w:line="276" w:lineRule="auto"/>
                    <w:ind w:firstLine="709"/>
                    <w:jc w:val="both"/>
                    <w:rPr>
                      <w:szCs w:val="24"/>
                    </w:rPr>
                  </w:pPr>
                  <w:r>
                    <w:rPr>
                      <w:szCs w:val="24"/>
                    </w:rPr>
                    <w:t xml:space="preserve">Įstatymo projektu siūloma įtvirtinti sankcijas juridiniams asmenims už </w:t>
                  </w:r>
                  <w:r>
                    <w:rPr>
                      <w:color w:val="000000"/>
                      <w:szCs w:val="24"/>
                    </w:rPr>
                    <w:t xml:space="preserve">Reglamente </w:t>
                  </w:r>
                  <w:fldSimple w:instr="HYPERLINK http://eur-lex.europa.eu/legal-content/LIT/TXT/?uri=CELEX:32023R0956&amp;locale=lt \t _blank">
                    <w:r>
                      <w:rPr>
                        <w:color w:val="0000FF" w:themeColor="hyperlink"/>
                        <w:szCs w:val="24"/>
                        <w:u w:val="single"/>
                      </w:rPr>
                      <w:t>(ES) 2023/956</w:t>
                    </w:r>
                  </w:fldSimple>
                  <w:r>
                    <w:rPr>
                      <w:color w:val="000000"/>
                      <w:szCs w:val="24"/>
                    </w:rPr>
                    <w:t xml:space="preserve"> </w:t>
                  </w:r>
                  <w:r>
                    <w:rPr>
                      <w:szCs w:val="24"/>
                    </w:rPr>
                    <w:t>nustatytų reikalavimų nesilaikymą papildant Įstatymo projektą 110</w:t>
                  </w:r>
                  <w:r>
                    <w:rPr>
                      <w:szCs w:val="24"/>
                      <w:vertAlign w:val="superscript"/>
                    </w:rPr>
                    <w:t>2</w:t>
                  </w:r>
                  <w:r>
                    <w:rPr>
                      <w:szCs w:val="24"/>
                    </w:rPr>
                    <w:t xml:space="preserve"> ir 110</w:t>
                  </w:r>
                  <w:r>
                    <w:rPr>
                      <w:szCs w:val="24"/>
                      <w:vertAlign w:val="superscript"/>
                    </w:rPr>
                    <w:t>3</w:t>
                  </w:r>
                  <w:r>
                    <w:rPr>
                      <w:szCs w:val="24"/>
                    </w:rPr>
                    <w:t xml:space="preserve"> straipsniu.</w:t>
                  </w:r>
                </w:p>
                <w:p>
                  <w:pPr>
                    <w:spacing w:line="276" w:lineRule="auto"/>
                    <w:ind w:firstLine="709"/>
                    <w:jc w:val="both"/>
                    <w:rPr>
                      <w:color w:val="000000"/>
                      <w:szCs w:val="24"/>
                    </w:rPr>
                  </w:pPr>
                  <w:r>
                    <w:rPr>
                      <w:color w:val="000000"/>
                      <w:szCs w:val="24"/>
                    </w:rPr>
                    <w:t xml:space="preserve">Reglamentu </w:t>
                  </w:r>
                  <w:fldSimple w:instr="HYPERLINK http://eur-lex.europa.eu/legal-content/LIT/TXT/?uri=CELEX:32023R0956&amp;locale=lt \t _blank">
                    <w:r>
                      <w:rPr>
                        <w:color w:val="0000FF" w:themeColor="hyperlink"/>
                        <w:szCs w:val="24"/>
                        <w:u w:val="single"/>
                      </w:rPr>
                      <w:t>(ES) 2023/956</w:t>
                    </w:r>
                  </w:fldSimple>
                  <w:r>
                    <w:rPr>
                      <w:color w:val="000000"/>
                      <w:szCs w:val="24"/>
                    </w:rPr>
                    <w:t xml:space="preserve"> nustatytas PADKM ir reglamentuojami šio mechanizmo taikymo reikalavimai: nuo 2023 m. spalio 1 d. iki 2025 m. gruodžio 31 d. taikomas pereinamasis laikotarpis, kai šio reglamento I priede nurodytų prekių iš trečiųjų šalių importuotojai į Sąjungos muitų teritoriją teikia tik ketvirtines PADKM ataskaitas apie importuotų prekių būdingąjį išmetama ŠESD kiekį, o nuo 2026 m. sausio 1 d. PADKM pradedamas taikyti visa apimtimi – importuotojai (įgaliotieji PADKM deklarantai) pagal importuotų prekių būdingąjį ŠESD kiekį nurodytą metinėse PADKM deklaracijose privalo atsiskaityti PADKM sertifikatais.</w:t>
                  </w:r>
                </w:p>
                <w:p>
                  <w:pPr>
                    <w:spacing w:line="276" w:lineRule="auto"/>
                    <w:ind w:firstLine="709"/>
                    <w:jc w:val="both"/>
                    <w:rPr>
                      <w:color w:val="000000"/>
                      <w:szCs w:val="24"/>
                    </w:rPr>
                  </w:pPr>
                  <w:r>
                    <w:rPr>
                      <w:color w:val="000000"/>
                      <w:szCs w:val="24"/>
                    </w:rPr>
                    <w:t xml:space="preserve">Reglamento </w:t>
                  </w:r>
                  <w:fldSimple w:instr="HYPERLINK http://eur-lex.europa.eu/legal-content/LIT/TXT/?uri=CELEX:32023R0956&amp;locale=lt \t _blank">
                    <w:r>
                      <w:rPr>
                        <w:color w:val="0000FF" w:themeColor="hyperlink"/>
                        <w:szCs w:val="24"/>
                        <w:u w:val="single"/>
                      </w:rPr>
                      <w:t>(ES) 2023/956</w:t>
                    </w:r>
                  </w:fldSimple>
                  <w:r>
                    <w:rPr>
                      <w:color w:val="000000"/>
                      <w:szCs w:val="24"/>
                    </w:rPr>
                    <w:t xml:space="preserve"> 26 straipsnyje nustatytas įpareigojimas valstybėms narėms taikyti baudas:</w:t>
                  </w:r>
                </w:p>
                <w:p>
                  <w:pPr>
                    <w:spacing w:line="276" w:lineRule="auto"/>
                    <w:ind w:firstLine="709"/>
                    <w:jc w:val="both"/>
                    <w:rPr>
                      <w:color w:val="000000"/>
                      <w:szCs w:val="24"/>
                    </w:rPr>
                  </w:pPr>
                  <w:r>
                    <w:rPr>
                      <w:szCs w:val="24"/>
                    </w:rPr>
                    <w:t xml:space="preserve">- </w:t>
                  </w:r>
                  <w:r>
                    <w:rPr>
                      <w:color w:val="000000"/>
                      <w:szCs w:val="24"/>
                    </w:rPr>
                    <w:t>kai įgaliotasis PADKM deklarantas neatsisako per praėjusius kalendorinius metus importuotoms prekėms būdingą išmetamą ŠESD kiekį atitinkančio PADKM sertifikatų skaičiaus;</w:t>
                  </w:r>
                </w:p>
                <w:p>
                  <w:pPr>
                    <w:spacing w:line="276" w:lineRule="auto"/>
                    <w:ind w:firstLine="709"/>
                    <w:jc w:val="both"/>
                    <w:rPr>
                      <w:color w:val="000000"/>
                      <w:szCs w:val="24"/>
                    </w:rPr>
                  </w:pPr>
                  <w:r>
                    <w:rPr>
                      <w:szCs w:val="24"/>
                    </w:rPr>
                    <w:t xml:space="preserve">- </w:t>
                  </w:r>
                  <w:r>
                    <w:rPr>
                      <w:color w:val="000000"/>
                      <w:szCs w:val="24"/>
                    </w:rPr>
                    <w:t>kai asmuo, kuris nėra įgaliotasis PADKM deklarantas, įveža prekes į Sąjungos muitų teritoriją nesilaikydamas reglamente nustatytų pareigų.</w:t>
                  </w:r>
                </w:p>
                <w:p>
                  <w:pPr>
                    <w:spacing w:line="276" w:lineRule="auto"/>
                    <w:ind w:firstLine="709"/>
                    <w:jc w:val="both"/>
                    <w:rPr>
                      <w:color w:val="000000"/>
                      <w:szCs w:val="24"/>
                    </w:rPr>
                  </w:pPr>
                  <w:r>
                    <w:rPr>
                      <w:color w:val="000000"/>
                      <w:szCs w:val="24"/>
                    </w:rPr>
                    <w:t xml:space="preserve">Reglamento </w:t>
                  </w:r>
                  <w:fldSimple w:instr="HYPERLINK http://eur-lex.europa.eu/legal-content/LIT/TXT/?uri=CELEX:32023R0956&amp;locale=lt \t _blank">
                    <w:r>
                      <w:rPr>
                        <w:color w:val="0000FF" w:themeColor="hyperlink"/>
                        <w:szCs w:val="24"/>
                        <w:u w:val="single"/>
                      </w:rPr>
                      <w:t>(ES) 2023/956</w:t>
                    </w:r>
                  </w:fldSimple>
                  <w:r>
                    <w:rPr>
                      <w:color w:val="000000"/>
                      <w:szCs w:val="24"/>
                    </w:rPr>
                    <w:t xml:space="preserve"> 35 straipsnyje nustatytas įpareigojimas valstybėms narėms taikyti baudas:</w:t>
                  </w:r>
                </w:p>
                <w:p>
                  <w:pPr>
                    <w:spacing w:line="276" w:lineRule="auto"/>
                    <w:ind w:firstLine="709"/>
                    <w:jc w:val="both"/>
                    <w:rPr>
                      <w:color w:val="000000"/>
                      <w:szCs w:val="24"/>
                    </w:rPr>
                  </w:pPr>
                  <w:r>
                    <w:rPr>
                      <w:szCs w:val="24"/>
                    </w:rPr>
                    <w:t xml:space="preserve">- </w:t>
                  </w:r>
                  <w:r>
                    <w:rPr>
                      <w:color w:val="000000"/>
                      <w:szCs w:val="24"/>
                    </w:rPr>
                    <w:t xml:space="preserve">kai nėra laikomasi PADKM ataskaitų pateikimo reikalavimų, nustatytų 2023 m. rugpjūčio 17 d. Europos Komisijos įgyvendinimo reglamente </w:t>
                  </w:r>
                  <w:fldSimple w:instr="HYPERLINK http://eur-lex.europa.eu/legal-content/LIT/TXT/?uri=CELEX:32023R1773&amp;locale=lt \t _blank">
                    <w:r>
                      <w:rPr>
                        <w:color w:val="0000FF" w:themeColor="hyperlink"/>
                        <w:szCs w:val="24"/>
                        <w:u w:val="single"/>
                      </w:rPr>
                      <w:t>(ES) 2023/1773</w:t>
                    </w:r>
                  </w:fldSimple>
                  <w:r>
                    <w:rPr>
                      <w:color w:val="000000"/>
                      <w:szCs w:val="24"/>
                    </w:rPr>
                    <w:t xml:space="preserve">, kuriuo nustatomos Europos Parlamento ir Tarybos reglamento </w:t>
                  </w:r>
                  <w:fldSimple w:instr="HYPERLINK http://eur-lex.europa.eu/legal-content/LIT/TXT/?uri=CELEX:32023R0956&amp;locale=lt \t _blank">
                    <w:r>
                      <w:rPr>
                        <w:color w:val="0000FF" w:themeColor="hyperlink"/>
                        <w:szCs w:val="24"/>
                        <w:u w:val="single"/>
                      </w:rPr>
                      <w:t>(ES) 2023/956</w:t>
                    </w:r>
                  </w:fldSimple>
                  <w:r>
                    <w:rPr>
                      <w:color w:val="000000"/>
                      <w:szCs w:val="24"/>
                    </w:rPr>
                    <w:t xml:space="preserve"> taikymo taisyklės, pagal kurias vykdoma pareiga teikti pasienio anglies dioksido korekcinio mechanizmo PADKM ataskaitas.</w:t>
                  </w:r>
                </w:p>
                <w:p>
                  <w:pPr>
                    <w:spacing w:line="276" w:lineRule="auto"/>
                    <w:ind w:firstLine="709"/>
                    <w:jc w:val="both"/>
                    <w:rPr>
                      <w:color w:val="000000"/>
                      <w:szCs w:val="24"/>
                    </w:rPr>
                  </w:pPr>
                  <w:r>
                    <w:rPr>
                      <w:color w:val="000000"/>
                      <w:szCs w:val="24"/>
                    </w:rPr>
                    <w:t>Siekdami įgyvendinti PADKM sankcijų taikymo reikalavimus, siūloma Įstatymo projektą papildyti 110</w:t>
                  </w:r>
                  <w:r>
                    <w:rPr>
                      <w:color w:val="000000"/>
                      <w:szCs w:val="24"/>
                      <w:vertAlign w:val="superscript"/>
                    </w:rPr>
                    <w:t>2</w:t>
                  </w:r>
                  <w:r>
                    <w:rPr>
                      <w:color w:val="000000"/>
                      <w:szCs w:val="24"/>
                    </w:rPr>
                    <w:t xml:space="preserve"> straipsniu, kuris užtikrins, kad juridiniai asmenys laikytųsi PADKM ataskaitų teikimo reikalavimų, teigdami teisingus ir išsamius duomenis. Taip pat ir 110</w:t>
                  </w:r>
                  <w:r>
                    <w:rPr>
                      <w:color w:val="000000"/>
                      <w:szCs w:val="24"/>
                      <w:vertAlign w:val="superscript"/>
                    </w:rPr>
                    <w:t>3</w:t>
                  </w:r>
                  <w:r>
                    <w:rPr>
                      <w:color w:val="000000"/>
                      <w:szCs w:val="24"/>
                    </w:rPr>
                    <w:t xml:space="preserve"> straipsniu, kuris įpareigos įgaliotuosius PADKM deklarantus laiku atsisakyti PADKM sertifikatų. Užtikrins, kad juridiniai asmenys laikytųsi PADKM deklaracijų pateikimo reikalavimų, teigdami teisingus ir išsamius duomenis Nustatys baudas už neteisėtą prekių įvežimą į Sąjungos  muitų teritoriją be įgaliotojo deklaranto statuso, stiprinant PADKM veikimą. Įstatymo projekto 110</w:t>
                  </w:r>
                  <w:r>
                    <w:rPr>
                      <w:color w:val="000000"/>
                      <w:szCs w:val="24"/>
                      <w:vertAlign w:val="superscript"/>
                    </w:rPr>
                    <w:t>2</w:t>
                  </w:r>
                  <w:r>
                    <w:rPr>
                      <w:color w:val="000000"/>
                      <w:szCs w:val="24"/>
                    </w:rPr>
                    <w:t xml:space="preserve"> straipsnio 1 ir 2 dalyse nustatytos</w:t>
                  </w:r>
                  <w:r>
                    <w:rPr>
                      <w:b/>
                      <w:bCs/>
                      <w:color w:val="000000"/>
                      <w:szCs w:val="24"/>
                    </w:rPr>
                    <w:t xml:space="preserve"> </w:t>
                  </w:r>
                  <w:r>
                    <w:rPr>
                      <w:color w:val="000000"/>
                      <w:szCs w:val="24"/>
                    </w:rPr>
                    <w:t>baudos už netinkamą PADKM ataskaitų pateikimą.</w:t>
                  </w:r>
                  <w:r>
                    <w:rPr>
                      <w:b/>
                      <w:bCs/>
                      <w:color w:val="000000"/>
                      <w:szCs w:val="24"/>
                    </w:rPr>
                    <w:t xml:space="preserve"> </w:t>
                  </w:r>
                  <w:r>
                    <w:rPr>
                      <w:color w:val="000000"/>
                      <w:szCs w:val="24"/>
                    </w:rPr>
                    <w:t>Iki 2026 m. sausio 1 d. PADKM ataskaitos nepateikimas laiku, netikslios ar neišsamios ataskaitos pateikimas, taip pat kompetentingos institucijos nurodymų dėl ataskaitos pataisymo nevykdymas užtraukia baudą nuo 10 iki 50 eurų už kiekvieną nepraneštą išmetamo ŠESD kiekio toną, lygią anglies dioksido tonos ekvivalentui (toliau – CO</w:t>
                  </w:r>
                  <w:r>
                    <w:rPr>
                      <w:color w:val="000000"/>
                      <w:szCs w:val="24"/>
                      <w:vertAlign w:val="subscript"/>
                    </w:rPr>
                    <w:t>2</w:t>
                  </w:r>
                  <w:r>
                    <w:rPr>
                      <w:color w:val="000000"/>
                      <w:szCs w:val="24"/>
                    </w:rPr>
                    <w:t xml:space="preserve"> e.). Daugiau kaip dvejų iš eilės neteisingų ar neišsamių PADKM ataskaitų pateikimas arba PADKM ataskaitos nepateikimas ilgiau nei 6 mėnesius užtraukia didesnę baudą atsižvelgiant į Reglamente </w:t>
                  </w:r>
                  <w:fldSimple w:instr="HYPERLINK http://eur-lex.europa.eu/legal-content/LIT/TXT/?uri=CELEX:32023R1773&amp;locale=lt \t _blank">
                    <w:r>
                      <w:rPr>
                        <w:color w:val="0000FF" w:themeColor="hyperlink"/>
                        <w:szCs w:val="24"/>
                        <w:u w:val="single"/>
                      </w:rPr>
                      <w:t>(ES) 2023/1773</w:t>
                    </w:r>
                  </w:fldSimple>
                  <w:r>
                    <w:rPr>
                      <w:color w:val="000000"/>
                      <w:szCs w:val="24"/>
                    </w:rPr>
                    <w:t xml:space="preserve"> nustatytą pradinį baudos intervalo dydį t. y. nuo 50 iki 90 eurų už kiekvieną nepraneštą išmetamo ŠESD kiekio toną CO</w:t>
                  </w:r>
                  <w:r>
                    <w:rPr>
                      <w:color w:val="000000"/>
                      <w:szCs w:val="24"/>
                      <w:vertAlign w:val="subscript"/>
                    </w:rPr>
                    <w:t>2</w:t>
                  </w:r>
                  <w:r>
                    <w:rPr>
                      <w:color w:val="000000"/>
                      <w:szCs w:val="24"/>
                    </w:rPr>
                    <w:t> e. Įstatymo projekto 110</w:t>
                  </w:r>
                  <w:r>
                    <w:rPr>
                      <w:color w:val="000000"/>
                      <w:szCs w:val="24"/>
                      <w:vertAlign w:val="superscript"/>
                    </w:rPr>
                    <w:t>3</w:t>
                  </w:r>
                  <w:r>
                    <w:rPr>
                      <w:color w:val="000000"/>
                      <w:szCs w:val="24"/>
                    </w:rPr>
                    <w:t xml:space="preserve"> straipsnio 1 dalyje nustatytos</w:t>
                  </w:r>
                  <w:r>
                    <w:rPr>
                      <w:b/>
                      <w:bCs/>
                      <w:color w:val="000000"/>
                      <w:szCs w:val="24"/>
                    </w:rPr>
                    <w:t xml:space="preserve"> </w:t>
                  </w:r>
                  <w:r>
                    <w:rPr>
                      <w:color w:val="000000"/>
                      <w:szCs w:val="24"/>
                    </w:rPr>
                    <w:t>baudos už netinkamą PADKM deklaracijų pateikimą.</w:t>
                  </w:r>
                  <w:r>
                    <w:rPr>
                      <w:b/>
                      <w:bCs/>
                      <w:color w:val="000000"/>
                      <w:szCs w:val="24"/>
                    </w:rPr>
                    <w:t xml:space="preserve"> </w:t>
                  </w:r>
                  <w:r>
                    <w:rPr>
                      <w:color w:val="000000"/>
                      <w:szCs w:val="24"/>
                    </w:rPr>
                    <w:t xml:space="preserve">Nuo 2026 m. sausio 1 d. PADKM deklaracijos nepateikimas laiku užtraukia baudą nuo 10 iki 50 eurų už kiekvieną nepraneštą  ŠESD kiekio toną CO</w:t>
                  </w:r>
                  <w:r>
                    <w:rPr>
                      <w:color w:val="000000"/>
                      <w:szCs w:val="24"/>
                      <w:vertAlign w:val="subscript"/>
                    </w:rPr>
                    <w:t>2</w:t>
                  </w:r>
                  <w:r>
                    <w:rPr>
                      <w:color w:val="000000"/>
                      <w:szCs w:val="24"/>
                    </w:rPr>
                    <w:t xml:space="preserve"> e., o PADKM deklaracijos nepateikimas ilgiau kaip 6 mėnesius užtraukia baudą nuo 50 iki 90 eurų už kiekvieną nepraneštą išmetamo ŠESD kiekio toną CO</w:t>
                  </w:r>
                  <w:r>
                    <w:rPr>
                      <w:color w:val="000000"/>
                      <w:szCs w:val="24"/>
                      <w:vertAlign w:val="subscript"/>
                    </w:rPr>
                    <w:t>2</w:t>
                  </w:r>
                  <w:r>
                    <w:rPr>
                      <w:color w:val="000000"/>
                      <w:szCs w:val="24"/>
                    </w:rPr>
                    <w:t xml:space="preserve"> e. </w:t>
                  </w:r>
                </w:p>
                <w:p>
                  <w:pPr>
                    <w:spacing w:line="276" w:lineRule="auto"/>
                    <w:ind w:firstLine="709"/>
                    <w:jc w:val="both"/>
                    <w:rPr>
                      <w:color w:val="000000"/>
                      <w:szCs w:val="24"/>
                    </w:rPr>
                  </w:pPr>
                  <w:r>
                    <w:rPr>
                      <w:color w:val="000000"/>
                      <w:szCs w:val="24"/>
                    </w:rPr>
                    <w:t>Įstatymo projekto 110</w:t>
                  </w:r>
                  <w:r>
                    <w:rPr>
                      <w:color w:val="000000"/>
                      <w:szCs w:val="24"/>
                      <w:vertAlign w:val="superscript"/>
                    </w:rPr>
                    <w:t>3</w:t>
                  </w:r>
                  <w:r>
                    <w:rPr>
                      <w:color w:val="000000"/>
                      <w:szCs w:val="24"/>
                    </w:rPr>
                    <w:t xml:space="preserve"> straipsnio 2 dalyje nustatytos baudos už PADKM sertifikatų neatsisakymą. Jei įgaliotasis PADKM deklarantas neatsisako per praėjusius kalendorinius metus importuotoms prekėms būdingą išmetamą ŠESD kiekį atitinkančio PADKM sertifikatų skaičiaus, jam skiriama 100 eurų bauda už kiekvieną neatsisakytą PADKM sertifikatą pagal Reglamento </w:t>
                  </w:r>
                  <w:fldSimple w:instr="HYPERLINK http://eur-lex.europa.eu/legal-content/LIT/TXT/?uri=CELEX:32023R0956&amp;locale=lt \t _blank">
                    <w:r>
                      <w:rPr>
                        <w:color w:val="0000FF" w:themeColor="hyperlink"/>
                        <w:szCs w:val="24"/>
                        <w:u w:val="single"/>
                      </w:rPr>
                      <w:t>(ES) 2023/956</w:t>
                    </w:r>
                  </w:fldSimple>
                  <w:r>
                    <w:rPr>
                      <w:color w:val="000000"/>
                      <w:szCs w:val="24"/>
                    </w:rPr>
                    <w:t xml:space="preserve"> 26 straipsnio 1 dalį, padidinant atsižvelgiant į Europos vartotojų kainų indeksą, taikomą prekių importo metais. </w:t>
                  </w:r>
                </w:p>
                <w:p>
                  <w:pPr>
                    <w:spacing w:line="276" w:lineRule="auto"/>
                    <w:ind w:firstLine="709"/>
                    <w:jc w:val="both"/>
                    <w:rPr>
                      <w:color w:val="000000"/>
                      <w:szCs w:val="24"/>
                    </w:rPr>
                  </w:pPr>
                  <w:r>
                    <w:rPr>
                      <w:color w:val="000000"/>
                      <w:szCs w:val="24"/>
                    </w:rPr>
                    <w:t>Įstatymo projekto 110</w:t>
                  </w:r>
                  <w:r>
                    <w:rPr>
                      <w:color w:val="000000"/>
                      <w:szCs w:val="24"/>
                      <w:vertAlign w:val="superscript"/>
                    </w:rPr>
                    <w:t>3</w:t>
                  </w:r>
                  <w:r>
                    <w:rPr>
                      <w:color w:val="000000"/>
                      <w:szCs w:val="24"/>
                    </w:rPr>
                    <w:t xml:space="preserve"> straipsnio 3 dalyje nustatytos baudos už prekių įvežimą be įgaliotojo deklaranto statuso.</w:t>
                  </w:r>
                  <w:r>
                    <w:rPr>
                      <w:b/>
                      <w:bCs/>
                      <w:color w:val="000000"/>
                      <w:szCs w:val="24"/>
                    </w:rPr>
                    <w:t xml:space="preserve"> </w:t>
                  </w:r>
                  <w:r>
                    <w:rPr>
                      <w:color w:val="000000"/>
                      <w:szCs w:val="24"/>
                    </w:rPr>
                    <w:t xml:space="preserve">Jei asmuo, kuris nėra įgaliotasis PADKM deklarantas, įveža prekes į Europos Sąjungos muitų teritoriją nesilaikydamas reglamente nustatytų pareigų tiesiogiai vadovaujantis Reglamento </w:t>
                  </w:r>
                  <w:fldSimple w:instr="HYPERLINK http://eur-lex.europa.eu/legal-content/LIT/TXT/?uri=CELEX:32023R0956&amp;locale=lt \t _blank">
                    <w:r>
                      <w:rPr>
                        <w:color w:val="0000FF" w:themeColor="hyperlink"/>
                        <w:szCs w:val="24"/>
                        <w:u w:val="single"/>
                      </w:rPr>
                      <w:t>(ES) 2023/956</w:t>
                    </w:r>
                  </w:fldSimple>
                  <w:r>
                    <w:rPr>
                      <w:color w:val="000000"/>
                      <w:szCs w:val="24"/>
                    </w:rPr>
                    <w:t xml:space="preserve"> 26 straipsnio 2 dalies nuostatomis taikoma bauda nuo trijų iki penkių kartų didesnė nei taikomą prekių įvežimo metais už kiekvieną PADKM sertifikatą, kurio asmuo neatsisakė. Tokia bauda turi būti veiksminga, proporcinga ir atgrasanti ir, visų pirma, atsižvelgiant į tokio nesilaikymo trukmę, sunkumą, mastą, tarptautinį pobūdį ir pasikartojimą bei asmens bendradarbiavimo su kompetentinga institucija lygį.</w:t>
                  </w:r>
                </w:p>
                <w:p>
                  <w:pPr>
                    <w:spacing w:line="276" w:lineRule="auto"/>
                    <w:ind w:firstLine="709"/>
                    <w:jc w:val="both"/>
                    <w:rPr>
                      <w:color w:val="000000"/>
                      <w:szCs w:val="24"/>
                    </w:rPr>
                  </w:pPr>
                  <w:r>
                    <w:rPr>
                      <w:color w:val="000000"/>
                      <w:szCs w:val="24"/>
                    </w:rPr>
                    <w:t>Taip pat tikslinamas aplinkos apsaugos valstybinės kontrolės pareigūnų taikytinų atsakomybės straipsnių sąrašas – papildoma, kad šių institucijų pareigūnai gali taikyti sankcijas už Aplinkos apsaugos įstatymo 110</w:t>
                  </w:r>
                  <w:r>
                    <w:rPr>
                      <w:color w:val="000000"/>
                      <w:szCs w:val="24"/>
                      <w:vertAlign w:val="superscript"/>
                    </w:rPr>
                    <w:t>2</w:t>
                  </w:r>
                  <w:r>
                    <w:rPr>
                      <w:color w:val="000000"/>
                      <w:szCs w:val="24"/>
                    </w:rPr>
                    <w:t xml:space="preserve"> straipsnio 1, 2 dalių ir 110</w:t>
                  </w:r>
                  <w:r>
                    <w:rPr>
                      <w:color w:val="000000"/>
                      <w:szCs w:val="24"/>
                      <w:vertAlign w:val="superscript"/>
                    </w:rPr>
                    <w:t xml:space="preserve">3 </w:t>
                  </w:r>
                  <w:r>
                    <w:rPr>
                      <w:color w:val="000000"/>
                      <w:szCs w:val="24"/>
                    </w:rPr>
                    <w:t>straipsnio 1, 2 dalių pažeidimus. Tikslinamas ir Lietuvos Respublikos muitinės taikytinų atsakomybės straipsnių sąrašas – papildoma, kad šių institucijų pareigūnai gali taikyti sankcijas už Aplinkos apsaugos įstatymo 110</w:t>
                  </w:r>
                  <w:r>
                    <w:rPr>
                      <w:color w:val="000000"/>
                      <w:szCs w:val="24"/>
                      <w:vertAlign w:val="superscript"/>
                    </w:rPr>
                    <w:t>3</w:t>
                  </w:r>
                  <w:r>
                    <w:rPr>
                      <w:color w:val="000000"/>
                      <w:szCs w:val="24"/>
                    </w:rPr>
                    <w:t xml:space="preserve"> straipsnio 3 dalies pažeidimus. </w:t>
                  </w:r>
                </w:p>
                <w:p>
                  <w:pPr>
                    <w:tabs>
                      <w:tab w:val="left" w:pos="3119"/>
                    </w:tabs>
                    <w:spacing w:line="276" w:lineRule="auto"/>
                    <w:ind w:firstLine="709"/>
                    <w:jc w:val="both"/>
                    <w:rPr>
                      <w:szCs w:val="24"/>
                    </w:rPr>
                  </w:pPr>
                  <w:r>
                    <w:rPr>
                      <w:szCs w:val="24"/>
                    </w:rPr>
                    <w:t xml:space="preserve">Kodekso projektu siūloma įtvirtinti sankcijas fiziniams asmenims už Reglamente </w:t>
                  </w:r>
                  <w:fldSimple w:instr="HYPERLINK http://eur-lex.europa.eu/legal-content/LIT/TXT/?uri=CELEX:32023R0956&amp;locale=lt \t _blank">
                    <w:r>
                      <w:rPr>
                        <w:szCs w:val="24"/>
                        <w:u w:val="single"/>
                        <w:color w:val="0000FF" w:themeColor="hyperlink"/>
                      </w:rPr>
                      <w:t>(ES) 2023/956</w:t>
                    </w:r>
                  </w:fldSimple>
                  <w:r>
                    <w:rPr>
                      <w:szCs w:val="24"/>
                    </w:rPr>
                    <w:t> nustatytų reikalavimų nesilaikymą pakeičiant Kodekso 243</w:t>
                  </w:r>
                  <w:r>
                    <w:rPr>
                      <w:szCs w:val="24"/>
                      <w:vertAlign w:val="superscript"/>
                    </w:rPr>
                    <w:t xml:space="preserve">1 </w:t>
                  </w:r>
                  <w:r>
                    <w:rPr>
                      <w:szCs w:val="24"/>
                    </w:rPr>
                    <w:t xml:space="preserve"> straipsnį ir papildant Kodeksą 243</w:t>
                  </w:r>
                  <w:r>
                    <w:rPr>
                      <w:szCs w:val="24"/>
                      <w:vertAlign w:val="superscript"/>
                    </w:rPr>
                    <w:t xml:space="preserve">2 </w:t>
                  </w:r>
                  <w:r>
                    <w:rPr>
                      <w:szCs w:val="24"/>
                    </w:rPr>
                    <w:t>straipsniu.</w:t>
                  </w:r>
                </w:p>
                <w:p>
                  <w:pPr>
                    <w:shd w:val="clear" w:color="auto" w:fill="FFFFFF"/>
                    <w:spacing w:line="276" w:lineRule="auto"/>
                    <w:ind w:firstLine="709"/>
                    <w:jc w:val="both"/>
                    <w:rPr>
                      <w:color w:val="000000"/>
                      <w:szCs w:val="24"/>
                    </w:rPr>
                  </w:pPr>
                  <w:r>
                    <w:rPr>
                      <w:color w:val="000000"/>
                      <w:szCs w:val="24"/>
                    </w:rPr>
                    <w:t xml:space="preserve">Projektu numatoma pakeisti  ANK 243</w:t>
                  </w:r>
                  <w:r>
                    <w:rPr>
                      <w:color w:val="000000"/>
                      <w:szCs w:val="24"/>
                      <w:vertAlign w:val="superscript"/>
                    </w:rPr>
                    <w:t>1</w:t>
                  </w:r>
                  <w:r>
                    <w:rPr>
                      <w:color w:val="000000"/>
                      <w:szCs w:val="24"/>
                    </w:rPr>
                    <w:t xml:space="preserve"> straipsnį, kuriuo įtvirtinamos sankcijos degalų ir kuro tiekėjams už kuro ir energijos būvio ciklo metu išmetamų ŠESD kiekio mažinimą reglamentuojančių teisės aktų pažeidimus, nes jis nuo 2025 m. nebeaktualus. Atsižvelgiant į šią aplinkybę, siūloma šio straipsnio nuostatas pakeisti ir naujai įtvirtinti pereinamojo laikotarpio fizinių asmenų atsakomybės nuostatas už  PADKM  reikalavimų pažeidimus, susijusius su PADKM ataskaitų teikimu pagal Reglamento </w:t>
                  </w:r>
                  <w:fldSimple w:instr="HYPERLINK http://eur-lex.europa.eu/legal-content/LIT/TXT/?uri=CELEX:32023R0956&amp;locale=lt \t _blank">
                    <w:r>
                      <w:rPr>
                        <w:color w:val="0000FF" w:themeColor="hyperlink"/>
                        <w:szCs w:val="24"/>
                        <w:u w:val="single"/>
                      </w:rPr>
                      <w:t>(ES) 2023/956</w:t>
                    </w:r>
                  </w:fldSimple>
                  <w:r>
                    <w:rPr>
                      <w:color w:val="000000"/>
                      <w:szCs w:val="24"/>
                    </w:rPr>
                    <w:t xml:space="preserve"> 35 straipsnį. 243</w:t>
                  </w:r>
                  <w:r>
                    <w:rPr>
                      <w:color w:val="000000"/>
                      <w:szCs w:val="24"/>
                      <w:vertAlign w:val="superscript"/>
                    </w:rPr>
                    <w:t xml:space="preserve">2 </w:t>
                  </w:r>
                  <w:r>
                    <w:rPr>
                      <w:color w:val="000000"/>
                      <w:szCs w:val="24"/>
                    </w:rPr>
                    <w:t xml:space="preserve">straipsnio papildymu siūlomas nustatyti sankcijas už PADKM deklaracijų teikimo, PADKM sertifikatų atsisakymo ir PADKM prekių įvežimo į Europos Sąjungos muitų teritoriją pažeidimus pagal Reglamento </w:t>
                  </w:r>
                  <w:fldSimple w:instr="HYPERLINK http://eur-lex.europa.eu/legal-content/LIT/TXT/?uri=CELEX:32023R0956&amp;locale=lt \t _blank">
                    <w:r>
                      <w:rPr>
                        <w:color w:val="0000FF" w:themeColor="hyperlink"/>
                        <w:szCs w:val="24"/>
                        <w:u w:val="single"/>
                      </w:rPr>
                      <w:t>(ES) 2023/956</w:t>
                    </w:r>
                  </w:fldSimple>
                  <w:r>
                    <w:rPr>
                      <w:color w:val="000000"/>
                      <w:szCs w:val="24"/>
                    </w:rPr>
                    <w:t xml:space="preserve"> 26 straipsnį. </w:t>
                  </w:r>
                </w:p>
                <w:p>
                  <w:pPr>
                    <w:spacing w:line="276" w:lineRule="auto"/>
                    <w:ind w:firstLine="709"/>
                    <w:jc w:val="both"/>
                    <w:rPr>
                      <w:color w:val="000000"/>
                      <w:szCs w:val="24"/>
                    </w:rPr>
                  </w:pPr>
                  <w:r>
                    <w:rPr>
                      <w:color w:val="000000"/>
                      <w:szCs w:val="24"/>
                    </w:rPr>
                    <w:t>243</w:t>
                  </w:r>
                  <w:r>
                    <w:rPr>
                      <w:color w:val="000000"/>
                      <w:szCs w:val="24"/>
                      <w:vertAlign w:val="superscript"/>
                    </w:rPr>
                    <w:t>1</w:t>
                  </w:r>
                  <w:r>
                    <w:rPr>
                      <w:color w:val="000000"/>
                      <w:szCs w:val="24"/>
                    </w:rPr>
                    <w:t xml:space="preserve">straipsnio pakeitimai susiję tiek su straipsnio antraštės pavadinimu, tiek pačio straipsnio turiniu, tiek taikytinos baudos dydžiu. Numatoma tikslinti straipsnio antraštę: „Reglamente </w:t>
                  </w:r>
                  <w:fldSimple w:instr="HYPERLINK http://eur-lex.europa.eu/legal-content/LIT/TXT/?uri=CELEX:32023R0956&amp;locale=lt \t _blank">
                    <w:r>
                      <w:rPr>
                        <w:color w:val="0000FF" w:themeColor="hyperlink"/>
                        <w:szCs w:val="24"/>
                        <w:u w:val="single"/>
                      </w:rPr>
                      <w:t>(ES) 2023/956</w:t>
                    </w:r>
                  </w:fldSimple>
                  <w:r>
                    <w:rPr>
                      <w:color w:val="000000"/>
                      <w:szCs w:val="24"/>
                    </w:rPr>
                    <w:t xml:space="preserve"> nustatytų pasienio anglies dioksido korekcinio mechanizmo reikalavimų pažeidimas“. Pirmoje dalyje numatoma, kad Reglamente </w:t>
                  </w:r>
                  <w:fldSimple w:instr="HYPERLINK http://eur-lex.europa.eu/legal-content/LIT/TXT/?uri=CELEX:32023R0956&amp;locale=lt \t _blank">
                    <w:r>
                      <w:rPr>
                        <w:color w:val="0000FF" w:themeColor="hyperlink"/>
                        <w:szCs w:val="24"/>
                        <w:u w:val="single"/>
                      </w:rPr>
                      <w:t>(ES) 2023/956</w:t>
                    </w:r>
                  </w:fldSimple>
                  <w:r>
                    <w:rPr>
                      <w:color w:val="000000"/>
                      <w:szCs w:val="24"/>
                    </w:rPr>
                    <w:t xml:space="preserve"> nustatytos PADKM ataskaitos  nepateikimas laiku užtraukia baudą nuo 10 iki 50 eurų už kiekvieną nepraneštą išmetamo ŠESD kiekio toną, lygią anglies dioksido tonos ekvivalentui (toliau – CO</w:t>
                  </w:r>
                  <w:r>
                    <w:rPr>
                      <w:color w:val="000000"/>
                      <w:szCs w:val="24"/>
                      <w:vertAlign w:val="subscript"/>
                    </w:rPr>
                    <w:t>2</w:t>
                  </w:r>
                  <w:r>
                    <w:rPr>
                      <w:color w:val="000000"/>
                      <w:szCs w:val="24"/>
                    </w:rPr>
                    <w:t xml:space="preserve"> e.) arba PADKM ataskaitos  nepateikimas ilgiau kaip 6 mėnesius užtraukia baudą nuo 50 iki 90 eurų už kiekvieną nepraneštą išmetamo ŠESD kiekio toną CO</w:t>
                  </w:r>
                  <w:r>
                    <w:rPr>
                      <w:color w:val="000000"/>
                      <w:szCs w:val="24"/>
                      <w:vertAlign w:val="subscript"/>
                    </w:rPr>
                    <w:t>2</w:t>
                  </w:r>
                  <w:r>
                    <w:rPr>
                      <w:color w:val="000000"/>
                      <w:szCs w:val="24"/>
                    </w:rPr>
                    <w:t> e. Keičiama straipsnio antra dalis ir nurodoma, kad šio straipsnio pirmoje dalyje nurodytos neteisingos ar neišsamios ataskaitos pateikimas arba kompetentingos institucijos nurodymų dėl ataskaitos pataisymo nevykdymas  užtraukia baudą nuo 10 iki 50 eurų už kiekvieną nepraneštą išmetamo ŠESD kiekio toną CO</w:t>
                  </w:r>
                  <w:r>
                    <w:rPr>
                      <w:color w:val="000000"/>
                      <w:szCs w:val="24"/>
                      <w:vertAlign w:val="subscript"/>
                    </w:rPr>
                    <w:t>2</w:t>
                  </w:r>
                  <w:r>
                    <w:rPr>
                      <w:color w:val="000000"/>
                      <w:szCs w:val="24"/>
                    </w:rPr>
                    <w:t xml:space="preserve"> e. arba daugiau kaip dvejų iš eilės einančių neteisingų ar neišsamių PADKM ataskaitų pateikimas užtraukia baudą nuo 50 iki 90 eurų už kiekvieną nepraneštą išmetamo ŠESD kiekio toną CO</w:t>
                  </w:r>
                  <w:r>
                    <w:rPr>
                      <w:color w:val="000000"/>
                      <w:szCs w:val="24"/>
                      <w:vertAlign w:val="subscript"/>
                    </w:rPr>
                    <w:t>2</w:t>
                  </w:r>
                  <w:r>
                    <w:rPr>
                      <w:color w:val="000000"/>
                      <w:szCs w:val="24"/>
                    </w:rPr>
                    <w:t xml:space="preserve"> e. </w:t>
                  </w:r>
                </w:p>
                <w:p>
                  <w:pPr>
                    <w:spacing w:line="276" w:lineRule="auto"/>
                    <w:ind w:firstLine="709"/>
                    <w:jc w:val="both"/>
                    <w:rPr>
                      <w:color w:val="000000"/>
                      <w:szCs w:val="24"/>
                    </w:rPr>
                  </w:pPr>
                  <w:r>
                    <w:rPr>
                      <w:color w:val="000000"/>
                      <w:szCs w:val="24"/>
                    </w:rPr>
                    <w:t>Taip pat Kodekso 243</w:t>
                  </w:r>
                  <w:r>
                    <w:rPr>
                      <w:color w:val="000000"/>
                      <w:szCs w:val="24"/>
                      <w:vertAlign w:val="superscript"/>
                    </w:rPr>
                    <w:t xml:space="preserve">2 </w:t>
                  </w:r>
                  <w:r>
                    <w:rPr>
                      <w:color w:val="000000"/>
                      <w:szCs w:val="24"/>
                    </w:rPr>
                    <w:t xml:space="preserve">straipsnio 1, 2 ir 3 dalyse įtvirtinama, kad pagal Reglamente </w:t>
                  </w:r>
                  <w:fldSimple w:instr="HYPERLINK http://eur-lex.europa.eu/legal-content/LIT/TXT/?uri=CELEX:32023R0956&amp;locale=lt \t _blank">
                    <w:r>
                      <w:rPr>
                        <w:color w:val="0000FF" w:themeColor="hyperlink"/>
                        <w:szCs w:val="24"/>
                        <w:u w:val="single"/>
                      </w:rPr>
                      <w:t>(ES) 2023/956</w:t>
                    </w:r>
                  </w:fldSimple>
                  <w:r>
                    <w:rPr>
                      <w:color w:val="000000"/>
                      <w:szCs w:val="24"/>
                    </w:rPr>
                    <w:t xml:space="preserve"> nustatytus reikalavimus PADKM  deklaracijos nepateikimas laiku užtraukia baudą nuo 10 iki 50 eurų už kiekvieną nepraneštą ŠESD kiekio toną CO2 e. PADKM deklaracijos nepateikimas ilgiau kaip 6 mėnesius užtraukia baudą nuo 50 iki 90 eurų už kiekvieną nepraneštą išmetamo ŠESD kiekio toną CO2 e. Įgaliotojo PADKM deklaranto neatsisakymas laiku PADKM sertifikatų, atitinkančių per praėjusius kalendorinius metus importuotoms prekėms būdingą išmestą ŠESD kiekį,  užtraukia 100 eurų baudą už kiekvieną neatsisakytą PADKM sertifikatą, baudą atitinkamai padidinant pagal Europos vartotojų kainų indeksą, kuris taikomas prekių importo metais, o prekių įvežimas į Europos Sąjungos muitų teritoriją   asmens, kuris nėra įgaliotasis PADKM deklarantas,  užtraukia baudą nuo trijų iki penkių kartų didesnę už sertifikatų neatsisakymo atveju nurodytą baudą, atsižvelgiant į pažeidimo trukmę, sunkumą, mastą, tarptautinį pobūdį, pasikartojimą ir bendradarbiavimo su kompetentinga institucija lygį, taikomą už kiekvieną neatsisakytą PADKM sertifikatą.</w:t>
                  </w:r>
                </w:p>
                <w:p>
                  <w:pPr>
                    <w:spacing w:line="276" w:lineRule="auto"/>
                    <w:ind w:firstLine="709"/>
                    <w:jc w:val="both"/>
                    <w:rPr>
                      <w:color w:val="000000"/>
                      <w:szCs w:val="24"/>
                    </w:rPr>
                  </w:pPr>
                  <w:r>
                    <w:rPr>
                      <w:color w:val="000000"/>
                      <w:szCs w:val="24"/>
                    </w:rPr>
                    <w:t>Taip pat tikslinamas aplinkos apsaugos valstybinės kontrolės pareigūnų taikytinų atsakomybės straipsnių sąrašas – papildoma, kad šių institucijų pareigūnai gali taikyti sankcijas už Kodekso 243</w:t>
                  </w:r>
                  <w:r>
                    <w:rPr>
                      <w:color w:val="000000"/>
                      <w:szCs w:val="24"/>
                      <w:vertAlign w:val="superscript"/>
                    </w:rPr>
                    <w:t>1</w:t>
                  </w:r>
                  <w:r>
                    <w:rPr>
                      <w:color w:val="000000"/>
                      <w:szCs w:val="24"/>
                    </w:rPr>
                    <w:t> straipsnio 1, 2 bei 243</w:t>
                  </w:r>
                  <w:r>
                    <w:rPr>
                      <w:color w:val="000000"/>
                      <w:szCs w:val="24"/>
                      <w:vertAlign w:val="superscript"/>
                    </w:rPr>
                    <w:t>2</w:t>
                  </w:r>
                  <w:r>
                    <w:rPr>
                      <w:color w:val="000000"/>
                      <w:szCs w:val="24"/>
                    </w:rPr>
                    <w:t xml:space="preserve"> straipsnio 1 ir 2 dalių pažeidimus Tikslinamas ir Lietuvos Respublikos muitinės taikytinų atsakomybės straipsnių sąrašas - papildoma, kad šių institucijų pareigūnai gali taikyti sankcijas už Kodekso 243</w:t>
                  </w:r>
                  <w:r>
                    <w:rPr>
                      <w:color w:val="000000"/>
                      <w:szCs w:val="24"/>
                      <w:vertAlign w:val="superscript"/>
                    </w:rPr>
                    <w:t>2</w:t>
                  </w:r>
                  <w:r>
                    <w:rPr>
                      <w:color w:val="000000"/>
                      <w:szCs w:val="24"/>
                    </w:rPr>
                    <w:t xml:space="preserve"> straipsnio 3 dalies pažeidimus.</w:t>
                  </w:r>
                </w:p>
                <w:p>
                  <w:pPr>
                    <w:spacing w:line="276" w:lineRule="auto"/>
                    <w:ind w:firstLine="709"/>
                    <w:jc w:val="both"/>
                    <w:rPr>
                      <w:color w:val="000000"/>
                      <w:szCs w:val="24"/>
                    </w:rPr>
                  </w:pPr>
                </w:p>
                <w:p>
                  <w:pPr>
                    <w:spacing w:line="276" w:lineRule="auto"/>
                    <w:ind w:firstLine="709"/>
                    <w:jc w:val="both"/>
                    <w:rPr>
                      <w:i/>
                      <w:iCs/>
                      <w:color w:val="000000"/>
                      <w:szCs w:val="24"/>
                    </w:rPr>
                  </w:pPr>
                  <w:r>
                    <w:rPr>
                      <w:i/>
                      <w:iCs/>
                      <w:color w:val="000000"/>
                      <w:szCs w:val="24"/>
                    </w:rPr>
                    <w:t xml:space="preserve">Dėl Direktyvos </w:t>
                  </w:r>
                  <w:fldSimple w:instr="HYPERLINK http://eur-lex.europa.eu/legal-content/LIT/TXT/?uri=CELEX:32024L1203&amp;locale=lt \t _blank">
                    <w:r>
                      <w:rPr>
                        <w:i/>
                        <w:iCs/>
                        <w:color w:val="0000FF" w:themeColor="hyperlink"/>
                        <w:szCs w:val="24"/>
                        <w:u w:val="single"/>
                      </w:rPr>
                      <w:t>(ES) 2024/1203</w:t>
                    </w:r>
                  </w:fldSimple>
                  <w:r>
                    <w:rPr>
                      <w:i/>
                      <w:iCs/>
                      <w:color w:val="000000"/>
                      <w:szCs w:val="24"/>
                    </w:rPr>
                    <w:t xml:space="preserve"> nustatytų reikalavimų</w:t>
                  </w:r>
                </w:p>
                <w:p>
                  <w:pPr>
                    <w:spacing w:line="276" w:lineRule="auto"/>
                    <w:ind w:firstLine="709"/>
                    <w:jc w:val="both"/>
                    <w:rPr>
                      <w:color w:val="000000"/>
                      <w:szCs w:val="24"/>
                    </w:rPr>
                  </w:pPr>
                  <w:r>
                    <w:rPr>
                      <w:szCs w:val="24"/>
                    </w:rPr>
                    <w:t xml:space="preserve">Įstatymo projektu siūloma techninis pakeitimas, kuriuo įgyvendinamas Direktyvos </w:t>
                  </w:r>
                  <w:fldSimple w:instr="HYPERLINK http://eur-lex.europa.eu/legal-content/LIT/TXT/?uri=CELEX:32024L1203&amp;locale=lt \t _blank">
                    <w:r>
                      <w:rPr>
                        <w:szCs w:val="24"/>
                        <w:u w:val="single"/>
                        <w:color w:val="0000FF" w:themeColor="hyperlink"/>
                      </w:rPr>
                      <w:t>(ES) </w:t>
                    </w:r>
                    <w:r>
                      <w:rPr>
                        <w:color w:val="0000FF" w:themeColor="hyperlink"/>
                        <w:szCs w:val="24"/>
                        <w:u w:val="single"/>
                      </w:rPr>
                      <w:t>2024/1203</w:t>
                    </w:r>
                  </w:fldSimple>
                  <w:r>
                    <w:rPr>
                      <w:color w:val="000000"/>
                      <w:szCs w:val="24"/>
                    </w:rPr>
                    <w:t xml:space="preserve"> 28 straipsnyje nustatytas reikalavimas, kad valstybės narės, priimdamos Direktyva </w:t>
                  </w:r>
                  <w:fldSimple w:instr="HYPERLINK http://eur-lex.europa.eu/legal-content/LIT/TXT/?uri=CELEX:32024L1203&amp;locale=lt \t _blank">
                    <w:r>
                      <w:rPr>
                        <w:color w:val="0000FF" w:themeColor="hyperlink"/>
                        <w:szCs w:val="24"/>
                        <w:u w:val="single"/>
                      </w:rPr>
                      <w:t>(ES) 2024/1203</w:t>
                    </w:r>
                  </w:fldSimple>
                  <w:r>
                    <w:rPr>
                      <w:color w:val="000000"/>
                      <w:szCs w:val="24"/>
                    </w:rPr>
                    <w:t xml:space="preserve"> nuostatas, daro jose nuorodą į šią direktyvą, t. y. papildomas Įstatymo priedas nuoroda į </w:t>
                  </w:r>
                  <w:r>
                    <w:rPr>
                      <w:szCs w:val="24"/>
                    </w:rPr>
                    <w:t xml:space="preserve">Direktyvą </w:t>
                  </w:r>
                  <w:fldSimple w:instr="HYPERLINK http://eur-lex.europa.eu/legal-content/LIT/TXT/?uri=CELEX:32024L1203&amp;locale=lt \t _blank">
                    <w:r>
                      <w:rPr>
                        <w:szCs w:val="24"/>
                        <w:u w:val="single"/>
                        <w:color w:val="0000FF" w:themeColor="hyperlink"/>
                      </w:rPr>
                      <w:t xml:space="preserve">(ES) </w:t>
                    </w:r>
                    <w:r>
                      <w:rPr>
                        <w:color w:val="0000FF" w:themeColor="hyperlink"/>
                        <w:szCs w:val="24"/>
                        <w:u w:val="single"/>
                      </w:rPr>
                      <w:t>2024/1203</w:t>
                    </w:r>
                  </w:fldSimple>
                  <w:r>
                    <w:rPr>
                      <w:color w:val="000000"/>
                      <w:szCs w:val="24"/>
                    </w:rPr>
                    <w:t xml:space="preserve">. Kitos šioje direktyvoje esančios nuostatos jau yra įgyvendintos. </w:t>
                  </w:r>
                </w:p>
                <w:p>
                  <w:pPr>
                    <w:spacing w:line="276" w:lineRule="auto"/>
                    <w:ind w:firstLine="709"/>
                    <w:jc w:val="both"/>
                    <w:rPr>
                      <w:color w:val="000000"/>
                      <w:szCs w:val="24"/>
                    </w:rPr>
                  </w:pPr>
                </w:p>
                <w:p>
                  <w:pPr>
                    <w:spacing w:line="276" w:lineRule="auto"/>
                    <w:ind w:firstLine="709"/>
                    <w:jc w:val="both"/>
                    <w:rPr>
                      <w:i/>
                      <w:iCs/>
                      <w:szCs w:val="24"/>
                      <w:lang w:val="lt"/>
                    </w:rPr>
                  </w:pPr>
                  <w:r>
                    <w:rPr>
                      <w:i/>
                      <w:iCs/>
                      <w:szCs w:val="24"/>
                      <w:lang w:val="lt"/>
                    </w:rPr>
                    <w:t>Dėl Kodekso 12 str.</w:t>
                  </w:r>
                </w:p>
                <w:p>
                  <w:pPr>
                    <w:spacing w:line="276" w:lineRule="auto"/>
                    <w:ind w:firstLine="709"/>
                    <w:jc w:val="both"/>
                    <w:rPr>
                      <w:szCs w:val="24"/>
                      <w:lang w:val="lt"/>
                    </w:rPr>
                  </w:pPr>
                  <w:r>
                    <w:rPr>
                      <w:szCs w:val="24"/>
                      <w:lang w:val="lt"/>
                    </w:rPr>
                    <w:t>Pagal Kodekso projektu siūlomus pakeitimus, kriterijus, kuriais vadovaujantis taikoma atsakomybė už Kodekso 246 str. 1 dalyje nurodytų, mažai pavojingo administracinio nusižengimo požymių turinčias veikas, padarytas individualiai nuotekas besitvarkančių asmenų, tvirtintų kontrolę vykdančios institucijos vadovas vadovaudamasis Kodekso 12 straipsnio 2 dalimi.</w:t>
                  </w:r>
                </w:p>
                <w:p>
                  <w:pPr>
                    <w:spacing w:line="276" w:lineRule="auto"/>
                    <w:ind w:firstLine="709"/>
                    <w:jc w:val="both"/>
                    <w:rPr>
                      <w:color w:val="000000"/>
                      <w:szCs w:val="24"/>
                    </w:rPr>
                  </w:pPr>
                </w:p>
                <w:p>
                  <w:pPr>
                    <w:spacing w:line="276" w:lineRule="auto"/>
                    <w:ind w:firstLine="709"/>
                    <w:jc w:val="both"/>
                    <w:rPr>
                      <w:i/>
                      <w:iCs/>
                      <w:szCs w:val="24"/>
                      <w:lang w:val="lt"/>
                    </w:rPr>
                  </w:pPr>
                  <w:r>
                    <w:rPr>
                      <w:i/>
                      <w:iCs/>
                      <w:szCs w:val="24"/>
                      <w:lang w:val="lt"/>
                    </w:rPr>
                    <w:t>Dėl Kodekso 589 straipsnio.</w:t>
                  </w:r>
                </w:p>
                <w:p>
                  <w:pPr>
                    <w:spacing w:line="276" w:lineRule="auto"/>
                    <w:ind w:firstLine="709"/>
                    <w:jc w:val="both"/>
                    <w:rPr>
                      <w:szCs w:val="24"/>
                      <w:lang w:val="lt"/>
                    </w:rPr>
                  </w:pPr>
                  <w:r>
                    <w:rPr>
                      <w:szCs w:val="24"/>
                      <w:lang w:val="lt"/>
                    </w:rPr>
                    <w:t>Šiuo pakeitimu siekiama atstatyti teisinį aiškumą ir Kodekso 589 str. 31 punkte nustatyti, jog aplinkos apsaugos valstybinės kontrolės pareigūnai taiko atsakomybę ne už visus 242 ir 268 straipsniuose numatytus administracinius nusižengimus, o tik už 242 straipsnio 1, 2 ir 3 dalyse numatytus nusižengimus ir už 268 straipsnio 1, 2, 3, 4, 5 ir 6 dalyse numatytus nusižengimus.</w:t>
                  </w:r>
                </w:p>
                <w:p>
                  <w:pPr>
                    <w:spacing w:line="276" w:lineRule="auto"/>
                    <w:ind w:firstLine="709"/>
                    <w:jc w:val="both"/>
                    <w:rPr>
                      <w:szCs w:val="24"/>
                    </w:rPr>
                  </w:pPr>
                  <w:r>
                    <w:rPr>
                      <w:szCs w:val="24"/>
                    </w:rPr>
                    <w:t>Kodekso ir Įstatymo projektais siūloma patikslinti Kodekso 304</w:t>
                  </w:r>
                  <w:r>
                    <w:rPr>
                      <w:szCs w:val="24"/>
                      <w:vertAlign w:val="superscript"/>
                    </w:rPr>
                    <w:t>2</w:t>
                  </w:r>
                  <w:r>
                    <w:rPr>
                      <w:szCs w:val="24"/>
                    </w:rPr>
                    <w:t xml:space="preserve"> straipsnio 1 dalį ir Įstatymo 122</w:t>
                  </w:r>
                  <w:r>
                    <w:rPr>
                      <w:szCs w:val="24"/>
                      <w:vertAlign w:val="superscript"/>
                    </w:rPr>
                    <w:t>4</w:t>
                  </w:r>
                  <w:r>
                    <w:rPr>
                      <w:szCs w:val="24"/>
                    </w:rPr>
                    <w:t xml:space="preserve"> straipsnio 1 dalį ir numatyti atsakomybę už invazinių rūšių naikinimo, izoliavimo ar gausos reguliavimo priemonių nevykdymą arba vykdymą pažeidžiant invazinių rūšių naudojimą, valdymą, gausos reguliavimą ir plitimo prevenciją reglamentuojančius teisės aktus ar Reglamentą </w:t>
                  </w:r>
                  <w:fldSimple w:instr="HYPERLINK http://eur-lex.europa.eu/legal-content/LIT/TXT/?uri=CELEX:33143R2014&amp;locale=lt \t _blank">
                    <w:r>
                      <w:rPr>
                        <w:szCs w:val="24"/>
                        <w:u w:val="single"/>
                        <w:color w:val="0000FF" w:themeColor="hyperlink"/>
                      </w:rPr>
                      <w:t>(ES) 1143/2014</w:t>
                    </w:r>
                  </w:fldSimple>
                  <w:r>
                    <w:rPr>
                      <w:szCs w:val="24"/>
                    </w:rPr>
                    <w:t>, atsižvelgiant į Laukinės gyvūnijos įstatymo 24 straipsnio 6 dalį ir Laukinių augalų ir grybų įstatymo 13 straipsnio 6 dalį, kur numatyta, kad Aplinkos ministerija ir (ar) jos įgaliota institucija priima sprendimus dėl invazinių rūšių plitimo prevencijos ir valdymo priemonių, nustato įpareigojimus vandens telkinių ir žemės savininkams, naudotojams ir valdytojams dėl atskirų invazinių rūšių, kurios nurodomos Invazinių rūšių valdymo ir naikinimo tvarkos apraše, naikinimo priemonių, kuriomis siekiama užtikrinti, kad invazinės rūšys neplistų į gretimus sklypus ar vandens telkinius, įgyvendinimo. Įpareigojimai dėl atskirų invazinių rūšių naikinimo priemonių įgyvendinimo nustatomi atsižvelgiant į šių rūšių daromą neigiamą poveikį biologinei įvairovei, žmonių sveikatai, plitimo ypatumus ir į naikinimo priemonių veiksmingumą.</w:t>
                  </w:r>
                </w:p>
                <w:p>
                  <w:pPr>
                    <w:spacing w:line="276" w:lineRule="auto"/>
                    <w:ind w:firstLine="709"/>
                    <w:jc w:val="both"/>
                    <w:rPr>
                      <w:szCs w:val="24"/>
                    </w:rPr>
                  </w:pPr>
                </w:p>
              </w:sdtContent>
            </w:sdt>
          </w:sdtContent>
        </w:sdt>
        <w:sdt>
          <w:sdtPr>
            <w:alias w:val="5 p."/>
            <w:tag w:val="part_347d179e191d41879fa3e7b427d72055"/>
            <w:lock w:val="sdtLocked"/>
            <w:richText/>
          </w:sdtPr>
          <w:sdtContent>
            <w:p>
              <w:pPr>
                <w:spacing w:line="276" w:lineRule="auto"/>
                <w:ind w:firstLine="709"/>
                <w:jc w:val="both"/>
                <w:rPr>
                  <w:b/>
                  <w:bCs/>
                  <w:szCs w:val="24"/>
                </w:rPr>
              </w:pPr>
              <w:sdt>
                <w:sdtPr>
                  <w:alias w:val="Numeris"/>
                  <w:tag w:val="nr_347d179e191d41879fa3e7b427d72055"/>
                  <w:lock w:val="sdtLocked"/>
                  <w:richText/>
                </w:sdtPr>
                <w:sdtContent>
                  <w:r>
                    <w:rPr>
                      <w:b/>
                      <w:bCs/>
                      <w:szCs w:val="24"/>
                    </w:rPr>
                    <w:t>5</w:t>
                  </w:r>
                </w:sdtContent>
              </w:sdt>
              <w:r>
                <w:rPr>
                  <w:b/>
                  <w:bCs/>
                  <w:szCs w:val="24"/>
                </w:rPr>
                <w:t>. Numatomo teisinio reguliavimo poveikio vertinimo rezultatai, galimos neigiamos priimtų įstatymų pasekmės ir kokių priemonių reikėtų imtis, kad tokių pasekmių būtų išvengta</w:t>
              </w:r>
            </w:p>
            <w:p>
              <w:pPr>
                <w:spacing w:line="276" w:lineRule="auto"/>
                <w:ind w:firstLine="709"/>
                <w:jc w:val="both"/>
                <w:rPr>
                  <w:szCs w:val="24"/>
                </w:rPr>
              </w:pPr>
              <w:r>
                <w:rPr>
                  <w:szCs w:val="24"/>
                </w:rPr>
                <w:t>Priėmus Įstatymo ir Kodekso pakeitimo projektus, susijusius su</w:t>
              </w:r>
              <w:r>
                <w:rPr>
                  <w:color w:val="000000"/>
                  <w:szCs w:val="24"/>
                </w:rPr>
                <w:t xml:space="preserve"> Reglamente </w:t>
              </w:r>
              <w:fldSimple w:instr="HYPERLINK http://eur-lex.europa.eu/legal-content/LIT/TXT/?uri=CELEX:32017R0852&amp;locale=lt \t _blank">
                <w:r>
                  <w:rPr>
                    <w:color w:val="0000FF" w:themeColor="hyperlink"/>
                    <w:szCs w:val="24"/>
                    <w:u w:val="single"/>
                  </w:rPr>
                  <w:t>(ES) 2017/852</w:t>
                </w:r>
              </w:fldSimple>
              <w:r>
                <w:rPr>
                  <w:color w:val="000000"/>
                  <w:szCs w:val="24"/>
                </w:rPr>
                <w:t xml:space="preserve"> (su paskutiniu pakeitimu Reglamente </w:t>
              </w:r>
              <w:fldSimple w:instr="HYPERLINK http://eur-lex.europa.eu/legal-content/LIT/TXT/?uri=CELEX:32024R1849&amp;locale=lt \t _blank">
                <w:r>
                  <w:rPr>
                    <w:color w:val="0000FF" w:themeColor="hyperlink"/>
                    <w:szCs w:val="24"/>
                    <w:u w:val="single"/>
                  </w:rPr>
                  <w:t xml:space="preserve">(ES) </w:t>
                </w:r>
                <w:r>
                  <w:rPr>
                    <w:szCs w:val="24"/>
                    <w:u w:val="single"/>
                    <w:color w:val="0000FF" w:themeColor="hyperlink"/>
                  </w:rPr>
                  <w:t>2024/1849</w:t>
                </w:r>
              </w:fldSimple>
              <w:r>
                <w:rPr>
                  <w:color w:val="000000"/>
                  <w:szCs w:val="24"/>
                </w:rPr>
                <w:t xml:space="preserve">) nuostatų įgyvendinimu, </w:t>
              </w:r>
              <w:r>
                <w:rPr>
                  <w:szCs w:val="24"/>
                </w:rPr>
                <w:t xml:space="preserve">neigiamų pasekmių nenumatoma. Vadovaujantis Ūkio subjektų administracinės naštos ir prisitaikymo prie reguliavimo išlaidų vertinimo metodika, patvirtinta Lietuvos Respublikos Vyriausybės 2012 m. sausio 11 d. nutarimu Nr. 4 „Dėl Ūkio subjektų administracinės naštos ir prisitaikymo prie reguliavimo išlaidų vertinimo metodikos patvirtinimo“,  atliktas administracinės naštos pokyčio ir prisitaikymo išlaidų kiekybinis vertinimas. Įstatymų projektais sukeliamų arba įstatymų projektais galimų sukelti ūkio subjektų prisitaikymo prie reguliavimo išlaidų apskaičiavimo ataskaita darbo tvarka suderinta su Ekonomikos ir inovacijų ministerijos specialistais ir pateikiama atskiru dokumentu. Dėl siūlomo reguliavimo pakeitimo, pavedant odontologinės priežiūros (pagalbos) įstaigose įrengtų amalgamos separatorius priežiūrą vykdyti Nacionaliniam visuomenės sveikatos centrui prie Sveikatos apsaugos ministerijos, o ne Aplinkos apsaugos departamentui prie Aplinkos ministerijos, bus sumažintas fizinių patikrinimų skaičius odontologinės priežiūros (pagalbos) įstaigose, dėl to prisitaikymo našta ūkio subjektams sumažės 5124 Eur.</w:t>
              </w:r>
            </w:p>
            <w:p>
              <w:pPr>
                <w:shd w:val="clear" w:color="auto" w:fill="FFFFFF"/>
                <w:spacing w:line="276" w:lineRule="auto"/>
                <w:ind w:firstLine="709"/>
                <w:jc w:val="both"/>
                <w:rPr>
                  <w:szCs w:val="24"/>
                </w:rPr>
              </w:pPr>
              <w:r>
                <w:rPr>
                  <w:color w:val="000000"/>
                  <w:szCs w:val="24"/>
                </w:rPr>
                <w:t xml:space="preserve">Įtvirtinus Reglamento </w:t>
              </w:r>
              <w:fldSimple w:instr="HYPERLINK http://eur-lex.europa.eu/legal-content/LIT/TXT/?uri=CELEX:33157R2024&amp;locale=lt \t _blank">
                <w:r>
                  <w:rPr>
                    <w:color w:val="0000FF" w:themeColor="hyperlink"/>
                    <w:szCs w:val="24"/>
                    <w:u w:val="single"/>
                  </w:rPr>
                  <w:t>(ES) Nr. 2024/1157</w:t>
                </w:r>
              </w:fldSimple>
              <w:r>
                <w:rPr>
                  <w:color w:val="000000"/>
                  <w:szCs w:val="24"/>
                </w:rPr>
                <w:t xml:space="preserve"> 63 straipsniu</w:t>
              </w:r>
              <w:r>
                <w:rPr>
                  <w:szCs w:val="24"/>
                </w:rPr>
                <w:t xml:space="preserve"> nustatytas sankcijas neigiamų pasekmių nenumatoma.</w:t>
              </w:r>
            </w:p>
            <w:p>
              <w:pPr>
                <w:shd w:val="clear" w:color="auto" w:fill="FFFFFF"/>
                <w:spacing w:line="276" w:lineRule="auto"/>
                <w:ind w:firstLine="709"/>
                <w:jc w:val="both"/>
                <w:rPr>
                  <w:szCs w:val="24"/>
                </w:rPr>
              </w:pPr>
              <w:r>
                <w:rPr>
                  <w:color w:val="000000"/>
                  <w:szCs w:val="24"/>
                </w:rPr>
                <w:t xml:space="preserve">Įtvirtinus Reglamento </w:t>
              </w:r>
              <w:fldSimple w:instr="HYPERLINK http://eur-lex.europa.eu/legal-content/LIT/TXT/?uri=CELEX:32024R0590&amp;locale=lt \t _blank">
                <w:r>
                  <w:rPr>
                    <w:szCs w:val="24"/>
                    <w:lang w:val="lt"/>
                    <w:u w:val="single"/>
                    <w:color w:val="0000FF" w:themeColor="hyperlink"/>
                  </w:rPr>
                  <w:t>(ES) 2024/590</w:t>
                </w:r>
              </w:fldSimple>
              <w:r>
                <w:rPr>
                  <w:szCs w:val="24"/>
                  <w:lang w:val="lt"/>
                </w:rPr>
                <w:t xml:space="preserve"> 27 </w:t>
              </w:r>
              <w:r>
                <w:rPr>
                  <w:color w:val="000000"/>
                  <w:szCs w:val="24"/>
                </w:rPr>
                <w:t>straipsniu</w:t>
              </w:r>
              <w:r>
                <w:rPr>
                  <w:szCs w:val="24"/>
                </w:rPr>
                <w:t xml:space="preserve"> nustatytas</w:t>
              </w:r>
              <w:r>
                <w:rPr>
                  <w:szCs w:val="24"/>
                  <w:lang w:val="lt"/>
                </w:rPr>
                <w:t xml:space="preserve"> sankcijas </w:t>
              </w:r>
              <w:r>
                <w:rPr>
                  <w:szCs w:val="24"/>
                </w:rPr>
                <w:t>neigiamų pasekmių nenumatoma.</w:t>
              </w:r>
            </w:p>
            <w:p>
              <w:pPr>
                <w:shd w:val="clear" w:color="auto" w:fill="FFFFFF"/>
                <w:spacing w:line="276" w:lineRule="auto"/>
                <w:ind w:firstLine="709"/>
                <w:jc w:val="both"/>
                <w:rPr>
                  <w:szCs w:val="24"/>
                  <w:lang w:val="pt-BR"/>
                </w:rPr>
              </w:pPr>
              <w:r>
                <w:rPr>
                  <w:color w:val="000000"/>
                  <w:szCs w:val="24"/>
                </w:rPr>
                <w:t xml:space="preserve">Įtvirtinus Reglamento </w:t>
              </w:r>
              <w:fldSimple w:instr="HYPERLINK http://eur-lex.europa.eu/legal-content/LIT/TXT/?uri=CELEX:32023R1805&amp;locale=lt \t _blank">
                <w:r>
                  <w:rPr>
                    <w:color w:val="0000FF" w:themeColor="hyperlink"/>
                    <w:szCs w:val="24"/>
                    <w:u w:val="single"/>
                  </w:rPr>
                  <w:t>(ES) 2023/1805</w:t>
                </w:r>
              </w:fldSimple>
              <w:r>
                <w:rPr>
                  <w:color w:val="000000"/>
                  <w:szCs w:val="24"/>
                </w:rPr>
                <w:t xml:space="preserve"> 23-</w:t>
              </w:r>
              <w:r>
                <w:rPr>
                  <w:szCs w:val="24"/>
                </w:rPr>
                <w:t xml:space="preserve">25 straipsniuose  nustatytas sankcijas neigiamų pasekmių nenumatoma.</w:t>
              </w:r>
            </w:p>
            <w:p>
              <w:pPr>
                <w:shd w:val="clear" w:color="auto" w:fill="FFFFFF"/>
                <w:spacing w:line="276" w:lineRule="auto"/>
                <w:ind w:firstLine="709"/>
                <w:jc w:val="both"/>
                <w:rPr>
                  <w:szCs w:val="24"/>
                </w:rPr>
              </w:pPr>
              <w:r>
                <w:rPr>
                  <w:color w:val="000000"/>
                  <w:szCs w:val="24"/>
                </w:rPr>
                <w:t xml:space="preserve">Įtvirtinus Reglamento </w:t>
              </w:r>
              <w:fldSimple w:instr="HYPERLINK http://eur-lex.europa.eu/legal-content/LIT/TXT/?uri=CELEX:32023R1115&amp;locale=lt \t _blank">
                <w:r>
                  <w:rPr>
                    <w:color w:val="0000FF" w:themeColor="hyperlink"/>
                    <w:szCs w:val="24"/>
                    <w:u w:val="single"/>
                  </w:rPr>
                  <w:t>(ES) 2023/1115</w:t>
                </w:r>
              </w:fldSimple>
              <w:r>
                <w:rPr>
                  <w:color w:val="000000"/>
                  <w:szCs w:val="24"/>
                </w:rPr>
                <w:t xml:space="preserve"> </w:t>
              </w:r>
              <w:r>
                <w:rPr>
                  <w:szCs w:val="24"/>
                </w:rPr>
                <w:t>25 straipsnyje nustatytas sankcijas neigiamų pasekmių nenumatoma.</w:t>
              </w:r>
            </w:p>
            <w:p>
              <w:pPr>
                <w:shd w:val="clear" w:color="auto" w:fill="FFFFFF"/>
                <w:spacing w:line="276" w:lineRule="auto"/>
                <w:ind w:firstLine="709"/>
                <w:jc w:val="both"/>
                <w:rPr>
                  <w:szCs w:val="24"/>
                </w:rPr>
              </w:pPr>
              <w:r>
                <w:rPr>
                  <w:color w:val="000000"/>
                  <w:szCs w:val="24"/>
                </w:rPr>
                <w:t xml:space="preserve">Įtvirtinus Reglamento </w:t>
              </w:r>
              <w:fldSimple w:instr="HYPERLINK http://eur-lex.europa.eu/legal-content/LIT/TXT/?uri=CELEX:32023R0956&amp;locale=lt \t _blank">
                <w:r>
                  <w:rPr>
                    <w:color w:val="0000FF" w:themeColor="hyperlink"/>
                    <w:szCs w:val="24"/>
                    <w:u w:val="single"/>
                  </w:rPr>
                  <w:t>(ES) 2023/956</w:t>
                </w:r>
              </w:fldSimple>
              <w:r>
                <w:rPr>
                  <w:color w:val="000000"/>
                  <w:szCs w:val="24"/>
                </w:rPr>
                <w:t xml:space="preserve"> </w:t>
              </w:r>
              <w:r>
                <w:rPr>
                  <w:szCs w:val="24"/>
                </w:rPr>
                <w:t xml:space="preserve">26 straipsnyje  nustatytas sankcijas neigiamų pasekmių nenumatoma.</w:t>
              </w:r>
            </w:p>
            <w:p>
              <w:pPr>
                <w:shd w:val="clear" w:color="auto" w:fill="FFFFFF"/>
                <w:spacing w:line="276" w:lineRule="auto"/>
                <w:ind w:firstLine="709"/>
                <w:jc w:val="both"/>
                <w:rPr>
                  <w:szCs w:val="24"/>
                </w:rPr>
              </w:pPr>
              <w:r>
                <w:rPr>
                  <w:szCs w:val="24"/>
                </w:rPr>
                <w:t>Pakeitus Kodekso 12 ir 589 straipsnius neigiamų pasekmių nenumatoma.</w:t>
              </w:r>
            </w:p>
            <w:p>
              <w:pPr>
                <w:shd w:val="clear" w:color="auto" w:fill="FFFFFF"/>
                <w:spacing w:line="276" w:lineRule="auto"/>
                <w:ind w:firstLine="709"/>
                <w:jc w:val="both"/>
                <w:rPr>
                  <w:szCs w:val="24"/>
                </w:rPr>
              </w:pPr>
              <w:r>
                <w:rPr>
                  <w:szCs w:val="24"/>
                </w:rPr>
                <w:t>Pakeitus Kodekso 304</w:t>
              </w:r>
              <w:r>
                <w:rPr>
                  <w:szCs w:val="24"/>
                  <w:vertAlign w:val="superscript"/>
                </w:rPr>
                <w:t>2</w:t>
              </w:r>
              <w:r>
                <w:rPr>
                  <w:szCs w:val="24"/>
                </w:rPr>
                <w:t xml:space="preserve"> ir Įstatymo 122</w:t>
              </w:r>
              <w:r>
                <w:rPr>
                  <w:szCs w:val="24"/>
                  <w:vertAlign w:val="superscript"/>
                </w:rPr>
                <w:t>4</w:t>
              </w:r>
              <w:r>
                <w:rPr>
                  <w:szCs w:val="24"/>
                </w:rPr>
                <w:t xml:space="preserve"> straipsnius neigiamų pasekmių nenumatoma.</w:t>
              </w:r>
            </w:p>
            <w:p>
              <w:pPr>
                <w:spacing w:line="276" w:lineRule="auto"/>
                <w:ind w:firstLine="709"/>
                <w:jc w:val="both"/>
                <w:rPr>
                  <w:b/>
                  <w:bCs/>
                  <w:szCs w:val="24"/>
                </w:rPr>
              </w:pPr>
            </w:p>
          </w:sdtContent>
        </w:sdt>
        <w:sdt>
          <w:sdtPr>
            <w:alias w:val="6 p."/>
            <w:tag w:val="part_6015020096a64e18b1af71fc120ce936"/>
            <w:lock w:val="sdtLocked"/>
            <w:richText/>
          </w:sdtPr>
          <w:sdtContent>
            <w:p>
              <w:pPr>
                <w:spacing w:line="276" w:lineRule="auto"/>
                <w:ind w:firstLine="709"/>
                <w:jc w:val="both"/>
                <w:rPr>
                  <w:b/>
                  <w:bCs/>
                  <w:szCs w:val="24"/>
                </w:rPr>
              </w:pPr>
              <w:sdt>
                <w:sdtPr>
                  <w:alias w:val="Numeris"/>
                  <w:tag w:val="nr_6015020096a64e18b1af71fc120ce936"/>
                  <w:lock w:val="sdtLocked"/>
                  <w:richText/>
                </w:sdtPr>
                <w:sdtContent>
                  <w:r>
                    <w:rPr>
                      <w:b/>
                      <w:bCs/>
                      <w:szCs w:val="24"/>
                    </w:rPr>
                    <w:t>6</w:t>
                  </w:r>
                </w:sdtContent>
              </w:sdt>
              <w:r>
                <w:rPr>
                  <w:b/>
                  <w:bCs/>
                  <w:szCs w:val="24"/>
                </w:rPr>
                <w:t>. Kokią įtaką priimti įstatymai turės kriminogeninei situacijai, korupcijai</w:t>
              </w:r>
            </w:p>
            <w:p>
              <w:pPr>
                <w:shd w:val="clear" w:color="auto" w:fill="FFFFFF"/>
                <w:spacing w:line="276" w:lineRule="auto"/>
                <w:ind w:firstLine="709"/>
                <w:jc w:val="both"/>
                <w:rPr>
                  <w:color w:val="000000"/>
                  <w:szCs w:val="24"/>
                </w:rPr>
              </w:pPr>
              <w:r>
                <w:rPr>
                  <w:color w:val="000000"/>
                  <w:szCs w:val="24"/>
                </w:rPr>
                <w:t>Priėmus Įstatymų projektus neigiamų pasekmių kriminogeninei situacijai ir korupcijai nenumatoma.</w:t>
              </w:r>
            </w:p>
            <w:p>
              <w:pPr>
                <w:shd w:val="clear" w:color="auto" w:fill="FFFFFF"/>
                <w:spacing w:line="276" w:lineRule="auto"/>
                <w:ind w:firstLine="709"/>
                <w:jc w:val="both"/>
                <w:rPr>
                  <w:szCs w:val="24"/>
                </w:rPr>
              </w:pPr>
            </w:p>
          </w:sdtContent>
        </w:sdt>
        <w:sdt>
          <w:sdtPr>
            <w:alias w:val="7 p."/>
            <w:tag w:val="part_e003a77131eb4e609ec474b48f61b59a"/>
            <w:lock w:val="sdtLocked"/>
            <w:richText/>
          </w:sdtPr>
          <w:sdtContent>
            <w:p>
              <w:pPr>
                <w:spacing w:line="276" w:lineRule="auto"/>
                <w:ind w:firstLine="709"/>
                <w:jc w:val="both"/>
                <w:rPr>
                  <w:b/>
                  <w:szCs w:val="24"/>
                </w:rPr>
              </w:pPr>
              <w:sdt>
                <w:sdtPr>
                  <w:alias w:val="Numeris"/>
                  <w:tag w:val="nr_e003a77131eb4e609ec474b48f61b59a"/>
                  <w:lock w:val="sdtLocked"/>
                  <w:richText/>
                </w:sdtPr>
                <w:sdtContent>
                  <w:r>
                    <w:rPr>
                      <w:b/>
                      <w:bCs/>
                      <w:szCs w:val="24"/>
                    </w:rPr>
                    <w:t>7</w:t>
                  </w:r>
                </w:sdtContent>
              </w:sdt>
              <w:r>
                <w:rPr>
                  <w:b/>
                  <w:bCs/>
                  <w:szCs w:val="24"/>
                </w:rPr>
                <w:t>. Kaip įstatymų įgyvendinimas atsilieps verslo sąlygoms ir jo plėtrai</w:t>
              </w:r>
            </w:p>
            <w:p>
              <w:pPr>
                <w:spacing w:line="276" w:lineRule="auto"/>
                <w:ind w:firstLine="709"/>
                <w:jc w:val="both"/>
                <w:rPr>
                  <w:color w:val="000000"/>
                  <w:szCs w:val="24"/>
                </w:rPr>
              </w:pPr>
              <w:r>
                <w:rPr>
                  <w:color w:val="000000"/>
                  <w:szCs w:val="24"/>
                </w:rPr>
                <w:t xml:space="preserve">Priėmus Įstatymų projektus, susijusius su Reglamento </w:t>
              </w:r>
              <w:fldSimple w:instr="HYPERLINK http://eur-lex.europa.eu/legal-content/LIT/TXT/?uri=CELEX:32017R0852&amp;locale=lt \t _blank">
                <w:r>
                  <w:rPr>
                    <w:color w:val="0000FF" w:themeColor="hyperlink"/>
                    <w:szCs w:val="24"/>
                    <w:u w:val="single"/>
                  </w:rPr>
                  <w:t>(ES) 2017/852</w:t>
                </w:r>
              </w:fldSimple>
              <w:r>
                <w:rPr>
                  <w:color w:val="000000"/>
                  <w:szCs w:val="24"/>
                </w:rPr>
                <w:t xml:space="preserve">, jo paskutinio pakeitimo Reglamente </w:t>
              </w:r>
              <w:fldSimple w:instr="HYPERLINK http://eur-lex.europa.eu/legal-content/LIT/TXT/?uri=CELEX:32024R1849&amp;locale=lt \t _blank">
                <w:r>
                  <w:rPr>
                    <w:color w:val="0000FF" w:themeColor="hyperlink"/>
                    <w:szCs w:val="24"/>
                    <w:u w:val="single"/>
                  </w:rPr>
                  <w:t>(ES) 2024/1849</w:t>
                </w:r>
              </w:fldSimple>
              <w:r>
                <w:rPr>
                  <w:color w:val="000000"/>
                  <w:szCs w:val="24"/>
                </w:rPr>
                <w:t xml:space="preserve">, nuostatų įgyvendinimu, sumažės administracinė našta verslo subjektams – odontologijos įstaigoms. Bus efektyvesnė odontologinės priežiūros (pagalbos) įstaigose įrengtų amalgamos separatorius priežiūra, perskirsčius priežiūrą vykdančių institucijų funkcijas, </w:t>
              </w:r>
              <w:r>
                <w:rPr>
                  <w:szCs w:val="24"/>
                </w:rPr>
                <w:t>nesidubliuotų patikrinimai</w:t>
              </w:r>
              <w:r>
                <w:rPr>
                  <w:color w:val="000000"/>
                  <w:szCs w:val="24"/>
                </w:rPr>
                <w:t>, odontologinės priežiūros (pagalbos) įstaigas tikrintų specialių medicinos ir visuomenės sveikatos žinių turintys pareigūnai.</w:t>
              </w:r>
            </w:p>
            <w:p>
              <w:pPr>
                <w:spacing w:line="276" w:lineRule="auto"/>
                <w:ind w:firstLine="709"/>
                <w:jc w:val="both"/>
                <w:rPr>
                  <w:color w:val="000000"/>
                  <w:szCs w:val="24"/>
                </w:rPr>
              </w:pPr>
              <w:r>
                <w:rPr>
                  <w:color w:val="000000"/>
                  <w:szCs w:val="24"/>
                </w:rPr>
                <w:t xml:space="preserve">Reglamento </w:t>
              </w:r>
              <w:fldSimple w:instr="HYPERLINK http://eur-lex.europa.eu/legal-content/LIT/TXT/?uri=CELEX:33157R2024&amp;locale=lt \t _blank">
                <w:r>
                  <w:rPr>
                    <w:color w:val="0000FF" w:themeColor="hyperlink"/>
                    <w:szCs w:val="24"/>
                    <w:u w:val="single"/>
                  </w:rPr>
                  <w:t>(ES) Nr. 2024/1157</w:t>
                </w:r>
              </w:fldSimple>
              <w:r>
                <w:rPr>
                  <w:color w:val="000000"/>
                  <w:szCs w:val="24"/>
                </w:rPr>
                <w:t xml:space="preserve"> 63 straipsnyje nustatytų sankcijų įtvirtinimas nacionaliniuose teisės aktuose ir jų taikymas verslo sąlygoms ir jo plėtrai įtakos neturės.</w:t>
              </w:r>
            </w:p>
            <w:p>
              <w:pPr>
                <w:spacing w:line="276" w:lineRule="auto"/>
                <w:ind w:firstLine="709"/>
                <w:jc w:val="both"/>
                <w:rPr>
                  <w:color w:val="000000"/>
                  <w:szCs w:val="24"/>
                </w:rPr>
              </w:pPr>
              <w:r>
                <w:rPr>
                  <w:color w:val="000000"/>
                  <w:szCs w:val="24"/>
                </w:rPr>
                <w:t xml:space="preserve">Reglamento </w:t>
              </w:r>
              <w:fldSimple w:instr="HYPERLINK http://eur-lex.europa.eu/legal-content/LIT/TXT/?uri=CELEX:32024R0590&amp;locale=lt \t _blank">
                <w:r>
                  <w:rPr>
                    <w:color w:val="0000FF" w:themeColor="hyperlink"/>
                    <w:szCs w:val="24"/>
                    <w:u w:val="single"/>
                  </w:rPr>
                  <w:t>(ES) 2024/590</w:t>
                </w:r>
              </w:fldSimple>
              <w:r>
                <w:rPr>
                  <w:color w:val="000000"/>
                  <w:szCs w:val="24"/>
                </w:rPr>
                <w:t xml:space="preserve"> 27 straipsnyje nustatytų sankcijų įtvirtinimas nacionaliniuose teisės aktuose ir jų taikymas verslo sąlygoms ir jo plėtrai įtakos neturės.</w:t>
              </w:r>
            </w:p>
            <w:p>
              <w:pPr>
                <w:spacing w:line="276" w:lineRule="auto"/>
                <w:ind w:firstLine="709"/>
                <w:jc w:val="both"/>
                <w:rPr>
                  <w:color w:val="000000"/>
                  <w:szCs w:val="24"/>
                </w:rPr>
              </w:pPr>
              <w:r>
                <w:rPr>
                  <w:color w:val="000000"/>
                  <w:szCs w:val="24"/>
                </w:rPr>
                <w:t xml:space="preserve">Įgyvendinant Reglamentą </w:t>
              </w:r>
              <w:fldSimple w:instr="HYPERLINK http://eur-lex.europa.eu/legal-content/LIT/TXT/?uri=CELEX:32023R1805&amp;locale=lt \t _blank">
                <w:r>
                  <w:rPr>
                    <w:color w:val="0000FF" w:themeColor="hyperlink"/>
                    <w:szCs w:val="24"/>
                    <w:u w:val="single"/>
                  </w:rPr>
                  <w:t>(ES) 2023/1805</w:t>
                </w:r>
              </w:fldSimple>
              <w:r>
                <w:rPr>
                  <w:color w:val="000000"/>
                  <w:szCs w:val="24"/>
                </w:rPr>
                <w:t xml:space="preserve"> siekiama didinti nuoseklų atsinaujinančiųjų energijos išteklių ir mažo anglies dioksido pėdsako kuro ir pakaitinių energijos išteklių naudojimą jūrų transporto sektoriuje visoje Sąjungoje, laikantis tikslo ne vėliau kaip 2050 m. užtikrinti poveikio klimatui neutralumą visoje Sąjungoje, kartu užtikrinant sklandų jūrų transporto veikimą, užtikrinant atsinaujinančiųjų energijos išteklių ir mažo anglies dioksido pėdsako kuro ir tvarių technologijų naudojimo diegimo reguliavimo tikrumą ir vengiant vidaus rinkos iškraipymų. Pažymėtina, kad reglamentas taikomas visiems laivams atplaukiantiems, esantiems ar išplaukiantiems iš Europos Sąjungos uostų nepriklausomai nuo laivo vėliavos.</w:t>
              </w:r>
            </w:p>
            <w:p>
              <w:pPr>
                <w:spacing w:line="276" w:lineRule="auto"/>
                <w:ind w:firstLine="709"/>
                <w:jc w:val="both"/>
                <w:rPr>
                  <w:color w:val="000000"/>
                  <w:szCs w:val="24"/>
                </w:rPr>
              </w:pPr>
              <w:r>
                <w:rPr>
                  <w:color w:val="000000"/>
                  <w:szCs w:val="24"/>
                </w:rPr>
                <w:t xml:space="preserve">Reglamento </w:t>
              </w:r>
              <w:fldSimple w:instr="HYPERLINK http://eur-lex.europa.eu/legal-content/LIT/TXT/?uri=CELEX:32023R1115&amp;locale=lt \t _blank">
                <w:r>
                  <w:rPr>
                    <w:color w:val="0000FF" w:themeColor="hyperlink"/>
                    <w:szCs w:val="24"/>
                    <w:u w:val="single"/>
                  </w:rPr>
                  <w:t>(ES) 2023/1115</w:t>
                </w:r>
              </w:fldSimple>
              <w:r>
                <w:rPr>
                  <w:color w:val="000000"/>
                  <w:szCs w:val="24"/>
                </w:rPr>
                <w:t xml:space="preserve"> 25 straipsnyje nustatytų sankcijų įtvirtinimas nacionaliniuose teisės aktuose ir jų taikymas verslo sąlygoms ir jo plėtrai įtakos neturės.</w:t>
              </w:r>
            </w:p>
            <w:p>
              <w:pPr>
                <w:spacing w:line="276" w:lineRule="auto"/>
                <w:ind w:firstLine="771"/>
                <w:jc w:val="both"/>
                <w:rPr>
                  <w:color w:val="000000"/>
                  <w:szCs w:val="24"/>
                </w:rPr>
              </w:pPr>
              <w:r>
                <w:rPr>
                  <w:szCs w:val="24"/>
                </w:rPr>
                <w:t xml:space="preserve">Įgyvendinant Reglamento </w:t>
              </w:r>
              <w:fldSimple w:instr="HYPERLINK http://eur-lex.europa.eu/legal-content/LIT/TXT/?uri=CELEX:32023R0956&amp;locale=lt \t _blank">
                <w:r>
                  <w:rPr>
                    <w:szCs w:val="24"/>
                    <w:u w:val="single"/>
                    <w:color w:val="0000FF" w:themeColor="hyperlink"/>
                  </w:rPr>
                  <w:t xml:space="preserve">(ES)  2023/956</w:t>
                </w:r>
              </w:fldSimple>
              <w:r>
                <w:rPr>
                  <w:szCs w:val="24"/>
                </w:rPr>
                <w:t xml:space="preserve"> 26 straipsnio nuostatas ir nuo 2026 m. visapusiškai taikant PADKM bus užtikrinama sąžininga konkurencija tarp ES gamintojų ir trečiųjų šalių importo, mažinant anglies dioksido nutekėjimo riziką bei skatinant perėjimą prie klimatui neutralios ekonomikos.</w:t>
              </w:r>
              <w:r>
                <w:rPr>
                  <w:color w:val="000000"/>
                  <w:szCs w:val="24"/>
                </w:rPr>
                <w:t xml:space="preserve"> Lietuvos verslui tai suteiks naujų galimybių stiprinti savo konkurencingumą ir prisidėti prie darnios ekonomikos kūrimo.</w:t>
              </w:r>
            </w:p>
            <w:p>
              <w:pPr>
                <w:spacing w:line="276" w:lineRule="auto"/>
                <w:ind w:firstLine="709"/>
                <w:jc w:val="both"/>
                <w:rPr>
                  <w:color w:val="000000"/>
                  <w:szCs w:val="24"/>
                </w:rPr>
              </w:pPr>
              <w:r>
                <w:rPr>
                  <w:color w:val="000000"/>
                  <w:szCs w:val="24"/>
                </w:rPr>
                <w:t>Vienas iš esminių PADKM tikslų – suvienodinti sąlygas ES gamintojams, kurie jau dabar moka už išmetamą anglies dioksidą pagal ES apyvartinių taršos leidimų prekybos sistemą. Iki šiol importuojamos prekės, gaminamos be griežtų aplinkosaugos reikalavimų, turėjo konkurencinį pranašumą, tačiau naujasis mechanizmas užtikrins, kad į ES rinką pateksiančios prekės būtų įkainojamos pagal jų taršos lygį. Tai prisidės prie vidaus gamintojų apsaugos, ypač sektoriuose, kuriuose anglies dioksido emisijos yra neišvengiamos, pavyzdžiui, plieno, cemento ar trąšų gamyboje. PADKM įgyvendinimas skatins Lietuvos verslą investuoti į mažai taršias gamybos technologijas, kurios ilgalaikėje perspektyvoje ne tik mažins aplinkosauginę riziką, bet ir didins eksporto galimybes į tvarumo siekiančias rinkas. Vietinės įmonės, kurios jau dabar pereina prie mažai anglies dioksido išskiriančių procesų, galės lengviau konkuruoti su importu iš trečiųjų šalių, nes taršios produkcijos kainos didės, o tai padidins vietinės gamybos patrauklumą. Be to, tai skatins inovacijas ir naujų technologijų diegimą, kurios prisidės prie šalies ekonomikos modernizavimo ir ilgalaikio augimo.</w:t>
              </w:r>
            </w:p>
            <w:p>
              <w:pPr>
                <w:spacing w:line="276" w:lineRule="auto"/>
                <w:ind w:firstLine="709"/>
                <w:jc w:val="both"/>
                <w:rPr>
                  <w:color w:val="000000"/>
                  <w:szCs w:val="24"/>
                </w:rPr>
              </w:pPr>
              <w:r>
                <w:rPr>
                  <w:szCs w:val="24"/>
                </w:rPr>
                <w:t>Įvedamos sankcijos užtikrins reikalavimų laikymąsi, sudarydamos sąlygas nuosekliam ir efektyviam mechanizmo įgyvendinimui.</w:t>
              </w:r>
              <w:r>
                <w:rPr>
                  <w:color w:val="000000"/>
                  <w:szCs w:val="24"/>
                </w:rPr>
                <w:t xml:space="preserve"> Kai kurioms įmonėms, ypač priklausančioms nuo importuojamų taršių žaliavų, pradinis prisitaikymo laikotarpis gali kelti tam tikrus iššūkius, PADKM suteikia aiškų perėjimo mechanizmą ir laipsnišką įgyvendinimą, leidžiantį verslui prisitaikyti prie naujų taisyklių. Jau dabar galiojantys pereinamojo laikotarpio reikalavimai suteikia įmonėms galimybę pasiruošti ir optimizuoti savo tiekimo grandines, ieškoti mažiau taršių alternatyvų bei investuoti į gamybos procesų modernizavimą.</w:t>
              </w:r>
            </w:p>
            <w:p>
              <w:pPr>
                <w:shd w:val="clear" w:color="auto" w:fill="FFFFFF"/>
                <w:spacing w:line="276" w:lineRule="auto"/>
                <w:ind w:firstLine="709"/>
                <w:jc w:val="both"/>
                <w:rPr>
                  <w:szCs w:val="24"/>
                </w:rPr>
              </w:pPr>
              <w:r>
                <w:rPr>
                  <w:szCs w:val="24"/>
                </w:rPr>
                <w:t>Kodekso 12 ir 589 str. pakeitimas neturės įtakos verslo sąlygoms, nes pakeitimai orientuoti ne į verslo sąlygas, o į administracinės atsakomybės švelninimą fiziniams asmenims.</w:t>
              </w:r>
            </w:p>
            <w:p>
              <w:pPr>
                <w:shd w:val="clear" w:color="auto" w:fill="FFFFFF"/>
                <w:spacing w:line="276" w:lineRule="auto"/>
                <w:ind w:firstLine="709"/>
                <w:jc w:val="both"/>
                <w:rPr>
                  <w:szCs w:val="24"/>
                </w:rPr>
              </w:pPr>
              <w:r>
                <w:rPr>
                  <w:szCs w:val="24"/>
                </w:rPr>
                <w:t>Kodekso 304</w:t>
              </w:r>
              <w:r>
                <w:rPr>
                  <w:szCs w:val="24"/>
                  <w:vertAlign w:val="superscript"/>
                </w:rPr>
                <w:t>2</w:t>
              </w:r>
              <w:r>
                <w:rPr>
                  <w:szCs w:val="24"/>
                </w:rPr>
                <w:t xml:space="preserve"> ir Įstatymo 122</w:t>
              </w:r>
              <w:r>
                <w:rPr>
                  <w:szCs w:val="24"/>
                  <w:vertAlign w:val="superscript"/>
                </w:rPr>
                <w:t>4</w:t>
              </w:r>
              <w:r>
                <w:rPr>
                  <w:szCs w:val="24"/>
                </w:rPr>
                <w:t xml:space="preserve"> straipsnių pakeitimas neturės įtakos verslo sąlygoms.</w:t>
              </w:r>
            </w:p>
            <w:p>
              <w:pPr>
                <w:shd w:val="clear" w:color="auto" w:fill="FFFFFF"/>
                <w:spacing w:line="276" w:lineRule="auto"/>
                <w:ind w:firstLine="709"/>
                <w:jc w:val="both"/>
                <w:rPr>
                  <w:szCs w:val="24"/>
                </w:rPr>
              </w:pPr>
            </w:p>
          </w:sdtContent>
        </w:sdt>
        <w:sdt>
          <w:sdtPr>
            <w:alias w:val="8 p."/>
            <w:tag w:val="part_796b3a6845a34df49205e28a76fd635a"/>
            <w:lock w:val="sdtLocked"/>
            <w:richText/>
          </w:sdtPr>
          <w:sdtContent>
            <w:p>
              <w:pPr>
                <w:spacing w:line="276" w:lineRule="auto"/>
                <w:ind w:firstLine="709"/>
                <w:jc w:val="both"/>
                <w:rPr>
                  <w:szCs w:val="24"/>
                </w:rPr>
              </w:pPr>
              <w:sdt>
                <w:sdtPr>
                  <w:alias w:val="Numeris"/>
                  <w:tag w:val="nr_796b3a6845a34df49205e28a76fd635a"/>
                  <w:lock w:val="sdtLocked"/>
                  <w:richText/>
                </w:sdtPr>
                <w:sdtContent>
                  <w:r>
                    <w:rPr>
                      <w:b/>
                      <w:bCs/>
                      <w:szCs w:val="24"/>
                    </w:rPr>
                    <w:t>8</w:t>
                  </w:r>
                </w:sdtContent>
              </w:sdt>
              <w:r>
                <w:rPr>
                  <w:b/>
                  <w:bCs/>
                  <w:szCs w:val="24"/>
                </w:rPr>
                <w:t>. Ar įstatymų projektai neprieštarauja strateginio lygmens planavimo dokumentams</w:t>
              </w:r>
            </w:p>
            <w:p>
              <w:pPr>
                <w:shd w:val="clear" w:color="auto" w:fill="FFFFFF"/>
                <w:spacing w:line="276" w:lineRule="auto"/>
                <w:ind w:firstLine="709"/>
                <w:jc w:val="both"/>
                <w:rPr>
                  <w:szCs w:val="24"/>
                  <w:lang w:eastAsia="lt-LT"/>
                </w:rPr>
              </w:pPr>
              <w:r>
                <w:rPr>
                  <w:szCs w:val="24"/>
                  <w:lang w:eastAsia="lt-LT"/>
                </w:rPr>
                <w:t xml:space="preserve">Įstatymo projektai neprieštarauja strateginio lygmens planavimo dokumentams. </w:t>
              </w:r>
            </w:p>
            <w:p>
              <w:pPr>
                <w:shd w:val="clear" w:color="auto" w:fill="FFFFFF"/>
                <w:spacing w:line="276" w:lineRule="auto"/>
                <w:ind w:firstLine="709"/>
                <w:jc w:val="both"/>
                <w:rPr>
                  <w:szCs w:val="24"/>
                  <w:lang w:eastAsia="lt-LT"/>
                </w:rPr>
              </w:pPr>
            </w:p>
          </w:sdtContent>
        </w:sdt>
        <w:sdt>
          <w:sdtPr>
            <w:alias w:val="9 p."/>
            <w:tag w:val="part_599b899f9b38461bb358fbb91c99a46d"/>
            <w:lock w:val="sdtLocked"/>
            <w:richText/>
          </w:sdtPr>
          <w:sdtContent>
            <w:p>
              <w:pPr>
                <w:spacing w:line="276" w:lineRule="auto"/>
                <w:ind w:firstLine="709"/>
                <w:jc w:val="both"/>
                <w:rPr>
                  <w:b/>
                  <w:bCs/>
                  <w:szCs w:val="24"/>
                </w:rPr>
              </w:pPr>
              <w:sdt>
                <w:sdtPr>
                  <w:alias w:val="Numeris"/>
                  <w:tag w:val="nr_599b899f9b38461bb358fbb91c99a46d"/>
                  <w:lock w:val="sdtLocked"/>
                  <w:richText/>
                </w:sdtPr>
                <w:sdtContent>
                  <w:r>
                    <w:rPr>
                      <w:b/>
                      <w:bCs/>
                      <w:szCs w:val="24"/>
                    </w:rPr>
                    <w:t>9</w:t>
                  </w:r>
                </w:sdtContent>
              </w:sdt>
              <w:r>
                <w:rPr>
                  <w:b/>
                  <w:bCs/>
                  <w:szCs w:val="24"/>
                </w:rPr>
                <w:t>. Įstatymų inkorporavimas į teisinę sistemą, kokius teisės aktus būtina priimti, kokius galiojančius teisės aktus reikia pakeisti ar pripažinti netekusiais galios</w:t>
              </w:r>
            </w:p>
            <w:p>
              <w:pPr>
                <w:shd w:val="clear" w:color="auto" w:fill="FFFFFF"/>
                <w:spacing w:line="276" w:lineRule="auto"/>
                <w:ind w:firstLine="709"/>
                <w:jc w:val="both"/>
                <w:rPr>
                  <w:szCs w:val="24"/>
                  <w:lang w:eastAsia="lt-LT"/>
                </w:rPr>
              </w:pPr>
              <w:r>
                <w:rPr>
                  <w:color w:val="000000"/>
                  <w:szCs w:val="24"/>
                </w:rPr>
                <w:t xml:space="preserve">Dėl Reglamento </w:t>
              </w:r>
              <w:fldSimple w:instr="HYPERLINK http://eur-lex.europa.eu/legal-content/LIT/TXT/?uri=CELEX:33157R2024&amp;locale=lt \t _blank">
                <w:r>
                  <w:rPr>
                    <w:color w:val="0000FF" w:themeColor="hyperlink"/>
                    <w:szCs w:val="24"/>
                    <w:u w:val="single"/>
                  </w:rPr>
                  <w:t>(ES) Nr. 2024/1157</w:t>
                </w:r>
              </w:fldSimple>
              <w:r>
                <w:rPr>
                  <w:color w:val="000000"/>
                  <w:szCs w:val="24"/>
                </w:rPr>
                <w:t xml:space="preserve"> </w:t>
              </w:r>
              <w:r>
                <w:rPr>
                  <w:szCs w:val="24"/>
                  <w:lang w:eastAsia="lt-LT"/>
                </w:rPr>
                <w:t>t</w:t>
              </w:r>
              <w:r>
                <w:rPr>
                  <w:color w:val="000000"/>
                  <w:szCs w:val="24"/>
                </w:rPr>
                <w:t>eisės aktų priimti, keisti ar pripažinti netekusiais galios nereikės.</w:t>
              </w:r>
              <w:r>
                <w:rPr>
                  <w:szCs w:val="24"/>
                  <w:lang w:eastAsia="lt-LT"/>
                </w:rPr>
                <w:t xml:space="preserve"> </w:t>
              </w:r>
            </w:p>
            <w:p>
              <w:pPr>
                <w:shd w:val="clear" w:color="auto" w:fill="FFFFFF"/>
                <w:spacing w:line="276" w:lineRule="auto"/>
                <w:ind w:firstLine="709"/>
                <w:jc w:val="both"/>
                <w:rPr>
                  <w:color w:val="000000"/>
                  <w:szCs w:val="24"/>
                </w:rPr>
              </w:pPr>
              <w:r>
                <w:rPr>
                  <w:szCs w:val="24"/>
                  <w:lang w:eastAsia="lt-LT"/>
                </w:rPr>
                <w:t xml:space="preserve">Dėl Reglamento </w:t>
              </w:r>
              <w:fldSimple w:instr="HYPERLINK http://eur-lex.europa.eu/legal-content/LIT/TXT/?uri=CELEX:32024R0590&amp;locale=lt \t _blank">
                <w:r>
                  <w:rPr>
                    <w:szCs w:val="24"/>
                    <w:lang w:eastAsia="lt-LT"/>
                    <w:u w:val="single"/>
                    <w:color w:val="0000FF" w:themeColor="hyperlink"/>
                  </w:rPr>
                  <w:t>(ES) 2024/590</w:t>
                </w:r>
              </w:fldSimple>
              <w:r>
                <w:rPr>
                  <w:szCs w:val="24"/>
                  <w:lang w:eastAsia="lt-LT"/>
                </w:rPr>
                <w:t xml:space="preserve"> ir</w:t>
              </w:r>
              <w:r>
                <w:rPr>
                  <w:szCs w:val="24"/>
                </w:rPr>
                <w:t xml:space="preserve"> </w:t>
              </w:r>
              <w:r>
                <w:rPr>
                  <w:szCs w:val="24"/>
                  <w:lang w:eastAsia="lt-LT"/>
                </w:rPr>
                <w:t xml:space="preserve">Reglamento </w:t>
              </w:r>
              <w:fldSimple w:instr="HYPERLINK http://eur-lex.europa.eu/legal-content/LIT/TXT/?uri=CELEX:32023R0956&amp;locale=lt \t _blank">
                <w:r>
                  <w:rPr>
                    <w:szCs w:val="24"/>
                    <w:lang w:eastAsia="lt-LT"/>
                    <w:u w:val="single"/>
                    <w:color w:val="0000FF" w:themeColor="hyperlink"/>
                  </w:rPr>
                  <w:t>(ES) 2023/956</w:t>
                </w:r>
              </w:fldSimple>
              <w:r>
                <w:rPr>
                  <w:szCs w:val="24"/>
                  <w:lang w:eastAsia="lt-LT"/>
                </w:rPr>
                <w:t xml:space="preserve"> t</w:t>
              </w:r>
              <w:r>
                <w:rPr>
                  <w:color w:val="000000"/>
                  <w:szCs w:val="24"/>
                </w:rPr>
                <w:t>eisės aktų priimti, keisti ar pripažinti netekusiais galios nereikės.</w:t>
              </w:r>
            </w:p>
            <w:p>
              <w:pPr>
                <w:shd w:val="clear" w:color="auto" w:fill="FFFFFF"/>
                <w:spacing w:line="276" w:lineRule="auto"/>
                <w:ind w:firstLine="709"/>
                <w:jc w:val="both"/>
                <w:rPr>
                  <w:color w:val="000000"/>
                  <w:szCs w:val="24"/>
                </w:rPr>
              </w:pPr>
              <w:r>
                <w:rPr>
                  <w:color w:val="000000"/>
                  <w:szCs w:val="24"/>
                </w:rPr>
                <w:t xml:space="preserve">Dėl Reglamente </w:t>
              </w:r>
              <w:fldSimple w:instr="HYPERLINK http://eur-lex.europa.eu/legal-content/LIT/TXT/?uri=CELEX:32023R1805&amp;locale=lt \t _blank">
                <w:r>
                  <w:rPr>
                    <w:color w:val="0000FF" w:themeColor="hyperlink"/>
                    <w:szCs w:val="24"/>
                    <w:u w:val="single"/>
                  </w:rPr>
                  <w:t>(ES) 2023/1805</w:t>
                </w:r>
              </w:fldSimple>
              <w:r>
                <w:rPr>
                  <w:color w:val="000000"/>
                  <w:szCs w:val="24"/>
                </w:rPr>
                <w:t xml:space="preserve"> nustatytų sankcijų įgyvendinimo </w:t>
              </w:r>
              <w:r>
                <w:rPr>
                  <w:szCs w:val="24"/>
                  <w:lang w:eastAsia="lt-LT"/>
                </w:rPr>
                <w:t>t</w:t>
              </w:r>
              <w:r>
                <w:rPr>
                  <w:color w:val="000000"/>
                  <w:szCs w:val="24"/>
                </w:rPr>
                <w:t>eisės aktų priimti, keisti ar pripažinti netekusiais galios nereikės.</w:t>
              </w:r>
            </w:p>
            <w:p>
              <w:pPr>
                <w:shd w:val="clear" w:color="auto" w:fill="FFFFFF"/>
                <w:spacing w:line="276" w:lineRule="auto"/>
                <w:ind w:firstLine="709"/>
                <w:jc w:val="both"/>
                <w:rPr>
                  <w:color w:val="000000"/>
                  <w:szCs w:val="24"/>
                </w:rPr>
              </w:pPr>
              <w:r>
                <w:rPr>
                  <w:color w:val="000000"/>
                  <w:szCs w:val="24"/>
                </w:rPr>
                <w:t xml:space="preserve">Dėl Reglamento </w:t>
              </w:r>
              <w:fldSimple w:instr="HYPERLINK http://eur-lex.europa.eu/legal-content/LIT/TXT/?uri=CELEX:32023R1115&amp;locale=lt \t _blank">
                <w:r>
                  <w:rPr>
                    <w:color w:val="0000FF" w:themeColor="hyperlink"/>
                    <w:szCs w:val="24"/>
                    <w:u w:val="single"/>
                  </w:rPr>
                  <w:t xml:space="preserve">(ES)  2023/1115</w:t>
                </w:r>
              </w:fldSimple>
              <w:r>
                <w:rPr>
                  <w:color w:val="000000"/>
                  <w:szCs w:val="24"/>
                </w:rPr>
                <w:t xml:space="preserve"> </w:t>
              </w:r>
              <w:r>
                <w:rPr>
                  <w:szCs w:val="24"/>
                  <w:lang w:eastAsia="lt-LT"/>
                </w:rPr>
                <w:t>t</w:t>
              </w:r>
              <w:r>
                <w:rPr>
                  <w:color w:val="000000"/>
                  <w:szCs w:val="24"/>
                </w:rPr>
                <w:t xml:space="preserve">eisės aktų priimti, keisti ar pripažinti netekusiais galios nereikės. Siekiant paskirti kompetentingas institucijas, atsakingas už 2023 m. gegužės 31 d. Europos Parlamento ir Tarybos reglamento </w:t>
              </w:r>
              <w:fldSimple w:instr="HYPERLINK http://eur-lex.europa.eu/legal-content/LIT/TXT/?uri=CELEX:33115R2023&amp;locale=lt \t _blank">
                <w:r>
                  <w:rPr>
                    <w:color w:val="0000FF" w:themeColor="hyperlink"/>
                    <w:szCs w:val="24"/>
                    <w:u w:val="single"/>
                  </w:rPr>
                  <w:t>(ES) Nr. 2023/1115</w:t>
                </w:r>
              </w:fldSimple>
              <w:r>
                <w:rPr>
                  <w:color w:val="000000"/>
                  <w:szCs w:val="24"/>
                </w:rPr>
                <w:t xml:space="preserve"> dėl tam tikrų su miškų naikinimu ir alinimu siejamų biržos prekių ir produktų tiekimo Sąjungos rinkai ir jų eksporto iš Sąjungos, kuriuo panaikinimas Reglamentas </w:t>
              </w:r>
              <w:fldSimple w:instr="HYPERLINK http://eur-lex.europa.eu/legal-content/LIT/TXT/?uri=CELEX:32010R0995&amp;locale=lt \t _blank">
                <w:r>
                  <w:rPr>
                    <w:color w:val="0000FF" w:themeColor="hyperlink"/>
                    <w:szCs w:val="24"/>
                    <w:u w:val="single"/>
                  </w:rPr>
                  <w:t>(ES) Nr. 995/2010</w:t>
                </w:r>
              </w:fldSimple>
              <w:r>
                <w:rPr>
                  <w:color w:val="000000"/>
                  <w:szCs w:val="24"/>
                </w:rPr>
                <w:t>, taikymą, rengiamas Lietuvos Respublikos Vyriausybės nutarimo projektas.</w:t>
              </w:r>
            </w:p>
            <w:p>
              <w:pPr>
                <w:shd w:val="clear" w:color="auto" w:fill="FFFFFF"/>
                <w:spacing w:line="276" w:lineRule="auto"/>
                <w:ind w:firstLine="709"/>
                <w:jc w:val="both"/>
                <w:rPr>
                  <w:color w:val="000000"/>
                  <w:szCs w:val="24"/>
                </w:rPr>
              </w:pPr>
              <w:r>
                <w:rPr>
                  <w:color w:val="000000"/>
                  <w:szCs w:val="24"/>
                </w:rPr>
                <w:t xml:space="preserve">Dėl Reglamento </w:t>
              </w:r>
              <w:fldSimple w:instr="HYPERLINK http://eur-lex.europa.eu/legal-content/LIT/TXT/?uri=CELEX:32023R0956&amp;locale=lt \t _blank">
                <w:r>
                  <w:rPr>
                    <w:color w:val="0000FF" w:themeColor="hyperlink"/>
                    <w:szCs w:val="24"/>
                    <w:u w:val="single"/>
                  </w:rPr>
                  <w:t xml:space="preserve">(ES)  2023/956</w:t>
                </w:r>
              </w:fldSimple>
              <w:r>
                <w:rPr>
                  <w:color w:val="000000"/>
                  <w:szCs w:val="24"/>
                </w:rPr>
                <w:t xml:space="preserve"> </w:t>
              </w:r>
              <w:r>
                <w:rPr>
                  <w:szCs w:val="24"/>
                  <w:lang w:eastAsia="lt-LT"/>
                </w:rPr>
                <w:t>t</w:t>
              </w:r>
              <w:r>
                <w:rPr>
                  <w:color w:val="000000"/>
                  <w:szCs w:val="24"/>
                </w:rPr>
                <w:t>eisės aktų priimti, keisti ar pripažinti netekusiais galios nereikės.</w:t>
              </w:r>
            </w:p>
            <w:p>
              <w:pPr>
                <w:shd w:val="clear" w:color="auto" w:fill="FFFFFF"/>
                <w:spacing w:line="276" w:lineRule="auto"/>
                <w:ind w:firstLine="709"/>
                <w:jc w:val="both"/>
                <w:rPr>
                  <w:color w:val="000000"/>
                  <w:szCs w:val="24"/>
                </w:rPr>
              </w:pPr>
              <w:r>
                <w:rPr>
                  <w:color w:val="000000"/>
                  <w:szCs w:val="24"/>
                </w:rPr>
                <w:t>Dėl Kodekso 12 ir 589 str. pakeitimo kitų įstatymų keisti nereikės. Dėl Kodekso 12 str. pakeitimo reikės keisti Aplinkos apsaugos departamento prie Aplinkos ministerijos direktoriaus 2020 m. liepos 3 d. įsakymą Nr. AD1-198 „Dėl kriterijų, kuriais vadovaujantis administracinis nusižengimas laikomas mažai pavojingu, nustatymo“.</w:t>
              </w:r>
            </w:p>
            <w:p>
              <w:pPr>
                <w:shd w:val="clear" w:color="auto" w:fill="FFFFFF"/>
                <w:spacing w:line="276" w:lineRule="auto"/>
                <w:ind w:firstLine="709"/>
                <w:jc w:val="both"/>
                <w:rPr>
                  <w:color w:val="000000"/>
                  <w:szCs w:val="24"/>
                </w:rPr>
              </w:pPr>
            </w:p>
          </w:sdtContent>
        </w:sdt>
        <w:sdt>
          <w:sdtPr>
            <w:alias w:val="10 p."/>
            <w:tag w:val="part_21cddf1247eb4e06a4a3c8adcaafaf9b"/>
            <w:lock w:val="sdtLocked"/>
            <w:richText/>
          </w:sdtPr>
          <w:sdtContent>
            <w:p>
              <w:pPr>
                <w:spacing w:line="276" w:lineRule="auto"/>
                <w:ind w:firstLine="709"/>
                <w:jc w:val="both"/>
                <w:rPr>
                  <w:b/>
                  <w:szCs w:val="24"/>
                </w:rPr>
              </w:pPr>
              <w:sdt>
                <w:sdtPr>
                  <w:alias w:val="Numeris"/>
                  <w:tag w:val="nr_21cddf1247eb4e06a4a3c8adcaafaf9b"/>
                  <w:lock w:val="sdtLocked"/>
                  <w:richText/>
                </w:sdtPr>
                <w:sdtContent>
                  <w:r>
                    <w:rPr>
                      <w:b/>
                      <w:bCs/>
                      <w:szCs w:val="24"/>
                    </w:rPr>
                    <w:t>10</w:t>
                  </w:r>
                </w:sdtContent>
              </w:sdt>
              <w:r>
                <w:rPr>
                  <w:b/>
                  <w:bCs/>
                  <w:szCs w:val="24"/>
                </w:rPr>
                <w:t>. Ar įstatymų projektai parengti laikantis Lietuvos Respublikos valstybinės kalbos, Teisėkūros pagrindų įstatymų reikalavimų, o įstatymų projektų sąvokos ir jas įvardijantys terminai įvertinti Terminų banko įstatymo ir jo įgyvendinamųjų teisės aktų nustatyta tvarka</w:t>
              </w:r>
            </w:p>
            <w:p>
              <w:pPr>
                <w:shd w:val="clear" w:color="auto" w:fill="FFFFFF"/>
                <w:spacing w:line="276" w:lineRule="auto"/>
                <w:ind w:firstLine="709"/>
                <w:jc w:val="both"/>
                <w:rPr>
                  <w:color w:val="000000"/>
                  <w:szCs w:val="24"/>
                </w:rPr>
              </w:pPr>
              <w:r>
                <w:rPr>
                  <w:color w:val="000000"/>
                  <w:szCs w:val="24"/>
                </w:rPr>
                <w:t>Įstatymo Projektas ir Kodekso projektas parengti laikantis Lietuvos Respublikos valstybinės kalbos įstatymo ir Lietuvos Respublikos teisėkūros pagrindų įstatymo reikalavimų. Įstatymo Projekte ir Kodekso projekte nenustatomos naujos sąvokos ir jas įvardijantys terminai.</w:t>
              </w:r>
            </w:p>
            <w:p>
              <w:pPr>
                <w:shd w:val="clear" w:color="auto" w:fill="FFFFFF"/>
                <w:spacing w:line="276" w:lineRule="auto"/>
                <w:ind w:firstLine="709"/>
                <w:jc w:val="both"/>
                <w:rPr>
                  <w:color w:val="000000"/>
                  <w:szCs w:val="24"/>
                </w:rPr>
              </w:pPr>
            </w:p>
          </w:sdtContent>
        </w:sdt>
        <w:sdt>
          <w:sdtPr>
            <w:alias w:val="11 p."/>
            <w:tag w:val="part_7dd286cb6e2d4faaaea1f624131e3b6c"/>
            <w:lock w:val="sdtLocked"/>
            <w:richText/>
          </w:sdtPr>
          <w:sdtContent>
            <w:p>
              <w:pPr>
                <w:spacing w:line="276" w:lineRule="auto"/>
                <w:ind w:firstLine="709"/>
                <w:jc w:val="both"/>
                <w:rPr>
                  <w:b/>
                  <w:bCs/>
                  <w:szCs w:val="24"/>
                </w:rPr>
              </w:pPr>
              <w:sdt>
                <w:sdtPr>
                  <w:alias w:val="Numeris"/>
                  <w:tag w:val="nr_7dd286cb6e2d4faaaea1f624131e3b6c"/>
                  <w:lock w:val="sdtLocked"/>
                  <w:richText/>
                </w:sdtPr>
                <w:sdtContent>
                  <w:r>
                    <w:rPr>
                      <w:b/>
                      <w:bCs/>
                      <w:szCs w:val="24"/>
                    </w:rPr>
                    <w:t>11</w:t>
                  </w:r>
                </w:sdtContent>
              </w:sdt>
              <w:r>
                <w:rPr>
                  <w:b/>
                  <w:bCs/>
                  <w:szCs w:val="24"/>
                </w:rPr>
                <w:t>. Ar įstatymų projektai atitinka Žmogaus teisių ir pagrindinių laisvių apsaugos konvencijos nuostatas ir Europos Sąjungos dokumentus</w:t>
              </w:r>
            </w:p>
            <w:p>
              <w:pPr>
                <w:shd w:val="clear" w:color="auto" w:fill="FFFFFF"/>
                <w:spacing w:line="276" w:lineRule="auto"/>
                <w:ind w:firstLine="709"/>
                <w:jc w:val="both"/>
                <w:rPr>
                  <w:color w:val="000000"/>
                  <w:szCs w:val="24"/>
                </w:rPr>
              </w:pPr>
              <w:r>
                <w:rPr>
                  <w:color w:val="000000"/>
                  <w:szCs w:val="24"/>
                </w:rPr>
                <w:t>Įstatymų projektai neprieštarauja Žmogaus teisių ir pagrindinių laisvių apsaugos konvencijos nuostatoms, Europos Sąjungos dokumentams.</w:t>
              </w:r>
            </w:p>
            <w:p>
              <w:pPr>
                <w:shd w:val="clear" w:color="auto" w:fill="FFFFFF"/>
                <w:spacing w:line="276" w:lineRule="auto"/>
                <w:ind w:firstLine="709"/>
                <w:jc w:val="both"/>
                <w:rPr>
                  <w:szCs w:val="24"/>
                </w:rPr>
              </w:pPr>
            </w:p>
          </w:sdtContent>
        </w:sdt>
        <w:sdt>
          <w:sdtPr>
            <w:alias w:val="12 p."/>
            <w:tag w:val="part_9ba2f63df5f5439f8cf0820a345fbf5b"/>
            <w:lock w:val="sdtLocked"/>
            <w:richText/>
          </w:sdtPr>
          <w:sdtContent>
            <w:p>
              <w:pPr>
                <w:spacing w:line="276" w:lineRule="auto"/>
                <w:ind w:firstLine="709"/>
                <w:jc w:val="both"/>
                <w:rPr>
                  <w:b/>
                  <w:bCs/>
                  <w:szCs w:val="24"/>
                </w:rPr>
              </w:pPr>
              <w:sdt>
                <w:sdtPr>
                  <w:alias w:val="Numeris"/>
                  <w:tag w:val="nr_9ba2f63df5f5439f8cf0820a345fbf5b"/>
                  <w:lock w:val="sdtLocked"/>
                  <w:richText/>
                </w:sdtPr>
                <w:sdtContent>
                  <w:r>
                    <w:rPr>
                      <w:b/>
                      <w:bCs/>
                      <w:szCs w:val="24"/>
                    </w:rPr>
                    <w:t>12</w:t>
                  </w:r>
                </w:sdtContent>
              </w:sdt>
              <w:r>
                <w:rPr>
                  <w:b/>
                  <w:bCs/>
                  <w:szCs w:val="24"/>
                </w:rPr>
                <w:t>. Jeigu įstatymams įgyvendinti reikia įgyvendinamųjų teisės aktų, – kas ir kada juos turėtų priimti</w:t>
              </w:r>
            </w:p>
            <w:p>
              <w:pPr>
                <w:shd w:val="clear" w:color="auto" w:fill="FFFFFF"/>
                <w:spacing w:line="276" w:lineRule="auto"/>
                <w:ind w:firstLine="709"/>
                <w:jc w:val="both"/>
                <w:rPr>
                  <w:color w:val="000000"/>
                  <w:szCs w:val="24"/>
                </w:rPr>
              </w:pPr>
              <w:r>
                <w:rPr>
                  <w:color w:val="000000"/>
                  <w:szCs w:val="24"/>
                </w:rPr>
                <w:t xml:space="preserve">Priėmus Įstatymų projektus, </w:t>
              </w:r>
              <w:r>
                <w:rPr>
                  <w:szCs w:val="24"/>
                </w:rPr>
                <w:t xml:space="preserve">reikės parengti Lietuvos Respublikos Vyriausybės nutarimo dėl Lietuvos Respublikos Vyriausybės 2018 m. kovo 21 d. nutarimo Nr. 265 „Dėl Minamatos konvencijos dėl gyvsidabrio ir 2017 m. gegužės 17 d. Europos Parlamento ir Tarybos reglamento </w:t>
              </w:r>
              <w:fldSimple w:instr="HYPERLINK http://eur-lex.europa.eu/legal-content/LIT/TXT/?uri=CELEX:32017R0852&amp;locale=lt \t _blank">
                <w:r>
                  <w:rPr>
                    <w:szCs w:val="24"/>
                    <w:u w:val="single"/>
                    <w:color w:val="0000FF" w:themeColor="hyperlink"/>
                  </w:rPr>
                  <w:t>(ES) 2017/852</w:t>
                </w:r>
              </w:fldSimple>
              <w:r>
                <w:rPr>
                  <w:szCs w:val="24"/>
                </w:rPr>
                <w:t xml:space="preserve"> dėl gyvsidabrio, kuriuo panaikinamas Reglamentas </w:t>
              </w:r>
              <w:fldSimple w:instr="HYPERLINK http://eur-lex.europa.eu/legal-content/LIT/TXT/?uri=CELEX:32008R1102&amp;locale=lt \t _blank">
                <w:r>
                  <w:rPr>
                    <w:szCs w:val="24"/>
                    <w:u w:val="single"/>
                    <w:color w:val="0000FF" w:themeColor="hyperlink"/>
                  </w:rPr>
                  <w:t>(EB) Nr. 1102/2008</w:t>
                </w:r>
              </w:fldSimple>
              <w:r>
                <w:rPr>
                  <w:szCs w:val="24"/>
                </w:rPr>
                <w:t>, įgyvendinimo“ pakeitimo projektą.</w:t>
              </w:r>
            </w:p>
            <w:p>
              <w:pPr>
                <w:shd w:val="clear" w:color="auto" w:fill="FFFFFF"/>
                <w:spacing w:line="276" w:lineRule="auto"/>
                <w:ind w:firstLine="709"/>
                <w:jc w:val="both"/>
                <w:rPr>
                  <w:szCs w:val="24"/>
                </w:rPr>
              </w:pPr>
              <w:r>
                <w:rPr>
                  <w:szCs w:val="24"/>
                </w:rPr>
                <w:t xml:space="preserve">Priėmus Įstatymų projektus, įgyvendinamųjų teisės aktų, susijusių su </w:t>
              </w:r>
              <w:r>
                <w:rPr>
                  <w:color w:val="000000"/>
                  <w:szCs w:val="24"/>
                </w:rPr>
                <w:t xml:space="preserve">Reglamentu </w:t>
              </w:r>
              <w:fldSimple w:instr="HYPERLINK http://eur-lex.europa.eu/legal-content/LIT/TXT/?uri=CELEX:32023R0956&amp;locale=lt \t _blank">
                <w:r>
                  <w:rPr>
                    <w:color w:val="0000FF" w:themeColor="hyperlink"/>
                    <w:szCs w:val="24"/>
                    <w:u w:val="single"/>
                  </w:rPr>
                  <w:t>(ES) 2023/956</w:t>
                </w:r>
              </w:fldSimple>
              <w:r>
                <w:rPr>
                  <w:color w:val="000000"/>
                  <w:szCs w:val="24"/>
                </w:rPr>
                <w:t>, priimti nereikės.</w:t>
              </w:r>
            </w:p>
            <w:p>
              <w:pPr>
                <w:shd w:val="clear" w:color="auto" w:fill="FFFFFF"/>
                <w:spacing w:line="276" w:lineRule="auto"/>
                <w:ind w:firstLine="709"/>
                <w:jc w:val="both"/>
                <w:rPr>
                  <w:color w:val="000000"/>
                  <w:szCs w:val="24"/>
                </w:rPr>
              </w:pPr>
              <w:r>
                <w:rPr>
                  <w:color w:val="000000"/>
                  <w:szCs w:val="24"/>
                </w:rPr>
                <w:t xml:space="preserve">Priėmus Įstatymų projektus, įgyvendinamųjų teisės aktų, susijusių su Reglamentu </w:t>
              </w:r>
              <w:fldSimple w:instr="HYPERLINK http://eur-lex.europa.eu/legal-content/LIT/TXT/?uri=CELEX:32023R1115&amp;locale=lt \t _blank">
                <w:r>
                  <w:rPr>
                    <w:color w:val="0000FF" w:themeColor="hyperlink"/>
                    <w:szCs w:val="24"/>
                    <w:u w:val="single"/>
                  </w:rPr>
                  <w:t>(ES) 2023/1115</w:t>
                </w:r>
              </w:fldSimple>
              <w:r>
                <w:rPr>
                  <w:color w:val="000000"/>
                  <w:szCs w:val="24"/>
                </w:rPr>
                <w:t>, priimti nereikės.</w:t>
              </w:r>
            </w:p>
            <w:p>
              <w:pPr>
                <w:shd w:val="clear" w:color="auto" w:fill="FFFFFF"/>
                <w:spacing w:line="276" w:lineRule="auto"/>
                <w:ind w:firstLine="709"/>
                <w:jc w:val="both"/>
                <w:rPr>
                  <w:color w:val="000000"/>
                  <w:szCs w:val="24"/>
                </w:rPr>
              </w:pPr>
              <w:r>
                <w:rPr>
                  <w:color w:val="000000"/>
                  <w:szCs w:val="24"/>
                </w:rPr>
                <w:t>Dėl Kodekso 12 str. pakeitimo reikės keisti Aplinkos apsaugos departamento prie Aplinkos ministerijos direktoriaus 2020 m. liepos 3 d. įsakymą Nr. AD1-198 „Dėl kriterijų, kuriais vadovaujantis administracinis nusižengimas laikomas mažai pavojingu, nustatymo“. Pakeitimą turės atlikti Aplinkos apsaugos departamentas prie Aplinkos ministerijos.</w:t>
              </w:r>
            </w:p>
            <w:p>
              <w:pPr>
                <w:shd w:val="clear" w:color="auto" w:fill="FFFFFF"/>
                <w:spacing w:line="276" w:lineRule="auto"/>
                <w:ind w:firstLine="709"/>
                <w:jc w:val="both"/>
                <w:rPr>
                  <w:szCs w:val="24"/>
                </w:rPr>
              </w:pPr>
              <w:r>
                <w:rPr>
                  <w:szCs w:val="24"/>
                </w:rPr>
                <w:t>Dėl Kodekso 304</w:t>
              </w:r>
              <w:r>
                <w:rPr>
                  <w:szCs w:val="24"/>
                  <w:vertAlign w:val="superscript"/>
                </w:rPr>
                <w:t>2</w:t>
              </w:r>
              <w:r>
                <w:rPr>
                  <w:szCs w:val="24"/>
                </w:rPr>
                <w:t xml:space="preserve"> ir Įstatymo 122</w:t>
              </w:r>
              <w:r>
                <w:rPr>
                  <w:szCs w:val="24"/>
                  <w:vertAlign w:val="superscript"/>
                </w:rPr>
                <w:t>4</w:t>
              </w:r>
              <w:r>
                <w:rPr>
                  <w:szCs w:val="24"/>
                </w:rPr>
                <w:t xml:space="preserve"> straipsnių pakeitimų įgyvendinamųjų teisės aktų priimti nereikės.</w:t>
              </w:r>
            </w:p>
            <w:p>
              <w:pPr>
                <w:shd w:val="clear" w:color="auto" w:fill="FFFFFF"/>
                <w:spacing w:line="276" w:lineRule="auto"/>
                <w:ind w:firstLine="709"/>
                <w:jc w:val="both"/>
                <w:rPr>
                  <w:szCs w:val="24"/>
                </w:rPr>
              </w:pPr>
            </w:p>
          </w:sdtContent>
        </w:sdt>
        <w:sdt>
          <w:sdtPr>
            <w:alias w:val="13 p."/>
            <w:tag w:val="part_495f096f19404ee88fcbde77c7fe5de2"/>
            <w:lock w:val="sdtLocked"/>
            <w:richText/>
          </w:sdtPr>
          <w:sdtContent>
            <w:p>
              <w:pPr>
                <w:spacing w:line="276" w:lineRule="auto"/>
                <w:ind w:firstLine="709"/>
                <w:jc w:val="both"/>
                <w:rPr>
                  <w:b/>
                  <w:szCs w:val="24"/>
                </w:rPr>
              </w:pPr>
              <w:sdt>
                <w:sdtPr>
                  <w:alias w:val="Numeris"/>
                  <w:tag w:val="nr_495f096f19404ee88fcbde77c7fe5de2"/>
                  <w:lock w:val="sdtLocked"/>
                  <w:richText/>
                </w:sdtPr>
                <w:sdtContent>
                  <w:r>
                    <w:rPr>
                      <w:b/>
                      <w:bCs/>
                      <w:szCs w:val="24"/>
                    </w:rPr>
                    <w:t>13</w:t>
                  </w:r>
                </w:sdtContent>
              </w:sdt>
              <w:r>
                <w:rPr>
                  <w:b/>
                  <w:bCs/>
                  <w:szCs w:val="24"/>
                </w:rPr>
                <w:t>. Kiek valstybės, savivaldybių biudžetų ir kitų valstybės įsteigtų fondų lėšų prireiks įstatymams įgyvendinti, ar bus galima sutaupyti (pateikiami prognozuojami rodikliai einamaisiais ir artimiausiais 3 biudžetiniais metais)</w:t>
              </w:r>
            </w:p>
            <w:p>
              <w:pPr>
                <w:shd w:val="clear" w:color="auto" w:fill="FFFFFF"/>
                <w:spacing w:line="276" w:lineRule="auto"/>
                <w:ind w:firstLine="709"/>
                <w:jc w:val="both"/>
                <w:rPr>
                  <w:color w:val="000000"/>
                  <w:szCs w:val="24"/>
                </w:rPr>
              </w:pPr>
              <w:r>
                <w:rPr>
                  <w:color w:val="000000"/>
                  <w:szCs w:val="24"/>
                </w:rPr>
                <w:t>Priėmus Įstatymų projektus, jiems įgyvendinti papildomų valstybės, savivaldybių biudžetų ir kitų valstybės įsteigtų fondų lėšų nereikės.</w:t>
              </w:r>
            </w:p>
            <w:p>
              <w:pPr>
                <w:shd w:val="clear" w:color="auto" w:fill="FFFFFF"/>
                <w:spacing w:line="276" w:lineRule="auto"/>
                <w:ind w:firstLine="709"/>
                <w:jc w:val="both"/>
                <w:rPr>
                  <w:szCs w:val="24"/>
                </w:rPr>
              </w:pPr>
            </w:p>
          </w:sdtContent>
        </w:sdt>
        <w:sdt>
          <w:sdtPr>
            <w:alias w:val="14 p."/>
            <w:tag w:val="part_61448d6408ab4fe3a6c8514dc75c7439"/>
            <w:lock w:val="sdtLocked"/>
            <w:richText/>
          </w:sdtPr>
          <w:sdtContent>
            <w:p>
              <w:pPr>
                <w:spacing w:line="276" w:lineRule="auto"/>
                <w:ind w:firstLine="709"/>
                <w:jc w:val="both"/>
                <w:rPr>
                  <w:b/>
                  <w:szCs w:val="24"/>
                </w:rPr>
              </w:pPr>
              <w:sdt>
                <w:sdtPr>
                  <w:alias w:val="Numeris"/>
                  <w:tag w:val="nr_61448d6408ab4fe3a6c8514dc75c7439"/>
                  <w:lock w:val="sdtLocked"/>
                  <w:richText/>
                </w:sdtPr>
                <w:sdtContent>
                  <w:r>
                    <w:rPr>
                      <w:b/>
                      <w:bCs/>
                      <w:szCs w:val="24"/>
                    </w:rPr>
                    <w:t>14</w:t>
                  </w:r>
                </w:sdtContent>
              </w:sdt>
              <w:r>
                <w:rPr>
                  <w:b/>
                  <w:bCs/>
                  <w:szCs w:val="24"/>
                </w:rPr>
                <w:t>. Įstatymų projektų rengimo metu gauti specialistų vertinimai ir išvados</w:t>
              </w:r>
            </w:p>
            <w:p>
              <w:pPr>
                <w:shd w:val="clear" w:color="auto" w:fill="FFFFFF"/>
                <w:spacing w:line="276" w:lineRule="auto"/>
                <w:ind w:firstLine="709"/>
                <w:jc w:val="both"/>
                <w:rPr>
                  <w:color w:val="000000"/>
                  <w:szCs w:val="24"/>
                </w:rPr>
              </w:pPr>
              <w:r>
                <w:rPr>
                  <w:color w:val="000000"/>
                  <w:szCs w:val="24"/>
                </w:rPr>
                <w:t>Negauta.</w:t>
              </w:r>
            </w:p>
            <w:p>
              <w:pPr>
                <w:shd w:val="clear" w:color="auto" w:fill="FFFFFF"/>
                <w:spacing w:line="276" w:lineRule="auto"/>
                <w:ind w:firstLine="709"/>
                <w:jc w:val="both"/>
                <w:rPr>
                  <w:szCs w:val="24"/>
                </w:rPr>
              </w:pPr>
            </w:p>
          </w:sdtContent>
        </w:sdt>
        <w:sdt>
          <w:sdtPr>
            <w:alias w:val="15 p."/>
            <w:tag w:val="part_5aa84cbeec0046fcbf39703b1ca4f7a1"/>
            <w:lock w:val="sdtLocked"/>
            <w:richText/>
          </w:sdtPr>
          <w:sdtContent>
            <w:p>
              <w:pPr>
                <w:spacing w:line="276" w:lineRule="auto"/>
                <w:ind w:firstLine="709"/>
                <w:jc w:val="both"/>
                <w:rPr>
                  <w:b/>
                  <w:szCs w:val="24"/>
                </w:rPr>
              </w:pPr>
              <w:sdt>
                <w:sdtPr>
                  <w:alias w:val="Numeris"/>
                  <w:tag w:val="nr_5aa84cbeec0046fcbf39703b1ca4f7a1"/>
                  <w:lock w:val="sdtLocked"/>
                  <w:richText/>
                </w:sdtPr>
                <w:sdtContent>
                  <w:r>
                    <w:rPr>
                      <w:b/>
                      <w:szCs w:val="24"/>
                    </w:rPr>
                    <w:t>15</w:t>
                  </w:r>
                </w:sdtContent>
              </w:sdt>
              <w:r>
                <w:rPr>
                  <w:b/>
                  <w:szCs w:val="24"/>
                </w:rPr>
                <w:t xml:space="preserve">. </w:t>
              </w:r>
              <w:r>
                <w:rPr>
                  <w:b/>
                  <w:bCs/>
                  <w:szCs w:val="24"/>
                </w:rPr>
                <w:t>Reikšminiai</w:t>
              </w:r>
              <w:r>
                <w:rPr>
                  <w:b/>
                  <w:szCs w:val="24"/>
                </w:rPr>
                <w:t xml:space="preserve"> žodžiai, kurių reikia šiems projektams įtraukti į kompiuterinę paieškos sistemą, įskaitant Europos žodyno „Eurovoc“ terminus, temas bei sritis</w:t>
              </w:r>
            </w:p>
            <w:p>
              <w:pPr>
                <w:shd w:val="clear" w:color="auto" w:fill="FFFFFF"/>
                <w:spacing w:line="276" w:lineRule="auto"/>
                <w:ind w:firstLine="771"/>
                <w:jc w:val="both"/>
                <w:rPr>
                  <w:szCs w:val="24"/>
                </w:rPr>
              </w:pPr>
              <w:r>
                <w:rPr>
                  <w:szCs w:val="24"/>
                </w:rPr>
                <w:t>„miškų naikinimas“, „miškų alinimas“, „medienos reglamentas“, „sankcijos“, „klimato kaita“, „pasienio anglies dioksido korekcinis mechanizmas “,</w:t>
              </w:r>
              <w:r>
                <w:rPr>
                  <w:szCs w:val="24"/>
                  <w:lang w:eastAsia="ar-SA"/>
                </w:rPr>
                <w:t xml:space="preserve"> administracinis nusižengimas, </w:t>
              </w:r>
              <w:r>
                <w:rPr>
                  <w:szCs w:val="24"/>
                </w:rPr>
                <w:t>gyvsidabris, dantų amalgama, cheminės medžiagos, cheminių medžiagų tvarkymas, ozono sluoksnį ardančios medžiagos, „atliekos“, „išvežimas“, „eksportas“, „importas“, „</w:t>
              </w:r>
              <w:r>
                <w:rPr>
                  <w:color w:val="000000"/>
                  <w:szCs w:val="24"/>
                </w:rPr>
                <w:t>laivybos bendrovės</w:t>
              </w:r>
              <w:r>
                <w:rPr>
                  <w:szCs w:val="24"/>
                </w:rPr>
                <w:t xml:space="preserve">“, „ReFuel“. </w:t>
              </w:r>
            </w:p>
            <w:p>
              <w:pPr>
                <w:shd w:val="clear" w:color="auto" w:fill="FFFFFF"/>
                <w:spacing w:line="276" w:lineRule="auto"/>
                <w:ind w:firstLine="709"/>
                <w:jc w:val="both"/>
                <w:rPr>
                  <w:szCs w:val="24"/>
                </w:rPr>
              </w:pPr>
            </w:p>
          </w:sdtContent>
        </w:sdt>
        <w:sdt>
          <w:sdtPr>
            <w:alias w:val="16 p."/>
            <w:tag w:val="part_319cde60202c4196a6c4e4da5dadaf87"/>
            <w:lock w:val="sdtLocked"/>
            <w:richText/>
          </w:sdtPr>
          <w:sdtContent>
            <w:p>
              <w:pPr>
                <w:spacing w:line="276" w:lineRule="auto"/>
                <w:ind w:firstLine="709"/>
                <w:jc w:val="both"/>
                <w:rPr>
                  <w:b/>
                  <w:szCs w:val="24"/>
                </w:rPr>
              </w:pPr>
              <w:sdt>
                <w:sdtPr>
                  <w:alias w:val="Numeris"/>
                  <w:tag w:val="nr_319cde60202c4196a6c4e4da5dadaf87"/>
                  <w:lock w:val="sdtLocked"/>
                  <w:richText/>
                </w:sdtPr>
                <w:sdtContent>
                  <w:r>
                    <w:rPr>
                      <w:b/>
                      <w:szCs w:val="24"/>
                    </w:rPr>
                    <w:t>16</w:t>
                  </w:r>
                </w:sdtContent>
              </w:sdt>
              <w:r>
                <w:rPr>
                  <w:b/>
                  <w:szCs w:val="24"/>
                </w:rPr>
                <w:t>. Kiti, iniciatorių nuomone, reikalingi pagrindimai ir paaiškinimai</w:t>
              </w:r>
            </w:p>
            <w:p>
              <w:pPr>
                <w:shd w:val="clear" w:color="auto" w:fill="FFFFFF"/>
                <w:spacing w:line="276" w:lineRule="auto"/>
                <w:ind w:firstLine="709"/>
                <w:jc w:val="both"/>
                <w:rPr>
                  <w:szCs w:val="24"/>
                </w:rPr>
              </w:pPr>
              <w:r>
                <w:rPr>
                  <w:szCs w:val="24"/>
                </w:rPr>
                <w:t>Nėra.</w:t>
              </w:r>
            </w:p>
          </w:sdtContent>
        </w:sdt>
      </w:sdtContent>
    </w:sdt>
    <w:sectPr>
      <w:headerReference w:type="even" r:id="rId28"/>
      <w:headerReference w:type="default" r:id="rId29"/>
      <w:footerReference w:type="even" r:id="rId30"/>
      <w:footerReference w:type="default" r:id="rId31"/>
      <w:headerReference w:type="first" r:id="rId32"/>
      <w:footerReference w:type="first" r:id="rId33"/>
      <w:pgSz w:w="12240" w:h="15840"/>
      <w:pgMar w:top="1134" w:right="567" w:bottom="1134" w:left="1701" w:header="709" w:footer="709"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Arial"/>
    <w:charset w:val="00"/>
    <w:family w:val="auto"/>
    <w:pitch w:val="variable"/>
  </w:font>
  <w:font w:name="Aptos">
    <w:altName w:val="Arial"/>
    <w:charset w:val="00"/>
    <w:family w:val="swiss"/>
    <w:pitch w:val="variable"/>
    <w:sig w:usb0="20000287" w:usb1="00000003" w:usb2="00000000" w:usb3="00000000" w:csb0="0000019F"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320"/>
      <w:gridCol w:w="3320"/>
      <w:gridCol w:w="3320"/>
    </w:tblGrid>
    <w:tr>
      <w:trPr>
        <w:trHeight w:val="300"/>
      </w:trPr>
      <w:tc>
        <w:tcPr>
          <w:tcW w:w="3320" w:type="dxa"/>
        </w:tcPr>
        <w:p>
          <w:pPr>
            <w:tabs>
              <w:tab w:val="center" w:pos="4680"/>
              <w:tab w:val="right" w:pos="9360"/>
            </w:tabs>
            <w:ind w:left="-115"/>
          </w:pPr>
        </w:p>
      </w:tc>
      <w:tc>
        <w:tcPr>
          <w:tcW w:w="3320" w:type="dxa"/>
        </w:tcPr>
        <w:p>
          <w:pPr>
            <w:tabs>
              <w:tab w:val="center" w:pos="4680"/>
              <w:tab w:val="right" w:pos="9360"/>
            </w:tabs>
            <w:jc w:val="center"/>
          </w:pPr>
        </w:p>
      </w:tc>
      <w:tc>
        <w:tcPr>
          <w:tcW w:w="3320" w:type="dxa"/>
        </w:tcPr>
        <w:p>
          <w:pPr>
            <w:tabs>
              <w:tab w:val="center" w:pos="4680"/>
              <w:tab w:val="right" w:pos="9360"/>
            </w:tabs>
            <w:ind w:right="-115"/>
            <w:jc w:val="right"/>
          </w:pPr>
        </w:p>
      </w:tc>
    </w:tr>
  </w:tbl>
  <w:p>
    <w:pPr>
      <w:tabs>
        <w:tab w:val="center" w:pos="4680"/>
        <w:tab w:val="right" w:pos="9360"/>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 w:type="continuationNotice" w:id="1">
    <w:p/>
  </w:footnote>
  <w:footnote w:id="2">
    <w:p>
      <w:pPr>
        <w:rPr>
          <w:sz w:val="20"/>
        </w:rPr>
      </w:pPr>
      <w:r>
        <w:rPr>
          <w:sz w:val="20"/>
          <w:vertAlign w:val="superscript"/>
        </w:rPr>
        <w:footnoteRef/>
      </w:r>
      <w:r>
        <w:rPr>
          <w:sz w:val="20"/>
        </w:rPr>
        <w:t xml:space="preserve"> </w:t>
      </w:r>
      <w:r>
        <w:rPr>
          <w:sz w:val="20"/>
          <w:szCs w:val="24"/>
        </w:rPr>
        <w:t xml:space="preserve">Sprendimas Nr. MC-4/3. </w:t>
      </w:r>
      <w:r>
        <w:rPr>
          <w:i/>
          <w:sz w:val="20"/>
          <w:szCs w:val="24"/>
        </w:rPr>
        <w:t>Minamatos konvencijos dėl gyvsidabrio A ir B priedų peržiūra ir pakeitimas</w:t>
      </w:r>
      <w:r>
        <w:rPr>
          <w:sz w:val="20"/>
          <w:szCs w:val="24"/>
        </w:rPr>
        <w:t>, 2022 m. kovo 25 d.</w:t>
      </w:r>
    </w:p>
  </w:footnote>
  <w:footnote w:id="3">
    <w:p>
      <w:pPr>
        <w:rPr>
          <w:sz w:val="20"/>
        </w:rPr>
      </w:pPr>
      <w:r>
        <w:rPr>
          <w:sz w:val="20"/>
          <w:vertAlign w:val="superscript"/>
        </w:rPr>
        <w:footnoteRef/>
      </w:r>
      <w:r>
        <w:rPr>
          <w:sz w:val="20"/>
        </w:rPr>
        <w:t xml:space="preserve"> </w:t>
      </w:r>
      <w:r>
        <w:rPr>
          <w:i/>
          <w:sz w:val="20"/>
          <w:szCs w:val="24"/>
        </w:rPr>
        <w:t xml:space="preserve">MC-5/4: Amendments to </w:t>
      </w:r>
      <w:r>
        <w:rPr>
          <w:i/>
          <w:iCs/>
          <w:sz w:val="20"/>
          <w:szCs w:val="24"/>
        </w:rPr>
        <w:t>annexes</w:t>
      </w:r>
      <w:r>
        <w:rPr>
          <w:i/>
          <w:sz w:val="20"/>
          <w:szCs w:val="24"/>
        </w:rPr>
        <w:t xml:space="preserve"> A and B and the feasibility of mercury‑free alternatives for manufacturing processes listed in annex B</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pPr>
    <w:r>
      <w:fldChar w:fldCharType="begin"/>
    </w:r>
    <w:r>
      <w:instrText xml:space="preserve"> PAGE   \* MERGEFORMAT </w:instrText>
    </w:r>
    <w:r>
      <w:fldChar w:fldCharType="separate"/>
    </w:r>
    <w:r>
      <w:t>2</w:t>
    </w:r>
    <w:r>
      <w:fldChar w:fldCharType="end"/>
    </w:r>
  </w:p>
  <w:p>
    <w:pPr>
      <w:tabs>
        <w:tab w:val="center" w:pos="4680"/>
        <w:tab w:val="right" w:pos="9360"/>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pPr>
  </w:p>
</w:hdr>
</file>

<file path=word/intelligence2.xml><?xml version="1.0" encoding="utf-8"?>
<int2:intelligence xmlns:int2="http://schemas.microsoft.com/office/intelligence/2020/intelligence" xmlns:oel="http://schemas.microsoft.com/office/2019/extlst">
  <int2:observations>
    <int2:textHash int2:hashCode="+6/SFMo/Y1+CAF" int2:id="OjAWldRa">
      <int2:state int2:value="Rejected" int2:type="AugLoop_Text_Critique"/>
    </int2:textHash>
    <int2:textHash int2:hashCode="Q5NdmRxIL/+GAU" int2:id="z4eHo2iU">
      <int2:state int2:value="Rejected" int2:type="AugLoop_Text_Critique"/>
    </int2:textHash>
  </int2:observations>
  <int2:intelligenceSettings/>
  <int2:onDemandWorkflows/>
</int2:intelligence>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7A05"/>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916633C-D6F6-4F71-A17A-FB254D4DB19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5345644">
      <w:bodyDiv w:val="1"/>
      <w:marLeft w:val="0"/>
      <w:marRight w:val="0"/>
      <w:marTop w:val="0"/>
      <w:marBottom w:val="0"/>
      <w:divBdr>
        <w:top w:val="none" w:sz="0" w:space="0" w:color="auto"/>
        <w:left w:val="none" w:sz="0" w:space="0" w:color="auto"/>
        <w:bottom w:val="none" w:sz="0" w:space="0" w:color="auto"/>
        <w:right w:val="none" w:sz="0" w:space="0" w:color="auto"/>
      </w:divBdr>
      <w:divsChild>
        <w:div w:id="426315628">
          <w:marLeft w:val="0"/>
          <w:marRight w:val="0"/>
          <w:marTop w:val="0"/>
          <w:marBottom w:val="0"/>
          <w:divBdr>
            <w:top w:val="none" w:sz="0" w:space="0" w:color="auto"/>
            <w:left w:val="none" w:sz="0" w:space="0" w:color="auto"/>
            <w:bottom w:val="none" w:sz="0" w:space="0" w:color="auto"/>
            <w:right w:val="none" w:sz="0" w:space="0" w:color="auto"/>
          </w:divBdr>
        </w:div>
        <w:div w:id="684290656">
          <w:marLeft w:val="0"/>
          <w:marRight w:val="0"/>
          <w:marTop w:val="0"/>
          <w:marBottom w:val="0"/>
          <w:divBdr>
            <w:top w:val="none" w:sz="0" w:space="0" w:color="auto"/>
            <w:left w:val="none" w:sz="0" w:space="0" w:color="auto"/>
            <w:bottom w:val="none" w:sz="0" w:space="0" w:color="auto"/>
            <w:right w:val="none" w:sz="0" w:space="0" w:color="auto"/>
          </w:divBdr>
        </w:div>
      </w:divsChild>
    </w:div>
    <w:div w:id="151605002">
      <w:bodyDiv w:val="1"/>
      <w:marLeft w:val="0"/>
      <w:marRight w:val="0"/>
      <w:marTop w:val="0"/>
      <w:marBottom w:val="0"/>
      <w:divBdr>
        <w:top w:val="none" w:sz="0" w:space="0" w:color="auto"/>
        <w:left w:val="none" w:sz="0" w:space="0" w:color="auto"/>
        <w:bottom w:val="none" w:sz="0" w:space="0" w:color="auto"/>
        <w:right w:val="none" w:sz="0" w:space="0" w:color="auto"/>
      </w:divBdr>
      <w:divsChild>
        <w:div w:id="291599233">
          <w:marLeft w:val="0"/>
          <w:marRight w:val="0"/>
          <w:marTop w:val="0"/>
          <w:marBottom w:val="0"/>
          <w:divBdr>
            <w:top w:val="none" w:sz="0" w:space="0" w:color="auto"/>
            <w:left w:val="none" w:sz="0" w:space="0" w:color="auto"/>
            <w:bottom w:val="none" w:sz="0" w:space="0" w:color="auto"/>
            <w:right w:val="none" w:sz="0" w:space="0" w:color="auto"/>
          </w:divBdr>
        </w:div>
        <w:div w:id="763185624">
          <w:marLeft w:val="0"/>
          <w:marRight w:val="0"/>
          <w:marTop w:val="0"/>
          <w:marBottom w:val="0"/>
          <w:divBdr>
            <w:top w:val="none" w:sz="0" w:space="0" w:color="auto"/>
            <w:left w:val="none" w:sz="0" w:space="0" w:color="auto"/>
            <w:bottom w:val="none" w:sz="0" w:space="0" w:color="auto"/>
            <w:right w:val="none" w:sz="0" w:space="0" w:color="auto"/>
          </w:divBdr>
        </w:div>
        <w:div w:id="981228877">
          <w:marLeft w:val="0"/>
          <w:marRight w:val="0"/>
          <w:marTop w:val="0"/>
          <w:marBottom w:val="0"/>
          <w:divBdr>
            <w:top w:val="none" w:sz="0" w:space="0" w:color="auto"/>
            <w:left w:val="none" w:sz="0" w:space="0" w:color="auto"/>
            <w:bottom w:val="none" w:sz="0" w:space="0" w:color="auto"/>
            <w:right w:val="none" w:sz="0" w:space="0" w:color="auto"/>
          </w:divBdr>
        </w:div>
      </w:divsChild>
    </w:div>
    <w:div w:id="189728349">
      <w:bodyDiv w:val="1"/>
      <w:marLeft w:val="0"/>
      <w:marRight w:val="0"/>
      <w:marTop w:val="0"/>
      <w:marBottom w:val="0"/>
      <w:divBdr>
        <w:top w:val="none" w:sz="0" w:space="0" w:color="auto"/>
        <w:left w:val="none" w:sz="0" w:space="0" w:color="auto"/>
        <w:bottom w:val="none" w:sz="0" w:space="0" w:color="auto"/>
        <w:right w:val="none" w:sz="0" w:space="0" w:color="auto"/>
      </w:divBdr>
      <w:divsChild>
        <w:div w:id="1229539443">
          <w:marLeft w:val="0"/>
          <w:marRight w:val="0"/>
          <w:marTop w:val="0"/>
          <w:marBottom w:val="0"/>
          <w:divBdr>
            <w:top w:val="none" w:sz="0" w:space="0" w:color="auto"/>
            <w:left w:val="none" w:sz="0" w:space="0" w:color="auto"/>
            <w:bottom w:val="none" w:sz="0" w:space="0" w:color="auto"/>
            <w:right w:val="none" w:sz="0" w:space="0" w:color="auto"/>
          </w:divBdr>
        </w:div>
      </w:divsChild>
    </w:div>
    <w:div w:id="210702020">
      <w:bodyDiv w:val="1"/>
      <w:marLeft w:val="0"/>
      <w:marRight w:val="0"/>
      <w:marTop w:val="0"/>
      <w:marBottom w:val="0"/>
      <w:divBdr>
        <w:top w:val="none" w:sz="0" w:space="0" w:color="auto"/>
        <w:left w:val="none" w:sz="0" w:space="0" w:color="auto"/>
        <w:bottom w:val="none" w:sz="0" w:space="0" w:color="auto"/>
        <w:right w:val="none" w:sz="0" w:space="0" w:color="auto"/>
      </w:divBdr>
      <w:divsChild>
        <w:div w:id="526139543">
          <w:marLeft w:val="0"/>
          <w:marRight w:val="0"/>
          <w:marTop w:val="0"/>
          <w:marBottom w:val="0"/>
          <w:divBdr>
            <w:top w:val="none" w:sz="0" w:space="0" w:color="auto"/>
            <w:left w:val="none" w:sz="0" w:space="0" w:color="auto"/>
            <w:bottom w:val="none" w:sz="0" w:space="0" w:color="auto"/>
            <w:right w:val="none" w:sz="0" w:space="0" w:color="auto"/>
          </w:divBdr>
        </w:div>
        <w:div w:id="1538591482">
          <w:marLeft w:val="0"/>
          <w:marRight w:val="0"/>
          <w:marTop w:val="0"/>
          <w:marBottom w:val="0"/>
          <w:divBdr>
            <w:top w:val="none" w:sz="0" w:space="0" w:color="auto"/>
            <w:left w:val="none" w:sz="0" w:space="0" w:color="auto"/>
            <w:bottom w:val="none" w:sz="0" w:space="0" w:color="auto"/>
            <w:right w:val="none" w:sz="0" w:space="0" w:color="auto"/>
          </w:divBdr>
        </w:div>
      </w:divsChild>
    </w:div>
    <w:div w:id="224033455">
      <w:bodyDiv w:val="1"/>
      <w:marLeft w:val="0"/>
      <w:marRight w:val="0"/>
      <w:marTop w:val="0"/>
      <w:marBottom w:val="0"/>
      <w:divBdr>
        <w:top w:val="none" w:sz="0" w:space="0" w:color="auto"/>
        <w:left w:val="none" w:sz="0" w:space="0" w:color="auto"/>
        <w:bottom w:val="none" w:sz="0" w:space="0" w:color="auto"/>
        <w:right w:val="none" w:sz="0" w:space="0" w:color="auto"/>
      </w:divBdr>
      <w:divsChild>
        <w:div w:id="45615185">
          <w:marLeft w:val="0"/>
          <w:marRight w:val="0"/>
          <w:marTop w:val="0"/>
          <w:marBottom w:val="0"/>
          <w:divBdr>
            <w:top w:val="none" w:sz="0" w:space="0" w:color="auto"/>
            <w:left w:val="none" w:sz="0" w:space="0" w:color="auto"/>
            <w:bottom w:val="none" w:sz="0" w:space="0" w:color="auto"/>
            <w:right w:val="none" w:sz="0" w:space="0" w:color="auto"/>
          </w:divBdr>
        </w:div>
        <w:div w:id="55011936">
          <w:marLeft w:val="0"/>
          <w:marRight w:val="0"/>
          <w:marTop w:val="0"/>
          <w:marBottom w:val="0"/>
          <w:divBdr>
            <w:top w:val="none" w:sz="0" w:space="0" w:color="auto"/>
            <w:left w:val="none" w:sz="0" w:space="0" w:color="auto"/>
            <w:bottom w:val="none" w:sz="0" w:space="0" w:color="auto"/>
            <w:right w:val="none" w:sz="0" w:space="0" w:color="auto"/>
          </w:divBdr>
        </w:div>
        <w:div w:id="207642339">
          <w:marLeft w:val="0"/>
          <w:marRight w:val="0"/>
          <w:marTop w:val="0"/>
          <w:marBottom w:val="0"/>
          <w:divBdr>
            <w:top w:val="none" w:sz="0" w:space="0" w:color="auto"/>
            <w:left w:val="none" w:sz="0" w:space="0" w:color="auto"/>
            <w:bottom w:val="none" w:sz="0" w:space="0" w:color="auto"/>
            <w:right w:val="none" w:sz="0" w:space="0" w:color="auto"/>
          </w:divBdr>
        </w:div>
        <w:div w:id="464588917">
          <w:marLeft w:val="0"/>
          <w:marRight w:val="0"/>
          <w:marTop w:val="0"/>
          <w:marBottom w:val="0"/>
          <w:divBdr>
            <w:top w:val="none" w:sz="0" w:space="0" w:color="auto"/>
            <w:left w:val="none" w:sz="0" w:space="0" w:color="auto"/>
            <w:bottom w:val="none" w:sz="0" w:space="0" w:color="auto"/>
            <w:right w:val="none" w:sz="0" w:space="0" w:color="auto"/>
          </w:divBdr>
        </w:div>
        <w:div w:id="838227083">
          <w:marLeft w:val="0"/>
          <w:marRight w:val="0"/>
          <w:marTop w:val="0"/>
          <w:marBottom w:val="0"/>
          <w:divBdr>
            <w:top w:val="none" w:sz="0" w:space="0" w:color="auto"/>
            <w:left w:val="none" w:sz="0" w:space="0" w:color="auto"/>
            <w:bottom w:val="none" w:sz="0" w:space="0" w:color="auto"/>
            <w:right w:val="none" w:sz="0" w:space="0" w:color="auto"/>
          </w:divBdr>
        </w:div>
        <w:div w:id="982391536">
          <w:marLeft w:val="0"/>
          <w:marRight w:val="0"/>
          <w:marTop w:val="0"/>
          <w:marBottom w:val="0"/>
          <w:divBdr>
            <w:top w:val="none" w:sz="0" w:space="0" w:color="auto"/>
            <w:left w:val="none" w:sz="0" w:space="0" w:color="auto"/>
            <w:bottom w:val="none" w:sz="0" w:space="0" w:color="auto"/>
            <w:right w:val="none" w:sz="0" w:space="0" w:color="auto"/>
          </w:divBdr>
        </w:div>
        <w:div w:id="1275409288">
          <w:marLeft w:val="0"/>
          <w:marRight w:val="0"/>
          <w:marTop w:val="0"/>
          <w:marBottom w:val="0"/>
          <w:divBdr>
            <w:top w:val="none" w:sz="0" w:space="0" w:color="auto"/>
            <w:left w:val="none" w:sz="0" w:space="0" w:color="auto"/>
            <w:bottom w:val="none" w:sz="0" w:space="0" w:color="auto"/>
            <w:right w:val="none" w:sz="0" w:space="0" w:color="auto"/>
          </w:divBdr>
        </w:div>
        <w:div w:id="1601600994">
          <w:marLeft w:val="0"/>
          <w:marRight w:val="0"/>
          <w:marTop w:val="0"/>
          <w:marBottom w:val="0"/>
          <w:divBdr>
            <w:top w:val="none" w:sz="0" w:space="0" w:color="auto"/>
            <w:left w:val="none" w:sz="0" w:space="0" w:color="auto"/>
            <w:bottom w:val="none" w:sz="0" w:space="0" w:color="auto"/>
            <w:right w:val="none" w:sz="0" w:space="0" w:color="auto"/>
          </w:divBdr>
        </w:div>
        <w:div w:id="1611811705">
          <w:marLeft w:val="0"/>
          <w:marRight w:val="0"/>
          <w:marTop w:val="0"/>
          <w:marBottom w:val="0"/>
          <w:divBdr>
            <w:top w:val="none" w:sz="0" w:space="0" w:color="auto"/>
            <w:left w:val="none" w:sz="0" w:space="0" w:color="auto"/>
            <w:bottom w:val="none" w:sz="0" w:space="0" w:color="auto"/>
            <w:right w:val="none" w:sz="0" w:space="0" w:color="auto"/>
          </w:divBdr>
        </w:div>
        <w:div w:id="1664777912">
          <w:marLeft w:val="0"/>
          <w:marRight w:val="0"/>
          <w:marTop w:val="0"/>
          <w:marBottom w:val="0"/>
          <w:divBdr>
            <w:top w:val="none" w:sz="0" w:space="0" w:color="auto"/>
            <w:left w:val="none" w:sz="0" w:space="0" w:color="auto"/>
            <w:bottom w:val="none" w:sz="0" w:space="0" w:color="auto"/>
            <w:right w:val="none" w:sz="0" w:space="0" w:color="auto"/>
          </w:divBdr>
        </w:div>
        <w:div w:id="1732339560">
          <w:marLeft w:val="0"/>
          <w:marRight w:val="0"/>
          <w:marTop w:val="0"/>
          <w:marBottom w:val="0"/>
          <w:divBdr>
            <w:top w:val="none" w:sz="0" w:space="0" w:color="auto"/>
            <w:left w:val="none" w:sz="0" w:space="0" w:color="auto"/>
            <w:bottom w:val="none" w:sz="0" w:space="0" w:color="auto"/>
            <w:right w:val="none" w:sz="0" w:space="0" w:color="auto"/>
          </w:divBdr>
        </w:div>
        <w:div w:id="1812021982">
          <w:marLeft w:val="0"/>
          <w:marRight w:val="0"/>
          <w:marTop w:val="0"/>
          <w:marBottom w:val="0"/>
          <w:divBdr>
            <w:top w:val="none" w:sz="0" w:space="0" w:color="auto"/>
            <w:left w:val="none" w:sz="0" w:space="0" w:color="auto"/>
            <w:bottom w:val="none" w:sz="0" w:space="0" w:color="auto"/>
            <w:right w:val="none" w:sz="0" w:space="0" w:color="auto"/>
          </w:divBdr>
        </w:div>
        <w:div w:id="1839228367">
          <w:marLeft w:val="0"/>
          <w:marRight w:val="0"/>
          <w:marTop w:val="0"/>
          <w:marBottom w:val="0"/>
          <w:divBdr>
            <w:top w:val="none" w:sz="0" w:space="0" w:color="auto"/>
            <w:left w:val="none" w:sz="0" w:space="0" w:color="auto"/>
            <w:bottom w:val="none" w:sz="0" w:space="0" w:color="auto"/>
            <w:right w:val="none" w:sz="0" w:space="0" w:color="auto"/>
          </w:divBdr>
        </w:div>
        <w:div w:id="1846167346">
          <w:marLeft w:val="0"/>
          <w:marRight w:val="0"/>
          <w:marTop w:val="0"/>
          <w:marBottom w:val="0"/>
          <w:divBdr>
            <w:top w:val="none" w:sz="0" w:space="0" w:color="auto"/>
            <w:left w:val="none" w:sz="0" w:space="0" w:color="auto"/>
            <w:bottom w:val="none" w:sz="0" w:space="0" w:color="auto"/>
            <w:right w:val="none" w:sz="0" w:space="0" w:color="auto"/>
          </w:divBdr>
        </w:div>
        <w:div w:id="1904947362">
          <w:marLeft w:val="0"/>
          <w:marRight w:val="0"/>
          <w:marTop w:val="0"/>
          <w:marBottom w:val="0"/>
          <w:divBdr>
            <w:top w:val="none" w:sz="0" w:space="0" w:color="auto"/>
            <w:left w:val="none" w:sz="0" w:space="0" w:color="auto"/>
            <w:bottom w:val="none" w:sz="0" w:space="0" w:color="auto"/>
            <w:right w:val="none" w:sz="0" w:space="0" w:color="auto"/>
          </w:divBdr>
        </w:div>
        <w:div w:id="2016835221">
          <w:marLeft w:val="0"/>
          <w:marRight w:val="0"/>
          <w:marTop w:val="0"/>
          <w:marBottom w:val="0"/>
          <w:divBdr>
            <w:top w:val="none" w:sz="0" w:space="0" w:color="auto"/>
            <w:left w:val="none" w:sz="0" w:space="0" w:color="auto"/>
            <w:bottom w:val="none" w:sz="0" w:space="0" w:color="auto"/>
            <w:right w:val="none" w:sz="0" w:space="0" w:color="auto"/>
          </w:divBdr>
        </w:div>
        <w:div w:id="2094932262">
          <w:marLeft w:val="0"/>
          <w:marRight w:val="0"/>
          <w:marTop w:val="0"/>
          <w:marBottom w:val="0"/>
          <w:divBdr>
            <w:top w:val="none" w:sz="0" w:space="0" w:color="auto"/>
            <w:left w:val="none" w:sz="0" w:space="0" w:color="auto"/>
            <w:bottom w:val="none" w:sz="0" w:space="0" w:color="auto"/>
            <w:right w:val="none" w:sz="0" w:space="0" w:color="auto"/>
          </w:divBdr>
        </w:div>
        <w:div w:id="2126806271">
          <w:marLeft w:val="0"/>
          <w:marRight w:val="0"/>
          <w:marTop w:val="0"/>
          <w:marBottom w:val="0"/>
          <w:divBdr>
            <w:top w:val="none" w:sz="0" w:space="0" w:color="auto"/>
            <w:left w:val="none" w:sz="0" w:space="0" w:color="auto"/>
            <w:bottom w:val="none" w:sz="0" w:space="0" w:color="auto"/>
            <w:right w:val="none" w:sz="0" w:space="0" w:color="auto"/>
          </w:divBdr>
        </w:div>
        <w:div w:id="2130661334">
          <w:marLeft w:val="0"/>
          <w:marRight w:val="0"/>
          <w:marTop w:val="0"/>
          <w:marBottom w:val="0"/>
          <w:divBdr>
            <w:top w:val="none" w:sz="0" w:space="0" w:color="auto"/>
            <w:left w:val="none" w:sz="0" w:space="0" w:color="auto"/>
            <w:bottom w:val="none" w:sz="0" w:space="0" w:color="auto"/>
            <w:right w:val="none" w:sz="0" w:space="0" w:color="auto"/>
          </w:divBdr>
        </w:div>
      </w:divsChild>
    </w:div>
    <w:div w:id="249700939">
      <w:bodyDiv w:val="1"/>
      <w:marLeft w:val="0"/>
      <w:marRight w:val="0"/>
      <w:marTop w:val="0"/>
      <w:marBottom w:val="0"/>
      <w:divBdr>
        <w:top w:val="none" w:sz="0" w:space="0" w:color="auto"/>
        <w:left w:val="none" w:sz="0" w:space="0" w:color="auto"/>
        <w:bottom w:val="none" w:sz="0" w:space="0" w:color="auto"/>
        <w:right w:val="none" w:sz="0" w:space="0" w:color="auto"/>
      </w:divBdr>
      <w:divsChild>
        <w:div w:id="1290283675">
          <w:marLeft w:val="0"/>
          <w:marRight w:val="0"/>
          <w:marTop w:val="0"/>
          <w:marBottom w:val="0"/>
          <w:divBdr>
            <w:top w:val="none" w:sz="0" w:space="0" w:color="auto"/>
            <w:left w:val="none" w:sz="0" w:space="0" w:color="auto"/>
            <w:bottom w:val="none" w:sz="0" w:space="0" w:color="auto"/>
            <w:right w:val="none" w:sz="0" w:space="0" w:color="auto"/>
          </w:divBdr>
        </w:div>
      </w:divsChild>
    </w:div>
    <w:div w:id="273367488">
      <w:bodyDiv w:val="1"/>
      <w:marLeft w:val="0"/>
      <w:marRight w:val="0"/>
      <w:marTop w:val="0"/>
      <w:marBottom w:val="0"/>
      <w:divBdr>
        <w:top w:val="none" w:sz="0" w:space="0" w:color="auto"/>
        <w:left w:val="none" w:sz="0" w:space="0" w:color="auto"/>
        <w:bottom w:val="none" w:sz="0" w:space="0" w:color="auto"/>
        <w:right w:val="none" w:sz="0" w:space="0" w:color="auto"/>
      </w:divBdr>
    </w:div>
    <w:div w:id="273899743">
      <w:bodyDiv w:val="1"/>
      <w:marLeft w:val="0"/>
      <w:marRight w:val="0"/>
      <w:marTop w:val="0"/>
      <w:marBottom w:val="0"/>
      <w:divBdr>
        <w:top w:val="none" w:sz="0" w:space="0" w:color="auto"/>
        <w:left w:val="none" w:sz="0" w:space="0" w:color="auto"/>
        <w:bottom w:val="none" w:sz="0" w:space="0" w:color="auto"/>
        <w:right w:val="none" w:sz="0" w:space="0" w:color="auto"/>
      </w:divBdr>
    </w:div>
    <w:div w:id="299925382">
      <w:bodyDiv w:val="1"/>
      <w:marLeft w:val="0"/>
      <w:marRight w:val="0"/>
      <w:marTop w:val="0"/>
      <w:marBottom w:val="0"/>
      <w:divBdr>
        <w:top w:val="none" w:sz="0" w:space="0" w:color="auto"/>
        <w:left w:val="none" w:sz="0" w:space="0" w:color="auto"/>
        <w:bottom w:val="none" w:sz="0" w:space="0" w:color="auto"/>
        <w:right w:val="none" w:sz="0" w:space="0" w:color="auto"/>
      </w:divBdr>
    </w:div>
    <w:div w:id="337848284">
      <w:bodyDiv w:val="1"/>
      <w:marLeft w:val="0"/>
      <w:marRight w:val="0"/>
      <w:marTop w:val="0"/>
      <w:marBottom w:val="0"/>
      <w:divBdr>
        <w:top w:val="none" w:sz="0" w:space="0" w:color="auto"/>
        <w:left w:val="none" w:sz="0" w:space="0" w:color="auto"/>
        <w:bottom w:val="none" w:sz="0" w:space="0" w:color="auto"/>
        <w:right w:val="none" w:sz="0" w:space="0" w:color="auto"/>
      </w:divBdr>
      <w:divsChild>
        <w:div w:id="1000625377">
          <w:marLeft w:val="0"/>
          <w:marRight w:val="0"/>
          <w:marTop w:val="0"/>
          <w:marBottom w:val="0"/>
          <w:divBdr>
            <w:top w:val="none" w:sz="0" w:space="0" w:color="auto"/>
            <w:left w:val="none" w:sz="0" w:space="0" w:color="auto"/>
            <w:bottom w:val="none" w:sz="0" w:space="0" w:color="auto"/>
            <w:right w:val="none" w:sz="0" w:space="0" w:color="auto"/>
          </w:divBdr>
        </w:div>
        <w:div w:id="1785539647">
          <w:marLeft w:val="0"/>
          <w:marRight w:val="0"/>
          <w:marTop w:val="0"/>
          <w:marBottom w:val="0"/>
          <w:divBdr>
            <w:top w:val="none" w:sz="0" w:space="0" w:color="auto"/>
            <w:left w:val="none" w:sz="0" w:space="0" w:color="auto"/>
            <w:bottom w:val="none" w:sz="0" w:space="0" w:color="auto"/>
            <w:right w:val="none" w:sz="0" w:space="0" w:color="auto"/>
          </w:divBdr>
        </w:div>
      </w:divsChild>
    </w:div>
    <w:div w:id="562377773">
      <w:bodyDiv w:val="1"/>
      <w:marLeft w:val="0"/>
      <w:marRight w:val="0"/>
      <w:marTop w:val="0"/>
      <w:marBottom w:val="0"/>
      <w:divBdr>
        <w:top w:val="none" w:sz="0" w:space="0" w:color="auto"/>
        <w:left w:val="none" w:sz="0" w:space="0" w:color="auto"/>
        <w:bottom w:val="none" w:sz="0" w:space="0" w:color="auto"/>
        <w:right w:val="none" w:sz="0" w:space="0" w:color="auto"/>
      </w:divBdr>
      <w:divsChild>
        <w:div w:id="57828259">
          <w:marLeft w:val="0"/>
          <w:marRight w:val="0"/>
          <w:marTop w:val="0"/>
          <w:marBottom w:val="0"/>
          <w:divBdr>
            <w:top w:val="none" w:sz="0" w:space="0" w:color="auto"/>
            <w:left w:val="none" w:sz="0" w:space="0" w:color="auto"/>
            <w:bottom w:val="none" w:sz="0" w:space="0" w:color="auto"/>
            <w:right w:val="none" w:sz="0" w:space="0" w:color="auto"/>
          </w:divBdr>
        </w:div>
        <w:div w:id="143084106">
          <w:marLeft w:val="0"/>
          <w:marRight w:val="0"/>
          <w:marTop w:val="0"/>
          <w:marBottom w:val="0"/>
          <w:divBdr>
            <w:top w:val="none" w:sz="0" w:space="0" w:color="auto"/>
            <w:left w:val="none" w:sz="0" w:space="0" w:color="auto"/>
            <w:bottom w:val="none" w:sz="0" w:space="0" w:color="auto"/>
            <w:right w:val="none" w:sz="0" w:space="0" w:color="auto"/>
          </w:divBdr>
        </w:div>
        <w:div w:id="158811442">
          <w:marLeft w:val="0"/>
          <w:marRight w:val="0"/>
          <w:marTop w:val="0"/>
          <w:marBottom w:val="0"/>
          <w:divBdr>
            <w:top w:val="none" w:sz="0" w:space="0" w:color="auto"/>
            <w:left w:val="none" w:sz="0" w:space="0" w:color="auto"/>
            <w:bottom w:val="none" w:sz="0" w:space="0" w:color="auto"/>
            <w:right w:val="none" w:sz="0" w:space="0" w:color="auto"/>
          </w:divBdr>
        </w:div>
        <w:div w:id="190581061">
          <w:marLeft w:val="0"/>
          <w:marRight w:val="0"/>
          <w:marTop w:val="0"/>
          <w:marBottom w:val="0"/>
          <w:divBdr>
            <w:top w:val="none" w:sz="0" w:space="0" w:color="auto"/>
            <w:left w:val="none" w:sz="0" w:space="0" w:color="auto"/>
            <w:bottom w:val="none" w:sz="0" w:space="0" w:color="auto"/>
            <w:right w:val="none" w:sz="0" w:space="0" w:color="auto"/>
          </w:divBdr>
        </w:div>
        <w:div w:id="256333096">
          <w:marLeft w:val="0"/>
          <w:marRight w:val="0"/>
          <w:marTop w:val="0"/>
          <w:marBottom w:val="0"/>
          <w:divBdr>
            <w:top w:val="none" w:sz="0" w:space="0" w:color="auto"/>
            <w:left w:val="none" w:sz="0" w:space="0" w:color="auto"/>
            <w:bottom w:val="none" w:sz="0" w:space="0" w:color="auto"/>
            <w:right w:val="none" w:sz="0" w:space="0" w:color="auto"/>
          </w:divBdr>
        </w:div>
        <w:div w:id="292751760">
          <w:marLeft w:val="0"/>
          <w:marRight w:val="0"/>
          <w:marTop w:val="0"/>
          <w:marBottom w:val="0"/>
          <w:divBdr>
            <w:top w:val="none" w:sz="0" w:space="0" w:color="auto"/>
            <w:left w:val="none" w:sz="0" w:space="0" w:color="auto"/>
            <w:bottom w:val="none" w:sz="0" w:space="0" w:color="auto"/>
            <w:right w:val="none" w:sz="0" w:space="0" w:color="auto"/>
          </w:divBdr>
        </w:div>
        <w:div w:id="442383109">
          <w:marLeft w:val="0"/>
          <w:marRight w:val="0"/>
          <w:marTop w:val="0"/>
          <w:marBottom w:val="0"/>
          <w:divBdr>
            <w:top w:val="none" w:sz="0" w:space="0" w:color="auto"/>
            <w:left w:val="none" w:sz="0" w:space="0" w:color="auto"/>
            <w:bottom w:val="none" w:sz="0" w:space="0" w:color="auto"/>
            <w:right w:val="none" w:sz="0" w:space="0" w:color="auto"/>
          </w:divBdr>
        </w:div>
        <w:div w:id="464395882">
          <w:marLeft w:val="0"/>
          <w:marRight w:val="0"/>
          <w:marTop w:val="0"/>
          <w:marBottom w:val="0"/>
          <w:divBdr>
            <w:top w:val="none" w:sz="0" w:space="0" w:color="auto"/>
            <w:left w:val="none" w:sz="0" w:space="0" w:color="auto"/>
            <w:bottom w:val="none" w:sz="0" w:space="0" w:color="auto"/>
            <w:right w:val="none" w:sz="0" w:space="0" w:color="auto"/>
          </w:divBdr>
        </w:div>
        <w:div w:id="758910828">
          <w:marLeft w:val="0"/>
          <w:marRight w:val="0"/>
          <w:marTop w:val="0"/>
          <w:marBottom w:val="0"/>
          <w:divBdr>
            <w:top w:val="none" w:sz="0" w:space="0" w:color="auto"/>
            <w:left w:val="none" w:sz="0" w:space="0" w:color="auto"/>
            <w:bottom w:val="none" w:sz="0" w:space="0" w:color="auto"/>
            <w:right w:val="none" w:sz="0" w:space="0" w:color="auto"/>
          </w:divBdr>
        </w:div>
        <w:div w:id="932739453">
          <w:marLeft w:val="0"/>
          <w:marRight w:val="0"/>
          <w:marTop w:val="0"/>
          <w:marBottom w:val="0"/>
          <w:divBdr>
            <w:top w:val="none" w:sz="0" w:space="0" w:color="auto"/>
            <w:left w:val="none" w:sz="0" w:space="0" w:color="auto"/>
            <w:bottom w:val="none" w:sz="0" w:space="0" w:color="auto"/>
            <w:right w:val="none" w:sz="0" w:space="0" w:color="auto"/>
          </w:divBdr>
        </w:div>
        <w:div w:id="936254821">
          <w:marLeft w:val="0"/>
          <w:marRight w:val="0"/>
          <w:marTop w:val="0"/>
          <w:marBottom w:val="0"/>
          <w:divBdr>
            <w:top w:val="none" w:sz="0" w:space="0" w:color="auto"/>
            <w:left w:val="none" w:sz="0" w:space="0" w:color="auto"/>
            <w:bottom w:val="none" w:sz="0" w:space="0" w:color="auto"/>
            <w:right w:val="none" w:sz="0" w:space="0" w:color="auto"/>
          </w:divBdr>
        </w:div>
        <w:div w:id="1106122596">
          <w:marLeft w:val="0"/>
          <w:marRight w:val="0"/>
          <w:marTop w:val="0"/>
          <w:marBottom w:val="0"/>
          <w:divBdr>
            <w:top w:val="none" w:sz="0" w:space="0" w:color="auto"/>
            <w:left w:val="none" w:sz="0" w:space="0" w:color="auto"/>
            <w:bottom w:val="none" w:sz="0" w:space="0" w:color="auto"/>
            <w:right w:val="none" w:sz="0" w:space="0" w:color="auto"/>
          </w:divBdr>
        </w:div>
        <w:div w:id="1294752784">
          <w:marLeft w:val="0"/>
          <w:marRight w:val="0"/>
          <w:marTop w:val="0"/>
          <w:marBottom w:val="0"/>
          <w:divBdr>
            <w:top w:val="none" w:sz="0" w:space="0" w:color="auto"/>
            <w:left w:val="none" w:sz="0" w:space="0" w:color="auto"/>
            <w:bottom w:val="none" w:sz="0" w:space="0" w:color="auto"/>
            <w:right w:val="none" w:sz="0" w:space="0" w:color="auto"/>
          </w:divBdr>
        </w:div>
        <w:div w:id="1499080754">
          <w:marLeft w:val="0"/>
          <w:marRight w:val="0"/>
          <w:marTop w:val="0"/>
          <w:marBottom w:val="0"/>
          <w:divBdr>
            <w:top w:val="none" w:sz="0" w:space="0" w:color="auto"/>
            <w:left w:val="none" w:sz="0" w:space="0" w:color="auto"/>
            <w:bottom w:val="none" w:sz="0" w:space="0" w:color="auto"/>
            <w:right w:val="none" w:sz="0" w:space="0" w:color="auto"/>
          </w:divBdr>
        </w:div>
        <w:div w:id="1676029607">
          <w:marLeft w:val="0"/>
          <w:marRight w:val="0"/>
          <w:marTop w:val="0"/>
          <w:marBottom w:val="0"/>
          <w:divBdr>
            <w:top w:val="none" w:sz="0" w:space="0" w:color="auto"/>
            <w:left w:val="none" w:sz="0" w:space="0" w:color="auto"/>
            <w:bottom w:val="none" w:sz="0" w:space="0" w:color="auto"/>
            <w:right w:val="none" w:sz="0" w:space="0" w:color="auto"/>
          </w:divBdr>
        </w:div>
        <w:div w:id="1762678870">
          <w:marLeft w:val="0"/>
          <w:marRight w:val="0"/>
          <w:marTop w:val="0"/>
          <w:marBottom w:val="0"/>
          <w:divBdr>
            <w:top w:val="none" w:sz="0" w:space="0" w:color="auto"/>
            <w:left w:val="none" w:sz="0" w:space="0" w:color="auto"/>
            <w:bottom w:val="none" w:sz="0" w:space="0" w:color="auto"/>
            <w:right w:val="none" w:sz="0" w:space="0" w:color="auto"/>
          </w:divBdr>
        </w:div>
        <w:div w:id="1853688435">
          <w:marLeft w:val="0"/>
          <w:marRight w:val="0"/>
          <w:marTop w:val="0"/>
          <w:marBottom w:val="0"/>
          <w:divBdr>
            <w:top w:val="none" w:sz="0" w:space="0" w:color="auto"/>
            <w:left w:val="none" w:sz="0" w:space="0" w:color="auto"/>
            <w:bottom w:val="none" w:sz="0" w:space="0" w:color="auto"/>
            <w:right w:val="none" w:sz="0" w:space="0" w:color="auto"/>
          </w:divBdr>
        </w:div>
        <w:div w:id="1927956554">
          <w:marLeft w:val="0"/>
          <w:marRight w:val="0"/>
          <w:marTop w:val="0"/>
          <w:marBottom w:val="0"/>
          <w:divBdr>
            <w:top w:val="none" w:sz="0" w:space="0" w:color="auto"/>
            <w:left w:val="none" w:sz="0" w:space="0" w:color="auto"/>
            <w:bottom w:val="none" w:sz="0" w:space="0" w:color="auto"/>
            <w:right w:val="none" w:sz="0" w:space="0" w:color="auto"/>
          </w:divBdr>
        </w:div>
        <w:div w:id="1974020756">
          <w:marLeft w:val="0"/>
          <w:marRight w:val="0"/>
          <w:marTop w:val="0"/>
          <w:marBottom w:val="0"/>
          <w:divBdr>
            <w:top w:val="none" w:sz="0" w:space="0" w:color="auto"/>
            <w:left w:val="none" w:sz="0" w:space="0" w:color="auto"/>
            <w:bottom w:val="none" w:sz="0" w:space="0" w:color="auto"/>
            <w:right w:val="none" w:sz="0" w:space="0" w:color="auto"/>
          </w:divBdr>
        </w:div>
      </w:divsChild>
    </w:div>
    <w:div w:id="563151442">
      <w:bodyDiv w:val="1"/>
      <w:marLeft w:val="0"/>
      <w:marRight w:val="0"/>
      <w:marTop w:val="0"/>
      <w:marBottom w:val="0"/>
      <w:divBdr>
        <w:top w:val="none" w:sz="0" w:space="0" w:color="auto"/>
        <w:left w:val="none" w:sz="0" w:space="0" w:color="auto"/>
        <w:bottom w:val="none" w:sz="0" w:space="0" w:color="auto"/>
        <w:right w:val="none" w:sz="0" w:space="0" w:color="auto"/>
      </w:divBdr>
    </w:div>
    <w:div w:id="646400374">
      <w:bodyDiv w:val="1"/>
      <w:marLeft w:val="0"/>
      <w:marRight w:val="0"/>
      <w:marTop w:val="0"/>
      <w:marBottom w:val="0"/>
      <w:divBdr>
        <w:top w:val="none" w:sz="0" w:space="0" w:color="auto"/>
        <w:left w:val="none" w:sz="0" w:space="0" w:color="auto"/>
        <w:bottom w:val="none" w:sz="0" w:space="0" w:color="auto"/>
        <w:right w:val="none" w:sz="0" w:space="0" w:color="auto"/>
      </w:divBdr>
    </w:div>
    <w:div w:id="667173201">
      <w:bodyDiv w:val="1"/>
      <w:marLeft w:val="0"/>
      <w:marRight w:val="0"/>
      <w:marTop w:val="0"/>
      <w:marBottom w:val="0"/>
      <w:divBdr>
        <w:top w:val="none" w:sz="0" w:space="0" w:color="auto"/>
        <w:left w:val="none" w:sz="0" w:space="0" w:color="auto"/>
        <w:bottom w:val="none" w:sz="0" w:space="0" w:color="auto"/>
        <w:right w:val="none" w:sz="0" w:space="0" w:color="auto"/>
      </w:divBdr>
      <w:divsChild>
        <w:div w:id="513500915">
          <w:marLeft w:val="0"/>
          <w:marRight w:val="0"/>
          <w:marTop w:val="0"/>
          <w:marBottom w:val="0"/>
          <w:divBdr>
            <w:top w:val="none" w:sz="0" w:space="0" w:color="auto"/>
            <w:left w:val="none" w:sz="0" w:space="0" w:color="auto"/>
            <w:bottom w:val="none" w:sz="0" w:space="0" w:color="auto"/>
            <w:right w:val="none" w:sz="0" w:space="0" w:color="auto"/>
          </w:divBdr>
        </w:div>
      </w:divsChild>
    </w:div>
    <w:div w:id="825439945">
      <w:bodyDiv w:val="1"/>
      <w:marLeft w:val="0"/>
      <w:marRight w:val="0"/>
      <w:marTop w:val="0"/>
      <w:marBottom w:val="0"/>
      <w:divBdr>
        <w:top w:val="none" w:sz="0" w:space="0" w:color="auto"/>
        <w:left w:val="none" w:sz="0" w:space="0" w:color="auto"/>
        <w:bottom w:val="none" w:sz="0" w:space="0" w:color="auto"/>
        <w:right w:val="none" w:sz="0" w:space="0" w:color="auto"/>
      </w:divBdr>
      <w:divsChild>
        <w:div w:id="1173447071">
          <w:marLeft w:val="0"/>
          <w:marRight w:val="0"/>
          <w:marTop w:val="0"/>
          <w:marBottom w:val="0"/>
          <w:divBdr>
            <w:top w:val="none" w:sz="0" w:space="0" w:color="auto"/>
            <w:left w:val="none" w:sz="0" w:space="0" w:color="auto"/>
            <w:bottom w:val="none" w:sz="0" w:space="0" w:color="auto"/>
            <w:right w:val="none" w:sz="0" w:space="0" w:color="auto"/>
          </w:divBdr>
        </w:div>
        <w:div w:id="1720518221">
          <w:marLeft w:val="0"/>
          <w:marRight w:val="0"/>
          <w:marTop w:val="0"/>
          <w:marBottom w:val="0"/>
          <w:divBdr>
            <w:top w:val="none" w:sz="0" w:space="0" w:color="auto"/>
            <w:left w:val="none" w:sz="0" w:space="0" w:color="auto"/>
            <w:bottom w:val="none" w:sz="0" w:space="0" w:color="auto"/>
            <w:right w:val="none" w:sz="0" w:space="0" w:color="auto"/>
          </w:divBdr>
        </w:div>
      </w:divsChild>
    </w:div>
    <w:div w:id="1057782351">
      <w:bodyDiv w:val="1"/>
      <w:marLeft w:val="0"/>
      <w:marRight w:val="0"/>
      <w:marTop w:val="0"/>
      <w:marBottom w:val="0"/>
      <w:divBdr>
        <w:top w:val="none" w:sz="0" w:space="0" w:color="auto"/>
        <w:left w:val="none" w:sz="0" w:space="0" w:color="auto"/>
        <w:bottom w:val="none" w:sz="0" w:space="0" w:color="auto"/>
        <w:right w:val="none" w:sz="0" w:space="0" w:color="auto"/>
      </w:divBdr>
    </w:div>
    <w:div w:id="1344212132">
      <w:bodyDiv w:val="1"/>
      <w:marLeft w:val="0"/>
      <w:marRight w:val="0"/>
      <w:marTop w:val="0"/>
      <w:marBottom w:val="0"/>
      <w:divBdr>
        <w:top w:val="none" w:sz="0" w:space="0" w:color="auto"/>
        <w:left w:val="none" w:sz="0" w:space="0" w:color="auto"/>
        <w:bottom w:val="none" w:sz="0" w:space="0" w:color="auto"/>
        <w:right w:val="none" w:sz="0" w:space="0" w:color="auto"/>
      </w:divBdr>
      <w:divsChild>
        <w:div w:id="621500284">
          <w:marLeft w:val="0"/>
          <w:marRight w:val="0"/>
          <w:marTop w:val="0"/>
          <w:marBottom w:val="0"/>
          <w:divBdr>
            <w:top w:val="none" w:sz="0" w:space="0" w:color="auto"/>
            <w:left w:val="none" w:sz="0" w:space="0" w:color="auto"/>
            <w:bottom w:val="none" w:sz="0" w:space="0" w:color="auto"/>
            <w:right w:val="none" w:sz="0" w:space="0" w:color="auto"/>
          </w:divBdr>
        </w:div>
        <w:div w:id="2044399611">
          <w:marLeft w:val="0"/>
          <w:marRight w:val="0"/>
          <w:marTop w:val="0"/>
          <w:marBottom w:val="0"/>
          <w:divBdr>
            <w:top w:val="none" w:sz="0" w:space="0" w:color="auto"/>
            <w:left w:val="none" w:sz="0" w:space="0" w:color="auto"/>
            <w:bottom w:val="none" w:sz="0" w:space="0" w:color="auto"/>
            <w:right w:val="none" w:sz="0" w:space="0" w:color="auto"/>
          </w:divBdr>
        </w:div>
        <w:div w:id="2084525782">
          <w:marLeft w:val="0"/>
          <w:marRight w:val="0"/>
          <w:marTop w:val="0"/>
          <w:marBottom w:val="0"/>
          <w:divBdr>
            <w:top w:val="none" w:sz="0" w:space="0" w:color="auto"/>
            <w:left w:val="none" w:sz="0" w:space="0" w:color="auto"/>
            <w:bottom w:val="none" w:sz="0" w:space="0" w:color="auto"/>
            <w:right w:val="none" w:sz="0" w:space="0" w:color="auto"/>
          </w:divBdr>
        </w:div>
      </w:divsChild>
    </w:div>
    <w:div w:id="1523862181">
      <w:bodyDiv w:val="1"/>
      <w:marLeft w:val="0"/>
      <w:marRight w:val="0"/>
      <w:marTop w:val="0"/>
      <w:marBottom w:val="0"/>
      <w:divBdr>
        <w:top w:val="none" w:sz="0" w:space="0" w:color="auto"/>
        <w:left w:val="none" w:sz="0" w:space="0" w:color="auto"/>
        <w:bottom w:val="none" w:sz="0" w:space="0" w:color="auto"/>
        <w:right w:val="none" w:sz="0" w:space="0" w:color="auto"/>
      </w:divBdr>
      <w:divsChild>
        <w:div w:id="343946209">
          <w:marLeft w:val="446"/>
          <w:marRight w:val="0"/>
          <w:marTop w:val="0"/>
          <w:marBottom w:val="0"/>
          <w:divBdr>
            <w:top w:val="none" w:sz="0" w:space="0" w:color="auto"/>
            <w:left w:val="none" w:sz="0" w:space="0" w:color="auto"/>
            <w:bottom w:val="none" w:sz="0" w:space="0" w:color="auto"/>
            <w:right w:val="none" w:sz="0" w:space="0" w:color="auto"/>
          </w:divBdr>
        </w:div>
      </w:divsChild>
    </w:div>
    <w:div w:id="1744258801">
      <w:bodyDiv w:val="1"/>
      <w:marLeft w:val="0"/>
      <w:marRight w:val="0"/>
      <w:marTop w:val="0"/>
      <w:marBottom w:val="0"/>
      <w:divBdr>
        <w:top w:val="none" w:sz="0" w:space="0" w:color="auto"/>
        <w:left w:val="none" w:sz="0" w:space="0" w:color="auto"/>
        <w:bottom w:val="none" w:sz="0" w:space="0" w:color="auto"/>
        <w:right w:val="none" w:sz="0" w:space="0" w:color="auto"/>
      </w:divBdr>
    </w:div>
    <w:div w:id="21189373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9" Type="http://schemas.openxmlformats.org/officeDocument/2006/relationships/customXml" Target="../customXml/item5.xml"/>
  <Relationship Id="rId2" Type="http://schemas.openxmlformats.org/officeDocument/2006/relationships/customXml" Target="../customXml/item2.xml"/>
  <Relationship Id="rId28" Type="http://schemas.openxmlformats.org/officeDocument/2006/relationships/header" Target="header1.xml"/>
  <Relationship Id="rId29" Type="http://schemas.openxmlformats.org/officeDocument/2006/relationships/header" Target="header2.xml"/>
  <Relationship Id="rId3" Type="http://schemas.openxmlformats.org/officeDocument/2006/relationships/customXml" Target="../customXml/item3.xml"/>
  <Relationship Id="rId30" Type="http://schemas.openxmlformats.org/officeDocument/2006/relationships/footer" Target="footer1.xml"/>
  <Relationship Id="rId31" Type="http://schemas.openxmlformats.org/officeDocument/2006/relationships/footer" Target="footer2.xml"/>
  <Relationship Id="rId32" Type="http://schemas.openxmlformats.org/officeDocument/2006/relationships/header" Target="header3.xml"/>
  <Relationship Id="rId33" Type="http://schemas.openxmlformats.org/officeDocument/2006/relationships/footer" Target="footer3.xml"/>
  <Relationship Id="rId34" Type="http://schemas.openxmlformats.org/officeDocument/2006/relationships/fontTable" Target="fontTable.xml"/>
  <Relationship Id="rId35" Type="http://schemas.openxmlformats.org/officeDocument/2006/relationships/theme" Target="theme/theme1.xml"/>
  <Relationship Id="rId37" Type="http://schemas.microsoft.com/office/2020/10/relationships/intelligence" Target="intelligence2.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8" ma:contentTypeDescription="Create a new document." ma:contentTypeScope="" ma:versionID="eeb721f4efddd2f5ae96ea1bf450421d">
  <xsd:schema xmlns:xsd="http://www.w3.org/2001/XMLSchema" xmlns:xs="http://www.w3.org/2001/XMLSchema" xmlns:p="http://schemas.microsoft.com/office/2006/metadata/properties" xmlns:ns2="19cf09c5-daa1-4028-a0ff-74a0be4ec5cc" xmlns:ns3="f5aad5d0-9c26-490e-8743-a6c7ceabd501" targetNamespace="http://schemas.microsoft.com/office/2006/metadata/properties" ma:root="true" ma:fieldsID="d02cc487d103c2f8f08ac2b497f33df8" ns2:_="" ns3:_="">
    <xsd:import namespace="19cf09c5-daa1-4028-a0ff-74a0be4ec5cc"/>
    <xsd:import namespace="f5aad5d0-9c26-490e-8743-a6c7ceabd501"/>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lcf76f155ced4ddcb4097134ff3c332f" minOccurs="0"/>
                <xsd:element ref="ns2:TaxCatchAll" minOccurs="0"/>
                <xsd:element ref="ns3:_Flow_SignoffStatus" minOccurs="0"/>
                <xsd:element ref="ns3:MediaServiceDateTaken" minOccurs="0"/>
                <xsd:element ref="ns3:MediaLengthInSeconds"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380311e4-4963-4d7c-9e39-8ca237d581ef}" ma:internalName="TaxCatchAll"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_Flow_SignoffStatus" ma:index="21" nillable="true" ma:displayName="Sign-off status" ma:internalName="Sign_x002d_off_x0020_status">
      <xsd:simpleType>
        <xsd:restriction base="dms:Text"/>
      </xsd:simpleType>
    </xsd:element>
    <xsd:element name="MediaServiceDateTaken" ma:index="22" nillable="true" ma:displayName="MediaServiceDateTaken" ma:hidden="true" ma:indexed="true" ma:internalName="MediaServiceDateTaken"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19cf09c5-daa1-4028-a0ff-74a0be4ec5cc">
      <UserInfo>
        <DisplayName/>
        <AccountId xsi:nil="true"/>
        <AccountType/>
      </UserInfo>
    </SharedWithUsers>
    <TaxCatchAll xmlns="19cf09c5-daa1-4028-a0ff-74a0be4ec5cc" xsi:nil="true"/>
    <_Flow_SignoffStatus xmlns="f5aad5d0-9c26-490e-8743-a6c7ceabd501" xsi:nil="true"/>
    <lcf76f155ced4ddcb4097134ff3c332f xmlns="f5aad5d0-9c26-490e-8743-a6c7ceabd501">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30b5708690e7405da4eb272e9beff796" PartId="dad3b0493d4041009fd14c597e0a30a8">
    <Part Type="punktas" Nr="1" Abbr="1 p." DocPartId="3ad832ed5eb14a7c9ffcf2ccb63bb9f2" PartId="bfaa80f03e1540f68644e009d0b938d8"/>
    <Part Type="punktas" Nr="2" Abbr="2 p." DocPartId="07e9c51360db472abfe50469121cca4c" PartId="ccc05101fbb246879e0c3403da8c455b"/>
    <Part Type="punktas" Nr="3" Abbr="3 p." DocPartId="f5ba5f6dfbcb4314ac72753e6d6ca95a" PartId="f98cdb4674454f739a62a639f3b22d30"/>
    <Part Type="punktas" Nr="4" Abbr="4 p." DocPartId="cf524bc7953f4f9b9705cf94cffef943" PartId="65d313b228b241d2bc851d4dd7ba9856">
      <Part Type="strPapunktis" Nr="a" Abbr="4 p. a pp." DocPartId="a86a474cd4534a95a9db5e8276c49c62" PartId="8170e00cfb444ddd8f3c3af50f65d561"/>
      <Part Type="strPapunktis" Nr="b" Abbr="4 p. b pp." DocPartId="8dd2ad1a17494b10930eb05c3c2f9e47" PartId="fa930705090449af9c7400e500d66136"/>
      <Part Type="strPapunktis" Nr="c" Abbr="4 p. c pp." DocPartId="52ab3826c5c84af7ab33627dce208c83" PartId="6a3cb7c33f4f4a4b84cfa209b4c0f28f"/>
      <Part Type="strPapunktis" Nr="d" Abbr="4 p. d pp." DocPartId="7ca81ef6b43b4a7797148e1babff3751" PartId="3271cbfe4a08484bb634e6ddc85c3643"/>
      <Part Type="strPapunktis" Nr="e" Abbr="4 p. e pp." DocPartId="5e52fdfdbeac41109d03bb105e8559cd" PartId="1f6f890c4f0c48d198dc35945bcc3845"/>
      <Part Type="strPapunktis" Nr="f" Abbr="4 p. f pp." DocPartId="734177dceaa648ffa2dd09ab94aa3af6" PartId="2e9b509fc46d41cc817ab38586b998ce"/>
      <Part Type="strPapunktis" Nr="g" Abbr="4 p. g pp." DocPartId="e9f4edb9d799432d94a181c87ba7ed40" PartId="23657979b5e74567afa58d8529be931e"/>
      <Part Type="strPapunktis" Nr="h" Abbr="4 p. h pp." DocPartId="b6b303de34f041109633495d87672413" PartId="d60fda4f18894c28a90d1a2aeb42151d"/>
      <Part Type="strPapunktis" Nr="a" Abbr="4 p. a pp." DocPartId="f6763792435f44d0a03ccfe77cb6726c" PartId="306aac7cbcdf4c618ea3c876e4b85927"/>
      <Part Type="strPapunktis" Nr="b" Abbr="4 p. b pp." DocPartId="8587f769430b454880dd2655e23fa5a1" PartId="082947d200204fe28e9ed5111042342c"/>
      <Part Type="strPapunktis" Nr="c" Abbr="4 p. c pp." DocPartId="2bb26e363a034120b64472ce29ffb0dc" PartId="0b4d40791b1b4d9bba27670b5713a939"/>
    </Part>
    <Part Type="punktas" Nr="5" Abbr="5 p." DocPartId="436d4bfb13eb4ecaa9b4c3860bae4c99" PartId="347d179e191d41879fa3e7b427d72055"/>
    <Part Type="punktas" Nr="6" Abbr="6 p." DocPartId="7f56a79eca1640a79ba3f27ca34b6f1a" PartId="6015020096a64e18b1af71fc120ce936"/>
    <Part Type="punktas" Nr="7" Abbr="7 p." DocPartId="a65d70b8d6754e10bd8f6d6123eeafb1" PartId="e003a77131eb4e609ec474b48f61b59a"/>
    <Part Type="punktas" Nr="8" Abbr="8 p." DocPartId="a01536db03124c70a3509a1a874a8a38" PartId="796b3a6845a34df49205e28a76fd635a"/>
    <Part Type="punktas" Nr="9" Abbr="9 p." DocPartId="7d8f105e46554f66832878220e09bc9a" PartId="599b899f9b38461bb358fbb91c99a46d"/>
    <Part Type="punktas" Nr="10" Abbr="10 p." DocPartId="83083a1e24764d22834fdf9a0cd77559" PartId="21cddf1247eb4e06a4a3c8adcaafaf9b"/>
    <Part Type="punktas" Nr="11" Abbr="11 p." DocPartId="4009cd863829423282f0340c7b98f8bf" PartId="7dd286cb6e2d4faaaea1f624131e3b6c"/>
    <Part Type="punktas" Nr="12" Abbr="12 p." DocPartId="13155d636c804ce0be517d7dc72bcc9c" PartId="9ba2f63df5f5439f8cf0820a345fbf5b"/>
    <Part Type="punktas" Nr="13" Abbr="13 p." DocPartId="ed4e74f79eb54ba5804e70c12341c6e7" PartId="495f096f19404ee88fcbde77c7fe5de2"/>
    <Part Type="punktas" Nr="14" Abbr="14 p." DocPartId="41002bf6f4884f6ba3e58c8315713ff0" PartId="61448d6408ab4fe3a6c8514dc75c7439"/>
    <Part Type="punktas" Nr="15" Abbr="15 p." DocPartId="371b3b89f1ad4563b8606e1a182c0ce9" PartId="5aa84cbeec0046fcbf39703b1ca4f7a1"/>
    <Part Type="punktas" Nr="16" Abbr="16 p." DocPartId="eb5d5e04ede2417a802b8cd04b3d8051" PartId="319cde60202c4196a6c4e4da5dadaf87"/>
  </Part>
</Parts>
</file>

<file path=customXml/itemProps1.xml><?xml version="1.0" encoding="utf-8"?>
<ds:datastoreItem xmlns:ds="http://schemas.openxmlformats.org/officeDocument/2006/customXml" ds:itemID="{5FE46A15-86F7-44F1-B1F5-151AD58FC7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9cf09c5-daa1-4028-a0ff-74a0be4ec5cc"/>
    <ds:schemaRef ds:uri="f5aad5d0-9c26-490e-8743-a6c7ceabd50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90516B0-24DD-4FFD-977E-040E28BD7B74}">
  <ds:schemaRefs>
    <ds:schemaRef ds:uri="http://schemas.microsoft.com/sharepoint/v3/contenttype/forms"/>
  </ds:schemaRefs>
</ds:datastoreItem>
</file>

<file path=customXml/itemProps3.xml><?xml version="1.0" encoding="utf-8"?>
<ds:datastoreItem xmlns:ds="http://schemas.openxmlformats.org/officeDocument/2006/customXml" ds:itemID="{41DE110F-45E6-478E-8F81-1A91E617A813}">
  <ds:schemaRefs>
    <ds:schemaRef ds:uri="http://schemas.microsoft.com/office/2006/metadata/properties"/>
    <ds:schemaRef ds:uri="http://schemas.microsoft.com/office/infopath/2007/PartnerControls"/>
    <ds:schemaRef ds:uri="19cf09c5-daa1-4028-a0ff-74a0be4ec5cc"/>
    <ds:schemaRef ds:uri="f5aad5d0-9c26-490e-8743-a6c7ceabd501"/>
  </ds:schemaRefs>
</ds:datastoreItem>
</file>

<file path=customXml/itemProps4.xml><?xml version="1.0" encoding="utf-8"?>
<ds:datastoreItem xmlns:ds="http://schemas.openxmlformats.org/officeDocument/2006/customXml" ds:itemID="{BF10BD8A-28EA-4AAF-8BCD-87D7DC3C03C4}">
  <ds:schemaRefs>
    <ds:schemaRef ds:uri="http://schemas.openxmlformats.org/officeDocument/2006/bibliography"/>
  </ds:schemaRefs>
</ds:datastoreItem>
</file>

<file path=customXml/itemProps5.xml><?xml version="1.0" encoding="utf-8"?>
<ds:datastoreItem xmlns:ds="http://schemas.openxmlformats.org/officeDocument/2006/customXml" ds:itemID="{207D1F8F-DCC5-4627-9214-B79ECABB4EC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12142</Words>
  <Characters>85123</Characters>
  <Application>Microsoft Office Word</Application>
  <DocSecurity>4</DocSecurity>
  <Lines>1182</Lines>
  <Paragraphs>319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96946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2025-06-10T10:23:00Z</dcterms:created>
  <dc:creator>Eglė Paužuolienė</dc:creator>
  <lastModifiedBy>adlibuser</lastModifiedBy>
  <dcterms:modified xsi:type="dcterms:W3CDTF">2025-06-10T10:23:00Z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y fmtid="{D5CDD505-2E9C-101B-9397-08002B2CF9AE}" pid="4" name="Order">
    <vt:r8>1276400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ies>
</file>