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intelligence2.xml" ContentType="application/vnd.ms-office.intelligence2+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b37563fe793c431caf380141e6dd3f5d"/>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hemeColor="text1"/>
                </w:tcBorders>
              </w:tcPr>
              <w:p>
                <w:pPr>
                  <w:suppressLineNumbers/>
                  <w:tabs>
                    <w:tab w:val="center" w:pos="4800"/>
                    <w:tab w:val="right" w:pos="9601"/>
                  </w:tabs>
                  <w:jc w:val="both"/>
                  <w:rPr>
                    <w:rFonts w:eastAsia="Andale Sans UI" w:cs="Tahoma"/>
                    <w:szCs w:val="24"/>
                    <w:lang w:bidi="en-US"/>
                  </w:rPr>
                </w:pPr>
              </w:p>
              <w:p>
                <w:pPr>
                  <w:suppressLineNumbers/>
                  <w:spacing w:line="276" w:lineRule="auto"/>
                  <w:ind w:firstLine="62"/>
                  <w:jc w:val="center"/>
                  <w:rPr>
                    <w:rFonts w:eastAsia="Andale Sans UI" w:cs="Tahoma"/>
                    <w:b/>
                    <w:bCs/>
                    <w:spacing w:val="20"/>
                    <w:szCs w:val="24"/>
                    <w:lang w:bidi="en-US"/>
                  </w:rPr>
                </w:pPr>
                <w:r>
                  <w:rPr>
                    <w:rFonts w:eastAsia="Andale Sans UI" w:cs="Tahoma"/>
                    <w:b/>
                    <w:spacing w:val="20"/>
                    <w:sz w:val="26"/>
                    <w:szCs w:val="26"/>
                    <w:lang w:val="en-US"/>
                  </w:rPr>
                  <w:drawing>
                    <wp:inline distT="0" distB="0" distL="0" distR="0" wp14:anchorId="47B4FF70" wp14:editId="05B85950">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spacing w:line="276" w:lineRule="auto"/>
                  <w:jc w:val="center"/>
                  <w:rPr>
                    <w:rFonts w:eastAsia="Andale Sans UI" w:cs="Tahoma"/>
                    <w:b/>
                    <w:bCs/>
                    <w:spacing w:val="20"/>
                    <w:szCs w:val="24"/>
                    <w:lang w:bidi="en-US"/>
                  </w:rPr>
                </w:pPr>
                <w:r>
                  <w:rPr>
                    <w:rFonts w:eastAsia="Andale Sans UI" w:cs="Tahoma"/>
                    <w:b/>
                    <w:bCs/>
                    <w:spacing w:val="20"/>
                    <w:szCs w:val="24"/>
                    <w:lang w:bidi="en-US"/>
                  </w:rPr>
                  <w:t>LIETUVOS RESPUBLIKOS APLINKOS MINISTERIJA</w:t>
                </w:r>
              </w:p>
              <w:p>
                <w:pPr>
                  <w:rPr>
                    <w:sz w:val="10"/>
                    <w:szCs w:val="10"/>
                  </w:rPr>
                </w:pPr>
              </w:p>
              <w:p>
                <w:pPr>
                  <w:suppressLineNumbers/>
                  <w:spacing w:line="276" w:lineRule="auto"/>
                  <w:jc w:val="center"/>
                  <w:rPr>
                    <w:rFonts w:eastAsia="Andale Sans UI"/>
                    <w:spacing w:val="12"/>
                    <w:sz w:val="16"/>
                    <w:szCs w:val="16"/>
                    <w:lang w:bidi="en-US"/>
                  </w:rPr>
                </w:pPr>
                <w:r>
                  <w:rPr>
                    <w:rFonts w:eastAsia="Andale Sans UI"/>
                    <w:spacing w:val="12"/>
                    <w:sz w:val="16"/>
                    <w:szCs w:val="16"/>
                    <w:lang w:bidi="en-US"/>
                  </w:rPr>
                  <w:t>Biudžetinė įstaiga, A. Jakšto g. 4, LT-01105 Vilnius,</w:t>
                </w:r>
              </w:p>
              <w:p>
                <w:pPr>
                  <w:suppressLineNumbers/>
                  <w:spacing w:line="276" w:lineRule="auto"/>
                  <w:jc w:val="center"/>
                  <w:rPr>
                    <w:rFonts w:eastAsia="Andale Sans UI"/>
                    <w:spacing w:val="12"/>
                    <w:sz w:val="16"/>
                    <w:szCs w:val="16"/>
                    <w:lang w:bidi="en-US"/>
                  </w:rPr>
                </w:pPr>
                <w:r>
                  <w:rPr>
                    <w:rFonts w:eastAsia="Andale Sans UI"/>
                    <w:spacing w:val="12"/>
                    <w:sz w:val="16"/>
                    <w:szCs w:val="16"/>
                    <w:lang w:bidi="en-US"/>
                  </w:rPr>
                  <w:t>tel. +370 626 22 252, el. p. info@am.lt, https://am.lrv.lt.</w:t>
                </w:r>
              </w:p>
              <w:p>
                <w:pPr>
                  <w:suppressLineNumbers/>
                  <w:spacing w:line="276" w:lineRule="auto"/>
                  <w:jc w:val="center"/>
                  <w:rPr>
                    <w:rFonts w:ascii="Arial" w:eastAsia="Andale Sans UI" w:hAnsi="Arial" w:cs="Tahoma"/>
                    <w:b/>
                    <w:bCs/>
                    <w:spacing w:val="12"/>
                    <w:sz w:val="14"/>
                    <w:szCs w:val="14"/>
                    <w:lang w:bidi="en-US"/>
                  </w:rPr>
                </w:pPr>
                <w:r>
                  <w:rPr>
                    <w:rFonts w:eastAsia="Andale Sans UI"/>
                    <w:spacing w:val="12"/>
                    <w:sz w:val="16"/>
                    <w:szCs w:val="16"/>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spacing w:line="276" w:lineRule="auto"/>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spacing w:line="276" w:lineRule="auto"/>
                  <w:jc w:val="both"/>
                  <w:rPr>
                    <w:rFonts w:eastAsia="Andale Sans UI"/>
                    <w:szCs w:val="24"/>
                    <w:lang w:bidi="en-US"/>
                  </w:rPr>
                </w:pPr>
                <w:r>
                  <w:rPr>
                    <w:rFonts w:eastAsia="Andale Sans UI"/>
                    <w:szCs w:val="24"/>
                    <w:lang w:bidi="en-US"/>
                  </w:rPr>
                  <w:t>Pagal adresatų sąrašą</w:t>
                </w:r>
              </w:p>
              <w:p>
                <w:pPr>
                  <w:suppressLineNumbers/>
                  <w:spacing w:line="276" w:lineRule="auto"/>
                  <w:jc w:val="both"/>
                  <w:rPr>
                    <w:rFonts w:eastAsia="Andale Sans UI"/>
                    <w:spacing w:val="10"/>
                    <w:szCs w:val="24"/>
                    <w:lang w:bidi="en-US"/>
                  </w:rPr>
                </w:pPr>
              </w:p>
            </w:tc>
            <w:tc>
              <w:tcPr>
                <w:tcW w:w="282" w:type="dxa"/>
                <w:tcMar>
                  <w:top w:w="0" w:type="dxa"/>
                  <w:left w:w="0" w:type="dxa"/>
                  <w:bottom w:w="0" w:type="dxa"/>
                  <w:right w:w="0" w:type="dxa"/>
                </w:tcMar>
              </w:tcPr>
              <w:p>
                <w:pPr>
                  <w:spacing w:line="276" w:lineRule="auto"/>
                  <w:ind w:right="67"/>
                  <w:jc w:val="right"/>
                  <w:rPr>
                    <w:rFonts w:eastAsia="Andale Sans UI"/>
                    <w:spacing w:val="10"/>
                    <w:szCs w:val="24"/>
                    <w:lang w:bidi="en-US"/>
                  </w:rPr>
                </w:pPr>
              </w:p>
            </w:tc>
            <w:tc>
              <w:tcPr>
                <w:tcW w:w="1841" w:type="dxa"/>
                <w:tcMar>
                  <w:top w:w="0" w:type="dxa"/>
                  <w:left w:w="0" w:type="dxa"/>
                  <w:bottom w:w="0" w:type="dxa"/>
                  <w:right w:w="0" w:type="dxa"/>
                </w:tcMar>
              </w:tcPr>
              <w:p>
                <w:pPr>
                  <w:suppressLineNumbers/>
                  <w:spacing w:line="276" w:lineRule="auto"/>
                  <w:ind w:right="67"/>
                  <w:jc w:val="both"/>
                  <w:rPr>
                    <w:rFonts w:eastAsia="Andale Sans UI"/>
                    <w:szCs w:val="24"/>
                    <w:lang w:bidi="en-US"/>
                  </w:rPr>
                </w:pPr>
              </w:p>
            </w:tc>
            <w:tc>
              <w:tcPr>
                <w:tcW w:w="565" w:type="dxa"/>
              </w:tcPr>
              <w:p>
                <w:pPr>
                  <w:spacing w:line="276" w:lineRule="auto"/>
                  <w:ind w:right="67"/>
                  <w:jc w:val="right"/>
                  <w:rPr>
                    <w:rFonts w:eastAsia="Andale Sans UI"/>
                    <w:spacing w:val="10"/>
                    <w:szCs w:val="24"/>
                    <w:lang w:bidi="en-US"/>
                  </w:rPr>
                </w:pPr>
                <w:r>
                  <w:rPr>
                    <w:rFonts w:eastAsia="Andale Sans UI"/>
                    <w:spacing w:val="10"/>
                    <w:szCs w:val="24"/>
                    <w:lang w:bidi="en-US"/>
                  </w:rPr>
                  <w:t>Nr.</w:t>
                </w:r>
              </w:p>
            </w:tc>
            <w:tc>
              <w:tcPr>
                <w:tcW w:w="2133" w:type="dxa"/>
              </w:tcPr>
              <w:p>
                <w:pPr>
                  <w:suppressLineNumbers/>
                  <w:spacing w:line="276" w:lineRule="auto"/>
                  <w:ind w:right="67"/>
                  <w:jc w:val="both"/>
                  <w:rPr>
                    <w:rFonts w:eastAsia="Andale Sans UI"/>
                    <w:szCs w:val="24"/>
                    <w:lang w:bidi="en-US"/>
                  </w:rPr>
                </w:pPr>
              </w:p>
            </w:tc>
          </w:tr>
          <w:tr>
            <w:trPr>
              <w:cantSplit/>
              <w:trHeight w:val="340"/>
            </w:trPr>
            <w:tc>
              <w:tcPr>
                <w:tcW w:w="4817" w:type="dxa"/>
                <w:vMerge/>
                <w:tcMar>
                  <w:top w:w="0" w:type="dxa"/>
                  <w:left w:w="0" w:type="dxa"/>
                  <w:bottom w:w="0" w:type="dxa"/>
                  <w:right w:w="0" w:type="dxa"/>
                </w:tcMar>
              </w:tcPr>
              <w:p>
                <w:pPr>
                  <w:spacing w:line="276" w:lineRule="auto"/>
                  <w:jc w:val="both"/>
                  <w:rPr>
                    <w:rFonts w:eastAsia="Andale Sans UI"/>
                    <w:szCs w:val="24"/>
                    <w:lang w:bidi="en-US"/>
                  </w:rPr>
                </w:pPr>
              </w:p>
            </w:tc>
            <w:tc>
              <w:tcPr>
                <w:tcW w:w="282" w:type="dxa"/>
                <w:tcMar>
                  <w:top w:w="0" w:type="dxa"/>
                  <w:left w:w="0" w:type="dxa"/>
                  <w:bottom w:w="0" w:type="dxa"/>
                  <w:right w:w="0" w:type="dxa"/>
                </w:tcMar>
              </w:tcPr>
              <w:p>
                <w:pPr>
                  <w:tabs>
                    <w:tab w:val="left" w:pos="2869"/>
                  </w:tabs>
                  <w:spacing w:line="276" w:lineRule="auto"/>
                  <w:ind w:right="67"/>
                  <w:jc w:val="right"/>
                  <w:rPr>
                    <w:rFonts w:eastAsia="Andale Sans UI"/>
                    <w:spacing w:val="10"/>
                    <w:szCs w:val="24"/>
                    <w:lang w:bidi="en-US"/>
                  </w:rPr>
                </w:pPr>
              </w:p>
            </w:tc>
            <w:tc>
              <w:tcPr>
                <w:tcW w:w="1841" w:type="dxa"/>
                <w:tcMar>
                  <w:top w:w="0" w:type="dxa"/>
                  <w:left w:w="0" w:type="dxa"/>
                  <w:bottom w:w="0" w:type="dxa"/>
                  <w:right w:w="0" w:type="dxa"/>
                </w:tcMar>
              </w:tcPr>
              <w:p>
                <w:pPr>
                  <w:suppressLineNumbers/>
                  <w:spacing w:line="276" w:lineRule="auto"/>
                  <w:ind w:right="67"/>
                  <w:jc w:val="both"/>
                  <w:rPr>
                    <w:rFonts w:eastAsia="Andale Sans UI"/>
                    <w:szCs w:val="24"/>
                    <w:lang w:bidi="en-US"/>
                  </w:rPr>
                </w:pPr>
              </w:p>
            </w:tc>
            <w:tc>
              <w:tcPr>
                <w:tcW w:w="565" w:type="dxa"/>
              </w:tcPr>
              <w:p>
                <w:pPr>
                  <w:tabs>
                    <w:tab w:val="left" w:pos="2869"/>
                  </w:tabs>
                  <w:spacing w:line="276" w:lineRule="auto"/>
                  <w:ind w:right="67"/>
                  <w:jc w:val="right"/>
                  <w:rPr>
                    <w:rFonts w:eastAsia="Andale Sans UI"/>
                    <w:spacing w:val="10"/>
                    <w:szCs w:val="24"/>
                    <w:lang w:bidi="en-US"/>
                  </w:rPr>
                </w:pPr>
              </w:p>
            </w:tc>
            <w:tc>
              <w:tcPr>
                <w:tcW w:w="2133" w:type="dxa"/>
              </w:tcPr>
              <w:p>
                <w:pPr>
                  <w:suppressLineNumbers/>
                  <w:spacing w:line="276" w:lineRule="auto"/>
                  <w:ind w:right="67"/>
                  <w:jc w:val="both"/>
                  <w:rPr>
                    <w:rFonts w:eastAsia="Andale Sans UI"/>
                    <w:szCs w:val="24"/>
                    <w:lang w:bidi="en-US"/>
                  </w:rPr>
                </w:pPr>
              </w:p>
            </w:tc>
          </w:tr>
          <w:tr>
            <w:trPr>
              <w:cantSplit/>
            </w:trPr>
            <w:tc>
              <w:tcPr>
                <w:tcW w:w="4817" w:type="dxa"/>
                <w:vMerge/>
                <w:tcMar>
                  <w:top w:w="0" w:type="dxa"/>
                  <w:left w:w="0" w:type="dxa"/>
                  <w:bottom w:w="0" w:type="dxa"/>
                  <w:right w:w="0" w:type="dxa"/>
                </w:tcMar>
              </w:tcPr>
              <w:p>
                <w:pPr>
                  <w:spacing w:line="276" w:lineRule="auto"/>
                  <w:jc w:val="both"/>
                  <w:rPr>
                    <w:rFonts w:eastAsia="Andale Sans UI"/>
                    <w:szCs w:val="24"/>
                    <w:lang w:bidi="en-US"/>
                  </w:rPr>
                </w:pPr>
              </w:p>
            </w:tc>
            <w:tc>
              <w:tcPr>
                <w:tcW w:w="4821" w:type="dxa"/>
                <w:gridSpan w:val="4"/>
                <w:tcMar>
                  <w:top w:w="0" w:type="dxa"/>
                  <w:left w:w="0" w:type="dxa"/>
                  <w:bottom w:w="0" w:type="dxa"/>
                  <w:right w:w="0" w:type="dxa"/>
                </w:tcMar>
              </w:tcPr>
              <w:p>
                <w:pPr>
                  <w:tabs>
                    <w:tab w:val="left" w:pos="2869"/>
                  </w:tabs>
                  <w:spacing w:line="276" w:lineRule="auto"/>
                  <w:ind w:right="67"/>
                  <w:jc w:val="both"/>
                  <w:rPr>
                    <w:rFonts w:eastAsia="Andale Sans UI"/>
                    <w:spacing w:val="10"/>
                    <w:szCs w:val="24"/>
                    <w:lang w:bidi="en-US"/>
                  </w:rPr>
                </w:pPr>
              </w:p>
            </w:tc>
          </w:tr>
          <w:tr>
            <w:trPr>
              <w:trHeight w:val="340"/>
            </w:trPr>
            <w:tc>
              <w:tcPr>
                <w:tcW w:w="9638" w:type="dxa"/>
                <w:gridSpan w:val="5"/>
                <w:tcMar>
                  <w:top w:w="0" w:type="dxa"/>
                  <w:left w:w="0" w:type="dxa"/>
                  <w:bottom w:w="0" w:type="dxa"/>
                  <w:right w:w="0" w:type="dxa"/>
                </w:tcMar>
              </w:tcPr>
              <w:p>
                <w:pPr>
                  <w:suppressLineNumbers/>
                  <w:spacing w:line="276" w:lineRule="auto"/>
                  <w:jc w:val="both"/>
                  <w:rPr>
                    <w:rFonts w:eastAsia="Andale Sans UI"/>
                    <w:b/>
                    <w:caps/>
                    <w:szCs w:val="24"/>
                    <w:lang w:bidi="en-US"/>
                  </w:rPr>
                </w:pPr>
              </w:p>
              <w:p>
                <w:pPr>
                  <w:suppressLineNumbers/>
                  <w:spacing w:line="276" w:lineRule="auto"/>
                  <w:jc w:val="both"/>
                  <w:rPr>
                    <w:rFonts w:eastAsia="Andale Sans UI"/>
                    <w:b/>
                    <w:bCs/>
                    <w:szCs w:val="24"/>
                    <w:lang w:bidi="en-US"/>
                  </w:rPr>
                </w:pPr>
                <w:r>
                  <w:rPr>
                    <w:rFonts w:eastAsia="Andale Sans UI" w:cs="Tahoma"/>
                    <w:b/>
                    <w:bCs/>
                    <w:caps/>
                    <w:szCs w:val="24"/>
                    <w:lang w:bidi="en-US"/>
                  </w:rPr>
                  <w:t xml:space="preserve">dėl </w:t>
                </w:r>
                <w:r>
                  <w:rPr>
                    <w:rFonts w:eastAsia="Andale Sans UI" w:cs="Tahoma"/>
                    <w:b/>
                    <w:bCs/>
                    <w:color w:val="000000"/>
                    <w:szCs w:val="24"/>
                    <w:lang w:eastAsia="lt-LT" w:bidi="en-US"/>
                  </w:rPr>
                  <w:t xml:space="preserve">ĮSTATYMŲ </w:t>
                </w:r>
                <w:r>
                  <w:rPr>
                    <w:rFonts w:eastAsia="Andale Sans UI" w:cs="Tahoma"/>
                    <w:b/>
                    <w:bCs/>
                    <w:caps/>
                    <w:szCs w:val="24"/>
                    <w:lang w:bidi="en-US"/>
                  </w:rPr>
                  <w:t xml:space="preserve">projektų </w:t>
                </w:r>
              </w:p>
            </w:tc>
          </w:tr>
        </w:tbl>
        <w:p>
          <w:pPr>
            <w:shd w:val="clear" w:color="auto" w:fill="FFFFFF"/>
            <w:spacing w:line="276" w:lineRule="auto"/>
            <w:ind w:firstLine="567"/>
            <w:jc w:val="both"/>
            <w:textAlignment w:val="center"/>
            <w:rPr>
              <w:rFonts w:eastAsia="Andale Sans UI"/>
              <w:szCs w:val="24"/>
              <w:lang w:bidi="en-US"/>
            </w:rPr>
          </w:pPr>
        </w:p>
      </w:sdtContent>
    </w:sdt>
    <w:sdt>
      <w:sdtPr>
        <w:alias w:val="pastraipa"/>
        <w:tag w:val="part_16153794537448c988d0c481bac45b1e"/>
        <w:lock w:val="sdtLocked"/>
        <w:richText/>
      </w:sdtPr>
      <w:sdtContent>
        <w:p>
          <w:pPr>
            <w:spacing w:line="276" w:lineRule="auto"/>
            <w:ind w:firstLine="567"/>
            <w:jc w:val="both"/>
            <w:rPr>
              <w:color w:val="000000"/>
              <w:kern w:val="1"/>
              <w:szCs w:val="24"/>
              <w:lang w:eastAsia="ar-SA" w:bidi="en-US"/>
            </w:rPr>
          </w:pPr>
          <w:r>
            <w:rPr>
              <w:rFonts w:eastAsia="Calibri"/>
              <w:kern w:val="1"/>
              <w:szCs w:val="24"/>
              <w:lang w:eastAsia="ar-SA" w:bidi="en-US"/>
            </w:rPr>
            <w:t>Aplinkos ministerija teikia derinti</w:t>
          </w:r>
          <w:r>
            <w:rPr>
              <w:rFonts w:eastAsia="Andale Sans UI"/>
              <w:szCs w:val="24"/>
              <w:lang w:eastAsia="lt-LT" w:bidi="en-US"/>
            </w:rPr>
            <w:t xml:space="preserve"> Lietuvos Respublikos aplinkos apsaugos įstatymo Nr. I˗2223 </w:t>
          </w:r>
          <w:r>
            <w:rPr>
              <w:rFonts w:eastAsia="Andale Sans UI"/>
              <w:caps/>
              <w:szCs w:val="24"/>
              <w:lang w:bidi="en-US"/>
            </w:rPr>
            <w:t>1, 37, 40</w:t>
          </w:r>
          <w:r>
            <w:rPr>
              <w:rFonts w:eastAsia="Andale Sans UI"/>
              <w:caps/>
              <w:szCs w:val="24"/>
              <w:vertAlign w:val="superscript"/>
              <w:lang w:bidi="en-US"/>
            </w:rPr>
            <w:t>1</w:t>
          </w:r>
          <w:r>
            <w:rPr>
              <w:rFonts w:eastAsia="Andale Sans UI"/>
              <w:caps/>
              <w:szCs w:val="24"/>
              <w:lang w:bidi="en-US"/>
            </w:rPr>
            <w:t xml:space="preserve">, 47, 87, </w:t>
          </w:r>
          <w:r>
            <w:rPr>
              <w:rFonts w:eastAsia="Andale Sans UI"/>
              <w:szCs w:val="24"/>
              <w:lang w:bidi="en-US"/>
            </w:rPr>
            <w:t>109</w:t>
          </w:r>
          <w:r>
            <w:rPr>
              <w:rFonts w:eastAsia="Andale Sans UI"/>
              <w:szCs w:val="24"/>
              <w:vertAlign w:val="superscript"/>
              <w:lang w:bidi="en-US"/>
            </w:rPr>
            <w:t>1</w:t>
          </w:r>
          <w:r>
            <w:rPr>
              <w:rFonts w:eastAsia="Andale Sans UI"/>
              <w:caps/>
              <w:szCs w:val="24"/>
              <w:lang w:bidi="en-US"/>
            </w:rPr>
            <w:t>, 110, 122</w:t>
          </w:r>
          <w:r>
            <w:rPr>
              <w:rFonts w:eastAsia="Andale Sans UI"/>
              <w:caps/>
              <w:szCs w:val="24"/>
              <w:vertAlign w:val="superscript"/>
              <w:lang w:bidi="en-US"/>
            </w:rPr>
            <w:t>4</w:t>
          </w:r>
          <w:r>
            <w:rPr>
              <w:rFonts w:eastAsia="Andale Sans UI"/>
              <w:caps/>
              <w:szCs w:val="24"/>
              <w:lang w:bidi="en-US"/>
            </w:rPr>
            <w:t xml:space="preserve"> </w:t>
          </w:r>
          <w:r>
            <w:rPr>
              <w:rFonts w:eastAsia="Andale Sans UI"/>
              <w:color w:val="000000"/>
              <w:szCs w:val="24"/>
              <w:lang w:bidi="en-US"/>
            </w:rPr>
            <w:t xml:space="preserve">straipsnių ir priedo pakeitimo, Įstatymo papildymo </w:t>
          </w:r>
          <w:r>
            <w:rPr>
              <w:rFonts w:eastAsia="Andale Sans UI"/>
              <w:caps/>
              <w:color w:val="000000"/>
              <w:szCs w:val="24"/>
              <w:lang w:bidi="en-US"/>
            </w:rPr>
            <w:t>110</w:t>
          </w:r>
          <w:r>
            <w:rPr>
              <w:rFonts w:eastAsia="Andale Sans UI"/>
              <w:caps/>
              <w:color w:val="000000"/>
              <w:szCs w:val="24"/>
              <w:vertAlign w:val="superscript"/>
              <w:lang w:bidi="en-US"/>
            </w:rPr>
            <w:t>2</w:t>
          </w:r>
          <w:r>
            <w:rPr>
              <w:rFonts w:eastAsia="Andale Sans UI"/>
              <w:caps/>
              <w:color w:val="000000"/>
              <w:szCs w:val="24"/>
              <w:lang w:bidi="en-US"/>
            </w:rPr>
            <w:t>, 110</w:t>
          </w:r>
          <w:r>
            <w:rPr>
              <w:rFonts w:eastAsia="Andale Sans UI"/>
              <w:caps/>
              <w:color w:val="000000"/>
              <w:szCs w:val="24"/>
              <w:vertAlign w:val="superscript"/>
              <w:lang w:bidi="en-US"/>
            </w:rPr>
            <w:t>3</w:t>
          </w:r>
          <w:r>
            <w:rPr>
              <w:rFonts w:eastAsia="Andale Sans UI"/>
              <w:caps/>
              <w:color w:val="000000"/>
              <w:szCs w:val="24"/>
              <w:lang w:bidi="en-US"/>
            </w:rPr>
            <w:t>, 110</w:t>
          </w:r>
          <w:r>
            <w:rPr>
              <w:rFonts w:eastAsia="Andale Sans UI"/>
              <w:caps/>
              <w:szCs w:val="24"/>
              <w:vertAlign w:val="superscript"/>
              <w:lang w:bidi="en-US"/>
            </w:rPr>
            <w:t>4</w:t>
          </w:r>
          <w:r>
            <w:rPr>
              <w:rFonts w:eastAsia="Andale Sans UI"/>
              <w:color w:val="000000"/>
              <w:szCs w:val="24"/>
              <w:lang w:bidi="en-US"/>
            </w:rPr>
            <w:t>,</w:t>
          </w:r>
          <w:r>
            <w:rPr>
              <w:rFonts w:eastAsia="Andale Sans UI"/>
              <w:caps/>
              <w:color w:val="000000"/>
              <w:szCs w:val="24"/>
              <w:vertAlign w:val="superscript"/>
              <w:lang w:bidi="en-US"/>
            </w:rPr>
            <w:t xml:space="preserve"> </w:t>
          </w:r>
          <w:r>
            <w:rPr>
              <w:rFonts w:eastAsia="Andale Sans UI"/>
              <w:caps/>
              <w:color w:val="000000"/>
              <w:szCs w:val="24"/>
              <w:lang w:bidi="en-US"/>
            </w:rPr>
            <w:t>118</w:t>
          </w:r>
          <w:r>
            <w:rPr>
              <w:rFonts w:eastAsia="Andale Sans UI"/>
              <w:caps/>
              <w:color w:val="000000"/>
              <w:szCs w:val="24"/>
              <w:vertAlign w:val="superscript"/>
              <w:lang w:bidi="en-US"/>
            </w:rPr>
            <w:t>2</w:t>
          </w:r>
          <w:r>
            <w:rPr>
              <w:rFonts w:eastAsia="Andale Sans UI"/>
              <w:color w:val="000000"/>
              <w:szCs w:val="24"/>
              <w:vertAlign w:val="superscript"/>
              <w:lang w:bidi="en-US"/>
            </w:rPr>
            <w:t xml:space="preserve"> </w:t>
          </w:r>
          <w:r>
            <w:rPr>
              <w:rFonts w:eastAsia="Andale Sans UI"/>
              <w:color w:val="000000"/>
              <w:szCs w:val="24"/>
              <w:lang w:bidi="en-US"/>
            </w:rPr>
            <w:t xml:space="preserve">straipsniais ir </w:t>
          </w:r>
          <w:r>
            <w:rPr>
              <w:rFonts w:eastAsia="Andale Sans UI"/>
              <w:caps/>
              <w:color w:val="000000"/>
              <w:szCs w:val="24"/>
              <w:lang w:bidi="en-US"/>
            </w:rPr>
            <w:t>110</w:t>
          </w:r>
          <w:r>
            <w:rPr>
              <w:rFonts w:eastAsia="Andale Sans UI"/>
              <w:caps/>
              <w:color w:val="000000"/>
              <w:szCs w:val="24"/>
              <w:vertAlign w:val="superscript"/>
              <w:lang w:bidi="en-US"/>
            </w:rPr>
            <w:t>2</w:t>
          </w:r>
          <w:r>
            <w:rPr>
              <w:rFonts w:eastAsia="Andale Sans UI"/>
              <w:caps/>
              <w:color w:val="000000"/>
              <w:szCs w:val="24"/>
              <w:lang w:bidi="en-US"/>
            </w:rPr>
            <w:t xml:space="preserve"> </w:t>
          </w:r>
          <w:r>
            <w:rPr>
              <w:rFonts w:eastAsia="Andale Sans UI"/>
              <w:color w:val="000000"/>
              <w:szCs w:val="24"/>
              <w:lang w:bidi="en-US"/>
            </w:rPr>
            <w:t xml:space="preserve">straipsnio pripažinimo netekusiu galios įstatymo projektą ir Lietuvos Respublikos administracinių nusižengimų kodekso </w:t>
          </w:r>
          <w:r>
            <w:rPr>
              <w:rFonts w:eastAsia="Andale Sans UI"/>
              <w:szCs w:val="24"/>
              <w:lang w:bidi="en-US"/>
            </w:rPr>
            <w:t>12, 27, 29, 243</w:t>
          </w:r>
          <w:r>
            <w:rPr>
              <w:rFonts w:eastAsia="Andale Sans UI"/>
              <w:szCs w:val="24"/>
              <w:vertAlign w:val="superscript"/>
              <w:lang w:bidi="en-US"/>
            </w:rPr>
            <w:t>1</w:t>
          </w:r>
          <w:r>
            <w:rPr>
              <w:rFonts w:eastAsia="Andale Sans UI"/>
              <w:szCs w:val="24"/>
              <w:lang w:bidi="en-US"/>
            </w:rPr>
            <w:t>, 251, 304</w:t>
          </w:r>
          <w:r>
            <w:rPr>
              <w:rFonts w:eastAsia="Andale Sans UI"/>
              <w:caps/>
              <w:szCs w:val="24"/>
              <w:vertAlign w:val="superscript"/>
              <w:lang w:bidi="en-US"/>
            </w:rPr>
            <w:t>2</w:t>
          </w:r>
          <w:r>
            <w:rPr>
              <w:rFonts w:eastAsia="Andale Sans UI"/>
              <w:szCs w:val="24"/>
              <w:lang w:bidi="en-US"/>
            </w:rPr>
            <w:t>, 308</w:t>
          </w:r>
          <w:r>
            <w:rPr>
              <w:rFonts w:eastAsia="Andale Sans UI"/>
              <w:szCs w:val="24"/>
              <w:vertAlign w:val="superscript"/>
              <w:lang w:bidi="en-US"/>
            </w:rPr>
            <w:t>1</w:t>
          </w:r>
          <w:r>
            <w:rPr>
              <w:rFonts w:eastAsia="Andale Sans UI"/>
              <w:szCs w:val="24"/>
              <w:lang w:bidi="en-US"/>
            </w:rPr>
            <w:t xml:space="preserve">, 310, 589 </w:t>
          </w:r>
          <w:r>
            <w:rPr>
              <w:rFonts w:eastAsia="Andale Sans UI"/>
              <w:color w:val="000000"/>
              <w:szCs w:val="24"/>
              <w:lang w:bidi="en-US"/>
            </w:rPr>
            <w:t>straipsnių ir priedo pakeitimo,</w:t>
          </w:r>
          <w:r>
            <w:rPr>
              <w:rFonts w:eastAsia="Andale Sans UI"/>
              <w:szCs w:val="24"/>
              <w:lang w:bidi="en-US"/>
            </w:rPr>
            <w:t xml:space="preserve"> Kodekso papildymo 31</w:t>
          </w:r>
          <w:r>
            <w:rPr>
              <w:rFonts w:eastAsia="Andale Sans UI"/>
              <w:szCs w:val="24"/>
              <w:vertAlign w:val="superscript"/>
              <w:lang w:bidi="en-US"/>
            </w:rPr>
            <w:t>2</w:t>
          </w:r>
          <w:r>
            <w:rPr>
              <w:rFonts w:eastAsia="Andale Sans UI"/>
              <w:szCs w:val="24"/>
              <w:lang w:bidi="en-US"/>
            </w:rPr>
            <w:t>, 243</w:t>
          </w:r>
          <w:r>
            <w:rPr>
              <w:rFonts w:eastAsia="Andale Sans UI"/>
              <w:szCs w:val="24"/>
              <w:vertAlign w:val="superscript"/>
              <w:lang w:bidi="en-US"/>
            </w:rPr>
            <w:t>2</w:t>
          </w:r>
          <w:r>
            <w:rPr>
              <w:rFonts w:eastAsia="Andale Sans UI"/>
              <w:szCs w:val="24"/>
              <w:lang w:bidi="en-US"/>
            </w:rPr>
            <w:t>,</w:t>
          </w:r>
          <w:r>
            <w:rPr>
              <w:rFonts w:eastAsia="Andale Sans UI"/>
              <w:szCs w:val="24"/>
              <w:vertAlign w:val="superscript"/>
              <w:lang w:bidi="en-US"/>
            </w:rPr>
            <w:t xml:space="preserve"> </w:t>
          </w:r>
          <w:r>
            <w:rPr>
              <w:rFonts w:eastAsia="Andale Sans UI"/>
              <w:szCs w:val="24"/>
              <w:lang w:bidi="en-US"/>
            </w:rPr>
            <w:t>270</w:t>
          </w:r>
          <w:r>
            <w:rPr>
              <w:rFonts w:eastAsia="Andale Sans UI"/>
              <w:szCs w:val="24"/>
              <w:vertAlign w:val="superscript"/>
              <w:lang w:bidi="en-US"/>
            </w:rPr>
            <w:t>2</w:t>
          </w:r>
          <w:r>
            <w:rPr>
              <w:rFonts w:eastAsia="Andale Sans UI"/>
              <w:szCs w:val="24"/>
              <w:lang w:bidi="en-US"/>
            </w:rPr>
            <w:t xml:space="preserve"> straipsniais ir 243</w:t>
          </w:r>
          <w:r>
            <w:rPr>
              <w:rFonts w:eastAsia="Andale Sans UI"/>
              <w:szCs w:val="24"/>
              <w:vertAlign w:val="superscript"/>
              <w:lang w:bidi="en-US"/>
            </w:rPr>
            <w:t>1</w:t>
          </w:r>
          <w:r>
            <w:rPr>
              <w:rFonts w:eastAsia="Andale Sans UI"/>
              <w:szCs w:val="24"/>
              <w:lang w:bidi="en-US"/>
            </w:rPr>
            <w:t> straipsnio pripažinimo netekusiu galios įstatymo projektą.</w:t>
          </w:r>
          <w:r>
            <w:rPr>
              <w:color w:val="000000"/>
              <w:kern w:val="1"/>
              <w:szCs w:val="24"/>
              <w:lang w:eastAsia="ar-SA" w:bidi="en-US"/>
            </w:rPr>
            <w:t xml:space="preserve"> </w:t>
          </w:r>
        </w:p>
        <w:p>
          <w:pPr>
            <w:spacing w:line="276" w:lineRule="auto"/>
            <w:ind w:firstLine="567"/>
            <w:jc w:val="both"/>
            <w:rPr>
              <w:rFonts w:eastAsia="Aptos"/>
              <w:kern w:val="1"/>
              <w:szCs w:val="24"/>
              <w:lang w:val="lt" w:bidi="en-US"/>
            </w:rPr>
          </w:pPr>
        </w:p>
        <w:sdt>
          <w:sdtPr>
            <w:alias w:val="1 p."/>
            <w:tag w:val="part_5b35ad10c11f44489cb259d40b16e884"/>
            <w:lock w:val="sdtLocked"/>
            <w:richText/>
          </w:sdtPr>
          <w:sdtContent>
            <w:p>
              <w:pPr>
                <w:shd w:val="clear" w:color="auto" w:fill="FFFFFF"/>
                <w:spacing w:line="276" w:lineRule="auto"/>
                <w:ind w:firstLine="567"/>
                <w:jc w:val="both"/>
                <w:textAlignment w:val="center"/>
                <w:rPr>
                  <w:rFonts w:eastAsia="Andale Sans UI"/>
                  <w:b/>
                  <w:bCs/>
                  <w:szCs w:val="24"/>
                  <w:lang w:bidi="en-US"/>
                </w:rPr>
              </w:pPr>
              <w:sdt>
                <w:sdtPr>
                  <w:alias w:val="Numeris"/>
                  <w:tag w:val="nr_5b35ad10c11f44489cb259d40b16e884"/>
                  <w:lock w:val="sdtLocked"/>
                  <w:richText/>
                </w:sdtPr>
                <w:sdtContent>
                  <w:r>
                    <w:rPr>
                      <w:rFonts w:eastAsia="Andale Sans UI"/>
                      <w:b/>
                      <w:bCs/>
                      <w:szCs w:val="24"/>
                      <w:lang w:bidi="en-US"/>
                    </w:rPr>
                    <w:t>1</w:t>
                  </w:r>
                </w:sdtContent>
              </w:sdt>
              <w:r>
                <w:rPr>
                  <w:rFonts w:eastAsia="Andale Sans UI"/>
                  <w:b/>
                  <w:bCs/>
                  <w:szCs w:val="24"/>
                  <w:lang w:bidi="en-US"/>
                </w:rPr>
                <w:t>. Projektais sprendžiama problema ir Projektus rengti paskatinusios priežastys</w:t>
              </w:r>
            </w:p>
            <w:p>
              <w:pPr>
                <w:spacing w:line="276" w:lineRule="auto"/>
                <w:ind w:firstLine="567"/>
                <w:jc w:val="both"/>
                <w:rPr>
                  <w:color w:val="000000"/>
                  <w:kern w:val="1"/>
                  <w:szCs w:val="24"/>
                  <w:lang w:bidi="en-US"/>
                </w:rPr>
              </w:pPr>
              <w:r>
                <w:rPr>
                  <w:rFonts w:eastAsia="Andale Sans UI"/>
                  <w:szCs w:val="24"/>
                  <w:lang w:eastAsia="lt-LT" w:bidi="en-US"/>
                </w:rPr>
                <w:t>Lietuvos Respublikos aplinkos apsaugos įstatymo Nr. I˗2223 </w:t>
              </w:r>
              <w:r>
                <w:rPr>
                  <w:rFonts w:eastAsia="Andale Sans UI"/>
                  <w:caps/>
                  <w:szCs w:val="24"/>
                  <w:lang w:bidi="en-US"/>
                </w:rPr>
                <w:t>1, 37, 40</w:t>
              </w:r>
              <w:r>
                <w:rPr>
                  <w:rFonts w:eastAsia="Andale Sans UI"/>
                  <w:caps/>
                  <w:szCs w:val="24"/>
                  <w:vertAlign w:val="superscript"/>
                  <w:lang w:bidi="en-US"/>
                </w:rPr>
                <w:t>1</w:t>
              </w:r>
              <w:r>
                <w:rPr>
                  <w:rFonts w:eastAsia="Andale Sans UI"/>
                  <w:caps/>
                  <w:szCs w:val="24"/>
                  <w:lang w:bidi="en-US"/>
                </w:rPr>
                <w:t xml:space="preserve">, 47, 87, </w:t>
              </w:r>
              <w:r>
                <w:rPr>
                  <w:rFonts w:eastAsia="Andale Sans UI"/>
                  <w:szCs w:val="24"/>
                  <w:lang w:bidi="en-US"/>
                </w:rPr>
                <w:t>109</w:t>
              </w:r>
              <w:r>
                <w:rPr>
                  <w:rFonts w:eastAsia="Andale Sans UI"/>
                  <w:szCs w:val="24"/>
                  <w:vertAlign w:val="superscript"/>
                  <w:lang w:bidi="en-US"/>
                </w:rPr>
                <w:t>1</w:t>
              </w:r>
              <w:r>
                <w:rPr>
                  <w:rFonts w:eastAsia="Andale Sans UI"/>
                  <w:caps/>
                  <w:szCs w:val="24"/>
                  <w:lang w:bidi="en-US"/>
                </w:rPr>
                <w:t>, 110, 122</w:t>
              </w:r>
              <w:r>
                <w:rPr>
                  <w:rFonts w:eastAsia="Andale Sans UI"/>
                  <w:caps/>
                  <w:szCs w:val="24"/>
                  <w:vertAlign w:val="superscript"/>
                  <w:lang w:bidi="en-US"/>
                </w:rPr>
                <w:t>4</w:t>
              </w:r>
              <w:r>
                <w:rPr>
                  <w:rFonts w:eastAsia="Andale Sans UI"/>
                  <w:caps/>
                  <w:szCs w:val="24"/>
                  <w:lang w:bidi="en-US"/>
                </w:rPr>
                <w:t xml:space="preserve"> </w:t>
              </w:r>
              <w:r>
                <w:rPr>
                  <w:rFonts w:eastAsia="Andale Sans UI"/>
                  <w:color w:val="000000"/>
                  <w:szCs w:val="24"/>
                  <w:lang w:bidi="en-US"/>
                </w:rPr>
                <w:t xml:space="preserve">straipsnių ir priedo pakeitimo, Įstatymo papildymo </w:t>
              </w:r>
              <w:r>
                <w:rPr>
                  <w:rFonts w:eastAsia="Andale Sans UI"/>
                  <w:caps/>
                  <w:color w:val="000000"/>
                  <w:szCs w:val="24"/>
                  <w:lang w:bidi="en-US"/>
                </w:rPr>
                <w:t>110</w:t>
              </w:r>
              <w:r>
                <w:rPr>
                  <w:rFonts w:eastAsia="Andale Sans UI"/>
                  <w:caps/>
                  <w:color w:val="000000"/>
                  <w:szCs w:val="24"/>
                  <w:vertAlign w:val="superscript"/>
                  <w:lang w:bidi="en-US"/>
                </w:rPr>
                <w:t>2</w:t>
              </w:r>
              <w:r>
                <w:rPr>
                  <w:rFonts w:eastAsia="Andale Sans UI"/>
                  <w:caps/>
                  <w:color w:val="000000"/>
                  <w:szCs w:val="24"/>
                  <w:lang w:bidi="en-US"/>
                </w:rPr>
                <w:t>, 110</w:t>
              </w:r>
              <w:r>
                <w:rPr>
                  <w:rFonts w:eastAsia="Andale Sans UI"/>
                  <w:caps/>
                  <w:color w:val="000000"/>
                  <w:szCs w:val="24"/>
                  <w:vertAlign w:val="superscript"/>
                  <w:lang w:bidi="en-US"/>
                </w:rPr>
                <w:t>3</w:t>
              </w:r>
              <w:r>
                <w:rPr>
                  <w:rFonts w:eastAsia="Andale Sans UI"/>
                  <w:caps/>
                  <w:color w:val="000000"/>
                  <w:szCs w:val="24"/>
                  <w:lang w:bidi="en-US"/>
                </w:rPr>
                <w:t>, 110</w:t>
              </w:r>
              <w:r>
                <w:rPr>
                  <w:rFonts w:eastAsia="Andale Sans UI"/>
                  <w:caps/>
                  <w:szCs w:val="24"/>
                  <w:vertAlign w:val="superscript"/>
                  <w:lang w:bidi="en-US"/>
                </w:rPr>
                <w:t>4</w:t>
              </w:r>
              <w:r>
                <w:rPr>
                  <w:rFonts w:eastAsia="Andale Sans UI"/>
                  <w:color w:val="000000"/>
                  <w:szCs w:val="24"/>
                  <w:lang w:bidi="en-US"/>
                </w:rPr>
                <w:t>,</w:t>
              </w:r>
              <w:r>
                <w:rPr>
                  <w:rFonts w:eastAsia="Andale Sans UI"/>
                  <w:caps/>
                  <w:color w:val="000000"/>
                  <w:szCs w:val="24"/>
                  <w:vertAlign w:val="superscript"/>
                  <w:lang w:bidi="en-US"/>
                </w:rPr>
                <w:t xml:space="preserve"> </w:t>
              </w:r>
              <w:r>
                <w:rPr>
                  <w:rFonts w:eastAsia="Andale Sans UI"/>
                  <w:caps/>
                  <w:color w:val="000000"/>
                  <w:szCs w:val="24"/>
                  <w:lang w:bidi="en-US"/>
                </w:rPr>
                <w:t>118</w:t>
              </w:r>
              <w:r>
                <w:rPr>
                  <w:rFonts w:eastAsia="Andale Sans UI"/>
                  <w:caps/>
                  <w:color w:val="000000"/>
                  <w:szCs w:val="24"/>
                  <w:vertAlign w:val="superscript"/>
                  <w:lang w:bidi="en-US"/>
                </w:rPr>
                <w:t>2</w:t>
              </w:r>
              <w:r>
                <w:rPr>
                  <w:rFonts w:eastAsia="Andale Sans UI"/>
                  <w:color w:val="000000"/>
                  <w:szCs w:val="24"/>
                  <w:vertAlign w:val="superscript"/>
                  <w:lang w:bidi="en-US"/>
                </w:rPr>
                <w:t xml:space="preserve"> </w:t>
              </w:r>
              <w:r>
                <w:rPr>
                  <w:rFonts w:eastAsia="Andale Sans UI"/>
                  <w:color w:val="000000"/>
                  <w:szCs w:val="24"/>
                  <w:lang w:bidi="en-US"/>
                </w:rPr>
                <w:t xml:space="preserve">straipsniais ir </w:t>
              </w:r>
              <w:r>
                <w:rPr>
                  <w:rFonts w:eastAsia="Andale Sans UI"/>
                  <w:caps/>
                  <w:color w:val="000000"/>
                  <w:szCs w:val="24"/>
                  <w:lang w:bidi="en-US"/>
                </w:rPr>
                <w:t>110</w:t>
              </w:r>
              <w:r>
                <w:rPr>
                  <w:rFonts w:eastAsia="Andale Sans UI"/>
                  <w:caps/>
                  <w:color w:val="000000"/>
                  <w:szCs w:val="24"/>
                  <w:vertAlign w:val="superscript"/>
                  <w:lang w:bidi="en-US"/>
                </w:rPr>
                <w:t>2</w:t>
              </w:r>
              <w:r>
                <w:rPr>
                  <w:rFonts w:eastAsia="Andale Sans UI"/>
                  <w:caps/>
                  <w:color w:val="000000"/>
                  <w:szCs w:val="24"/>
                  <w:lang w:bidi="en-US"/>
                </w:rPr>
                <w:t xml:space="preserve"> </w:t>
              </w:r>
              <w:r>
                <w:rPr>
                  <w:rFonts w:eastAsia="Andale Sans UI"/>
                  <w:color w:val="000000"/>
                  <w:szCs w:val="24"/>
                  <w:lang w:bidi="en-US"/>
                </w:rPr>
                <w:t>straipsnio pripažinimo netekusiu galios įstatymo</w:t>
              </w:r>
              <w:r>
                <w:rPr>
                  <w:color w:val="000000"/>
                  <w:szCs w:val="24"/>
                  <w:lang w:bidi="en-US"/>
                </w:rPr>
                <w:t xml:space="preserve"> projektas (toliau – Įstatymo projektas) ir </w:t>
              </w:r>
              <w:r>
                <w:rPr>
                  <w:rFonts w:eastAsia="Andale Sans UI"/>
                  <w:color w:val="000000"/>
                  <w:szCs w:val="24"/>
                  <w:lang w:bidi="en-US"/>
                </w:rPr>
                <w:t xml:space="preserve">Lietuvos Respublikos administracinių nusižengimų kodekso </w:t>
              </w:r>
              <w:r>
                <w:rPr>
                  <w:rFonts w:eastAsia="Andale Sans UI"/>
                  <w:szCs w:val="24"/>
                  <w:lang w:bidi="en-US"/>
                </w:rPr>
                <w:t>12, 27, 29, 243</w:t>
              </w:r>
              <w:r>
                <w:rPr>
                  <w:rFonts w:eastAsia="Andale Sans UI"/>
                  <w:szCs w:val="24"/>
                  <w:vertAlign w:val="superscript"/>
                  <w:lang w:bidi="en-US"/>
                </w:rPr>
                <w:t>1</w:t>
              </w:r>
              <w:r>
                <w:rPr>
                  <w:rFonts w:eastAsia="Andale Sans UI"/>
                  <w:szCs w:val="24"/>
                  <w:lang w:bidi="en-US"/>
                </w:rPr>
                <w:t>, 251, 304</w:t>
              </w:r>
              <w:r>
                <w:rPr>
                  <w:rFonts w:eastAsia="Andale Sans UI"/>
                  <w:caps/>
                  <w:szCs w:val="24"/>
                  <w:vertAlign w:val="superscript"/>
                  <w:lang w:bidi="en-US"/>
                </w:rPr>
                <w:t>2</w:t>
              </w:r>
              <w:r>
                <w:rPr>
                  <w:rFonts w:eastAsia="Andale Sans UI"/>
                  <w:szCs w:val="24"/>
                  <w:lang w:bidi="en-US"/>
                </w:rPr>
                <w:t>, 308</w:t>
              </w:r>
              <w:r>
                <w:rPr>
                  <w:rFonts w:eastAsia="Andale Sans UI"/>
                  <w:szCs w:val="24"/>
                  <w:vertAlign w:val="superscript"/>
                  <w:lang w:bidi="en-US"/>
                </w:rPr>
                <w:t>1</w:t>
              </w:r>
              <w:r>
                <w:rPr>
                  <w:rFonts w:eastAsia="Andale Sans UI"/>
                  <w:szCs w:val="24"/>
                  <w:lang w:bidi="en-US"/>
                </w:rPr>
                <w:t xml:space="preserve">, 310, 589 </w:t>
              </w:r>
              <w:r>
                <w:rPr>
                  <w:rFonts w:eastAsia="Andale Sans UI"/>
                  <w:color w:val="000000"/>
                  <w:szCs w:val="24"/>
                  <w:lang w:bidi="en-US"/>
                </w:rPr>
                <w:t>straipsnių ir priedo pakeitimo,</w:t>
              </w:r>
              <w:r>
                <w:rPr>
                  <w:rFonts w:eastAsia="Andale Sans UI"/>
                  <w:szCs w:val="24"/>
                  <w:lang w:bidi="en-US"/>
                </w:rPr>
                <w:t xml:space="preserve"> Kodekso papildymo 31</w:t>
              </w:r>
              <w:r>
                <w:rPr>
                  <w:rFonts w:eastAsia="Andale Sans UI"/>
                  <w:szCs w:val="24"/>
                  <w:vertAlign w:val="superscript"/>
                  <w:lang w:bidi="en-US"/>
                </w:rPr>
                <w:t>2</w:t>
              </w:r>
              <w:r>
                <w:rPr>
                  <w:rFonts w:eastAsia="Andale Sans UI"/>
                  <w:szCs w:val="24"/>
                  <w:lang w:bidi="en-US"/>
                </w:rPr>
                <w:t>, 243</w:t>
              </w:r>
              <w:r>
                <w:rPr>
                  <w:rFonts w:eastAsia="Andale Sans UI"/>
                  <w:szCs w:val="24"/>
                  <w:vertAlign w:val="superscript"/>
                  <w:lang w:bidi="en-US"/>
                </w:rPr>
                <w:t>2</w:t>
              </w:r>
              <w:r>
                <w:rPr>
                  <w:rFonts w:eastAsia="Andale Sans UI"/>
                  <w:szCs w:val="24"/>
                  <w:lang w:bidi="en-US"/>
                </w:rPr>
                <w:t>,</w:t>
              </w:r>
              <w:r>
                <w:rPr>
                  <w:rFonts w:eastAsia="Andale Sans UI"/>
                  <w:szCs w:val="24"/>
                  <w:vertAlign w:val="superscript"/>
                  <w:lang w:bidi="en-US"/>
                </w:rPr>
                <w:t xml:space="preserve"> </w:t>
              </w:r>
              <w:r>
                <w:rPr>
                  <w:rFonts w:eastAsia="Andale Sans UI"/>
                  <w:szCs w:val="24"/>
                  <w:lang w:bidi="en-US"/>
                </w:rPr>
                <w:t>270</w:t>
              </w:r>
              <w:r>
                <w:rPr>
                  <w:rFonts w:eastAsia="Andale Sans UI"/>
                  <w:szCs w:val="24"/>
                  <w:vertAlign w:val="superscript"/>
                  <w:lang w:bidi="en-US"/>
                </w:rPr>
                <w:t>2</w:t>
              </w:r>
              <w:r>
                <w:rPr>
                  <w:rFonts w:eastAsia="Andale Sans UI"/>
                  <w:szCs w:val="24"/>
                  <w:lang w:bidi="en-US"/>
                </w:rPr>
                <w:t xml:space="preserve"> straipsniais ir 243</w:t>
              </w:r>
              <w:r>
                <w:rPr>
                  <w:rFonts w:eastAsia="Andale Sans UI"/>
                  <w:szCs w:val="24"/>
                  <w:vertAlign w:val="superscript"/>
                  <w:lang w:bidi="en-US"/>
                </w:rPr>
                <w:t>1</w:t>
              </w:r>
              <w:r>
                <w:rPr>
                  <w:rFonts w:eastAsia="Andale Sans UI"/>
                  <w:szCs w:val="24"/>
                  <w:lang w:bidi="en-US"/>
                </w:rPr>
                <w:t xml:space="preserve"> straipsnio pripažinimo netekusiu galios įstatymo </w:t>
              </w:r>
              <w:r>
                <w:rPr>
                  <w:color w:val="000000"/>
                  <w:szCs w:val="24"/>
                  <w:lang w:bidi="en-US"/>
                </w:rPr>
                <w:t xml:space="preserve">projektas (toliau – Kodekso projektas) (toliau kartu – </w:t>
              </w:r>
              <w:r>
                <w:rPr>
                  <w:rFonts w:eastAsia="Aptos"/>
                  <w:szCs w:val="24"/>
                  <w:lang w:bidi="en-US"/>
                </w:rPr>
                <w:t xml:space="preserve">Įstatymų projektai) </w:t>
              </w:r>
              <w:r>
                <w:rPr>
                  <w:rFonts w:eastAsia="Aptos"/>
                  <w:szCs w:val="24"/>
                  <w:lang w:val="lt" w:bidi="en-US"/>
                </w:rPr>
                <w:t>parengti siekiant nustatyti tinkamą atsakomybę juridiniams ir fiziniams asmenims už Europos Sąjungos (toliau</w:t>
              </w:r>
              <w:r>
                <w:rPr>
                  <w:color w:val="000000"/>
                  <w:szCs w:val="24"/>
                  <w:lang w:bidi="en-US"/>
                </w:rPr>
                <w:t xml:space="preserve"> – </w:t>
              </w:r>
              <w:r>
                <w:rPr>
                  <w:rFonts w:eastAsia="Aptos"/>
                  <w:szCs w:val="24"/>
                  <w:lang w:val="lt" w:bidi="en-US"/>
                </w:rPr>
                <w:t>ES) teisės aktuose nustatytų reikalavimų pažeidimus, aktualizuoti Lietuvos Respublikos aplinkos apsaugos įstatymo (toliau – Įstatymas), Lietuvos Respublikos administracinių nusižengimų kodekso (toliau – ANK) normas; pasikeitus susijusiam tarptautiniam ir nacionaliniam reguliavimui, įgyvendinant įpareigojimus valstybėms narėms, nustatyti veiksmingas, proporcingas ir atgrasomas sankcijas; sustiprinti reguliacinę aplinką.</w:t>
              </w:r>
              <w:r>
                <w:rPr>
                  <w:color w:val="000000"/>
                  <w:szCs w:val="24"/>
                  <w:lang w:bidi="en-US"/>
                </w:rPr>
                <w:t xml:space="preserve"> </w:t>
              </w:r>
              <w:r>
                <w:rPr>
                  <w:rFonts w:eastAsia="Andale Sans UI"/>
                  <w:szCs w:val="24"/>
                  <w:lang w:eastAsia="lt-LT" w:bidi="en-US"/>
                </w:rPr>
                <w:t>Įstatymų projektai parengti vadovaujantis:</w:t>
              </w:r>
            </w:p>
            <w:p>
              <w:pPr>
                <w:spacing w:line="276" w:lineRule="auto"/>
                <w:ind w:firstLine="567"/>
                <w:jc w:val="both"/>
                <w:rPr>
                  <w:rFonts w:eastAsia="Andale Sans UI"/>
                  <w:szCs w:val="24"/>
                  <w:lang w:eastAsia="lt-LT" w:bidi="en-US"/>
                </w:rPr>
              </w:pPr>
              <w:r>
                <w:rPr>
                  <w:rFonts w:eastAsia="Andale Sans UI"/>
                  <w:szCs w:val="24"/>
                  <w:lang w:eastAsia="lt-LT" w:bidi="en-US"/>
                </w:rPr>
                <w:t xml:space="preserve">- 2024 m. birželio 13 d. Europos Parlamento ir Tarybos reglamento </w:t>
              </w:r>
              <w:fldSimple w:instr="HYPERLINK http://eur-lex.europa.eu/legal-content/LIT/TXT/?uri=CELEX:32024R1849&amp;locale=lt \t _blank">
                <w:r>
                  <w:rPr>
                    <w:rFonts w:eastAsia="Andale Sans UI"/>
                    <w:szCs w:val="24"/>
                    <w:lang w:eastAsia="lt-LT" w:bidi="en-US"/>
                    <w:u w:val="single"/>
                    <w:color w:val="0000FF" w:themeColor="hyperlink"/>
                  </w:rPr>
                  <w:t>(ES) 2024/1849</w:t>
                </w:r>
              </w:fldSimple>
              <w:r>
                <w:rPr>
                  <w:rFonts w:eastAsia="Andale Sans UI"/>
                  <w:szCs w:val="24"/>
                  <w:lang w:eastAsia="lt-LT" w:bidi="en-US"/>
                </w:rPr>
                <w:t xml:space="preserve">, kuriuo iš dalies keičiamas reglamentas </w:t>
              </w:r>
              <w:fldSimple w:instr="HYPERLINK http://eur-lex.europa.eu/legal-content/LIT/TXT/?uri=CELEX:32017R0852&amp;locale=lt \t _blank">
                <w:r>
                  <w:rPr>
                    <w:rFonts w:eastAsia="Andale Sans UI"/>
                    <w:szCs w:val="24"/>
                    <w:lang w:eastAsia="lt-LT" w:bidi="en-US"/>
                    <w:u w:val="single"/>
                    <w:color w:val="0000FF" w:themeColor="hyperlink"/>
                  </w:rPr>
                  <w:t>(ES) 2017/852</w:t>
                </w:r>
              </w:fldSimple>
              <w:r>
                <w:rPr>
                  <w:rFonts w:eastAsia="Andale Sans UI"/>
                  <w:szCs w:val="24"/>
                  <w:lang w:eastAsia="lt-LT" w:bidi="en-US"/>
                </w:rPr>
                <w:t xml:space="preserve"> dėl gyvsidabrio, kiek tai susiję su dantų amalgama ir kitais produktais, kurių sudėtyje yra gyvsidabrio ir kuriems taikomi eksporto, importo ir gamybos apribojimai, 1 straipsnio 1 punkto b papunktyje nustatytu draudimu eksportuoti, gaminti ir importuoti dantų amalgamą ir Reglamento </w:t>
              </w:r>
              <w:fldSimple w:instr="HYPERLINK http://eur-lex.europa.eu/legal-content/LIT/TXT/?uri=CELEX:32017R0852&amp;locale=lt \t _blank">
                <w:r>
                  <w:rPr>
                    <w:rFonts w:eastAsia="Andale Sans UI"/>
                    <w:szCs w:val="24"/>
                    <w:lang w:eastAsia="lt-LT" w:bidi="en-US"/>
                    <w:u w:val="single"/>
                    <w:color w:val="0000FF" w:themeColor="hyperlink"/>
                  </w:rPr>
                  <w:t>(ES) 2017/852</w:t>
                </w:r>
              </w:fldSimple>
              <w:r>
                <w:rPr>
                  <w:rFonts w:eastAsia="Andale Sans UI"/>
                  <w:szCs w:val="24"/>
                  <w:lang w:eastAsia="lt-LT" w:bidi="en-US"/>
                </w:rPr>
                <w:t xml:space="preserve"> 16 straipsniu, </w:t>
              </w:r>
              <w:r>
                <w:rPr>
                  <w:rFonts w:eastAsia="Andale Sans UI"/>
                  <w:szCs w:val="24"/>
                  <w:lang w:bidi="en-US"/>
                </w:rPr>
                <w:t>įpareigojančiu valstybes nares nustatyti sankcijų už šio reglamento pažeidimus taikymo taisykles ir imtis visų jų įgyvendinimui užtikrinti būtinų priemonių.</w:t>
              </w:r>
              <w:r>
                <w:rPr>
                  <w:rFonts w:eastAsia="Andale Sans UI"/>
                  <w:szCs w:val="24"/>
                  <w:lang w:eastAsia="lt-LT" w:bidi="en-US"/>
                </w:rPr>
                <w:t xml:space="preserve"> </w:t>
              </w:r>
            </w:p>
            <w:p>
              <w:pPr>
                <w:spacing w:line="276" w:lineRule="auto"/>
                <w:ind w:firstLine="709"/>
                <w:jc w:val="both"/>
                <w:rPr>
                  <w:rFonts w:eastAsia="Andale Sans UI"/>
                  <w:szCs w:val="24"/>
                  <w:lang w:bidi="en-US"/>
                </w:rPr>
              </w:pPr>
              <w:r>
                <w:rPr>
                  <w:rFonts w:eastAsia="Andale Sans UI"/>
                  <w:szCs w:val="24"/>
                  <w:lang w:bidi="en-US"/>
                </w:rPr>
                <w:t xml:space="preserve">Įstatymo, ANK ir Lietuvos Respublikos produktų saugos įstatymo nuostatų nepakanka Reglamentui </w:t>
              </w:r>
              <w:fldSimple w:instr="HYPERLINK http://eur-lex.europa.eu/legal-content/LIT/TXT/?uri=CELEX:32017R0852&amp;locale=lt \t _blank">
                <w:r>
                  <w:rPr>
                    <w:rFonts w:eastAsia="Andale Sans UI"/>
                    <w:szCs w:val="24"/>
                    <w:lang w:bidi="en-US"/>
                    <w:u w:val="single"/>
                    <w:color w:val="0000FF" w:themeColor="hyperlink"/>
                  </w:rPr>
                  <w:t>(ES) 2017/852</w:t>
                </w:r>
              </w:fldSimple>
              <w:r>
                <w:rPr>
                  <w:rFonts w:eastAsia="Andale Sans UI"/>
                  <w:szCs w:val="24"/>
                  <w:lang w:bidi="en-US"/>
                </w:rPr>
                <w:t xml:space="preserve"> ir jį iš dalies pakeičiančiam Reglamentui </w:t>
              </w:r>
              <w:fldSimple w:instr="HYPERLINK http://eur-lex.europa.eu/legal-content/LIT/TXT/?uri=CELEX:32024R1849&amp;locale=lt \t _blank">
                <w:r>
                  <w:rPr>
                    <w:rFonts w:eastAsia="Andale Sans UI"/>
                    <w:szCs w:val="24"/>
                    <w:lang w:bidi="en-US"/>
                    <w:u w:val="single"/>
                    <w:color w:val="0000FF" w:themeColor="hyperlink"/>
                  </w:rPr>
                  <w:t>(ES) 2024/1849</w:t>
                </w:r>
              </w:fldSimple>
              <w:r>
                <w:rPr>
                  <w:rFonts w:eastAsia="Andale Sans UI"/>
                  <w:szCs w:val="24"/>
                  <w:lang w:bidi="en-US"/>
                </w:rPr>
                <w:t xml:space="preserve"> tinkamai įgyvendinti. Įstatyme ir ANK nėra nuostatų, susijusių su atsakomybe už dantų amalgamos gamybos, importo, eksporto draudimo reikalavimų pažeidimus, kaip to reikalauja Reglamento </w:t>
              </w:r>
              <w:fldSimple w:instr="HYPERLINK http://eur-lex.europa.eu/legal-content/LIT/TXT/?uri=CELEX:32017R0852&amp;locale=lt \t _blank">
                <w:r>
                  <w:rPr>
                    <w:rFonts w:eastAsia="Andale Sans UI"/>
                    <w:szCs w:val="24"/>
                    <w:lang w:bidi="en-US"/>
                    <w:u w:val="single"/>
                    <w:color w:val="0000FF" w:themeColor="hyperlink"/>
                  </w:rPr>
                  <w:t>(ES) 2017/852</w:t>
                </w:r>
              </w:fldSimple>
              <w:r>
                <w:rPr>
                  <w:rFonts w:eastAsia="Andale Sans UI"/>
                  <w:szCs w:val="24"/>
                  <w:lang w:bidi="en-US"/>
                </w:rPr>
                <w:t xml:space="preserve"> 16 straipsnis. Neveiksminga Reglamente </w:t>
              </w:r>
              <w:fldSimple w:instr="HYPERLINK http://eur-lex.europa.eu/legal-content/LIT/TXT/?uri=CELEX:32017R0852&amp;locale=lt \t _blank">
                <w:r>
                  <w:rPr>
                    <w:rFonts w:eastAsia="Andale Sans UI"/>
                    <w:szCs w:val="24"/>
                    <w:lang w:bidi="en-US"/>
                    <w:u w:val="single"/>
                    <w:color w:val="0000FF" w:themeColor="hyperlink"/>
                  </w:rPr>
                  <w:t>(ES) 2017/852</w:t>
                </w:r>
              </w:fldSimple>
              <w:r>
                <w:rPr>
                  <w:rFonts w:eastAsia="Andale Sans UI"/>
                  <w:szCs w:val="24"/>
                  <w:lang w:bidi="en-US"/>
                </w:rPr>
                <w:t xml:space="preserve"> nustatyto reikalavimo odontologinės priežiūros (pagalbos) įstaigose įrengti amalgamos separatorius, atitinkančius šiame reglamente nustatytą specifikaciją, vykdymo priežiūra. Šią priežiūrą vykdantys Aplinkos apsaugos departamento prie Aplinkos ministerijos inspektoriai neturi specialiųjų medicinos ir visuomenės (asmens) sveikatos priežiūros srities žinių, kad galėtų tinkamai vykdyti jiems pavestas užduotis. Nacionalinis visuomenės sveikatos centras prie Sveikatos apsaugos ministerijos (toliau – NVSC), vadovaudamasis Lietuvos Respublikos visuomenės sveikatos priežiūros įstatymu ir kitais susijusiais šios srities teisės aktais, vykdo odontologinės priežiūros (pagalbos) paslaugas teikiančių įstaigų veiklos priežiūrą (kontrolę), tikrina atitiktį teisės aktuose nustatytiems reikalavimams. NVSC kompetencija dantų amalgamos separatorių įrengimo odontologijos klinikose kontrolės srityje neapibrėžta teisės aktais, todėl tokių patikrinimų šios institucijos specialistai negali atlikti, nors turi tinkamą visuomenės sveikatos priežiūros ir medicinos srities kompetenciją;</w:t>
              </w:r>
            </w:p>
            <w:p>
              <w:pPr>
                <w:spacing w:line="276" w:lineRule="auto"/>
                <w:ind w:firstLine="709"/>
                <w:jc w:val="both"/>
                <w:rPr>
                  <w:rFonts w:eastAsia="Andale Sans UI"/>
                  <w:szCs w:val="24"/>
                  <w:lang w:eastAsia="lt-LT" w:bidi="en-US"/>
                </w:rPr>
              </w:pPr>
              <w:r>
                <w:rPr>
                  <w:rFonts w:eastAsia="Andale Sans UI"/>
                  <w:szCs w:val="24"/>
                  <w:lang w:eastAsia="lt-LT" w:bidi="en-US"/>
                </w:rPr>
                <w:t xml:space="preserve">- 2024 m. balandžio 11 d Europos Parlamento ir Tarybos reglamento </w:t>
              </w:r>
              <w:fldSimple w:instr="HYPERLINK http://eur-lex.europa.eu/legal-content/LIT/TXT/?uri=CELEX:32024R1157&amp;locale=lt \t _blank">
                <w:r>
                  <w:rPr>
                    <w:rFonts w:eastAsia="Andale Sans UI"/>
                    <w:szCs w:val="24"/>
                    <w:lang w:eastAsia="lt-LT" w:bidi="en-US"/>
                    <w:u w:val="single"/>
                    <w:color w:val="0000FF" w:themeColor="hyperlink"/>
                  </w:rPr>
                  <w:t>(ES) 2024/1157</w:t>
                </w:r>
              </w:fldSimple>
              <w:r>
                <w:rPr>
                  <w:rFonts w:eastAsia="Andale Sans UI"/>
                  <w:szCs w:val="24"/>
                  <w:lang w:eastAsia="lt-LT" w:bidi="en-US"/>
                </w:rPr>
                <w:t xml:space="preserve"> dėl atliekų vežimo, kuriuo iš dalies keičiami reglamentai </w:t>
              </w:r>
              <w:fldSimple w:instr="HYPERLINK http://eur-lex.europa.eu/legal-content/LIT/TXT/?uri=CELEX:32013R1257&amp;locale=lt \t _blank">
                <w:r>
                  <w:rPr>
                    <w:rFonts w:eastAsia="Andale Sans UI"/>
                    <w:szCs w:val="24"/>
                    <w:lang w:eastAsia="lt-LT" w:bidi="en-US"/>
                    <w:u w:val="single"/>
                    <w:color w:val="0000FF" w:themeColor="hyperlink"/>
                  </w:rPr>
                  <w:t>(ES) Nr. 1257/2013</w:t>
                </w:r>
              </w:fldSimple>
              <w:r>
                <w:rPr>
                  <w:rFonts w:eastAsia="Andale Sans UI"/>
                  <w:szCs w:val="24"/>
                  <w:lang w:eastAsia="lt-LT" w:bidi="en-US"/>
                </w:rPr>
                <w:t xml:space="preserve"> ir </w:t>
              </w:r>
              <w:fldSimple w:instr="HYPERLINK http://eur-lex.europa.eu/legal-content/LIT/TXT/?uri=CELEX:32020R1056&amp;locale=lt \t _blank">
                <w:r>
                  <w:rPr>
                    <w:rFonts w:eastAsia="Andale Sans UI"/>
                    <w:szCs w:val="24"/>
                    <w:lang w:eastAsia="lt-LT" w:bidi="en-US"/>
                    <w:u w:val="single"/>
                    <w:color w:val="0000FF" w:themeColor="hyperlink"/>
                  </w:rPr>
                  <w:t>(ES) 2020/1056</w:t>
                </w:r>
              </w:fldSimple>
              <w:r>
                <w:rPr>
                  <w:rFonts w:eastAsia="Andale Sans UI"/>
                  <w:szCs w:val="24"/>
                  <w:lang w:eastAsia="lt-LT" w:bidi="en-US"/>
                </w:rPr>
                <w:t xml:space="preserve"> ir panaikinamas Reglamentas </w:t>
              </w:r>
              <w:fldSimple w:instr="HYPERLINK http://eur-lex.europa.eu/legal-content/LIT/TXT/?uri=CELEX:32006R1013&amp;locale=lt \t _blank">
                <w:r>
                  <w:rPr>
                    <w:rFonts w:eastAsia="Andale Sans UI"/>
                    <w:szCs w:val="24"/>
                    <w:lang w:eastAsia="lt-LT" w:bidi="en-US"/>
                    <w:u w:val="single"/>
                    <w:color w:val="0000FF" w:themeColor="hyperlink"/>
                  </w:rPr>
                  <w:t>(EB) Nr. 1013/2006</w:t>
                </w:r>
              </w:fldSimple>
              <w:r>
                <w:rPr>
                  <w:rFonts w:eastAsia="Andale Sans UI"/>
                  <w:szCs w:val="24"/>
                  <w:lang w:eastAsia="lt-LT" w:bidi="en-US"/>
                </w:rPr>
                <w:t xml:space="preserve">, 63 straipsnyje nustatytu reikalavimu numatyti sankcijas už šio reglamento pažeidimus, pvz., už šio reglamento 4, 5, 6, 7, 16, 17, 18 straipsniuose ir 4 skyriuje nustatytų reikalavimų nevykdymą. </w:t>
              </w:r>
              <w:r>
                <w:rPr>
                  <w:rFonts w:eastAsia="Andale Sans UI"/>
                  <w:szCs w:val="24"/>
                  <w:lang w:bidi="en-US"/>
                </w:rPr>
                <w:t xml:space="preserve">Reglamente </w:t>
              </w:r>
              <w:fldSimple w:instr="HYPERLINK http://eur-lex.europa.eu/legal-content/LIT/TXT/?uri=CELEX:32024R1157&amp;locale=lt \t _blank">
                <w:r>
                  <w:rPr>
                    <w:rFonts w:eastAsia="Andale Sans UI"/>
                    <w:szCs w:val="24"/>
                    <w:lang w:bidi="en-US"/>
                    <w:u w:val="single"/>
                    <w:color w:val="0000FF" w:themeColor="hyperlink"/>
                  </w:rPr>
                  <w:t>(ES) 2024/1157</w:t>
                </w:r>
              </w:fldSimple>
              <w:r>
                <w:rPr>
                  <w:rFonts w:eastAsia="Andale Sans UI"/>
                  <w:szCs w:val="24"/>
                  <w:lang w:bidi="en-US"/>
                </w:rPr>
                <w:t xml:space="preserve"> nustatomos priemonės, kuriomis siekiama apsaugoti aplinką ir žmonių sveikatą, prisidėti prie poveikio klimatui neutralumo, žiedinės ekonomikos kūrimo ir nulinės taršos, užkertant kelią neigiamam poveikiui, kurį gali sukelti atliekų vežimas ir jų apdorojimas paskirties vietoje, arba jį sumažinant. Šiame reglamente atliekų vežimo procedūros ir kontrolės režimas nustatomi atsižvelgiant į atliekų kilmę, paskirties vietą, vežimo kelią, atliekų rūšį ir jų numatyto tvarkymo būdą paskirties vietoje; vadovaujantis Reglamento </w:t>
              </w:r>
              <w:fldSimple w:instr="HYPERLINK http://eur-lex.europa.eu/legal-content/LIT/TXT/?uri=CELEX:32024R1157&amp;locale=lt \t _blank">
                <w:r>
                  <w:rPr>
                    <w:rFonts w:eastAsia="Andale Sans UI"/>
                    <w:szCs w:val="24"/>
                    <w:lang w:bidi="en-US"/>
                    <w:u w:val="single"/>
                    <w:color w:val="0000FF" w:themeColor="hyperlink"/>
                  </w:rPr>
                  <w:t>(ES) 2024/1157</w:t>
                </w:r>
              </w:fldSimple>
              <w:r>
                <w:rPr>
                  <w:rFonts w:eastAsia="Andale Sans UI"/>
                  <w:szCs w:val="24"/>
                  <w:lang w:bidi="en-US"/>
                </w:rPr>
                <w:t xml:space="preserve"> 63 straipsniu, valstybės narės nustato sankcijų, taikomų pažeidus Reglamentą </w:t>
              </w:r>
              <w:fldSimple w:instr="HYPERLINK http://eur-lex.europa.eu/legal-content/LIT/TXT/?uri=CELEX:32024R1157&amp;locale=lt \t _blank">
                <w:r>
                  <w:rPr>
                    <w:rFonts w:eastAsia="Andale Sans UI"/>
                    <w:szCs w:val="24"/>
                    <w:lang w:bidi="en-US"/>
                    <w:u w:val="single"/>
                    <w:color w:val="0000FF" w:themeColor="hyperlink"/>
                  </w:rPr>
                  <w:t>(ES) 2024/1157</w:t>
                </w:r>
              </w:fldSimple>
              <w:r>
                <w:rPr>
                  <w:rFonts w:eastAsia="Andale Sans UI"/>
                  <w:szCs w:val="24"/>
                  <w:lang w:bidi="en-US"/>
                </w:rPr>
                <w:t>, taisykles ir imasi visų būtinų priemonių užtikrinti, kad šios sankcijos būtų taikomos. Numatytos sankcijos turi būti veiksmingos, proporcingos ir atgrasomos;</w:t>
              </w:r>
            </w:p>
            <w:p>
              <w:pPr>
                <w:spacing w:line="276" w:lineRule="auto"/>
                <w:ind w:firstLine="709"/>
                <w:jc w:val="both"/>
                <w:rPr>
                  <w:rFonts w:eastAsia="Andale Sans UI"/>
                  <w:szCs w:val="24"/>
                  <w:lang w:eastAsia="lt-LT" w:bidi="en-US"/>
                </w:rPr>
              </w:pPr>
              <w:r>
                <w:rPr>
                  <w:rFonts w:eastAsia="Andale Sans UI"/>
                  <w:szCs w:val="24"/>
                  <w:lang w:eastAsia="lt-LT" w:bidi="en-US"/>
                </w:rPr>
                <w:t xml:space="preserve">- 2024 m. vasario 7 d. Europos Parlamento ir Tarybos reglamento </w:t>
              </w:r>
              <w:fldSimple w:instr="HYPERLINK http://eur-lex.europa.eu/legal-content/LIT/TXT/?uri=CELEX:32024R0590&amp;locale=lt \t _blank">
                <w:r>
                  <w:rPr>
                    <w:rFonts w:eastAsia="Andale Sans UI"/>
                    <w:szCs w:val="24"/>
                    <w:lang w:eastAsia="lt-LT" w:bidi="en-US"/>
                    <w:u w:val="single"/>
                    <w:color w:val="0000FF" w:themeColor="hyperlink"/>
                  </w:rPr>
                  <w:t>(ES) 2024/590</w:t>
                </w:r>
              </w:fldSimple>
              <w:r>
                <w:rPr>
                  <w:rFonts w:eastAsia="Andale Sans UI"/>
                  <w:szCs w:val="24"/>
                  <w:lang w:eastAsia="lt-LT" w:bidi="en-US"/>
                </w:rPr>
                <w:t xml:space="preserve"> dėl ozono sluoksnį ardančių medžiagų, kuriuo panaikinamas Reglamentas </w:t>
              </w:r>
              <w:fldSimple w:instr="HYPERLINK http://eur-lex.europa.eu/legal-content/LIT/TXT/?uri=CELEX:32009R1005&amp;locale=lt \t _blank">
                <w:r>
                  <w:rPr>
                    <w:rFonts w:eastAsia="Andale Sans UI"/>
                    <w:szCs w:val="24"/>
                    <w:lang w:eastAsia="lt-LT" w:bidi="en-US"/>
                    <w:u w:val="single"/>
                    <w:color w:val="0000FF" w:themeColor="hyperlink"/>
                  </w:rPr>
                  <w:t>(EB) Nr. 1005/2009</w:t>
                </w:r>
              </w:fldSimple>
              <w:r>
                <w:rPr>
                  <w:rFonts w:eastAsia="Andale Sans UI"/>
                  <w:szCs w:val="24"/>
                  <w:lang w:eastAsia="lt-LT" w:bidi="en-US"/>
                </w:rPr>
                <w:t>, 27 straipsnyje nustatytu reikalavimu numatyti tinkamą asmenų atsakomybę už šio reglamento pažeidimus;</w:t>
              </w:r>
            </w:p>
            <w:p>
              <w:pPr>
                <w:spacing w:line="276" w:lineRule="auto"/>
                <w:ind w:firstLine="771"/>
                <w:jc w:val="both"/>
                <w:rPr>
                  <w:rFonts w:eastAsia="Andale Sans UI"/>
                  <w:szCs w:val="24"/>
                  <w:lang w:eastAsia="lt-LT" w:bidi="en-US"/>
                </w:rPr>
              </w:pPr>
              <w:r>
                <w:rPr>
                  <w:rFonts w:eastAsia="Andale Sans UI"/>
                  <w:szCs w:val="24"/>
                  <w:lang w:eastAsia="lt-LT" w:bidi="en-US"/>
                </w:rPr>
                <w:t xml:space="preserve">- 2023 m. rugsėjo 13 d. Europos Parlamento ir Tarybos reglamento </w:t>
              </w:r>
              <w:fldSimple w:instr="HYPERLINK http://eur-lex.europa.eu/legal-content/LIT/TXT/?uri=CELEX:32023R1805&amp;locale=lt \t _blank">
                <w:r>
                  <w:rPr>
                    <w:rFonts w:eastAsia="Andale Sans UI"/>
                    <w:szCs w:val="24"/>
                    <w:lang w:eastAsia="lt-LT" w:bidi="en-US"/>
                    <w:u w:val="single"/>
                    <w:color w:val="0000FF" w:themeColor="hyperlink"/>
                  </w:rPr>
                  <w:t>(ES) 2023/1805</w:t>
                </w:r>
              </w:fldSimple>
              <w:r>
                <w:rPr>
                  <w:rFonts w:eastAsia="Andale Sans UI"/>
                  <w:szCs w:val="24"/>
                  <w:lang w:eastAsia="lt-LT" w:bidi="en-US"/>
                </w:rPr>
                <w:t xml:space="preserve">  dėl atsinaujinančiųjų energijos išteklių ir mažo anglies dioksido pėdsako kuro naudojimo jūrų transporto sektoriuje, kuriuo iš dalies keičiama Direktyva </w:t>
              </w:r>
              <w:fldSimple w:instr="HYPERLINK http://eur-lex.europa.eu/legal-content/LIT/TXT/?uri=CELEX:32009L0016&amp;locale=lt \t _blank">
                <w:r>
                  <w:rPr>
                    <w:rFonts w:eastAsia="Andale Sans UI"/>
                    <w:szCs w:val="24"/>
                    <w:lang w:eastAsia="lt-LT" w:bidi="en-US"/>
                    <w:u w:val="single"/>
                    <w:color w:val="0000FF" w:themeColor="hyperlink"/>
                  </w:rPr>
                  <w:t>2009/16/EB</w:t>
                </w:r>
              </w:fldSimple>
              <w:r>
                <w:rPr>
                  <w:rFonts w:eastAsia="Andale Sans UI"/>
                  <w:szCs w:val="24"/>
                  <w:lang w:eastAsia="lt-LT" w:bidi="en-US"/>
                </w:rPr>
                <w:t>, 23–25 straipsniuose nustatytais reikalavimais neviršyti laive sunaudojamai energijai tenkančios šiltnamio efektą sukeliančių dujų (toliau – ŠESD) taršos vidutinės metinės ribos, turėti atitinkamam laivui išduotą „FuelEU“ atitikties patvirtinimo dokumentą, sumokėti „FuelEU“ baudą;</w:t>
              </w:r>
            </w:p>
            <w:p>
              <w:pPr>
                <w:spacing w:line="276" w:lineRule="auto"/>
                <w:ind w:firstLine="709"/>
                <w:jc w:val="both"/>
                <w:rPr>
                  <w:rFonts w:eastAsia="Andale Sans UI"/>
                  <w:szCs w:val="24"/>
                  <w:lang w:eastAsia="lt-LT" w:bidi="en-US"/>
                </w:rPr>
              </w:pPr>
              <w:r>
                <w:rPr>
                  <w:rFonts w:eastAsia="Andale Sans UI"/>
                  <w:szCs w:val="24"/>
                  <w:lang w:eastAsia="lt-LT" w:bidi="en-US"/>
                </w:rPr>
                <w:t xml:space="preserve">- 2023 m. gegužės 31 d. Europos Parlamento ir Tarybos reglamento </w:t>
              </w:r>
              <w:fldSimple w:instr="HYPERLINK http://eur-lex.europa.eu/legal-content/LIT/TXT/?uri=CELEX:32023R1115&amp;locale=lt \t _blank">
                <w:r>
                  <w:rPr>
                    <w:rFonts w:eastAsia="Andale Sans UI"/>
                    <w:szCs w:val="24"/>
                    <w:lang w:eastAsia="lt-LT" w:bidi="en-US"/>
                    <w:u w:val="single"/>
                    <w:color w:val="0000FF" w:themeColor="hyperlink"/>
                  </w:rPr>
                  <w:t>(ES) 2023/1115</w:t>
                </w:r>
              </w:fldSimple>
              <w:r>
                <w:rPr>
                  <w:rFonts w:eastAsia="Andale Sans UI"/>
                  <w:szCs w:val="24"/>
                  <w:lang w:eastAsia="lt-LT" w:bidi="en-US"/>
                </w:rPr>
                <w:t xml:space="preserve"> dėl tam tikrų su miškų naikinimu ir alinimu siejamų biržos prekių ir produktų tiekimo Sąjungos rinkai ir jų eksporto iš Sąjungos, kuriuo panaikinimas Reglamentas </w:t>
              </w:r>
              <w:fldSimple w:instr="HYPERLINK http://eur-lex.europa.eu/legal-content/LIT/TXT/?uri=CELEX:32010R0995&amp;locale=lt \t _blank">
                <w:r>
                  <w:rPr>
                    <w:rFonts w:eastAsia="Andale Sans UI"/>
                    <w:szCs w:val="24"/>
                    <w:lang w:eastAsia="lt-LT" w:bidi="en-US"/>
                    <w:u w:val="single"/>
                    <w:color w:val="0000FF" w:themeColor="hyperlink"/>
                  </w:rPr>
                  <w:t>(ES) Nr. 995/2010</w:t>
                </w:r>
              </w:fldSimple>
              <w:r>
                <w:rPr>
                  <w:rFonts w:eastAsia="Andale Sans UI"/>
                  <w:szCs w:val="24"/>
                  <w:lang w:eastAsia="lt-LT" w:bidi="en-US"/>
                </w:rPr>
                <w:t xml:space="preserve">, 25 straipsnyje nustatytomis sankcijomis, siekiant sukurti atgrasomąjį poveikį veiklos vykdytojams ir prekiautojams neteikti arba netiekti rinkai, neeksportuoti biržos prekių ir atitinkamų produktų, susijusių su miškų naikinimu ir alinimu, prisidėti prie pasaulinės miškų naikinimo ir alinimo problemos sprendimo ir įgyvendinti Reglamento </w:t>
              </w:r>
              <w:fldSimple w:instr="HYPERLINK http://eur-lex.europa.eu/legal-content/LIT/TXT/?uri=CELEX:32023R1115&amp;locale=lt \t _blank">
                <w:r>
                  <w:rPr>
                    <w:rFonts w:eastAsia="Andale Sans UI"/>
                    <w:szCs w:val="24"/>
                    <w:lang w:eastAsia="lt-LT" w:bidi="en-US"/>
                    <w:u w:val="single"/>
                    <w:color w:val="0000FF" w:themeColor="hyperlink"/>
                  </w:rPr>
                  <w:t>(ES) 2023/1115</w:t>
                </w:r>
              </w:fldSimple>
              <w:r>
                <w:rPr>
                  <w:rFonts w:eastAsia="Andale Sans UI"/>
                  <w:szCs w:val="24"/>
                  <w:lang w:eastAsia="lt-LT" w:bidi="en-US"/>
                </w:rPr>
                <w:t xml:space="preserve"> įpareigojimus valstybėms narėms nustatyti veiksmingas, proporcingas ir atgrasomas sankcijas; </w:t>
              </w:r>
            </w:p>
            <w:p>
              <w:pPr>
                <w:spacing w:line="276" w:lineRule="auto"/>
                <w:ind w:firstLine="709"/>
                <w:jc w:val="both"/>
                <w:rPr>
                  <w:rFonts w:eastAsia="Andale Sans UI"/>
                  <w:szCs w:val="24"/>
                  <w:lang w:eastAsia="lt-LT" w:bidi="en-US"/>
                </w:rPr>
              </w:pPr>
              <w:r>
                <w:rPr>
                  <w:rFonts w:eastAsia="Andale Sans UI"/>
                  <w:szCs w:val="24"/>
                  <w:lang w:eastAsia="lt-LT" w:bidi="en-US"/>
                </w:rPr>
                <w:t xml:space="preserve">- 2023 m. gegužės 11 d. Europos Parlamento ir Tarybos reglamento </w:t>
              </w:r>
              <w:fldSimple w:instr="HYPERLINK http://eur-lex.europa.eu/legal-content/LIT/TXT/?uri=CELEX:32023R0956&amp;locale=lt \t _blank">
                <w:r>
                  <w:rPr>
                    <w:rFonts w:eastAsia="Andale Sans UI"/>
                    <w:szCs w:val="24"/>
                    <w:lang w:eastAsia="lt-LT" w:bidi="en-US"/>
                    <w:u w:val="single"/>
                    <w:color w:val="0000FF" w:themeColor="hyperlink"/>
                  </w:rPr>
                  <w:t>(ES) 2023/956</w:t>
                </w:r>
              </w:fldSimple>
              <w:r>
                <w:rPr>
                  <w:rFonts w:eastAsia="Andale Sans UI"/>
                  <w:szCs w:val="24"/>
                  <w:lang w:eastAsia="lt-LT" w:bidi="en-US"/>
                </w:rPr>
                <w:t xml:space="preserve">, kuriuo nustatomas pasienio anglies dioksido korekcinis mechanizmas, 26 ir 35 straipsnyje nustatytomis sankcijomis, siekiant nustatyti atsakomybę už šio reglamento pažeidimus dėl ataskaitų ir (ar) deklaracijų nepateikimo, sertifikatų neatsisakymo ir importo neturint įgaliotojo deklaranto statuso, taip prisidėti prie anglies dioksido nutekėjimo mažinimo ir įgyvendinti Reglamento </w:t>
              </w:r>
              <w:fldSimple w:instr="HYPERLINK http://eur-lex.europa.eu/legal-content/LIT/TXT/?uri=CELEX:32023R0956&amp;locale=lt \t _blank">
                <w:r>
                  <w:rPr>
                    <w:rFonts w:eastAsia="Andale Sans UI"/>
                    <w:szCs w:val="24"/>
                    <w:lang w:eastAsia="lt-LT" w:bidi="en-US"/>
                    <w:u w:val="single"/>
                    <w:color w:val="0000FF" w:themeColor="hyperlink"/>
                  </w:rPr>
                  <w:t>(ES) 2023/956</w:t>
                </w:r>
              </w:fldSimple>
              <w:r>
                <w:rPr>
                  <w:rFonts w:eastAsia="Andale Sans UI"/>
                  <w:szCs w:val="24"/>
                  <w:lang w:eastAsia="lt-LT" w:bidi="en-US"/>
                </w:rPr>
                <w:t> įpareigojimus valstybėms narėms nustatyti veiksmingas ir atgrasomas sankcijas; </w:t>
              </w:r>
            </w:p>
            <w:p>
              <w:pPr>
                <w:spacing w:line="276" w:lineRule="auto"/>
                <w:ind w:firstLine="709"/>
                <w:jc w:val="both"/>
                <w:rPr>
                  <w:rFonts w:eastAsia="Andale Sans UI"/>
                  <w:color w:val="000000"/>
                  <w:szCs w:val="24"/>
                  <w:lang w:bidi="en-US"/>
                </w:rPr>
              </w:pPr>
              <w:r>
                <w:rPr>
                  <w:rFonts w:eastAsia="Andale Sans UI"/>
                  <w:szCs w:val="24"/>
                  <w:lang w:eastAsia="lt-LT" w:bidi="en-US"/>
                </w:rPr>
                <w:t>-</w:t>
              </w:r>
              <w:r>
                <w:rPr>
                  <w:rFonts w:eastAsia="Andale Sans UI"/>
                  <w:color w:val="000000"/>
                  <w:szCs w:val="24"/>
                  <w:lang w:bidi="en-US"/>
                </w:rPr>
                <w:t xml:space="preserve"> 2024 m. balandžio 11 d Europos Parlamento ir Tarybos direktyvos </w:t>
              </w:r>
              <w:fldSimple w:instr="HYPERLINK http://eur-lex.europa.eu/legal-content/LIT/TXT/?uri=CELEX:32024L1203&amp;locale=lt \t _blank">
                <w:r>
                  <w:rPr>
                    <w:rFonts w:eastAsia="Andale Sans UI"/>
                    <w:color w:val="0000FF" w:themeColor="hyperlink"/>
                    <w:szCs w:val="24"/>
                    <w:lang w:bidi="en-US"/>
                    <w:u w:val="single"/>
                  </w:rPr>
                  <w:t>(ES) 2024/1203</w:t>
                </w:r>
              </w:fldSimple>
              <w:r>
                <w:rPr>
                  <w:rFonts w:eastAsia="Andale Sans UI"/>
                  <w:color w:val="000000"/>
                  <w:szCs w:val="24"/>
                  <w:lang w:bidi="en-US"/>
                </w:rPr>
                <w:t xml:space="preserve"> dėl aplinkos apsaugos baudžiamosios teisės priemonėmis, kuria pakeičiamos direktyvos </w:t>
              </w:r>
              <w:fldSimple w:instr="HYPERLINK http://eur-lex.europa.eu/legal-content/LIT/TXT/?uri=CELEX:32008L0099&amp;locale=lt \t _blank">
                <w:r>
                  <w:rPr>
                    <w:rFonts w:eastAsia="Andale Sans UI"/>
                    <w:color w:val="0000FF" w:themeColor="hyperlink"/>
                    <w:szCs w:val="24"/>
                    <w:lang w:bidi="en-US"/>
                    <w:u w:val="single"/>
                  </w:rPr>
                  <w:t>2008/99/EB</w:t>
                </w:r>
              </w:fldSimple>
              <w:r>
                <w:rPr>
                  <w:rFonts w:eastAsia="Andale Sans UI"/>
                  <w:color w:val="000000"/>
                  <w:szCs w:val="24"/>
                  <w:lang w:bidi="en-US"/>
                </w:rPr>
                <w:t xml:space="preserve"> ir </w:t>
              </w:r>
              <w:fldSimple w:instr="HYPERLINK http://eur-lex.europa.eu/legal-content/LIT/TXT/?uri=CELEX:32009L0123&amp;locale=lt \t _blank">
                <w:r>
                  <w:rPr>
                    <w:rFonts w:eastAsia="Andale Sans UI"/>
                    <w:color w:val="0000FF" w:themeColor="hyperlink"/>
                    <w:szCs w:val="24"/>
                    <w:lang w:bidi="en-US"/>
                    <w:u w:val="single"/>
                  </w:rPr>
                  <w:t>2009/123/EB</w:t>
                </w:r>
              </w:fldSimple>
              <w:r>
                <w:rPr>
                  <w:rFonts w:eastAsia="Andale Sans UI"/>
                  <w:color w:val="000000"/>
                  <w:szCs w:val="24"/>
                  <w:lang w:bidi="en-US"/>
                </w:rPr>
                <w:t xml:space="preserve">, (toliau – Direktyva </w:t>
              </w:r>
              <w:fldSimple w:instr="HYPERLINK http://eur-lex.europa.eu/legal-content/LIT/TXT/?uri=CELEX:32024L1203&amp;locale=lt \t _blank">
                <w:r>
                  <w:rPr>
                    <w:rFonts w:eastAsia="Andale Sans UI"/>
                    <w:color w:val="0000FF" w:themeColor="hyperlink"/>
                    <w:szCs w:val="24"/>
                    <w:lang w:bidi="en-US"/>
                    <w:u w:val="single"/>
                  </w:rPr>
                  <w:t>(ES) 2024/1203</w:t>
                </w:r>
              </w:fldSimple>
              <w:r>
                <w:rPr>
                  <w:rFonts w:eastAsia="Andale Sans UI"/>
                  <w:color w:val="000000"/>
                  <w:szCs w:val="24"/>
                  <w:lang w:bidi="en-US"/>
                </w:rPr>
                <w:t xml:space="preserve">) 28 straipsnio nuostata, kad valstybės narės, priimdamos Direktyvos </w:t>
              </w:r>
              <w:fldSimple w:instr="HYPERLINK http://eur-lex.europa.eu/legal-content/LIT/TXT/?uri=CELEX:32024L1203&amp;locale=lt \t _blank">
                <w:r>
                  <w:rPr>
                    <w:rFonts w:eastAsia="Andale Sans UI"/>
                    <w:color w:val="0000FF" w:themeColor="hyperlink"/>
                    <w:szCs w:val="24"/>
                    <w:lang w:bidi="en-US"/>
                    <w:u w:val="single"/>
                  </w:rPr>
                  <w:t>(ES) 2024/1203</w:t>
                </w:r>
              </w:fldSimple>
              <w:r>
                <w:rPr>
                  <w:rFonts w:eastAsia="Andale Sans UI"/>
                  <w:color w:val="000000"/>
                  <w:szCs w:val="24"/>
                  <w:lang w:bidi="en-US"/>
                </w:rPr>
                <w:t xml:space="preserve"> nuostatas, daro jose nuorodą į šią direktyvą. </w:t>
              </w:r>
            </w:p>
            <w:p>
              <w:pPr>
                <w:spacing w:line="276" w:lineRule="auto"/>
                <w:ind w:firstLine="709"/>
                <w:jc w:val="both"/>
                <w:rPr>
                  <w:rFonts w:eastAsia="Andale Sans UI"/>
                  <w:color w:val="000000"/>
                  <w:szCs w:val="24"/>
                  <w:lang w:bidi="en-US"/>
                </w:rPr>
              </w:pPr>
              <w:r>
                <w:rPr>
                  <w:rFonts w:eastAsia="Andale Sans UI"/>
                  <w:color w:val="000000"/>
                  <w:szCs w:val="24"/>
                  <w:lang w:bidi="en-US"/>
                </w:rPr>
                <w:t xml:space="preserve">- Įgyvendinant Europos Sąjungos teisės pažeidimo procedūros Nr. 2016/2193 dėl 1991 m. gegužės 21 d. Tarybos direktyvos </w:t>
              </w:r>
              <w:fldSimple w:instr="HYPERLINK http://eur-lex.europa.eu/legal-content/LIT/TXT/?uri=CELEX:31991L0271&amp;locale=lt \t _blank">
                <w:r>
                  <w:rPr>
                    <w:rFonts w:eastAsia="Andale Sans UI"/>
                    <w:color w:val="0000FF" w:themeColor="hyperlink"/>
                    <w:szCs w:val="24"/>
                    <w:lang w:bidi="en-US"/>
                    <w:u w:val="single"/>
                  </w:rPr>
                  <w:t>91/271/EEB</w:t>
                </w:r>
              </w:fldSimple>
              <w:r>
                <w:rPr>
                  <w:rFonts w:eastAsia="Andale Sans UI"/>
                  <w:color w:val="000000"/>
                  <w:szCs w:val="24"/>
                  <w:lang w:bidi="en-US"/>
                </w:rPr>
                <w:t xml:space="preserve"> dėl miesto nuotėkų valymo reikalavimų rekomendacijas koreguotas teisinis reglamentavimas, Lietuvos Respublikos geriamojo vandens tiekimo ir nuotekų tvarko įstatymo (toliau – GVTINTĮ) 17 straipsnyje nustatytos  Nuotekų tvarkymo informacinės sistemos (toliau – NTIS) steigimo nuostatos. NTIS skirta individualių nuotekų tvarkymo įrenginių apskaitai (inventorizacijai), eksploatavimo stebėsenai ir kontrolei, Europos Komisijai reikalingų duomenų apie individualiai tvarkomas nuotekas surinkimo optimizavimui.</w:t>
              </w:r>
            </w:p>
            <w:p>
              <w:pPr>
                <w:spacing w:line="276" w:lineRule="auto"/>
                <w:ind w:firstLine="709"/>
                <w:jc w:val="both"/>
                <w:rPr>
                  <w:rFonts w:eastAsia="Andale Sans UI"/>
                  <w:color w:val="000000"/>
                  <w:szCs w:val="24"/>
                  <w:lang w:bidi="en-US"/>
                </w:rPr>
              </w:pPr>
              <w:r>
                <w:rPr>
                  <w:rFonts w:eastAsia="Andale Sans UI"/>
                  <w:color w:val="000000"/>
                  <w:szCs w:val="24"/>
                  <w:lang w:bidi="en-US"/>
                </w:rPr>
                <w:t>GVTINTĮ 23 straipsnio 2 dalies 3 punkte nustatyta, kad asmenys, individualiai tvarkantys nuotekas, privalo ne rečiau kaip vieną kartą per kalendorinius metus savo lėšomis organizuoti į aplinką išleidžiamų nuotekų laboratorinę kontrolę. Iki šiol valstybinę aplinkos apsaugos kontrolę vykdanti institucija per metus patikrindavo nedaug individualių nuotekų tvarkymo įrenginių. Išaugus laboratorinių patikrinimų mastui, tikėtina, kad bus nustatoma daugiau atvejų, kai į aplinką išleidžiamos nuotekos neatitiks reikalavimų, nustatytų Nuotekų tvarkymo reglamente, patvirtintame Lietuvos Respublikos aplinkos ministro 2026 m. gegužės 17 d. įsakymu Nr. D1-236 „Dėl Nuotekų tvarkymo reglamento patvirtinimo“. Kiekvienu neatitikties reikalavimams atveju valstybinę aplinkos apsaugos kontrolę vykdanti institucija privalėtų pradėti procedūrą dėl administracinės atsakomybės. Siekiant to išvengti, reikia patikslinti ANK 12 straipsnį.</w:t>
              </w:r>
            </w:p>
            <w:p>
              <w:pPr>
                <w:spacing w:line="276" w:lineRule="auto"/>
                <w:ind w:firstLine="709"/>
                <w:jc w:val="both"/>
                <w:rPr>
                  <w:rFonts w:eastAsia="Andale Sans UI"/>
                  <w:color w:val="000000"/>
                  <w:szCs w:val="24"/>
                  <w:lang w:bidi="en-US"/>
                </w:rPr>
              </w:pPr>
              <w:r>
                <w:rPr>
                  <w:rFonts w:eastAsia="Andale Sans UI"/>
                  <w:color w:val="000000"/>
                  <w:szCs w:val="24"/>
                  <w:lang w:bidi="en-US"/>
                </w:rPr>
                <w:t>- 2022 m. spalio 27 d. priimtas Lietuvos Respublikos geriamojo vandens tiekimo ir nuotekų tvarkymo įstatymo Nr. X-764 pakeitimo įstatymas Nr. XIV-1466. Šiuo pakeitimu savivaldybių vykdomosioms institucijoms pavesta organizuoti patikrą, ar asmenys, individualiai tvarkantys nuotekas, turi apmokėjimą už sukauptų nuotekų transportavimą patvirtinančius dokumentus arba viešąją sutartį su geriamojo vandens tiekėju ar garantiniu vandens tiekėju, arba sutartį su nuotekų transportavimo paslaugas teikiančiu asmeniu arba individualiųjų nuotekų valymo ir (arba) kaupimo įrenginių priežiūrą vykdančiu asmeniu, ar individualiųjų nuotekų valymo įrenginių priežiūra (eksploatacija) vykdoma aplinkos ministro tvirtinamuose nuotekų kaupimo rezervuarų ir septikų įrengimo, eksploatavimo ir kontrolės tvarkos apraše ir nuotekų valymo įrenginių taikymo reglamente nustatyta tvarka. Atitinkamai pakeistas ANK 589 straipsnio 82 punktas numatant, kad savivaldybių administracijos taiko atsakomybę dėl ANK 268 straipsnio 7 ir 8 dalyse numatytų nusižengimų. Tačiau ANK 589 straipsnio 31 punktas nepakeistas, o tai reiškia, kad aplinkos apsaugos valstybinės kontrolės pareigūnai taiko atsakomybę už visame ANK 268 straipsnyje numatytus pažeidimus. Todėl yra poreikis patikslinti ANK 589 straipsnio 31 punktą.</w:t>
              </w:r>
            </w:p>
            <w:p>
              <w:pPr>
                <w:spacing w:line="276" w:lineRule="auto"/>
                <w:ind w:firstLine="709"/>
                <w:jc w:val="both"/>
                <w:rPr>
                  <w:rFonts w:eastAsia="Andale Sans UI"/>
                  <w:color w:val="000000"/>
                  <w:szCs w:val="24"/>
                  <w:lang w:bidi="en-US"/>
                </w:rPr>
              </w:pPr>
              <w:r>
                <w:rPr>
                  <w:rFonts w:eastAsia="Andale Sans UI"/>
                  <w:color w:val="000000"/>
                  <w:szCs w:val="24"/>
                  <w:lang w:bidi="en-US"/>
                </w:rPr>
                <w:t>- Poreikis patikslinti ANK 589 straipsnio 31 punktą yra ir dėl 2024 m. gegužės 16 d. priimto Lietuvos Respublikos aplinkos oro apsaugos įstatymo Nr. VIII-1329 2, 4, 5, 7, 9, 10, 13 ir 17 straipsnių pakeitimo ir įstatymo papildymo 5</w:t>
              </w:r>
              <w:r>
                <w:rPr>
                  <w:rFonts w:eastAsia="Andale Sans UI"/>
                  <w:color w:val="000000"/>
                  <w:szCs w:val="24"/>
                  <w:vertAlign w:val="superscript"/>
                  <w:lang w:bidi="en-US"/>
                </w:rPr>
                <w:t>1</w:t>
              </w:r>
              <w:r>
                <w:rPr>
                  <w:rFonts w:eastAsia="Andale Sans UI"/>
                  <w:color w:val="000000"/>
                  <w:szCs w:val="24"/>
                  <w:lang w:bidi="en-US"/>
                </w:rPr>
                <w:t xml:space="preserve"> straipsniu įstatymo Nr. XIV-2661 ir Lietuvos Respublikos administracinių nusižengimų kodekso 242, 268, 286 ir 589 straipsnių pakeitimo įstatymo Nr. XIV-2662. Pakeisto Aplinkos oro apsaugos įstatymo 4 straipsnio 5 dalyje nustatyta, kad šio įstatymo 10 straipsnio 8 dalyje nurodyto sprendimo savivaldybės teritorijoje apriboti arba uždrausti naudoti vienos ar daugiau rūšių kurą, šio įstatymo 13 straipsnio 6 dalyje nustatyto draudimo deginti kietąjį iškastinį kurą buitiniuose taršos šaltiniuose ir šio įstatymo 20 straipsnio 2 dalyje nustatyto draudimo deginti atliekas buitiniuose taršos šaltiniuose laikymosi kontrolę vykdo savivaldybės administracijos direktoriaus įgalioti savivaldybės administracijos valstybės tarnautojai. Dėl Aplinkos oro apsaugos įstatymo naujos 10 straipsnio 8 dalies, naujos 13 straipsnio 6 dalies ir veiksmingesnio 20 straipsnio 2 dalies įgyvendinimo, ANK 242 straipsnis papildytas naujomis 4 ir 5 dalimis, o 589 straipsnio 82 punkte nustatyta, kad dėl 242 straipsnio naujose 4 ir 5 dalyse numatytų administracinių nusižengimų atsakomybę taiko savivaldybių administracijų pareigūnai. Tačiau ANK 589 straipsnio 31 punktas nepakeistas, o tai reiškia, kad aplinkos apsaugos valstybinės kontrolės pareigūnai taiko atsakomybę už visame ANK 242 straipsnyje numatytus pažeidimus.</w:t>
              </w:r>
            </w:p>
            <w:p>
              <w:pPr>
                <w:spacing w:line="276" w:lineRule="auto"/>
                <w:ind w:firstLine="567"/>
                <w:jc w:val="both"/>
                <w:rPr>
                  <w:color w:val="000000"/>
                  <w:szCs w:val="24"/>
                  <w:lang w:bidi="en-US"/>
                </w:rPr>
              </w:pPr>
              <w:r>
                <w:rPr>
                  <w:rFonts w:eastAsia="Andale Sans UI"/>
                  <w:color w:val="000000"/>
                  <w:szCs w:val="24"/>
                  <w:lang w:bidi="en-US"/>
                </w:rPr>
                <w:t xml:space="preserve">Patikslinti ANK </w:t>
              </w:r>
              <w:r>
                <w:rPr>
                  <w:rFonts w:eastAsia="Andale Sans UI"/>
                  <w:szCs w:val="24"/>
                  <w:lang w:bidi="en-US"/>
                </w:rPr>
                <w:t>304</w:t>
              </w:r>
              <w:r>
                <w:rPr>
                  <w:rFonts w:eastAsia="Andale Sans UI"/>
                  <w:color w:val="000000"/>
                  <w:szCs w:val="24"/>
                  <w:vertAlign w:val="superscript"/>
                  <w:lang w:bidi="en-US"/>
                </w:rPr>
                <w:t>2</w:t>
              </w:r>
              <w:r>
                <w:rPr>
                  <w:rFonts w:eastAsia="Andale Sans UI"/>
                  <w:szCs w:val="24"/>
                  <w:lang w:bidi="en-US"/>
                </w:rPr>
                <w:t xml:space="preserve"> straipsnio </w:t>
              </w:r>
              <w:r>
                <w:rPr>
                  <w:rFonts w:eastAsia="Andale Sans UI"/>
                  <w:color w:val="000000"/>
                  <w:szCs w:val="24"/>
                  <w:lang w:bidi="en-US"/>
                </w:rPr>
                <w:t xml:space="preserve">1 dalį ir Įstatymo </w:t>
              </w:r>
              <w:r>
                <w:rPr>
                  <w:color w:val="000000"/>
                  <w:szCs w:val="24"/>
                  <w:lang w:val="lt" w:bidi="en-US"/>
                </w:rPr>
                <w:t>1</w:t>
              </w:r>
              <w:r>
                <w:rPr>
                  <w:rFonts w:eastAsia="Andale Sans UI"/>
                  <w:color w:val="000000"/>
                  <w:szCs w:val="24"/>
                  <w:lang w:val="lt" w:bidi="en-US"/>
                </w:rPr>
                <w:t>22</w:t>
              </w:r>
              <w:r>
                <w:rPr>
                  <w:color w:val="000000"/>
                  <w:szCs w:val="24"/>
                  <w:vertAlign w:val="superscript"/>
                  <w:lang w:val="lt" w:bidi="en-US"/>
                </w:rPr>
                <w:t>4</w:t>
              </w:r>
              <w:r>
                <w:rPr>
                  <w:color w:val="000000"/>
                  <w:szCs w:val="24"/>
                  <w:lang w:bidi="en-US"/>
                </w:rPr>
                <w:t xml:space="preserve"> </w:t>
              </w:r>
              <w:r>
                <w:rPr>
                  <w:rFonts w:eastAsia="Andale Sans UI"/>
                  <w:color w:val="000000"/>
                  <w:szCs w:val="24"/>
                  <w:lang w:bidi="en-US"/>
                </w:rPr>
                <w:t xml:space="preserve">straipsnio 1 dalį prireikė dėl nepakankamo Lietuvos Respublikos laukinės gyvūnijos įstatymo 24 straipsnio 6 dalies ir Lietuvos Respublikos laukinių augalų ir grybų įstatymo 13 straipsnio 6 dalies, kur numatyta, kad </w:t>
              </w:r>
              <w:r>
                <w:rPr>
                  <w:color w:val="000000"/>
                  <w:szCs w:val="24"/>
                  <w:lang w:bidi="en-US"/>
                </w:rPr>
                <w:t>Aplinkos ministerija ir (ar) jos įgaliota institucija priima sprendimus dėl invazinių rūšių plitimo prevencijos ir valdymo priemonių, nustato įpareigojimus vandens telkinių ir žemės savininkams, naudotojams ir valdytojams dėl atskirų invazinių rūšių, kurios nurodomos Invazinių rūšių valdymo ir naikinimo tvarkos apraše, naikinimo priemonių, kuriomis siekiama užtikrinti, kad invazinės rūšys neplistų į gretimus sklypus ar vandens telkinius, įgyvendinimo. Įpareigojimai dėl atskirų invazinių rūšių naikinimo priemonių įgyvendinimo nustatomi atsižvelgiant į šių rūšių daromą neigiamą poveikį biologinei įvairovei, žmonių sveikatai, plitimo ypatumus ir į naikinimo priemonių veiksmingumą.</w:t>
              </w:r>
            </w:p>
            <w:p>
              <w:pPr>
                <w:spacing w:line="276" w:lineRule="auto"/>
                <w:ind w:firstLine="567"/>
                <w:jc w:val="both"/>
                <w:rPr>
                  <w:color w:val="000000"/>
                  <w:szCs w:val="24"/>
                  <w:lang w:bidi="en-US"/>
                </w:rPr>
              </w:pPr>
            </w:p>
          </w:sdtContent>
        </w:sdt>
        <w:sdt>
          <w:sdtPr>
            <w:alias w:val="2 p."/>
            <w:tag w:val="part_e128319178474fa89fc09d288817bcbe"/>
            <w:lock w:val="sdtLocked"/>
            <w:richText/>
          </w:sdtPr>
          <w:sdtContent>
            <w:p>
              <w:pPr>
                <w:spacing w:line="276" w:lineRule="auto"/>
                <w:ind w:firstLine="567"/>
                <w:jc w:val="both"/>
                <w:rPr>
                  <w:color w:val="000000"/>
                  <w:szCs w:val="24"/>
                  <w:lang w:bidi="en-US"/>
                </w:rPr>
              </w:pPr>
              <w:sdt>
                <w:sdtPr>
                  <w:alias w:val="Numeris"/>
                  <w:tag w:val="nr_e128319178474fa89fc09d288817bcbe"/>
                  <w:lock w:val="sdtLocked"/>
                  <w:richText/>
                </w:sdtPr>
                <w:sdtContent>
                  <w:r>
                    <w:rPr>
                      <w:rFonts w:eastAsia="Andale Sans UI"/>
                      <w:b/>
                      <w:bCs/>
                      <w:szCs w:val="24"/>
                      <w:lang w:bidi="en-US"/>
                    </w:rPr>
                    <w:t>2</w:t>
                  </w:r>
                </w:sdtContent>
              </w:sdt>
              <w:r>
                <w:rPr>
                  <w:rFonts w:eastAsia="Andale Sans UI"/>
                  <w:b/>
                  <w:bCs/>
                  <w:szCs w:val="24"/>
                  <w:lang w:bidi="en-US"/>
                </w:rPr>
                <w:t>. Projektais siūlomo teisinio reguliavimo esmė – problemos sprendimas</w:t>
              </w:r>
            </w:p>
            <w:p>
              <w:pPr>
                <w:spacing w:line="276" w:lineRule="auto"/>
                <w:ind w:firstLine="567"/>
                <w:jc w:val="both"/>
                <w:rPr>
                  <w:color w:val="000000"/>
                  <w:szCs w:val="24"/>
                  <w:lang w:bidi="en-US"/>
                </w:rPr>
              </w:pPr>
              <w:r>
                <w:rPr>
                  <w:rFonts w:eastAsia="Aptos"/>
                  <w:kern w:val="1"/>
                  <w:szCs w:val="24"/>
                  <w:lang w:bidi="en-US"/>
                </w:rPr>
                <w:t xml:space="preserve">Įstatymų projektais </w:t>
              </w:r>
              <w:r>
                <w:rPr>
                  <w:rFonts w:eastAsia="Aptos"/>
                  <w:kern w:val="1"/>
                  <w:szCs w:val="24"/>
                  <w:lang w:val="lt" w:bidi="en-US"/>
                </w:rPr>
                <w:t>siūloma nustatyti atsakomybę juridiniams ir fiziniams asmenims už Europos Sąjungos (toliau</w:t>
              </w:r>
              <w:r>
                <w:rPr>
                  <w:color w:val="000000"/>
                  <w:szCs w:val="24"/>
                  <w:lang w:bidi="en-US"/>
                </w:rPr>
                <w:t xml:space="preserve"> – </w:t>
              </w:r>
              <w:r>
                <w:rPr>
                  <w:rFonts w:eastAsia="Aptos"/>
                  <w:kern w:val="1"/>
                  <w:szCs w:val="24"/>
                  <w:lang w:val="lt" w:bidi="en-US"/>
                </w:rPr>
                <w:t xml:space="preserve">ES) teisės aktuose nustatytų reikalavimų pažeidimus, aktualizuojamos Įstatymo ir ANK normos. Pasikeitus susijusiam  tarptautiniam ir nacionaliniam reguliavimui, bus įgyvendinti įpareigojimai valstybėms narėms, nustatytos veiksmingos, proporcingos ir atgrasomos sankcijos, sustiprinta reguliacinė aplinka ir nustatyta tinkama fizinių ir juridinių asmenų atsakomybė už teisės aktuose numatytų reikalavimų pažeidimus.</w:t>
              </w:r>
              <w:r>
                <w:rPr>
                  <w:color w:val="000000"/>
                  <w:szCs w:val="24"/>
                  <w:lang w:bidi="en-US"/>
                </w:rPr>
                <w:t xml:space="preserve"> Įstatymų projektais siūloma įtvirtinti sankcijas juridiniams ir fiziniams asmenims už šių ES teisės aktų reikalavimų įgyvendinimo pažeidimus:</w:t>
              </w:r>
            </w:p>
            <w:p>
              <w:pPr>
                <w:spacing w:line="276" w:lineRule="auto"/>
                <w:ind w:firstLine="567"/>
                <w:jc w:val="both"/>
                <w:rPr>
                  <w:i/>
                  <w:iCs/>
                  <w:color w:val="000000"/>
                  <w:szCs w:val="24"/>
                  <w:lang w:bidi="en-US"/>
                </w:rPr>
              </w:pPr>
              <w:r>
                <w:rPr>
                  <w:i/>
                  <w:iCs/>
                  <w:color w:val="000000"/>
                  <w:szCs w:val="24"/>
                  <w:lang w:bidi="en-US"/>
                </w:rPr>
                <w:t xml:space="preserve">Dėl Reglamento </w:t>
              </w:r>
              <w:fldSimple w:instr="HYPERLINK http://eur-lex.europa.eu/legal-content/LIT/TXT/?uri=CELEX:32017R0852&amp;locale=lt \t _blank">
                <w:r>
                  <w:rPr>
                    <w:i/>
                    <w:iCs/>
                    <w:color w:val="0000FF" w:themeColor="hyperlink"/>
                    <w:szCs w:val="24"/>
                    <w:lang w:bidi="en-US"/>
                    <w:u w:val="single"/>
                  </w:rPr>
                  <w:t>(ES) 2017/852</w:t>
                </w:r>
              </w:fldSimple>
              <w:r>
                <w:rPr>
                  <w:i/>
                  <w:iCs/>
                  <w:color w:val="000000"/>
                  <w:szCs w:val="24"/>
                  <w:lang w:bidi="en-US"/>
                </w:rPr>
                <w:t xml:space="preserve"> ir jį iš dalies pakeičiančio Reglamento </w:t>
              </w:r>
              <w:fldSimple w:instr="HYPERLINK http://eur-lex.europa.eu/legal-content/LIT/TXT/?uri=CELEX:32024R1849&amp;locale=lt \t _blank">
                <w:r>
                  <w:rPr>
                    <w:i/>
                    <w:iCs/>
                    <w:color w:val="0000FF" w:themeColor="hyperlink"/>
                    <w:szCs w:val="24"/>
                    <w:lang w:bidi="en-US"/>
                    <w:u w:val="single"/>
                  </w:rPr>
                  <w:t>(ES) 2024/1849</w:t>
                </w:r>
              </w:fldSimple>
            </w:p>
            <w:p>
              <w:pPr>
                <w:spacing w:line="276" w:lineRule="auto"/>
                <w:ind w:firstLine="567"/>
                <w:jc w:val="both"/>
                <w:rPr>
                  <w:color w:val="000000"/>
                  <w:szCs w:val="24"/>
                  <w:lang w:bidi="en-US"/>
                </w:rPr>
              </w:pPr>
              <w:r>
                <w:rPr>
                  <w:color w:val="000000"/>
                  <w:szCs w:val="24"/>
                  <w:lang w:bidi="en-US"/>
                </w:rPr>
                <w:t>Įstatymo projekte siūloma atlikti pakeitimus (109</w:t>
              </w:r>
              <w:r>
                <w:rPr>
                  <w:color w:val="000000"/>
                  <w:szCs w:val="24"/>
                  <w:vertAlign w:val="superscript"/>
                  <w:lang w:bidi="en-US"/>
                </w:rPr>
                <w:t>1</w:t>
              </w:r>
              <w:r>
                <w:rPr>
                  <w:color w:val="000000"/>
                  <w:szCs w:val="24"/>
                  <w:lang w:bidi="en-US"/>
                </w:rPr>
                <w:t xml:space="preserve">, 37 straipsniuose) dėl Reglamente </w:t>
              </w:r>
              <w:fldSimple w:instr="HYPERLINK http://eur-lex.europa.eu/legal-content/LIT/TXT/?uri=CELEX:32017R0852&amp;locale=lt \t _blank">
                <w:r>
                  <w:rPr>
                    <w:color w:val="0000FF" w:themeColor="hyperlink"/>
                    <w:szCs w:val="24"/>
                    <w:lang w:bidi="en-US"/>
                    <w:u w:val="single"/>
                  </w:rPr>
                  <w:t>(ES) 2017/852</w:t>
                </w:r>
              </w:fldSimple>
              <w:r>
                <w:rPr>
                  <w:color w:val="000000"/>
                  <w:szCs w:val="24"/>
                  <w:lang w:bidi="en-US"/>
                </w:rPr>
                <w:t xml:space="preserve"> nustatytų reikalavimų – numatyti atsakomybę juridiniams asmenims už Reglamente </w:t>
              </w:r>
              <w:fldSimple w:instr="HYPERLINK http://eur-lex.europa.eu/legal-content/LIT/TXT/?uri=CELEX:32024R1849&amp;locale=lt \t _blank">
                <w:r>
                  <w:rPr>
                    <w:color w:val="0000FF" w:themeColor="hyperlink"/>
                    <w:szCs w:val="24"/>
                    <w:lang w:bidi="en-US"/>
                    <w:u w:val="single"/>
                  </w:rPr>
                  <w:t>(ES) 2024/1849</w:t>
                </w:r>
              </w:fldSimple>
              <w:r>
                <w:rPr>
                  <w:color w:val="000000"/>
                  <w:szCs w:val="24"/>
                  <w:lang w:bidi="en-US"/>
                </w:rPr>
                <w:t xml:space="preserve"> nustatytų dantų amalgamų gamybos, importo, eksporto draudimo reikalavimų pažeidimus, atitinkamai numatyti ir patikslinti bylų dėl ekonominių sankcijų skyrimo juridiniams asmenims teisenos nuostatas. Siūloma papildyti ANK 308</w:t>
              </w:r>
              <w:r>
                <w:rPr>
                  <w:color w:val="000000"/>
                  <w:szCs w:val="24"/>
                  <w:vertAlign w:val="superscript"/>
                  <w:lang w:bidi="en-US"/>
                </w:rPr>
                <w:t>1</w:t>
              </w:r>
              <w:r>
                <w:rPr>
                  <w:color w:val="000000"/>
                  <w:szCs w:val="24"/>
                  <w:lang w:bidi="en-US"/>
                </w:rPr>
                <w:t xml:space="preserve"> straipsnį, kuris numato atsakomybę už Reglamente </w:t>
              </w:r>
              <w:fldSimple w:instr="HYPERLINK http://eur-lex.europa.eu/legal-content/LIT/TXT/?uri=CELEX:32017R0852&amp;locale=lt \t _blank">
                <w:r>
                  <w:rPr>
                    <w:color w:val="0000FF" w:themeColor="hyperlink"/>
                    <w:szCs w:val="24"/>
                    <w:lang w:bidi="en-US"/>
                    <w:u w:val="single"/>
                  </w:rPr>
                  <w:t>(ES) 2017/852</w:t>
                </w:r>
              </w:fldSimple>
              <w:r>
                <w:rPr>
                  <w:color w:val="000000"/>
                  <w:szCs w:val="24"/>
                  <w:lang w:bidi="en-US"/>
                </w:rPr>
                <w:t xml:space="preserve"> nustatytų reikalavimų pažeidimus, numatant atsakomybę fiziniams asmenims už Reglamente </w:t>
              </w:r>
              <w:fldSimple w:instr="HYPERLINK http://eur-lex.europa.eu/legal-content/LIT/TXT/?uri=CELEX:32024R1849&amp;locale=lt \t _blank">
                <w:r>
                  <w:rPr>
                    <w:color w:val="0000FF" w:themeColor="hyperlink"/>
                    <w:szCs w:val="24"/>
                    <w:lang w:bidi="en-US"/>
                    <w:u w:val="single"/>
                  </w:rPr>
                  <w:t>(ES) 2024/1849</w:t>
                </w:r>
              </w:fldSimple>
              <w:r>
                <w:rPr>
                  <w:color w:val="000000"/>
                  <w:szCs w:val="24"/>
                  <w:lang w:bidi="en-US"/>
                </w:rPr>
                <w:t xml:space="preserve"> nustatytų dantų amalgamos gamybos, importo, eksporto draudimo reikalavimų pažeidimus, atitinkamai 589 straipsnyje numatant ir patikslinant pareigūnus, galinčius tirti administracinius nusižengimus ir surašyti protokolus asmenims už pažeidimus. Priėmus Įstatymų projektus, bus užtikrinta Reglamento </w:t>
              </w:r>
              <w:fldSimple w:instr="HYPERLINK http://eur-lex.europa.eu/legal-content/LIT/TXT/?uri=CELEX:32017R0852&amp;locale=lt \t _blank">
                <w:r>
                  <w:rPr>
                    <w:color w:val="0000FF" w:themeColor="hyperlink"/>
                    <w:szCs w:val="24"/>
                    <w:lang w:bidi="en-US"/>
                    <w:u w:val="single"/>
                  </w:rPr>
                  <w:t>(ES) 2017/852</w:t>
                </w:r>
              </w:fldSimple>
              <w:r>
                <w:rPr>
                  <w:color w:val="000000"/>
                  <w:szCs w:val="24"/>
                  <w:lang w:bidi="en-US"/>
                </w:rPr>
                <w:t xml:space="preserve"> (ir jį pakeičiančio Reglamento </w:t>
              </w:r>
              <w:fldSimple w:instr="HYPERLINK http://eur-lex.europa.eu/legal-content/LIT/TXT/?uri=CELEX:32024R1849&amp;locale=lt \t _blank">
                <w:r>
                  <w:rPr>
                    <w:color w:val="0000FF" w:themeColor="hyperlink"/>
                    <w:szCs w:val="24"/>
                    <w:lang w:bidi="en-US"/>
                    <w:u w:val="single"/>
                  </w:rPr>
                  <w:t>(ES) 2024/1849</w:t>
                </w:r>
              </w:fldSimple>
              <w:r>
                <w:rPr>
                  <w:color w:val="000000"/>
                  <w:szCs w:val="24"/>
                  <w:lang w:bidi="en-US"/>
                </w:rPr>
                <w:t>) įgyvendinimo priežiūra, sustiprinta šiame reglamente nustatyto reikalavimo odontologinės priežiūros (pagalbos) įstaigose įrengti amalgamos separatorius, atitinkančius šiame reglamente nustatytą specifikaciją, vykdymo priežiūra.</w:t>
              </w:r>
            </w:p>
            <w:p>
              <w:pPr>
                <w:spacing w:line="276" w:lineRule="auto"/>
                <w:ind w:firstLine="720"/>
                <w:jc w:val="both"/>
                <w:rPr>
                  <w:i/>
                  <w:iCs/>
                  <w:szCs w:val="24"/>
                  <w:lang w:bidi="en-US"/>
                </w:rPr>
              </w:pPr>
              <w:r>
                <w:rPr>
                  <w:i/>
                  <w:iCs/>
                  <w:szCs w:val="24"/>
                  <w:lang w:bidi="en-US"/>
                </w:rPr>
                <w:t xml:space="preserve">Dėl atliekų vežimo Reglamento </w:t>
              </w:r>
              <w:fldSimple w:instr="HYPERLINK http://eur-lex.europa.eu/legal-content/LIT/TXT/?uri=CELEX:32024R1157&amp;locale=lt \t _blank">
                <w:r>
                  <w:rPr>
                    <w:i/>
                    <w:iCs/>
                    <w:szCs w:val="24"/>
                    <w:lang w:bidi="en-US"/>
                    <w:u w:val="single"/>
                    <w:color w:val="0000FF" w:themeColor="hyperlink"/>
                  </w:rPr>
                  <w:t>2024/1157</w:t>
                </w:r>
              </w:fldSimple>
              <w:r>
                <w:rPr>
                  <w:i/>
                  <w:iCs/>
                  <w:szCs w:val="24"/>
                  <w:lang w:bidi="en-US"/>
                </w:rPr>
                <w:t xml:space="preserve"> </w:t>
              </w:r>
            </w:p>
            <w:p>
              <w:pPr>
                <w:spacing w:line="276" w:lineRule="auto"/>
                <w:ind w:firstLine="720"/>
                <w:jc w:val="both"/>
                <w:rPr>
                  <w:rFonts w:eastAsia="Andale Sans UI"/>
                  <w:szCs w:val="24"/>
                  <w:lang w:bidi="en-US"/>
                </w:rPr>
              </w:pPr>
              <w:r>
                <w:rPr>
                  <w:szCs w:val="24"/>
                  <w:lang w:bidi="en-US"/>
                </w:rPr>
                <w:t>Siūlo</w:t>
              </w:r>
              <w:r>
                <w:rPr>
                  <w:color w:val="000000"/>
                  <w:szCs w:val="24"/>
                  <w:lang w:bidi="en-US"/>
                </w:rPr>
                <w:t>ma atlikti pakeitimus</w:t>
              </w:r>
              <w:r>
                <w:rPr>
                  <w:i/>
                  <w:iCs/>
                  <w:color w:val="000000"/>
                  <w:szCs w:val="24"/>
                  <w:lang w:bidi="en-US"/>
                </w:rPr>
                <w:t xml:space="preserve"> </w:t>
              </w:r>
              <w:r>
                <w:rPr>
                  <w:color w:val="000000"/>
                  <w:szCs w:val="24"/>
                  <w:lang w:bidi="en-US"/>
                </w:rPr>
                <w:t xml:space="preserve">Įstatymo </w:t>
              </w:r>
              <w:r>
                <w:rPr>
                  <w:rFonts w:eastAsia="Andale Sans UI"/>
                  <w:szCs w:val="24"/>
                  <w:lang w:bidi="en-US"/>
                </w:rPr>
                <w:t xml:space="preserve">87 </w:t>
              </w:r>
              <w:r>
                <w:rPr>
                  <w:color w:val="000000"/>
                  <w:szCs w:val="24"/>
                  <w:lang w:bidi="en-US"/>
                </w:rPr>
                <w:t xml:space="preserve">ir ANK 251 straipsniuose dėl Reglamente </w:t>
              </w:r>
              <w:fldSimple w:instr="HYPERLINK http://eur-lex.europa.eu/legal-content/LIT/TXT/?uri=CELEX:33157R2024&amp;locale=lt \t _blank">
                <w:r>
                  <w:rPr>
                    <w:color w:val="0000FF" w:themeColor="hyperlink"/>
                    <w:szCs w:val="24"/>
                    <w:lang w:bidi="en-US"/>
                    <w:u w:val="single"/>
                  </w:rPr>
                  <w:t>(ES) Nr. 2024/1157</w:t>
                </w:r>
              </w:fldSimple>
              <w:r>
                <w:rPr>
                  <w:color w:val="000000"/>
                  <w:szCs w:val="24"/>
                  <w:lang w:bidi="en-US"/>
                </w:rPr>
                <w:t xml:space="preserve"> nustatytų reikalavimų – </w:t>
              </w:r>
              <w:r>
                <w:rPr>
                  <w:szCs w:val="24"/>
                  <w:lang w:bidi="en-US"/>
                </w:rPr>
                <w:t xml:space="preserve">numatyti atsakomybę juridiniams ir fiziniams asmenims už </w:t>
              </w:r>
              <w:r>
                <w:rPr>
                  <w:rFonts w:eastAsia="Andale Sans UI"/>
                  <w:szCs w:val="24"/>
                  <w:lang w:bidi="en-US"/>
                </w:rPr>
                <w:t xml:space="preserve">Reglamente </w:t>
              </w:r>
              <w:fldSimple w:instr="HYPERLINK http://eur-lex.europa.eu/legal-content/LIT/TXT/?uri=CELEX:32024R1157&amp;locale=lt \t _blank">
                <w:r>
                  <w:rPr>
                    <w:rFonts w:eastAsia="Andale Sans UI"/>
                    <w:szCs w:val="24"/>
                    <w:lang w:bidi="en-US"/>
                    <w:u w:val="single"/>
                    <w:color w:val="0000FF" w:themeColor="hyperlink"/>
                  </w:rPr>
                  <w:t>(ES) 2024/1157</w:t>
                </w:r>
              </w:fldSimple>
              <w:r>
                <w:rPr>
                  <w:rFonts w:eastAsia="Andale Sans UI"/>
                  <w:szCs w:val="24"/>
                  <w:lang w:bidi="en-US"/>
                </w:rPr>
                <w:t xml:space="preserve"> </w:t>
              </w:r>
              <w:r>
                <w:rPr>
                  <w:color w:val="000000"/>
                  <w:szCs w:val="24"/>
                  <w:lang w:bidi="en-US"/>
                </w:rPr>
                <w:t xml:space="preserve">nustatytų </w:t>
              </w:r>
              <w:r>
                <w:rPr>
                  <w:szCs w:val="24"/>
                  <w:lang w:bidi="en-US"/>
                </w:rPr>
                <w:t>atliekų įvežimo (importo), išvežimo (eksporto), tranzito procedūrų reikalavimų pažeidimus, todėl siekiama</w:t>
              </w:r>
              <w:r>
                <w:rPr>
                  <w:rFonts w:eastAsia="Andale Sans UI"/>
                  <w:szCs w:val="24"/>
                  <w:lang w:bidi="en-US"/>
                </w:rPr>
                <w:t xml:space="preserve"> sukurti tinkamą nacionalinį reguliavimą Reglamento </w:t>
              </w:r>
              <w:fldSimple w:instr="HYPERLINK http://eur-lex.europa.eu/legal-content/LIT/TXT/?uri=CELEX:32024R1157&amp;locale=lt \t _blank">
                <w:r>
                  <w:rPr>
                    <w:rFonts w:eastAsia="Andale Sans UI"/>
                    <w:szCs w:val="24"/>
                    <w:lang w:bidi="en-US"/>
                    <w:u w:val="single"/>
                    <w:color w:val="0000FF" w:themeColor="hyperlink"/>
                  </w:rPr>
                  <w:t>(ES) 2024/1157</w:t>
                </w:r>
              </w:fldSimple>
              <w:r>
                <w:rPr>
                  <w:rFonts w:eastAsia="Andale Sans UI"/>
                  <w:szCs w:val="24"/>
                  <w:lang w:bidi="en-US"/>
                </w:rPr>
                <w:t xml:space="preserve"> </w:t>
              </w:r>
              <w:r>
                <w:rPr>
                  <w:color w:val="000000"/>
                  <w:szCs w:val="24"/>
                  <w:lang w:bidi="en-US"/>
                </w:rPr>
                <w:t xml:space="preserve">63 straipsnyje „Sankcijos“ numatytų reikalavimų įgyvendinimui. </w:t>
              </w:r>
              <w:r>
                <w:rPr>
                  <w:rFonts w:eastAsia="Andale Sans UI"/>
                  <w:szCs w:val="24"/>
                  <w:lang w:bidi="en-US"/>
                </w:rPr>
                <w:t xml:space="preserve">Priėmus Įstatymo projektą, bus suteikta daugiau galimybių Aplinkos apsaugos departamentui prie Lietuvos Respublikos aplinkos ministerijos, kontrolę vykdančiai institucijai, užtikrinti Reglamento </w:t>
              </w:r>
              <w:fldSimple w:instr="HYPERLINK http://eur-lex.europa.eu/legal-content/LIT/TXT/?uri=CELEX:32024R1157&amp;locale=lt \t _blank">
                <w:r>
                  <w:rPr>
                    <w:rFonts w:eastAsia="Andale Sans UI"/>
                    <w:szCs w:val="24"/>
                    <w:lang w:bidi="en-US"/>
                    <w:u w:val="single"/>
                    <w:color w:val="0000FF" w:themeColor="hyperlink"/>
                  </w:rPr>
                  <w:t>(ES) 2024/1157</w:t>
                </w:r>
              </w:fldSimple>
              <w:r>
                <w:rPr>
                  <w:rFonts w:eastAsia="Andale Sans UI"/>
                  <w:szCs w:val="24"/>
                  <w:lang w:bidi="en-US"/>
                </w:rPr>
                <w:t xml:space="preserve"> reikalavimų laikymąsi. </w:t>
              </w:r>
            </w:p>
            <w:p>
              <w:pPr>
                <w:spacing w:line="276" w:lineRule="auto"/>
                <w:ind w:firstLine="567"/>
                <w:jc w:val="both"/>
                <w:rPr>
                  <w:i/>
                  <w:iCs/>
                  <w:color w:val="000000"/>
                  <w:szCs w:val="24"/>
                  <w:lang w:bidi="en-US"/>
                </w:rPr>
              </w:pPr>
              <w:r>
                <w:rPr>
                  <w:i/>
                  <w:iCs/>
                  <w:color w:val="000000"/>
                  <w:szCs w:val="24"/>
                  <w:lang w:bidi="en-US"/>
                </w:rPr>
                <w:t xml:space="preserve">Dėl Reglamento </w:t>
              </w:r>
              <w:fldSimple w:instr="HYPERLINK http://eur-lex.europa.eu/legal-content/LIT/TXT/?uri=CELEX:32590R2024&amp;locale=lt \t _blank">
                <w:r>
                  <w:rPr>
                    <w:i/>
                    <w:iCs/>
                    <w:color w:val="0000FF" w:themeColor="hyperlink"/>
                    <w:szCs w:val="24"/>
                    <w:lang w:bidi="en-US"/>
                    <w:u w:val="single"/>
                  </w:rPr>
                  <w:t>(ES) Nr. 2024/590</w:t>
                </w:r>
              </w:fldSimple>
            </w:p>
            <w:p>
              <w:pPr>
                <w:spacing w:line="276" w:lineRule="auto"/>
                <w:ind w:firstLine="567"/>
                <w:jc w:val="both"/>
                <w:rPr>
                  <w:color w:val="000000"/>
                  <w:szCs w:val="24"/>
                  <w:lang w:bidi="en-US"/>
                </w:rPr>
              </w:pPr>
              <w:r>
                <w:rPr>
                  <w:color w:val="000000"/>
                  <w:szCs w:val="24"/>
                  <w:lang w:bidi="en-US"/>
                </w:rPr>
                <w:t xml:space="preserve">Įstatymo projekto 110 straipsnio ir ANK projekto 310 straipsnio pakeitimai siūlomi siekiant nustatyti veiksmingas, proporcingas ir atgrasomas sankcijas už netinkamą ozono sluoksnį ardančių medžiagų, produktų ir įrangos, kuriuose yra šių medžiagų ar kurių veikimas nuo jų priklauso, tvarkymą įgyvendinant Reglamento </w:t>
              </w:r>
              <w:fldSimple w:instr="HYPERLINK http://eur-lex.europa.eu/legal-content/LIT/TXT/?uri=CELEX:32024R0590&amp;locale=lt \t _blank">
                <w:r>
                  <w:rPr>
                    <w:color w:val="0000FF" w:themeColor="hyperlink"/>
                    <w:szCs w:val="24"/>
                    <w:lang w:bidi="en-US"/>
                    <w:u w:val="single"/>
                  </w:rPr>
                  <w:t>(ES) 2024/590</w:t>
                </w:r>
              </w:fldSimple>
              <w:r>
                <w:rPr>
                  <w:color w:val="000000"/>
                  <w:szCs w:val="24"/>
                  <w:lang w:bidi="en-US"/>
                </w:rPr>
                <w:t xml:space="preserve"> nuostatas dėl atsakomybės taikymo už jame nustatytų reikalavimų nesilaikymą.</w:t>
              </w:r>
            </w:p>
            <w:p>
              <w:pPr>
                <w:tabs>
                  <w:tab w:val="left" w:pos="3119"/>
                </w:tabs>
                <w:spacing w:line="276" w:lineRule="auto"/>
                <w:ind w:firstLine="720"/>
                <w:jc w:val="both"/>
                <w:rPr>
                  <w:szCs w:val="24"/>
                  <w:lang w:bidi="en-US"/>
                </w:rPr>
              </w:pPr>
              <w:r>
                <w:rPr>
                  <w:szCs w:val="24"/>
                  <w:lang w:bidi="en-US"/>
                </w:rPr>
                <w:t>Siūloma nustatyti didesnes finansines nuobaudas, taikyti ne tik administracinę atsakomybę, bet už nurodytus pažeidimus:</w:t>
              </w:r>
            </w:p>
            <w:p>
              <w:pPr>
                <w:spacing w:line="276" w:lineRule="auto"/>
                <w:ind w:firstLine="720"/>
                <w:jc w:val="both"/>
                <w:rPr>
                  <w:szCs w:val="24"/>
                  <w:lang w:bidi="en-US"/>
                </w:rPr>
              </w:pPr>
              <w:r>
                <w:rPr>
                  <w:szCs w:val="24"/>
                  <w:lang w:bidi="en-US"/>
                </w:rPr>
                <w:t xml:space="preserve">- taikyti draudimą naudoti, gaminti, importuoti, eksportuoti arba pateikti rinkai ozono sluoksnį ardančias medžiagas arba  produktus ir įrangą, kuriuose yra šių medžiagų arba kurių veikimas nuo jų priklauso;</w:t>
              </w:r>
            </w:p>
            <w:p>
              <w:pPr>
                <w:spacing w:line="276" w:lineRule="auto"/>
                <w:ind w:firstLine="720"/>
                <w:jc w:val="both"/>
                <w:rPr>
                  <w:szCs w:val="24"/>
                  <w:lang w:bidi="en-US"/>
                </w:rPr>
              </w:pPr>
              <w:r>
                <w:rPr>
                  <w:szCs w:val="24"/>
                  <w:lang w:bidi="en-US"/>
                </w:rPr>
                <w:t>- skirti pažeidimo padarymo įrankių ir priemonių, ozono sluoksnį ardančių medžiagų, produktų ir įrangos, kuriuose yra tokių medžiagų arba kurių veikimas nuo jų priklauso, bei pakartotinai neužpildomų ozono sluoksnį ardančių medžiagų talpyklų, kurios yra tuščios arba visiškai ar iš dalies užpildytos, konfiskavimą, taip pat už neteisėtą veiklą gautų pajamų konfiskavimą.</w:t>
              </w:r>
            </w:p>
            <w:p>
              <w:pPr>
                <w:tabs>
                  <w:tab w:val="left" w:pos="3119"/>
                </w:tabs>
                <w:spacing w:line="276" w:lineRule="auto"/>
                <w:ind w:firstLine="720"/>
                <w:jc w:val="both"/>
                <w:rPr>
                  <w:szCs w:val="24"/>
                  <w:lang w:val="lt" w:bidi="en-US"/>
                </w:rPr>
              </w:pPr>
              <w:r>
                <w:rPr>
                  <w:szCs w:val="24"/>
                  <w:lang w:val="lt" w:bidi="en-US"/>
                </w:rPr>
                <w:t>Už ozono sluoksnį ardančių medžiagų arba produktų ir įrangos, kuriuose yra šių medžiagų arba kurių veikimas nuo jų priklauso, gamybos, importo, eksporto, pateikimo rinkai ar naudojimo reikalavimų pažeidimus siūloma nustatyti baudas penkis kartus didesnes už atitinkamų ozono sluoksnį ardančių medžiagų ar produktų ir įrangos rinkos vertę pažeidimo padarymo metu. Jei pažeidimai pakartojami per penkerius metus, nustatyti baudas aštuonis kartus didesnes už atitinkamų ozono sluoksnį ardančių medžiagų ar produktų ir įrangos rinkos vertę pažeidimo padarymo metu.</w:t>
              </w:r>
            </w:p>
            <w:p>
              <w:pPr>
                <w:spacing w:line="276" w:lineRule="auto"/>
                <w:ind w:firstLine="567"/>
                <w:jc w:val="both"/>
                <w:rPr>
                  <w:color w:val="000000"/>
                  <w:szCs w:val="24"/>
                  <w:lang w:bidi="en-US"/>
                </w:rPr>
              </w:pPr>
              <w:r>
                <w:rPr>
                  <w:color w:val="000000"/>
                  <w:szCs w:val="24"/>
                  <w:lang w:bidi="en-US"/>
                </w:rPr>
                <w:t>Už ozono sluoksnį ardančių medžiagų tvarkymo reikalavimų pažeidimus baudų dydžius siūloma nustatyti pagal galimą nusižengimų žalą aplinkai.</w:t>
              </w:r>
            </w:p>
            <w:p>
              <w:pPr>
                <w:spacing w:line="276" w:lineRule="auto"/>
                <w:ind w:firstLine="567"/>
                <w:jc w:val="both"/>
                <w:rPr>
                  <w:i/>
                  <w:iCs/>
                  <w:color w:val="000000"/>
                  <w:szCs w:val="24"/>
                  <w:lang w:bidi="en-US"/>
                </w:rPr>
              </w:pPr>
              <w:r>
                <w:rPr>
                  <w:i/>
                  <w:iCs/>
                  <w:color w:val="000000"/>
                  <w:szCs w:val="24"/>
                  <w:lang w:bidi="en-US"/>
                </w:rPr>
                <w:t xml:space="preserve">Dėl Reglamento </w:t>
              </w:r>
              <w:fldSimple w:instr="HYPERLINK http://eur-lex.europa.eu/legal-content/LIT/TXT/?uri=CELEX:32023R1805&amp;locale=lt \t _blank">
                <w:r>
                  <w:rPr>
                    <w:i/>
                    <w:iCs/>
                    <w:color w:val="0000FF" w:themeColor="hyperlink"/>
                    <w:szCs w:val="24"/>
                    <w:lang w:bidi="en-US"/>
                    <w:u w:val="single"/>
                  </w:rPr>
                  <w:t>(ES)  2023/1805</w:t>
                </w:r>
              </w:fldSimple>
              <w:r>
                <w:rPr>
                  <w:i/>
                  <w:iCs/>
                  <w:color w:val="000000"/>
                  <w:szCs w:val="24"/>
                  <w:lang w:bidi="en-US"/>
                </w:rPr>
                <w:t> </w:t>
              </w:r>
            </w:p>
            <w:p>
              <w:pPr>
                <w:spacing w:line="276" w:lineRule="auto"/>
                <w:ind w:firstLine="567"/>
                <w:jc w:val="both"/>
                <w:rPr>
                  <w:color w:val="000000"/>
                  <w:szCs w:val="24"/>
                  <w:lang w:bidi="en-US"/>
                </w:rPr>
              </w:pPr>
              <w:r>
                <w:rPr>
                  <w:color w:val="000000"/>
                  <w:szCs w:val="24"/>
                  <w:lang w:bidi="en-US"/>
                </w:rPr>
                <w:t xml:space="preserve">Siekiant įtvirtinti sankcijas juridiniams asmenims (laivybos bendrovėms), pažeidusiems Reglamente </w:t>
              </w:r>
              <w:fldSimple w:instr="HYPERLINK http://eur-lex.europa.eu/legal-content/LIT/TXT/?uri=CELEX:32023R1805&amp;locale=lt \t _blank">
                <w:r>
                  <w:rPr>
                    <w:color w:val="0000FF" w:themeColor="hyperlink"/>
                    <w:szCs w:val="24"/>
                    <w:lang w:bidi="en-US"/>
                    <w:u w:val="single"/>
                  </w:rPr>
                  <w:t>(ES) 2023/1805</w:t>
                </w:r>
              </w:fldSimple>
              <w:r>
                <w:rPr>
                  <w:color w:val="000000"/>
                  <w:szCs w:val="24"/>
                  <w:lang w:bidi="en-US"/>
                </w:rPr>
                <w:t xml:space="preserve"> nustatytus reikalavimus laivybos bendrovei priklausančiame laive ataskaitiniu laikotarpiu neviršyti sunaudojamai energijai tenkančios šiltnamio efektą sukeliančių dujų taršos vidutinės metinės ribos, nustatytos Reglamente </w:t>
              </w:r>
              <w:fldSimple w:instr="HYPERLINK http://eur-lex.europa.eu/legal-content/LIT/TXT/?uri=CELEX:32023R1805&amp;locale=lt \t _blank">
                <w:r>
                  <w:rPr>
                    <w:color w:val="0000FF" w:themeColor="hyperlink"/>
                    <w:szCs w:val="24"/>
                    <w:lang w:bidi="en-US"/>
                    <w:u w:val="single"/>
                  </w:rPr>
                  <w:t>(ES) 2023/1805</w:t>
                </w:r>
              </w:fldSimple>
              <w:r>
                <w:rPr>
                  <w:color w:val="000000"/>
                  <w:szCs w:val="24"/>
                  <w:lang w:bidi="en-US"/>
                </w:rPr>
                <w:t xml:space="preserve"> 4 straipsnio 2 dalyje, Įstatymą numatoma papildyti 110</w:t>
              </w:r>
              <w:r>
                <w:rPr>
                  <w:color w:val="000000"/>
                  <w:szCs w:val="24"/>
                  <w:vertAlign w:val="superscript"/>
                  <w:lang w:bidi="en-US"/>
                </w:rPr>
                <w:t>3</w:t>
              </w:r>
              <w:r>
                <w:rPr>
                  <w:color w:val="000000"/>
                  <w:szCs w:val="24"/>
                  <w:lang w:bidi="en-US"/>
                </w:rPr>
                <w:t xml:space="preserve"> straipsniu.</w:t>
              </w:r>
            </w:p>
            <w:p>
              <w:pPr>
                <w:spacing w:line="276" w:lineRule="auto"/>
                <w:ind w:firstLine="720"/>
                <w:jc w:val="both"/>
                <w:rPr>
                  <w:color w:val="000000"/>
                  <w:szCs w:val="24"/>
                  <w:lang w:bidi="en-US"/>
                </w:rPr>
              </w:pPr>
              <w:r>
                <w:rPr>
                  <w:i/>
                  <w:iCs/>
                  <w:color w:val="000000"/>
                  <w:szCs w:val="24"/>
                  <w:lang w:bidi="en-US"/>
                </w:rPr>
                <w:t xml:space="preserve">Dėl Reglamento </w:t>
              </w:r>
              <w:fldSimple w:instr="HYPERLINK http://eur-lex.europa.eu/legal-content/LIT/TXT/?uri=CELEX:33115R2023&amp;locale=lt \t _blank">
                <w:r>
                  <w:rPr>
                    <w:i/>
                    <w:iCs/>
                    <w:color w:val="0000FF" w:themeColor="hyperlink"/>
                    <w:szCs w:val="24"/>
                    <w:lang w:bidi="en-US"/>
                    <w:u w:val="single"/>
                  </w:rPr>
                  <w:t>(ES) Nr. 2023/1115</w:t>
                </w:r>
              </w:fldSimple>
              <w:r>
                <w:rPr>
                  <w:i/>
                  <w:iCs/>
                  <w:color w:val="000000"/>
                  <w:szCs w:val="24"/>
                  <w:lang w:bidi="en-US"/>
                </w:rPr>
                <w:t xml:space="preserve"> </w:t>
              </w:r>
            </w:p>
            <w:p>
              <w:pPr>
                <w:shd w:val="clear" w:color="auto" w:fill="FFFFFF"/>
                <w:spacing w:line="276" w:lineRule="auto"/>
                <w:ind w:firstLine="720"/>
                <w:jc w:val="both"/>
                <w:rPr>
                  <w:rFonts w:eastAsia="Andale Sans UI"/>
                  <w:color w:val="000000"/>
                  <w:szCs w:val="24"/>
                  <w:lang w:bidi="en-US"/>
                </w:rPr>
              </w:pPr>
              <w:r>
                <w:rPr>
                  <w:szCs w:val="24"/>
                  <w:lang w:bidi="en-US"/>
                </w:rPr>
                <w:t xml:space="preserve">Įstatymo projektu siūloma įtvirtinti sankcijas juridiniams asmenims už Reglamente </w:t>
              </w:r>
              <w:fldSimple w:instr="HYPERLINK http://eur-lex.europa.eu/legal-content/LIT/TXT/?uri=CELEX:33115R2023&amp;locale=lt \t _blank">
                <w:r>
                  <w:rPr>
                    <w:szCs w:val="24"/>
                    <w:lang w:bidi="en-US"/>
                    <w:u w:val="single"/>
                    <w:color w:val="0000FF" w:themeColor="hyperlink"/>
                  </w:rPr>
                  <w:t>(ES) Nr. 2023/1115</w:t>
                </w:r>
              </w:fldSimple>
              <w:r>
                <w:rPr>
                  <w:szCs w:val="24"/>
                  <w:lang w:bidi="en-US"/>
                </w:rPr>
                <w:t xml:space="preserve"> nustatytų reikalavimų nesilaikymą papildant Įstatymo projektą 118</w:t>
              </w:r>
              <w:r>
                <w:rPr>
                  <w:szCs w:val="24"/>
                  <w:vertAlign w:val="superscript"/>
                  <w:lang w:bidi="en-US"/>
                </w:rPr>
                <w:t>2</w:t>
              </w:r>
              <w:r>
                <w:rPr>
                  <w:szCs w:val="24"/>
                  <w:lang w:bidi="en-US"/>
                </w:rPr>
                <w:t xml:space="preserve"> straipsniu, numatančiu baudas už </w:t>
              </w:r>
              <w:r>
                <w:rPr>
                  <w:color w:val="000000"/>
                  <w:szCs w:val="24"/>
                  <w:lang w:bidi="en-US"/>
                </w:rPr>
                <w:t xml:space="preserve">informacijos saugojimo ir teikimo Vyriausybės įgaliotoms kompetentingoms institucijoms reikalavimų pažeidimą po rašytinio įspėjimo (rašytinis įspėjimas taikomas, jei dar įmanoma atlikti taisomuosius veiksmus), išsamaus patikrinimo sistemos netaikymą arba šios sistemos reikalavimų pažeidimą po rašytinio įspėjimo </w:t>
              </w:r>
              <w:r>
                <w:rPr>
                  <w:szCs w:val="24"/>
                  <w:lang w:bidi="en-US"/>
                </w:rPr>
                <w:t xml:space="preserve">(rašytinis įspėjimas taikomas, jei dar įmanoma atlikti taisomuosius veiksmus), </w:t>
              </w:r>
              <w:r>
                <w:rPr>
                  <w:color w:val="000000"/>
                  <w:szCs w:val="24"/>
                  <w:lang w:bidi="en-US"/>
                </w:rPr>
                <w:t xml:space="preserve">Reglamento </w:t>
              </w:r>
              <w:fldSimple w:instr="HYPERLINK http://eur-lex.europa.eu/legal-content/LIT/TXT/?uri=CELEX:33115R2023&amp;locale=lt \t _blank">
                <w:r>
                  <w:rPr>
                    <w:color w:val="0000FF" w:themeColor="hyperlink"/>
                    <w:szCs w:val="24"/>
                    <w:lang w:bidi="en-US"/>
                    <w:u w:val="single"/>
                  </w:rPr>
                  <w:t>(ES) Nr. 2023/1115</w:t>
                </w:r>
              </w:fldSimple>
              <w:r>
                <w:rPr>
                  <w:color w:val="000000"/>
                  <w:szCs w:val="24"/>
                  <w:lang w:bidi="en-US"/>
                </w:rPr>
                <w:t xml:space="preserve"> I priede nurodytų produktų pateikimą arba tiekimą rinkai arba eksportą, pažeidžiant Reglamento </w:t>
              </w:r>
              <w:fldSimple w:instr="HYPERLINK http://eur-lex.europa.eu/legal-content/LIT/TXT/?uri=CELEX:33115R2023&amp;locale=lt \t _blank">
                <w:r>
                  <w:rPr>
                    <w:color w:val="0000FF" w:themeColor="hyperlink"/>
                    <w:szCs w:val="24"/>
                    <w:lang w:bidi="en-US"/>
                    <w:u w:val="single"/>
                  </w:rPr>
                  <w:t>(ES) Nr. 2023/1115</w:t>
                </w:r>
              </w:fldSimple>
              <w:r>
                <w:rPr>
                  <w:color w:val="000000"/>
                  <w:szCs w:val="24"/>
                  <w:lang w:bidi="en-US"/>
                </w:rPr>
                <w:t xml:space="preserve"> 3 straipsnyje nustatytus reikalavimus. Taip pat siūloma taikyti administracinio poveikio priemonę – laikiną (vienų metų) draudimą pateikti arba tiekti rinkai arba eksportuoti Reglamento </w:t>
              </w:r>
              <w:fldSimple w:instr="HYPERLINK http://eur-lex.europa.eu/legal-content/LIT/TXT/?uri=CELEX:33115R2023&amp;locale=lt \t _blank">
                <w:r>
                  <w:rPr>
                    <w:color w:val="0000FF" w:themeColor="hyperlink"/>
                    <w:szCs w:val="24"/>
                    <w:lang w:bidi="en-US"/>
                    <w:u w:val="single"/>
                  </w:rPr>
                  <w:t>(ES) Nr. 2023/1115</w:t>
                </w:r>
              </w:fldSimple>
              <w:r>
                <w:rPr>
                  <w:color w:val="000000"/>
                  <w:szCs w:val="24"/>
                  <w:lang w:bidi="en-US"/>
                </w:rPr>
                <w:t xml:space="preserve"> I priede nurodytus produktus ir laikiną (vienų metų) draudimą taikyti Reglamento </w:t>
              </w:r>
              <w:fldSimple w:instr="HYPERLINK http://eur-lex.europa.eu/legal-content/LIT/TXT/?uri=CELEX:33115R2023&amp;locale=lt \t _blank">
                <w:r>
                  <w:rPr>
                    <w:color w:val="0000FF" w:themeColor="hyperlink"/>
                    <w:szCs w:val="24"/>
                    <w:lang w:bidi="en-US"/>
                    <w:u w:val="single"/>
                  </w:rPr>
                  <w:t>(ES) Nr. 2023/1115</w:t>
                </w:r>
              </w:fldSimple>
              <w:r>
                <w:rPr>
                  <w:color w:val="000000"/>
                  <w:szCs w:val="24"/>
                  <w:lang w:bidi="en-US"/>
                </w:rPr>
                <w:t xml:space="preserve"> 13 straipsnyje nustatytą supaprastintą išsamų patikrinimą, jei dvejus ir daugiau metų iš eilės pasikartoja Reglamento </w:t>
              </w:r>
              <w:fldSimple w:instr="HYPERLINK http://eur-lex.europa.eu/legal-content/LIT/TXT/?uri=CELEX:33115R2023&amp;locale=lt \t _blank">
                <w:r>
                  <w:rPr>
                    <w:color w:val="0000FF" w:themeColor="hyperlink"/>
                    <w:szCs w:val="24"/>
                    <w:lang w:bidi="en-US"/>
                    <w:u w:val="single"/>
                  </w:rPr>
                  <w:t>(ES) Nr. 2023/1115</w:t>
                </w:r>
              </w:fldSimple>
              <w:r>
                <w:rPr>
                  <w:color w:val="000000"/>
                  <w:szCs w:val="24"/>
                  <w:lang w:bidi="en-US"/>
                </w:rPr>
                <w:t xml:space="preserve"> I priede nurodytų produktų pateikimo arba tiekimo rinkai arba eksporto pažeidimai.</w:t>
              </w:r>
            </w:p>
            <w:p>
              <w:pPr>
                <w:spacing w:line="276" w:lineRule="auto"/>
                <w:ind w:firstLine="720"/>
                <w:jc w:val="both"/>
                <w:rPr>
                  <w:szCs w:val="24"/>
                  <w:lang w:bidi="en-US"/>
                </w:rPr>
              </w:pPr>
              <w:r>
                <w:rPr>
                  <w:szCs w:val="24"/>
                  <w:lang w:bidi="en-US"/>
                </w:rPr>
                <w:t>Siūloma keisti Įstatymo 37 straipsnio 1 dalies 1 punktą, papildant 118</w:t>
              </w:r>
              <w:r>
                <w:rPr>
                  <w:szCs w:val="24"/>
                  <w:vertAlign w:val="superscript"/>
                  <w:lang w:bidi="en-US"/>
                </w:rPr>
                <w:t xml:space="preserve">2 </w:t>
              </w:r>
              <w:r>
                <w:rPr>
                  <w:szCs w:val="24"/>
                  <w:lang w:bidi="en-US"/>
                </w:rPr>
                <w:t xml:space="preserve">straipsniu, – nustatyti, kad juridinių asmenų padarytus pažeidimus, susijusius su Reglamento </w:t>
              </w:r>
              <w:fldSimple w:instr="HYPERLINK http://eur-lex.europa.eu/legal-content/LIT/TXT/?uri=CELEX:33115R2023&amp;locale=lt \t _blank">
                <w:r>
                  <w:rPr>
                    <w:szCs w:val="24"/>
                    <w:lang w:bidi="en-US"/>
                    <w:u w:val="single"/>
                    <w:color w:val="0000FF" w:themeColor="hyperlink"/>
                  </w:rPr>
                  <w:t>(ES) Nr. 2023/1115</w:t>
                </w:r>
              </w:fldSimple>
              <w:r>
                <w:rPr>
                  <w:szCs w:val="24"/>
                  <w:lang w:bidi="en-US"/>
                </w:rPr>
                <w:t> pažeidimais, tiria, juridinių asmenų padarytų pažeidimų protokolus surašo ir bylas dėl ekonominių sankcijų skyrimo nagrinėja vyriausieji valstybiniai aplinkos apsaugos inspektoriai, 40</w:t>
              </w:r>
              <w:r>
                <w:rPr>
                  <w:szCs w:val="24"/>
                  <w:vertAlign w:val="superscript"/>
                  <w:lang w:bidi="en-US"/>
                </w:rPr>
                <w:t>1 </w:t>
              </w:r>
              <w:r>
                <w:rPr>
                  <w:szCs w:val="24"/>
                  <w:lang w:bidi="en-US"/>
                </w:rPr>
                <w:t>straipsnio</w:t>
              </w:r>
              <w:r>
                <w:rPr>
                  <w:szCs w:val="24"/>
                  <w:vertAlign w:val="superscript"/>
                  <w:lang w:bidi="en-US"/>
                </w:rPr>
                <w:t xml:space="preserve"> </w:t>
              </w:r>
              <w:r>
                <w:rPr>
                  <w:szCs w:val="24"/>
                  <w:lang w:bidi="en-US"/>
                </w:rPr>
                <w:t>4 dalį – papildant 118</w:t>
              </w:r>
              <w:r>
                <w:rPr>
                  <w:szCs w:val="24"/>
                  <w:vertAlign w:val="superscript"/>
                  <w:lang w:bidi="en-US"/>
                </w:rPr>
                <w:t>2</w:t>
              </w:r>
              <w:r>
                <w:rPr>
                  <w:szCs w:val="24"/>
                  <w:lang w:bidi="en-US"/>
                </w:rPr>
                <w:t xml:space="preserve"> straipsnio 5, 6 dalyse minimą produktų ir pajamų konfiskavimą, 47 straipsnio 1 dalį – papildant 118</w:t>
              </w:r>
              <w:r>
                <w:rPr>
                  <w:szCs w:val="24"/>
                  <w:vertAlign w:val="superscript"/>
                  <w:lang w:bidi="en-US"/>
                </w:rPr>
                <w:t>2</w:t>
              </w:r>
              <w:r>
                <w:rPr>
                  <w:szCs w:val="24"/>
                  <w:lang w:bidi="en-US"/>
                </w:rPr>
                <w:t xml:space="preserve"> straipsnio 1 ir 3 dalyse minimą rašytinį įspėjimą.</w:t>
              </w:r>
            </w:p>
            <w:p>
              <w:pPr>
                <w:spacing w:line="276" w:lineRule="auto"/>
                <w:ind w:firstLine="720"/>
                <w:jc w:val="both"/>
                <w:rPr>
                  <w:color w:val="000000"/>
                  <w:szCs w:val="24"/>
                  <w:lang w:bidi="en-US"/>
                </w:rPr>
              </w:pPr>
              <w:r>
                <w:rPr>
                  <w:szCs w:val="24"/>
                  <w:lang w:bidi="en-US"/>
                </w:rPr>
                <w:t xml:space="preserve">Kodekso projektu siūloma įtvirtinti sankcijas fiziniams asmenims už Reglamente </w:t>
              </w:r>
              <w:fldSimple w:instr="HYPERLINK http://eur-lex.europa.eu/legal-content/LIT/TXT/?uri=CELEX:33115R2023&amp;locale=lt \t _blank">
                <w:r>
                  <w:rPr>
                    <w:szCs w:val="24"/>
                    <w:lang w:bidi="en-US"/>
                    <w:u w:val="single"/>
                    <w:color w:val="0000FF" w:themeColor="hyperlink"/>
                  </w:rPr>
                  <w:t>(ES) Nr. 2023/1115</w:t>
                </w:r>
              </w:fldSimple>
              <w:r>
                <w:rPr>
                  <w:szCs w:val="24"/>
                  <w:lang w:bidi="en-US"/>
                </w:rPr>
                <w:t>  nustatytų reikalavimų nesilaikymą papildant Kodekso projektą 270</w:t>
              </w:r>
              <w:r>
                <w:rPr>
                  <w:szCs w:val="24"/>
                  <w:vertAlign w:val="superscript"/>
                  <w:lang w:bidi="en-US"/>
                </w:rPr>
                <w:t>2</w:t>
              </w:r>
              <w:r>
                <w:rPr>
                  <w:szCs w:val="24"/>
                  <w:lang w:bidi="en-US"/>
                </w:rPr>
                <w:t xml:space="preserve"> straipsniu, numatančiu sankcijas už pažeidimus, susijusius su </w:t>
              </w:r>
              <w:r>
                <w:rPr>
                  <w:color w:val="000000"/>
                  <w:szCs w:val="24"/>
                  <w:lang w:bidi="en-US"/>
                </w:rPr>
                <w:t xml:space="preserve">informacijos saugojimu ir teikimu Vyriausybės įgaliotoms kompetentingoms institucijoms, išsamaus patikrinimo sistemos netaikymu arba šios sistemos reikalavimų pažeidimu, Reglamento </w:t>
              </w:r>
              <w:fldSimple w:instr="HYPERLINK http://eur-lex.europa.eu/legal-content/LIT/TXT/?uri=CELEX:33115R2023&amp;locale=lt \t _blank">
                <w:r>
                  <w:rPr>
                    <w:color w:val="0000FF" w:themeColor="hyperlink"/>
                    <w:szCs w:val="24"/>
                    <w:lang w:bidi="en-US"/>
                    <w:u w:val="single"/>
                  </w:rPr>
                  <w:t>(ES) Nr. 2023/1115</w:t>
                </w:r>
              </w:fldSimple>
              <w:r>
                <w:rPr>
                  <w:color w:val="000000"/>
                  <w:szCs w:val="24"/>
                  <w:lang w:bidi="en-US"/>
                </w:rPr>
                <w:t xml:space="preserve"> I priede nurodytų produktų pateikimu arba tiekimu rinkai arba eksportu pažeidžiant Reglamento </w:t>
              </w:r>
              <w:fldSimple w:instr="HYPERLINK http://eur-lex.europa.eu/legal-content/LIT/TXT/?uri=CELEX:33115R2023&amp;locale=lt \t _blank">
                <w:r>
                  <w:rPr>
                    <w:color w:val="0000FF" w:themeColor="hyperlink"/>
                    <w:szCs w:val="24"/>
                    <w:lang w:bidi="en-US"/>
                    <w:u w:val="single"/>
                  </w:rPr>
                  <w:t>(ES) Nr. 2023/1115</w:t>
                </w:r>
              </w:fldSimple>
              <w:r>
                <w:rPr>
                  <w:color w:val="000000"/>
                  <w:szCs w:val="24"/>
                  <w:lang w:bidi="en-US"/>
                </w:rPr>
                <w:t xml:space="preserve"> 3 straipsnyje nustatytus reikalavimus. </w:t>
              </w:r>
              <w:r>
                <w:rPr>
                  <w:szCs w:val="24"/>
                  <w:lang w:bidi="en-US"/>
                </w:rPr>
                <w:t xml:space="preserve">Taip pat siūloma įtvirtinti  administracinio poveikio priemonę </w:t>
              </w:r>
              <w:r>
                <w:rPr>
                  <w:color w:val="000000"/>
                  <w:szCs w:val="24"/>
                  <w:lang w:bidi="en-US"/>
                </w:rPr>
                <w:t xml:space="preserve">skirti laikiną (vienų metų) draudimą pateikti arba tiekti rinkai arba eksportuoti Reglamento </w:t>
              </w:r>
              <w:fldSimple w:instr="HYPERLINK http://eur-lex.europa.eu/legal-content/LIT/TXT/?uri=CELEX:33115R2023&amp;locale=lt \t _blank">
                <w:r>
                  <w:rPr>
                    <w:color w:val="0000FF" w:themeColor="hyperlink"/>
                    <w:szCs w:val="24"/>
                    <w:lang w:bidi="en-US"/>
                    <w:u w:val="single"/>
                  </w:rPr>
                  <w:t>(ES) Nr. 2023/1115</w:t>
                </w:r>
              </w:fldSimple>
              <w:r>
                <w:rPr>
                  <w:color w:val="000000"/>
                  <w:szCs w:val="24"/>
                  <w:lang w:bidi="en-US"/>
                </w:rPr>
                <w:t xml:space="preserve"> I priede nurodytus produktus ir laikiną (vienų metų) draudimą taikyti Reglamento </w:t>
              </w:r>
              <w:fldSimple w:instr="HYPERLINK http://eur-lex.europa.eu/legal-content/LIT/TXT/?uri=CELEX:33115R2023&amp;locale=lt \t _blank">
                <w:r>
                  <w:rPr>
                    <w:color w:val="0000FF" w:themeColor="hyperlink"/>
                    <w:szCs w:val="24"/>
                    <w:lang w:bidi="en-US"/>
                    <w:u w:val="single"/>
                  </w:rPr>
                  <w:t>(ES) Nr. 2023/1115</w:t>
                </w:r>
              </w:fldSimple>
              <w:r>
                <w:rPr>
                  <w:color w:val="000000"/>
                  <w:szCs w:val="24"/>
                  <w:lang w:bidi="en-US"/>
                </w:rPr>
                <w:t xml:space="preserve"> 13 straipsnyje nustatytą supaprastintą išsamų patikrinimą, jei dvejus ar daugiau metų iš eilės kartojasi Reglamento </w:t>
              </w:r>
              <w:fldSimple w:instr="HYPERLINK http://eur-lex.europa.eu/legal-content/LIT/TXT/?uri=CELEX:33115R2023&amp;locale=lt \t _blank">
                <w:r>
                  <w:rPr>
                    <w:color w:val="0000FF" w:themeColor="hyperlink"/>
                    <w:szCs w:val="24"/>
                    <w:lang w:bidi="en-US"/>
                    <w:u w:val="single"/>
                  </w:rPr>
                  <w:t>(ES) Nr. 2023/1115</w:t>
                </w:r>
              </w:fldSimple>
              <w:r>
                <w:rPr>
                  <w:color w:val="000000"/>
                  <w:szCs w:val="24"/>
                  <w:lang w:bidi="en-US"/>
                </w:rPr>
                <w:t xml:space="preserve"> I priede nurodytų produktų pateikimo arba tiekimo rinkai arba eksporto pažeidimai. </w:t>
              </w:r>
              <w:r>
                <w:rPr>
                  <w:szCs w:val="24"/>
                  <w:lang w:bidi="en-US"/>
                </w:rPr>
                <w:t xml:space="preserve">Siūloma keisti Kodekso 27 straipsnio 1 ir 2 dalis, patikslinant nuostatas dėl administracinio poveikio priemonių,  29 straipsnio 4 dalį, patikslinant nuostatas dėl turto konfiskavimo, 589 straipsnio 31 punktą papildant 270</w:t>
              </w:r>
              <w:r>
                <w:rPr>
                  <w:szCs w:val="24"/>
                  <w:vertAlign w:val="superscript"/>
                  <w:lang w:bidi="en-US"/>
                </w:rPr>
                <w:t>2</w:t>
              </w:r>
              <w:r>
                <w:rPr>
                  <w:szCs w:val="24"/>
                  <w:lang w:bidi="en-US"/>
                </w:rPr>
                <w:t xml:space="preserve"> straipsniu – įtvirtinant, kad administracinius nusižengimus dėl Reglamento </w:t>
              </w:r>
              <w:fldSimple w:instr="HYPERLINK http://eur-lex.europa.eu/legal-content/LIT/TXT/?uri=CELEX:33115R2023&amp;locale=lt \t _blank">
                <w:r>
                  <w:rPr>
                    <w:szCs w:val="24"/>
                    <w:lang w:bidi="en-US"/>
                    <w:u w:val="single"/>
                    <w:color w:val="0000FF" w:themeColor="hyperlink"/>
                  </w:rPr>
                  <w:t>(ES) Nr. 2023/1115</w:t>
                </w:r>
              </w:fldSimple>
              <w:r>
                <w:rPr>
                  <w:szCs w:val="24"/>
                  <w:lang w:bidi="en-US"/>
                </w:rPr>
                <w:t xml:space="preserve"> tiria ir protokolus surašo aplinkos apsaugos valstybinės kontrolės pareigūnai.  Kodekso projektą siūloma papildyti nauju 31</w:t>
              </w:r>
              <w:r>
                <w:rPr>
                  <w:szCs w:val="24"/>
                  <w:vertAlign w:val="superscript"/>
                  <w:lang w:bidi="en-US"/>
                </w:rPr>
                <w:t>2</w:t>
              </w:r>
              <w:r>
                <w:rPr>
                  <w:szCs w:val="24"/>
                  <w:lang w:bidi="en-US"/>
                </w:rPr>
                <w:t xml:space="preserve"> straipsniu dėl naujos administracinio poveikio priemonės – laikino (vienų metų) draudimo pateikti arba tiekti rinkai arba eksportuoti Reglamento </w:t>
              </w:r>
              <w:fldSimple w:instr="HYPERLINK http://eur-lex.europa.eu/legal-content/LIT/TXT/?uri=CELEX:33115R2023&amp;locale=lt \t _blank">
                <w:r>
                  <w:rPr>
                    <w:szCs w:val="24"/>
                    <w:lang w:bidi="en-US"/>
                    <w:u w:val="single"/>
                    <w:color w:val="0000FF" w:themeColor="hyperlink"/>
                  </w:rPr>
                  <w:t>(ES) Nr. 2023/1115</w:t>
                </w:r>
              </w:fldSimple>
              <w:r>
                <w:rPr>
                  <w:szCs w:val="24"/>
                  <w:lang w:bidi="en-US"/>
                </w:rPr>
                <w:t xml:space="preserve"> I priede nurodytus produktus ir laikino (vienų metų) draudimo taikyti Reglamento </w:t>
              </w:r>
              <w:fldSimple w:instr="HYPERLINK http://eur-lex.europa.eu/legal-content/LIT/TXT/?uri=CELEX:33115R2023&amp;locale=lt \t _blank">
                <w:r>
                  <w:rPr>
                    <w:szCs w:val="24"/>
                    <w:lang w:bidi="en-US"/>
                    <w:u w:val="single"/>
                    <w:color w:val="0000FF" w:themeColor="hyperlink"/>
                  </w:rPr>
                  <w:t>(ES) Nr. 2023/1115</w:t>
                </w:r>
              </w:fldSimple>
              <w:r>
                <w:rPr>
                  <w:szCs w:val="24"/>
                  <w:lang w:bidi="en-US"/>
                </w:rPr>
                <w:t xml:space="preserve"> 13 straipsnyje nustatytą supaprastintą išsamų patikrinimą, nustatant, kad </w:t>
              </w:r>
              <w:r>
                <w:rPr>
                  <w:color w:val="000000"/>
                  <w:szCs w:val="24"/>
                  <w:lang w:bidi="en-US"/>
                </w:rPr>
                <w:t>asmeniui gali būti skiriama tik minėta administracinio poveikio priemonė.</w:t>
              </w:r>
            </w:p>
            <w:p>
              <w:pPr>
                <w:spacing w:line="276" w:lineRule="auto"/>
                <w:ind w:firstLine="720"/>
                <w:jc w:val="both"/>
                <w:rPr>
                  <w:szCs w:val="24"/>
                  <w:lang w:bidi="en-US"/>
                </w:rPr>
              </w:pPr>
              <w:r>
                <w:rPr>
                  <w:szCs w:val="24"/>
                  <w:lang w:bidi="en-US"/>
                </w:rPr>
                <w:t xml:space="preserve">Siekiant paskirti kompetentingas institucijas, atsakingas už 2023 m. gegužės 31 d. Europos Parlamento ir Tarybos reglamento </w:t>
              </w:r>
              <w:fldSimple w:instr="HYPERLINK http://eur-lex.europa.eu/legal-content/LIT/TXT/?uri=CELEX:33115R2023&amp;locale=lt \t _blank">
                <w:r>
                  <w:rPr>
                    <w:szCs w:val="24"/>
                    <w:lang w:bidi="en-US"/>
                    <w:u w:val="single"/>
                    <w:color w:val="0000FF" w:themeColor="hyperlink"/>
                  </w:rPr>
                  <w:t>(ES) Nr. 2023/1115</w:t>
                </w:r>
              </w:fldSimple>
              <w:r>
                <w:rPr>
                  <w:szCs w:val="24"/>
                  <w:lang w:bidi="en-US"/>
                </w:rPr>
                <w:t xml:space="preserve"> dėl tam tikrų su miškų naikinimu ir alinimu siejamų biržos prekių ir produktų tiekimo Sąjungos rinkai ir jų eksporto iš Sąjungos, kuriuo panaikinimas Reglamentas </w:t>
              </w:r>
              <w:fldSimple w:instr="HYPERLINK http://eur-lex.europa.eu/legal-content/LIT/TXT/?uri=CELEX:32010R0995&amp;locale=lt \t _blank">
                <w:r>
                  <w:rPr>
                    <w:szCs w:val="24"/>
                    <w:lang w:bidi="en-US"/>
                    <w:u w:val="single"/>
                    <w:color w:val="0000FF" w:themeColor="hyperlink"/>
                  </w:rPr>
                  <w:t>(ES) Nr. 995/2010</w:t>
                </w:r>
              </w:fldSimple>
              <w:r>
                <w:rPr>
                  <w:szCs w:val="24"/>
                  <w:lang w:bidi="en-US"/>
                </w:rPr>
                <w:t xml:space="preserve">, taikymą, rengiamas Lietuvos Respublikos Vyriausybės nutarimo projektas. Jame siūloma paskirti 3 kompetentingas institucijas: Aplinkos apsaugos departamentą prie Aplinkos ministerijos – atsakingu už Reglamento </w:t>
              </w:r>
              <w:fldSimple w:instr="HYPERLINK http://eur-lex.europa.eu/legal-content/LIT/TXT/?uri=CELEX:33115R2023&amp;locale=lt \t _blank">
                <w:r>
                  <w:rPr>
                    <w:szCs w:val="24"/>
                    <w:lang w:bidi="en-US"/>
                    <w:u w:val="single"/>
                    <w:color w:val="0000FF" w:themeColor="hyperlink"/>
                  </w:rPr>
                  <w:t>(ES) Nr. 2023/1115</w:t>
                </w:r>
              </w:fldSimple>
              <w:r>
                <w:rPr>
                  <w:szCs w:val="24"/>
                  <w:lang w:bidi="en-US"/>
                </w:rPr>
                <w:t xml:space="preserve"> taikymą jo I priede nustatytų medienos ir medienos produktų (kodai 4401, 4403) pateikimą ir tiekimą rinkai srityje, Valstybinę vartotojų teisių apsaugos tarnybą – atsakinga už Reglamento </w:t>
              </w:r>
              <w:fldSimple w:instr="HYPERLINK http://eur-lex.europa.eu/legal-content/LIT/TXT/?uri=CELEX:33115R2023&amp;locale=lt \t _blank">
                <w:r>
                  <w:rPr>
                    <w:szCs w:val="24"/>
                    <w:lang w:bidi="en-US"/>
                    <w:u w:val="single"/>
                    <w:color w:val="0000FF" w:themeColor="hyperlink"/>
                  </w:rPr>
                  <w:t>(ES) Nr. 2023/1115</w:t>
                </w:r>
              </w:fldSimple>
              <w:r>
                <w:rPr>
                  <w:szCs w:val="24"/>
                  <w:lang w:bidi="en-US"/>
                </w:rPr>
                <w:t xml:space="preserve"> taikymą jo I priede nustatytų visų medienos ir medienos produktų ir gumos produktų pateikimo ir tiekimo rinkai srityje, Valstybinę maisto ir veterinarijos tarnybą – atsakinga už Reglamento </w:t>
              </w:r>
              <w:fldSimple w:instr="HYPERLINK http://eur-lex.europa.eu/legal-content/LIT/TXT/?uri=CELEX:33115R2023&amp;locale=lt \t _blank">
                <w:r>
                  <w:rPr>
                    <w:szCs w:val="24"/>
                    <w:lang w:bidi="en-US"/>
                    <w:u w:val="single"/>
                    <w:color w:val="0000FF" w:themeColor="hyperlink"/>
                  </w:rPr>
                  <w:t>(ES) Nr. 2023/1115</w:t>
                </w:r>
              </w:fldSimple>
              <w:r>
                <w:rPr>
                  <w:szCs w:val="24"/>
                  <w:lang w:bidi="en-US"/>
                </w:rPr>
                <w:t xml:space="preserve"> taikymą jo I priede nustatytų galvijų, kakavos, kavos, alyvpalmių aliejaus ir sojos produktų pateikimo ir tiekimo rinkai srityje.   </w:t>
              </w:r>
            </w:p>
            <w:p>
              <w:pPr>
                <w:spacing w:line="276" w:lineRule="auto"/>
                <w:ind w:firstLine="567"/>
                <w:jc w:val="both"/>
                <w:rPr>
                  <w:i/>
                  <w:iCs/>
                  <w:color w:val="000000"/>
                  <w:szCs w:val="24"/>
                  <w:lang w:bidi="en-US"/>
                </w:rPr>
              </w:pPr>
              <w:r>
                <w:rPr>
                  <w:i/>
                  <w:iCs/>
                  <w:color w:val="000000"/>
                  <w:szCs w:val="24"/>
                  <w:lang w:bidi="en-US"/>
                </w:rPr>
                <w:t xml:space="preserve">Dėl Reglamento </w:t>
              </w:r>
              <w:fldSimple w:instr="HYPERLINK http://eur-lex.europa.eu/legal-content/LIT/TXT/?uri=CELEX:32023R0956&amp;locale=lt \t _blank">
                <w:r>
                  <w:rPr>
                    <w:i/>
                    <w:iCs/>
                    <w:color w:val="0000FF" w:themeColor="hyperlink"/>
                    <w:szCs w:val="24"/>
                    <w:lang w:bidi="en-US"/>
                    <w:u w:val="single"/>
                  </w:rPr>
                  <w:t>(ES) 2023/956</w:t>
                </w:r>
              </w:fldSimple>
              <w:r>
                <w:rPr>
                  <w:i/>
                  <w:iCs/>
                  <w:color w:val="000000"/>
                  <w:szCs w:val="24"/>
                  <w:lang w:bidi="en-US"/>
                </w:rPr>
                <w:t xml:space="preserve"> </w:t>
              </w:r>
            </w:p>
            <w:p>
              <w:pPr>
                <w:spacing w:line="276" w:lineRule="auto"/>
                <w:ind w:firstLine="567"/>
                <w:jc w:val="both"/>
                <w:rPr>
                  <w:color w:val="000000"/>
                  <w:szCs w:val="24"/>
                  <w:lang w:bidi="en-US"/>
                </w:rPr>
              </w:pPr>
              <w:r>
                <w:rPr>
                  <w:color w:val="000000"/>
                  <w:szCs w:val="24"/>
                  <w:lang w:bidi="en-US"/>
                </w:rPr>
                <w:t xml:space="preserve">Siekiant įgyvendinti pasienio anglies dioksido korekcinio mechanizmo (toliau – PADKM) sankcijų taikymo reikalavimus pagal Reglamento </w:t>
              </w:r>
              <w:fldSimple w:instr="HYPERLINK http://eur-lex.europa.eu/legal-content/LIT/TXT/?uri=CELEX:32956R2023&amp;locale=lt \t _blank">
                <w:r>
                  <w:rPr>
                    <w:color w:val="0000FF" w:themeColor="hyperlink"/>
                    <w:szCs w:val="24"/>
                    <w:lang w:bidi="en-US"/>
                    <w:u w:val="single"/>
                  </w:rPr>
                  <w:t>(ES) Nr. 2023/956</w:t>
                </w:r>
              </w:fldSimple>
              <w:r>
                <w:rPr>
                  <w:color w:val="000000"/>
                  <w:szCs w:val="24"/>
                  <w:lang w:bidi="en-US"/>
                </w:rPr>
                <w:t xml:space="preserve"> 35 ir 26 straipsnius,  siūloma Įstatymo projektą papildyti 110</w:t>
              </w:r>
              <w:r>
                <w:rPr>
                  <w:color w:val="000000"/>
                  <w:szCs w:val="24"/>
                  <w:vertAlign w:val="superscript"/>
                  <w:lang w:bidi="en-US"/>
                </w:rPr>
                <w:t>2</w:t>
              </w:r>
              <w:r>
                <w:rPr>
                  <w:color w:val="000000"/>
                  <w:szCs w:val="24"/>
                  <w:lang w:bidi="en-US"/>
                </w:rPr>
                <w:t xml:space="preserve"> ir 110</w:t>
              </w:r>
              <w:r>
                <w:rPr>
                  <w:color w:val="000000"/>
                  <w:szCs w:val="24"/>
                  <w:vertAlign w:val="superscript"/>
                  <w:lang w:bidi="en-US"/>
                </w:rPr>
                <w:t>3</w:t>
              </w:r>
              <w:r>
                <w:rPr>
                  <w:color w:val="000000"/>
                  <w:szCs w:val="24"/>
                  <w:lang w:bidi="en-US"/>
                </w:rPr>
                <w:t xml:space="preserve"> straipsniais, kurie užtikrins, kad juridiniai asmenys laikytųsi PADKM ataskaitų ir (ar) deklaracijų teikimo, PADKM prekių įvežimo ir sertifikatų atsisakymo reikalavimų, teiktų teisingus ir išsamius duomenis.</w:t>
              </w:r>
            </w:p>
            <w:p>
              <w:pPr>
                <w:spacing w:line="276" w:lineRule="auto"/>
                <w:ind w:firstLine="720"/>
                <w:jc w:val="both"/>
                <w:rPr>
                  <w:rFonts w:eastAsia="Andale Sans UI"/>
                  <w:szCs w:val="24"/>
                  <w:lang w:bidi="en-US"/>
                </w:rPr>
              </w:pPr>
              <w:r>
                <w:rPr>
                  <w:color w:val="000000"/>
                  <w:szCs w:val="24"/>
                  <w:lang w:bidi="en-US"/>
                </w:rPr>
                <w:t xml:space="preserve">Taip pat tikslinamas aplinkos apsaugos valstybinės kontrolės pareigūnų taikytinų atsakomybės straipsnių sąrašas  – papildoma, kad šių institucijų pareigūnai gali taikyti sankcijas už 110</w:t>
              </w:r>
              <w:r>
                <w:rPr>
                  <w:color w:val="000000"/>
                  <w:szCs w:val="24"/>
                  <w:vertAlign w:val="superscript"/>
                  <w:lang w:bidi="en-US"/>
                </w:rPr>
                <w:t>2</w:t>
              </w:r>
              <w:r>
                <w:rPr>
                  <w:color w:val="000000"/>
                  <w:szCs w:val="24"/>
                  <w:lang w:bidi="en-US"/>
                </w:rPr>
                <w:t xml:space="preserve"> straipsnio 1 ir 2 dalių bei 110</w:t>
              </w:r>
              <w:r>
                <w:rPr>
                  <w:color w:val="000000"/>
                  <w:szCs w:val="24"/>
                  <w:vertAlign w:val="superscript"/>
                  <w:lang w:bidi="en-US"/>
                </w:rPr>
                <w:t xml:space="preserve">3 </w:t>
              </w:r>
              <w:r>
                <w:rPr>
                  <w:color w:val="000000"/>
                  <w:szCs w:val="24"/>
                  <w:lang w:bidi="en-US"/>
                </w:rPr>
                <w:t xml:space="preserve">straipsnio 1 ir 2 dalių pažeidimus. Tikslinamas ir Lietuvos Respublikos muitinės taikytinų atsakomybės straipsnių sąrašas  – papildoma, kad šių institucijų pareigūnai gali taikyti sankcijas už 110</w:t>
              </w:r>
              <w:r>
                <w:rPr>
                  <w:color w:val="000000"/>
                  <w:szCs w:val="24"/>
                  <w:vertAlign w:val="superscript"/>
                  <w:lang w:bidi="en-US"/>
                </w:rPr>
                <w:t>3</w:t>
              </w:r>
              <w:r>
                <w:rPr>
                  <w:color w:val="000000"/>
                  <w:szCs w:val="24"/>
                  <w:lang w:bidi="en-US"/>
                </w:rPr>
                <w:t xml:space="preserve"> straipsnio 3 dalies pažeidimus. </w:t>
              </w:r>
              <w:r>
                <w:rPr>
                  <w:szCs w:val="24"/>
                  <w:lang w:bidi="en-US"/>
                </w:rPr>
                <w:t xml:space="preserve"> </w:t>
              </w:r>
            </w:p>
            <w:p>
              <w:pPr>
                <w:shd w:val="clear" w:color="auto" w:fill="FFFFFF"/>
                <w:spacing w:line="276" w:lineRule="auto"/>
                <w:ind w:firstLine="720"/>
                <w:jc w:val="both"/>
                <w:rPr>
                  <w:color w:val="000000"/>
                  <w:szCs w:val="24"/>
                  <w:lang w:bidi="en-US"/>
                </w:rPr>
              </w:pPr>
              <w:r>
                <w:rPr>
                  <w:color w:val="000000"/>
                  <w:szCs w:val="24"/>
                  <w:lang w:bidi="en-US"/>
                </w:rPr>
                <w:t xml:space="preserve">Atsižvelgiant į tai, kad keičiamu Aplinkos apsaugos įstatymo 110² straipsniu nustatomos pereinamojo laikotarpio nuostatos, numatoma, kad šis straipsnis galios iki 2026 m. rugpjūčio 1 d. Toks terminas pasirinktas vadovaujantis 2023 m. Komisijos įgyvendinamojo reglamento </w:t>
              </w:r>
              <w:fldSimple w:instr="HYPERLINK http://eur-lex.europa.eu/legal-content/LIT/TXT/?uri=CELEX:32023R1773&amp;locale=lt \t _blank">
                <w:r>
                  <w:rPr>
                    <w:color w:val="0000FF" w:themeColor="hyperlink"/>
                    <w:szCs w:val="24"/>
                    <w:lang w:bidi="en-US"/>
                    <w:u w:val="single"/>
                  </w:rPr>
                  <w:t>(ES) 2023/1773</w:t>
                </w:r>
              </w:fldSimple>
              <w:r>
                <w:rPr>
                  <w:color w:val="000000"/>
                  <w:szCs w:val="24"/>
                  <w:lang w:bidi="en-US"/>
                </w:rPr>
                <w:t> 16 straipsnio 4 dalimi, kurioje nurodyta, kad ataskaitų nepateikimas ilgiau nei šešis mėnesius gali lemti griežtesnių sankcijų taikymą. Kadangi pagrindinės įgyvendinimo nuostatos įsigalios 2026 m. sausio 1 d., būtina užtikrinti, kad atsakingos institucijos galėtų taikyti atsakomybę ir už pažeidimus, kai ataskaitos nepateikiamos šešis mėnesius ar ilgiau pereinamuoju laikotarpiu. Todėl 110² straipsnio galiojimo terminas nustatomas iki 2026 m. rugpjūčio 1 d. siekiant užtikrinti sankcijų taikymo nuoseklumą, atitiktį ES teisiniam reguliavimui ir bei efektyvų institucijų reagavimą į reikalavimų nesilaikymą.</w:t>
              </w:r>
              <w:r>
                <w:rPr>
                  <w:rFonts w:eastAsia="Andale Sans UI"/>
                  <w:color w:val="000000"/>
                  <w:szCs w:val="24"/>
                  <w:lang w:bidi="en-US"/>
                </w:rPr>
                <w:t xml:space="preserve"> </w:t>
              </w:r>
              <w:r>
                <w:rPr>
                  <w:color w:val="000000"/>
                  <w:szCs w:val="24"/>
                  <w:lang w:bidi="en-US"/>
                </w:rPr>
                <w:t xml:space="preserve">Projektu numatoma pakeisti  ANK 243</w:t>
              </w:r>
              <w:r>
                <w:rPr>
                  <w:color w:val="000000"/>
                  <w:szCs w:val="24"/>
                  <w:vertAlign w:val="superscript"/>
                  <w:lang w:bidi="en-US"/>
                </w:rPr>
                <w:t>1</w:t>
              </w:r>
              <w:r>
                <w:rPr>
                  <w:color w:val="000000"/>
                  <w:szCs w:val="24"/>
                  <w:lang w:bidi="en-US"/>
                </w:rPr>
                <w:t xml:space="preserve"> straipsnį, kuriuo įtvirtinamos sankcijos degalų ir kuro tiekėjams už kuro ir energijos būvio ciklo metu išmetamų ŠESD kiekio mažinimą reglamentuojančių teisės aktų pažeidimus, nes jis nuo 2025 m. nebeaktualus. Atsižvelgiant į šią aplinkybę, siūloma šio straipsnio nuostatas pakeisti ir naujai įtvirtinti pereinamojo laikotarpio fizinių asmenų atsakomybės nuostatas už  PADKM  reikalavimų pažeidimus, susijusius su PADKM ataskaitų teikimu pagal Reglamento </w:t>
              </w:r>
              <w:fldSimple w:instr="HYPERLINK http://eur-lex.europa.eu/legal-content/LIT/TXT/?uri=CELEX:32023R0956&amp;locale=lt \t _blank">
                <w:r>
                  <w:rPr>
                    <w:color w:val="0000FF" w:themeColor="hyperlink"/>
                    <w:szCs w:val="24"/>
                    <w:lang w:bidi="en-US"/>
                    <w:u w:val="single"/>
                  </w:rPr>
                  <w:t>(ES) 2023/956</w:t>
                </w:r>
              </w:fldSimple>
              <w:r>
                <w:rPr>
                  <w:color w:val="000000"/>
                  <w:szCs w:val="24"/>
                  <w:lang w:bidi="en-US"/>
                </w:rPr>
                <w:t xml:space="preserve"> 35 straipsnį.  </w:t>
              </w:r>
            </w:p>
            <w:p>
              <w:pPr>
                <w:shd w:val="clear" w:color="auto" w:fill="FFFFFF"/>
                <w:spacing w:line="276" w:lineRule="auto"/>
                <w:ind w:firstLine="720"/>
                <w:jc w:val="both"/>
                <w:rPr>
                  <w:color w:val="000000"/>
                  <w:szCs w:val="24"/>
                  <w:lang w:bidi="en-US"/>
                </w:rPr>
              </w:pPr>
              <w:r>
                <w:rPr>
                  <w:color w:val="000000"/>
                  <w:szCs w:val="24"/>
                  <w:lang w:bidi="en-US"/>
                </w:rPr>
                <w:t>Taip pat Kodeksas papildomas 243</w:t>
              </w:r>
              <w:r>
                <w:rPr>
                  <w:color w:val="000000"/>
                  <w:szCs w:val="24"/>
                  <w:vertAlign w:val="superscript"/>
                  <w:lang w:bidi="en-US"/>
                </w:rPr>
                <w:t xml:space="preserve">2 </w:t>
              </w:r>
              <w:r>
                <w:rPr>
                  <w:color w:val="000000"/>
                  <w:szCs w:val="24"/>
                  <w:lang w:bidi="en-US"/>
                </w:rPr>
                <w:t xml:space="preserve">straipsniu siekiant įtvirtinti atsakomybę už PADKM deklaracijų teikimą, PADKM sertifikatų atsisakymą ir PADKM prekių įvežimą į ES muitų teritoriją pagal Reglamento </w:t>
              </w:r>
              <w:fldSimple w:instr="HYPERLINK http://eur-lex.europa.eu/legal-content/LIT/TXT/?uri=CELEX:32023R0956&amp;locale=lt \t _blank">
                <w:r>
                  <w:rPr>
                    <w:color w:val="0000FF" w:themeColor="hyperlink"/>
                    <w:szCs w:val="24"/>
                    <w:lang w:bidi="en-US"/>
                    <w:u w:val="single"/>
                  </w:rPr>
                  <w:t>(ES) 2023/956</w:t>
                </w:r>
              </w:fldSimple>
              <w:r>
                <w:rPr>
                  <w:color w:val="000000"/>
                  <w:szCs w:val="24"/>
                  <w:lang w:bidi="en-US"/>
                </w:rPr>
                <w:t xml:space="preserve"> 26 straipsnį. </w:t>
              </w:r>
              <w:r>
                <w:rPr>
                  <w:szCs w:val="24"/>
                  <w:lang w:bidi="en-US"/>
                </w:rPr>
                <w:t xml:space="preserve"> </w:t>
              </w:r>
            </w:p>
            <w:p>
              <w:pPr>
                <w:shd w:val="clear" w:color="auto" w:fill="FFFFFF"/>
                <w:spacing w:line="276" w:lineRule="auto"/>
                <w:ind w:firstLine="720"/>
                <w:jc w:val="both"/>
                <w:rPr>
                  <w:color w:val="000000"/>
                  <w:szCs w:val="24"/>
                  <w:lang w:bidi="en-US"/>
                </w:rPr>
              </w:pPr>
              <w:r>
                <w:rPr>
                  <w:color w:val="000000"/>
                  <w:szCs w:val="24"/>
                  <w:lang w:bidi="en-US"/>
                </w:rPr>
                <w:t>Taip pat tikslinamas aplinkos apsaugos valstybinės kontrolės pareigūnų taikytinų atsakomybės straipsnių sąrašas – papildoma, kad šių institucijų pareigūnai gali taikyti sankcijas už 243</w:t>
              </w:r>
              <w:r>
                <w:rPr>
                  <w:color w:val="000000"/>
                  <w:szCs w:val="24"/>
                  <w:vertAlign w:val="superscript"/>
                  <w:lang w:bidi="en-US"/>
                </w:rPr>
                <w:t>1</w:t>
              </w:r>
              <w:r>
                <w:rPr>
                  <w:color w:val="000000"/>
                  <w:szCs w:val="24"/>
                  <w:lang w:bidi="en-US"/>
                </w:rPr>
                <w:t xml:space="preserve"> straipsnio 1 ir 2 dalių bei 243</w:t>
              </w:r>
              <w:r>
                <w:rPr>
                  <w:color w:val="000000"/>
                  <w:szCs w:val="24"/>
                  <w:vertAlign w:val="superscript"/>
                  <w:lang w:bidi="en-US"/>
                </w:rPr>
                <w:t xml:space="preserve">2 </w:t>
              </w:r>
              <w:r>
                <w:rPr>
                  <w:color w:val="000000"/>
                  <w:szCs w:val="24"/>
                  <w:lang w:bidi="en-US"/>
                </w:rPr>
                <w:t>straipsnio 1 ir 2 dalių pažeidimus. Tikslinamas ir Lietuvos Respublikos muitinės taikytinų atsakomybės straipsnių sąrašas – papildoma, kad šių institucijų pareigūnai gali taikyti sankcijas už 243</w:t>
              </w:r>
              <w:r>
                <w:rPr>
                  <w:color w:val="000000"/>
                  <w:szCs w:val="24"/>
                  <w:vertAlign w:val="superscript"/>
                  <w:lang w:bidi="en-US"/>
                </w:rPr>
                <w:t>2</w:t>
              </w:r>
              <w:r>
                <w:rPr>
                  <w:color w:val="000000"/>
                  <w:szCs w:val="24"/>
                  <w:lang w:bidi="en-US"/>
                </w:rPr>
                <w:t xml:space="preserve"> straipsnio 3 dalies pažeidimus.</w:t>
              </w:r>
            </w:p>
            <w:p>
              <w:pPr>
                <w:spacing w:line="276" w:lineRule="auto"/>
                <w:ind w:firstLine="720"/>
                <w:jc w:val="both"/>
                <w:rPr>
                  <w:szCs w:val="24"/>
                  <w:lang w:bidi="en-US"/>
                </w:rPr>
              </w:pPr>
              <w:r>
                <w:rPr>
                  <w:szCs w:val="24"/>
                  <w:lang w:bidi="en-US"/>
                </w:rPr>
                <w:t xml:space="preserve">Atsižvelgiant į tai, kad keičiamu Kodekso 243¹ straipsniu nustatomos pereinamojo laikotarpio nuostatos, numatoma, kad šis straipsnis galioja iki 2026 m. rugpjūčio 1 d. Toks terminas pasirinktas vadovaujantis 2023 m. Komisijos įgyvendinamojo reglamento </w:t>
              </w:r>
              <w:fldSimple w:instr="HYPERLINK http://eur-lex.europa.eu/legal-content/LIT/TXT/?uri=CELEX:32023R1773&amp;locale=lt \t _blank">
                <w:r>
                  <w:rPr>
                    <w:szCs w:val="24"/>
                    <w:lang w:bidi="en-US"/>
                    <w:u w:val="single"/>
                    <w:color w:val="0000FF" w:themeColor="hyperlink"/>
                  </w:rPr>
                  <w:t>(ES) 2023/1773</w:t>
                </w:r>
              </w:fldSimple>
              <w:r>
                <w:rPr>
                  <w:szCs w:val="24"/>
                  <w:lang w:bidi="en-US"/>
                </w:rPr>
                <w:t xml:space="preserve"> 16 straipsnio 4 dalimi, kurioje numatyta, kad ataskaitų nepateikimas ilgesnį nei šešių mėnesių laikotarpį gali lemti griežtesnių sankcijų taikymą. Kadangi pagrindinės įgyvendinimo nuostatos įsigalios 2026 m. sausio 1 d., būtina užtikrinti, kad nacionalinės institucijos galėtų taikyti atsakomybę ir už pažeidimus, kai ataskaitos nepateikiamos šešis mėnesius ar ilgiau pereinamuoju laikotarpiu. Todėl 243¹ straipsnio galiojimo terminas pratęsiamas iki 2026 m. rugpjūčio 1 d. siekiant užtikrinti administracinės atsakomybės taikymo vientisumą, suderintą su ES teisės aktais, bei institucijų galimybes reaguoti į pažeidimus pagal nustatytą sankcijų sistemą.</w:t>
              </w:r>
            </w:p>
            <w:p>
              <w:pPr>
                <w:spacing w:line="276" w:lineRule="auto"/>
                <w:ind w:firstLine="720"/>
                <w:jc w:val="both"/>
                <w:rPr>
                  <w:rFonts w:eastAsia="Andale Sans UI"/>
                  <w:i/>
                  <w:iCs/>
                  <w:color w:val="000000"/>
                  <w:szCs w:val="24"/>
                  <w:lang w:bidi="en-US"/>
                </w:rPr>
              </w:pPr>
              <w:r>
                <w:rPr>
                  <w:rFonts w:eastAsia="Andale Sans UI"/>
                  <w:i/>
                  <w:iCs/>
                  <w:color w:val="000000"/>
                  <w:szCs w:val="24"/>
                  <w:lang w:bidi="en-US"/>
                </w:rPr>
                <w:t xml:space="preserve">Dėl Direktyvos </w:t>
              </w:r>
              <w:fldSimple w:instr="HYPERLINK http://eur-lex.europa.eu/legal-content/LIT/TXT/?uri=CELEX:32024L1203&amp;locale=lt \t _blank">
                <w:r>
                  <w:rPr>
                    <w:rFonts w:eastAsia="Andale Sans UI"/>
                    <w:i/>
                    <w:iCs/>
                    <w:color w:val="0000FF" w:themeColor="hyperlink"/>
                    <w:szCs w:val="24"/>
                    <w:lang w:bidi="en-US"/>
                    <w:u w:val="single"/>
                  </w:rPr>
                  <w:t>(ES) 2024/1203</w:t>
                </w:r>
              </w:fldSimple>
              <w:r>
                <w:rPr>
                  <w:rFonts w:eastAsia="Andale Sans UI"/>
                  <w:i/>
                  <w:iCs/>
                  <w:color w:val="000000"/>
                  <w:szCs w:val="24"/>
                  <w:lang w:bidi="en-US"/>
                </w:rPr>
                <w:t xml:space="preserve"> nustatytų reikalavimų</w:t>
              </w:r>
            </w:p>
            <w:p>
              <w:pPr>
                <w:shd w:val="clear" w:color="auto" w:fill="FFFFFF"/>
                <w:spacing w:line="276" w:lineRule="auto"/>
                <w:ind w:firstLine="720"/>
                <w:jc w:val="both"/>
                <w:rPr>
                  <w:rFonts w:eastAsia="Andale Sans UI"/>
                  <w:color w:val="000000"/>
                  <w:szCs w:val="24"/>
                  <w:lang w:bidi="en-US"/>
                </w:rPr>
              </w:pPr>
              <w:r>
                <w:rPr>
                  <w:rFonts w:eastAsia="Andale Sans UI"/>
                  <w:szCs w:val="24"/>
                  <w:lang w:bidi="en-US"/>
                </w:rPr>
                <w:t xml:space="preserve">Įstatymo projektu siūloma techninis pakeitimas, kuriuo įgyvendinamas Direktyvos </w:t>
              </w:r>
              <w:fldSimple w:instr="HYPERLINK http://eur-lex.europa.eu/legal-content/LIT/TXT/?uri=CELEX:32024L1203&amp;locale=lt \t _blank">
                <w:r>
                  <w:rPr>
                    <w:rFonts w:eastAsia="Andale Sans UI"/>
                    <w:szCs w:val="24"/>
                    <w:lang w:bidi="en-US"/>
                    <w:u w:val="single"/>
                    <w:color w:val="0000FF" w:themeColor="hyperlink"/>
                  </w:rPr>
                  <w:t>(ES) </w:t>
                </w:r>
                <w:r>
                  <w:rPr>
                    <w:rFonts w:eastAsia="Andale Sans UI"/>
                    <w:color w:val="0000FF" w:themeColor="hyperlink"/>
                    <w:szCs w:val="24"/>
                    <w:lang w:bidi="en-US"/>
                    <w:u w:val="single"/>
                  </w:rPr>
                  <w:t>2024/1203</w:t>
                </w:r>
              </w:fldSimple>
              <w:r>
                <w:rPr>
                  <w:rFonts w:eastAsia="Andale Sans UI"/>
                  <w:color w:val="000000"/>
                  <w:szCs w:val="24"/>
                  <w:lang w:bidi="en-US"/>
                </w:rPr>
                <w:t xml:space="preserve"> 28 straipsnyje nustatytas reikalavimas, kad valstybės narės, priimdamos Direktyvos </w:t>
              </w:r>
              <w:fldSimple w:instr="HYPERLINK http://eur-lex.europa.eu/legal-content/LIT/TXT/?uri=CELEX:32024L1203&amp;locale=lt \t _blank">
                <w:r>
                  <w:rPr>
                    <w:rFonts w:eastAsia="Andale Sans UI"/>
                    <w:color w:val="0000FF" w:themeColor="hyperlink"/>
                    <w:szCs w:val="24"/>
                    <w:lang w:bidi="en-US"/>
                    <w:u w:val="single"/>
                  </w:rPr>
                  <w:t>(ES) 2024/1203</w:t>
                </w:r>
              </w:fldSimple>
              <w:r>
                <w:rPr>
                  <w:rFonts w:eastAsia="Andale Sans UI"/>
                  <w:color w:val="000000"/>
                  <w:szCs w:val="24"/>
                  <w:lang w:bidi="en-US"/>
                </w:rPr>
                <w:t xml:space="preserve"> nuostatas, daro jose nuorodą į šią direktyvą, t. y. Įstatymo priedas papildomas nuoroda į </w:t>
              </w:r>
              <w:r>
                <w:rPr>
                  <w:rFonts w:eastAsia="Andale Sans UI"/>
                  <w:szCs w:val="24"/>
                  <w:lang w:bidi="en-US"/>
                </w:rPr>
                <w:t xml:space="preserve">Direktyvą </w:t>
              </w:r>
              <w:fldSimple w:instr="HYPERLINK http://eur-lex.europa.eu/legal-content/LIT/TXT/?uri=CELEX:32024L1203&amp;locale=lt \t _blank">
                <w:r>
                  <w:rPr>
                    <w:rFonts w:eastAsia="Andale Sans UI"/>
                    <w:szCs w:val="24"/>
                    <w:lang w:bidi="en-US"/>
                    <w:u w:val="single"/>
                    <w:color w:val="0000FF" w:themeColor="hyperlink"/>
                  </w:rPr>
                  <w:t xml:space="preserve">(ES) </w:t>
                </w:r>
                <w:r>
                  <w:rPr>
                    <w:rFonts w:eastAsia="Andale Sans UI"/>
                    <w:color w:val="0000FF" w:themeColor="hyperlink"/>
                    <w:szCs w:val="24"/>
                    <w:lang w:bidi="en-US"/>
                    <w:u w:val="single"/>
                  </w:rPr>
                  <w:t>2024/1203</w:t>
                </w:r>
              </w:fldSimple>
              <w:r>
                <w:rPr>
                  <w:rFonts w:eastAsia="Andale Sans UI"/>
                  <w:color w:val="000000"/>
                  <w:szCs w:val="24"/>
                  <w:lang w:bidi="en-US"/>
                </w:rPr>
                <w:t xml:space="preserve">. Kitos šioje direktyvoje esančios nuostatos jau yra įgyvendintos (išskyrus 21 straipsnio nuostatas, kurios turi būti perkeltos iki 2027 m. gegužės 21 d.) ir apie tai Lietuvos Respublikos teisingumo ministerija informuota 2024 m. birželio 13 d. raštu Nr. D8(E)-2886. </w:t>
              </w:r>
            </w:p>
            <w:p>
              <w:pPr>
                <w:shd w:val="clear" w:color="auto" w:fill="FFFFFF"/>
                <w:spacing w:line="276" w:lineRule="auto"/>
                <w:ind w:firstLine="720"/>
                <w:jc w:val="both"/>
                <w:rPr>
                  <w:i/>
                  <w:iCs/>
                  <w:color w:val="000000"/>
                  <w:szCs w:val="24"/>
                  <w:lang w:bidi="en-US"/>
                </w:rPr>
              </w:pPr>
              <w:r>
                <w:rPr>
                  <w:i/>
                  <w:iCs/>
                  <w:color w:val="000000"/>
                  <w:szCs w:val="24"/>
                  <w:lang w:bidi="en-US"/>
                </w:rPr>
                <w:t>Dėl ANK 12 straipsnio</w:t>
              </w:r>
            </w:p>
            <w:p>
              <w:pPr>
                <w:shd w:val="clear" w:color="auto" w:fill="FFFFFF"/>
                <w:spacing w:line="276" w:lineRule="auto"/>
                <w:ind w:firstLine="720"/>
                <w:jc w:val="both"/>
                <w:rPr>
                  <w:color w:val="000000"/>
                  <w:szCs w:val="24"/>
                  <w:lang w:bidi="en-US"/>
                </w:rPr>
              </w:pPr>
              <w:r>
                <w:rPr>
                  <w:color w:val="000000"/>
                  <w:szCs w:val="24"/>
                  <w:lang w:bidi="en-US"/>
                </w:rPr>
                <w:t xml:space="preserve">ANK 246 straipsnio 1 dalyje nustatyta, kad nuotekų išleidimas į aplinką [...] pažeidžiant teisės aktuose nustatytas išleidžiamų teršalų ribines vertes ar kitus nuotekų išleidimo į aplinką reikalavimus, kai pagal teisės aktus leidimas išleisti nuotekas nereikalingas, užtraukia baudą asmenims nuo 60 iki 300 Eur. </w:t>
              </w:r>
            </w:p>
            <w:p>
              <w:pPr>
                <w:shd w:val="clear" w:color="auto" w:fill="FFFFFF"/>
                <w:spacing w:line="276" w:lineRule="auto"/>
                <w:ind w:firstLine="720"/>
                <w:jc w:val="both"/>
                <w:rPr>
                  <w:color w:val="000000"/>
                  <w:szCs w:val="24"/>
                  <w:lang w:bidi="en-US"/>
                </w:rPr>
              </w:pPr>
              <w:r>
                <w:rPr>
                  <w:color w:val="000000"/>
                  <w:szCs w:val="24"/>
                  <w:lang w:bidi="en-US"/>
                </w:rPr>
                <w:t>Šiuo Kodekso projektu siūlomame keisti ANK 12 straipsnyje nustatomos išlygos, kada padaryta mažai pavojinga administracinio nusižengimo požymių turinti veika ir ANK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w:t>
              </w:r>
            </w:p>
            <w:p>
              <w:pPr>
                <w:shd w:val="clear" w:color="auto" w:fill="FFFFFF"/>
                <w:spacing w:line="276" w:lineRule="auto"/>
                <w:ind w:firstLine="720"/>
                <w:jc w:val="both"/>
                <w:rPr>
                  <w:color w:val="000000"/>
                  <w:szCs w:val="24"/>
                  <w:lang w:bidi="en-US"/>
                </w:rPr>
              </w:pPr>
              <w:r>
                <w:rPr>
                  <w:color w:val="000000"/>
                  <w:szCs w:val="24"/>
                  <w:lang w:bidi="en-US"/>
                </w:rPr>
                <w:t>ANK 22 straipsnio 2 dalies 1 punkte apibrėžiama administracinės nuobaudos paskirtis – atgrasyti asmenis nuo administracinių nusižengimų ar nusikalstamų veikų darymo ir paveikti administracinius nusižengimus padariusius asmenis, kad jie laikytųsi įstatymų ir vėl nedarytų administracinių nusižengimų. Manytina, kad, norint pasiekti šį tikslą, pakanka poįstatyminiais teisės aktais reglamentuoti, kad padarius pirmą pažeidimą taikomas žodinis įspėjimas, o nustačius pasikartojimo faktą, kurį būtų galima vertinti kaip piktybišką veikimą, imamasi griežtesnių sankcijų.</w:t>
              </w:r>
            </w:p>
            <w:p>
              <w:pPr>
                <w:shd w:val="clear" w:color="auto" w:fill="FFFFFF"/>
                <w:spacing w:line="276" w:lineRule="auto"/>
                <w:ind w:firstLine="720"/>
                <w:jc w:val="both"/>
                <w:rPr>
                  <w:rFonts w:eastAsia="Andale Sans UI"/>
                  <w:szCs w:val="24"/>
                  <w:lang w:val="lt" w:bidi="en-US"/>
                </w:rPr>
              </w:pPr>
              <w:r>
                <w:rPr>
                  <w:rFonts w:eastAsia="Andale Sans UI"/>
                  <w:szCs w:val="24"/>
                  <w:lang w:val="lt" w:bidi="en-US"/>
                </w:rPr>
                <w:t>Pagal Kodekso projektu siūlomus pakeitimus, kriterijus, kuriais vadovaujantis taikoma atsakomybė už ANK 246 straipsnio 1 dalyje nurodytų mažai pavojingo administracinio nusižengimo požymių turinčias veikas, padarytas individualiai nuotekas besitvarkančių asmenų, tvirtintų kontrolę vykdančios institucijos vadovas vadovaudamasis ANK 12 straipsnio 2 dalimi.</w:t>
              </w:r>
            </w:p>
            <w:p>
              <w:pPr>
                <w:shd w:val="clear" w:color="auto" w:fill="FFFFFF"/>
                <w:spacing w:line="276" w:lineRule="auto"/>
                <w:ind w:firstLine="720"/>
                <w:jc w:val="both"/>
                <w:rPr>
                  <w:i/>
                  <w:iCs/>
                  <w:color w:val="000000"/>
                  <w:szCs w:val="24"/>
                  <w:lang w:bidi="en-US"/>
                </w:rPr>
              </w:pPr>
              <w:r>
                <w:rPr>
                  <w:i/>
                  <w:iCs/>
                  <w:color w:val="000000"/>
                  <w:szCs w:val="24"/>
                  <w:lang w:bidi="en-US"/>
                </w:rPr>
                <w:t>Dėl ANK 589 straipsnio.</w:t>
              </w:r>
            </w:p>
            <w:p>
              <w:pPr>
                <w:shd w:val="clear" w:color="auto" w:fill="FFFFFF"/>
                <w:spacing w:line="276" w:lineRule="auto"/>
                <w:ind w:firstLine="720"/>
                <w:jc w:val="both"/>
                <w:rPr>
                  <w:color w:val="000000"/>
                  <w:szCs w:val="24"/>
                  <w:lang w:bidi="en-US"/>
                </w:rPr>
              </w:pPr>
              <w:r>
                <w:rPr>
                  <w:color w:val="000000"/>
                  <w:szCs w:val="24"/>
                  <w:lang w:bidi="en-US"/>
                </w:rPr>
                <w:t>2022 m. spalio 27 d. priimtas Lietuvos Respublikos geriamojo vandens tiekimo ir nuotekų tvarkymo įstatymo Nr. X-764 pakeitimo įstatymas Nr. XIV-1466. Šiuo pakeitimu savivaldybių vykdomosioms institucijoms pavesta organizuoti patikrą, ar asmenys, individualiai tvarkantys nuotekas, turi apmokėjimą už sukauptų nuotekų transportavimą patvirtinančius dokumentus arba viešąją sutartį su geriamojo vandens tiekėju ar garantiniu vandens tiekėju, arba sutartį su nuotekų transportavimo paslaugas teikiančiu asmeniu arba individualiųjų nuotekų valymo ir (arba) kaupimo įrenginių priežiūrą vykdančiu asmeniu, ar individualiųjų nuotekų valymo įrenginių priežiūra (eksploatacija) vykdoma aplinkos ministro tvirtinamų nuotekų kaupimo rezervuarų ir septikų įrengimo, eksploatavimo ir kontrolės tvarkos apraše ir nuotekų valymo įrenginių taikymo reglamente nustatyta tvarka. Atitinkamai pakeistas ANK 589 straipsnio 82 punktas numatant, kad savivaldybių administracijos taiko atsakomybę už 268 straipsnio 7 ir 8 dalyse numatytus nusižengimus. Tačiau ANK 589 straipsnio 31 punktas nepakeistas, o tai reiškia, kad aplinkos apsaugos valstybinės kontrolės pareigūnai taiko atsakomybę už visame ANK 268 straipsnyje numatytus pažeidimus.</w:t>
              </w:r>
            </w:p>
            <w:p>
              <w:pPr>
                <w:shd w:val="clear" w:color="auto" w:fill="FFFFFF"/>
                <w:spacing w:line="276" w:lineRule="auto"/>
                <w:ind w:firstLine="720"/>
                <w:jc w:val="both"/>
                <w:rPr>
                  <w:color w:val="000000"/>
                  <w:szCs w:val="24"/>
                  <w:lang w:bidi="en-US"/>
                </w:rPr>
              </w:pPr>
              <w:r>
                <w:rPr>
                  <w:color w:val="000000"/>
                  <w:szCs w:val="24"/>
                  <w:lang w:bidi="en-US"/>
                </w:rPr>
                <w:t>2024 m. gegužės 16 d. priimtas Lietuvos Respublikos aplinkos oro apsaugos įstatymo Nr. VIII</w:t>
              </w:r>
              <w:r>
                <w:rPr>
                  <w:rFonts w:eastAsia="Andale Sans UI"/>
                  <w:szCs w:val="24"/>
                  <w:lang w:eastAsia="lt-LT" w:bidi="en-US"/>
                </w:rPr>
                <w:t>˗</w:t>
              </w:r>
              <w:r>
                <w:rPr>
                  <w:color w:val="000000"/>
                  <w:szCs w:val="24"/>
                  <w:lang w:bidi="en-US"/>
                </w:rPr>
                <w:t xml:space="preserve">1329 2, 4, 5, 7, 9, 10, 13 ir 17 straipsnių pakeitimo ir Įstatymo papildymo 51 straipsniu įstatymas Nr. XIV-2661 ir </w:t>
              </w:r>
              <w:r>
                <w:rPr>
                  <w:rFonts w:eastAsia="Andale Sans UI"/>
                  <w:color w:val="000000"/>
                  <w:szCs w:val="24"/>
                  <w:lang w:bidi="en-US"/>
                </w:rPr>
                <w:t xml:space="preserve"> Lietuvos Respublikos administracinių nusižengimų kodekso</w:t>
              </w:r>
              <w:r>
                <w:rPr>
                  <w:color w:val="000000"/>
                  <w:szCs w:val="24"/>
                  <w:lang w:bidi="en-US"/>
                </w:rPr>
                <w:t> 242, 268, 286 ir 589 straipsnių pakeitimo įstatymas Nr. XIV-2662. Pakeisto Aplinkos oro apsaugos įstatymo 10 straipsnio naujoje 8 dalyje nustatyta, kad, esant toje dalyje nustatytoms sąlygoms, savivaldybės taryba turi teisę priimti sprendimą toje savivaldybės teritorijoje apriboti arba uždrausti naudoti vienos ar daugiau rūšių kurą; 13 straipsnio naujoje 6 dalyje nustatytas draudimas toje dalyje nustatytomis aplinkybėmis deginti kietąjį iškastinį kurą; 20 straipsnio 2 dalyje nustatytas draudimas deginti atliekas ne atliekų deginimo įrenginiuose; 4 straipsnio 5 dalyje nustatyta, kad šio įstatymo 10 straipsnio 8 dalyje nurodyto sprendimo savivaldybės teritorijoje apriboti arba uždrausti naudoti vienos ar daugiau rūšių kurą, šio įstatymo 13 straipsnio 6 dalyje nustatyto draudimo deginti kietąjį iškastinį kurą buitiniuose taršos šaltiniuose ir šio įstatymo 20 straipsnio 2 dalyje nustatyto draudimo deginti atliekas buitiniuose taršos šaltiniuose laikymosi kontrolę vykdo savivaldybės administracijos direktoriaus įgalioti savivaldybės administracijos valstybės tarnautojai. Dėl Aplinkos oro apsaugos įstatymo naujos 10 straipsnio 8 dalies ir naujos 13 straipsnio 6 dalies bei veiksmingesnio 20 straipsnio 2 dalies įgyvendinimo ANK 242 straipsnis papildytas naujomis 4 ir 5 dalimis, o 589 straipsnio 82 punkte nustatyta, kad dėl 242 straipsnio 4 ir 5 dalyse numatytų administracinių nusižengimų atsakomybę taiko savivaldybių administracijų pareigūnai. Tačiau ANK 589 straipsnio 31 punktas nepakeistas, o tai reiškia, kad aplinkos apsaugos valstybinės kontrolės pareigūnai taiko atsakomybę už visame 242 straipsnyje numatytus pažeidimus, t. y. ir už tuos, kuriuos nustatyti ir tirti pareiga nustatyta savivaldybėms.</w:t>
              </w:r>
            </w:p>
            <w:p>
              <w:pPr>
                <w:shd w:val="clear" w:color="auto" w:fill="FFFFFF"/>
                <w:spacing w:line="276" w:lineRule="auto"/>
                <w:ind w:firstLine="720"/>
                <w:jc w:val="both"/>
                <w:rPr>
                  <w:color w:val="000000"/>
                  <w:szCs w:val="24"/>
                  <w:lang w:bidi="en-US"/>
                </w:rPr>
              </w:pPr>
              <w:r>
                <w:rPr>
                  <w:color w:val="000000"/>
                  <w:szCs w:val="24"/>
                  <w:lang w:bidi="en-US"/>
                </w:rPr>
                <w:t>Šiuo straipsnio pakeitimu siekiama atkurti teisinį aiškumą ir ANK 589 straipsnio 31 punkte nustatyti, kad aplinkos apsaugos valstybinės kontrolės pareigūnai taiko atsakomybę ne už visus ANK 242 ir 268 straipsniuose numatytus administracinius nusižengimus, o tik už numatytus ANK 242 straipsnio 1, 2 ir 3 dalyse ir ANK 268 straipsnio 1, 2, 3, 4, 5 ir 6 dalyse.</w:t>
              </w:r>
            </w:p>
            <w:p>
              <w:pPr>
                <w:spacing w:line="276" w:lineRule="auto"/>
                <w:ind w:firstLine="567"/>
                <w:jc w:val="both"/>
                <w:rPr>
                  <w:szCs w:val="24"/>
                  <w:lang w:bidi="en-US"/>
                </w:rPr>
              </w:pPr>
              <w:r>
                <w:rPr>
                  <w:rFonts w:eastAsia="Aptos"/>
                  <w:szCs w:val="24"/>
                  <w:lang w:bidi="en-US"/>
                </w:rPr>
                <w:t xml:space="preserve">Įstatymo ir Kodekso projektais </w:t>
              </w:r>
              <w:r>
                <w:rPr>
                  <w:rFonts w:eastAsia="Aptos"/>
                  <w:szCs w:val="24"/>
                  <w:lang w:val="lt" w:bidi="en-US"/>
                </w:rPr>
                <w:t xml:space="preserve">siūloma nustatyti atsakomybę juridiniams ir fiziniams asmenims už </w:t>
              </w:r>
              <w:r>
                <w:rPr>
                  <w:rFonts w:eastAsia="Andale Sans UI"/>
                  <w:color w:val="000000"/>
                  <w:szCs w:val="24"/>
                  <w:lang w:bidi="en-US"/>
                </w:rPr>
                <w:t>Lietuvos Respublikos laukinės gyvūnijos įstatymo 24 straipsnio 6 dalies ir Lietuvos Respublikos laukinių augalų ir grybų įstatymo 13 straipsnio 6 dalies nuostatų nesilaikymą. Atsižvelgiant į tai, ANK </w:t>
              </w:r>
              <w:r>
                <w:rPr>
                  <w:color w:val="000000"/>
                  <w:szCs w:val="24"/>
                  <w:lang w:bidi="en-US"/>
                </w:rPr>
                <w:t>304</w:t>
              </w:r>
              <w:r>
                <w:rPr>
                  <w:szCs w:val="24"/>
                  <w:vertAlign w:val="superscript"/>
                  <w:lang w:bidi="en-US"/>
                </w:rPr>
                <w:t>2</w:t>
              </w:r>
              <w:r>
                <w:rPr>
                  <w:rFonts w:eastAsia="Andale Sans UI"/>
                  <w:color w:val="000000"/>
                  <w:szCs w:val="24"/>
                  <w:lang w:bidi="en-US"/>
                </w:rPr>
                <w:t xml:space="preserve"> straipsnio 1 dalis </w:t>
              </w:r>
              <w:r>
                <w:rPr>
                  <w:rFonts w:eastAsia="Andale Sans UI"/>
                  <w:szCs w:val="24"/>
                  <w:lang w:bidi="en-US"/>
                </w:rPr>
                <w:t xml:space="preserve">ir Įstatymo </w:t>
              </w:r>
              <w:r>
                <w:rPr>
                  <w:szCs w:val="24"/>
                  <w:lang w:val="lt" w:bidi="en-US"/>
                </w:rPr>
                <w:t>122</w:t>
              </w:r>
              <w:r>
                <w:rPr>
                  <w:szCs w:val="24"/>
                  <w:vertAlign w:val="superscript"/>
                  <w:lang w:val="lt" w:bidi="en-US"/>
                </w:rPr>
                <w:t>4</w:t>
              </w:r>
              <w:r>
                <w:rPr>
                  <w:rFonts w:eastAsia="Andale Sans UI"/>
                  <w:szCs w:val="24"/>
                  <w:lang w:bidi="en-US"/>
                </w:rPr>
                <w:t xml:space="preserve"> straipsnio 1 dalis papildomos numatant šiuose straipsniuose atsakomybę už i</w:t>
              </w:r>
              <w:r>
                <w:rPr>
                  <w:szCs w:val="24"/>
                  <w:lang w:bidi="en-US"/>
                </w:rPr>
                <w:t xml:space="preserve">nvazinių rūšių naikinimo, izoliavimo ar gausos reguliavimo priemonių nevykdymą arba vykdymą pažeidžiant invazinių rūšių naudojimą, valdymą, gausos reguliavimą ir plitimo prevenciją reglamentuojančius teisės aktus ar Reglamentą </w:t>
              </w:r>
              <w:fldSimple w:instr="HYPERLINK http://eur-lex.europa.eu/legal-content/LIT/TXT/?uri=CELEX:33143R2014&amp;locale=lt \t _blank">
                <w:r>
                  <w:rPr>
                    <w:szCs w:val="24"/>
                    <w:lang w:bidi="en-US"/>
                    <w:u w:val="single"/>
                    <w:color w:val="0000FF" w:themeColor="hyperlink"/>
                  </w:rPr>
                  <w:t>(ES) 1143/2014</w:t>
                </w:r>
              </w:fldSimple>
              <w:r>
                <w:rPr>
                  <w:szCs w:val="24"/>
                  <w:lang w:bidi="en-US"/>
                </w:rPr>
                <w:t>.</w:t>
              </w:r>
            </w:p>
            <w:p>
              <w:pPr>
                <w:spacing w:line="276" w:lineRule="auto"/>
                <w:ind w:firstLine="567"/>
                <w:jc w:val="both"/>
                <w:rPr>
                  <w:szCs w:val="24"/>
                  <w:lang w:bidi="en-US"/>
                </w:rPr>
              </w:pPr>
            </w:p>
          </w:sdtContent>
        </w:sdt>
        <w:sdt>
          <w:sdtPr>
            <w:alias w:val="3 p."/>
            <w:tag w:val="part_c20521bc9b6f4625a3b46005ba83e2f0"/>
            <w:lock w:val="sdtLocked"/>
            <w:richText/>
          </w:sdtPr>
          <w:sdtContent>
            <w:p>
              <w:pPr>
                <w:spacing w:line="276" w:lineRule="auto"/>
                <w:ind w:firstLine="567"/>
                <w:jc w:val="both"/>
                <w:rPr>
                  <w:rFonts w:eastAsia="Andale Sans UI"/>
                  <w:b/>
                  <w:bCs/>
                  <w:szCs w:val="24"/>
                  <w:lang w:bidi="en-US"/>
                </w:rPr>
              </w:pPr>
              <w:sdt>
                <w:sdtPr>
                  <w:alias w:val="Numeris"/>
                  <w:tag w:val="nr_c20521bc9b6f4625a3b46005ba83e2f0"/>
                  <w:lock w:val="sdtLocked"/>
                  <w:richText/>
                </w:sdtPr>
                <w:sdtContent>
                  <w:r>
                    <w:rPr>
                      <w:rFonts w:eastAsia="Andale Sans UI"/>
                      <w:b/>
                      <w:bCs/>
                      <w:szCs w:val="24"/>
                      <w:lang w:bidi="en-US"/>
                    </w:rPr>
                    <w:t>3</w:t>
                  </w:r>
                </w:sdtContent>
              </w:sdt>
              <w:r>
                <w:rPr>
                  <w:rFonts w:eastAsia="Andale Sans UI"/>
                  <w:b/>
                  <w:bCs/>
                  <w:szCs w:val="24"/>
                  <w:lang w:bidi="en-US"/>
                </w:rPr>
                <w:t>. Pasiūlymų įgyvendinimo mechanizmas, kaštai ir nauda</w:t>
              </w:r>
            </w:p>
            <w:p>
              <w:pPr>
                <w:spacing w:line="276" w:lineRule="auto"/>
                <w:ind w:firstLine="567"/>
                <w:jc w:val="both"/>
                <w:rPr>
                  <w:color w:val="000000"/>
                  <w:szCs w:val="24"/>
                  <w:lang w:bidi="en-US"/>
                </w:rPr>
              </w:pPr>
              <w:r>
                <w:rPr>
                  <w:szCs w:val="24"/>
                  <w:lang w:bidi="en-US"/>
                </w:rPr>
                <w:t xml:space="preserve">Įstatymų projektuose siūloma nustatyti veiksmingas ir proporcingas sankcijas. </w:t>
              </w:r>
            </w:p>
            <w:p>
              <w:pPr>
                <w:spacing w:line="276" w:lineRule="auto"/>
                <w:ind w:firstLine="709"/>
                <w:jc w:val="both"/>
                <w:rPr>
                  <w:i/>
                  <w:szCs w:val="24"/>
                  <w:lang w:bidi="en-US"/>
                </w:rPr>
              </w:pPr>
              <w:r>
                <w:rPr>
                  <w:i/>
                  <w:iCs/>
                  <w:szCs w:val="24"/>
                  <w:lang w:val="lt" w:bidi="en-US"/>
                </w:rPr>
                <w:t xml:space="preserve">Dėl Reglamento </w:t>
              </w:r>
              <w:fldSimple w:instr="HYPERLINK http://eur-lex.europa.eu/legal-content/LIT/TXT/?uri=CELEX:32017R0852&amp;locale=lt \t _blank">
                <w:r>
                  <w:rPr>
                    <w:i/>
                    <w:iCs/>
                    <w:szCs w:val="24"/>
                    <w:lang w:val="lt" w:bidi="en-US"/>
                    <w:u w:val="single"/>
                    <w:color w:val="0000FF" w:themeColor="hyperlink"/>
                  </w:rPr>
                  <w:t>(ES) 2017/852</w:t>
                </w:r>
              </w:fldSimple>
              <w:r>
                <w:rPr>
                  <w:i/>
                  <w:iCs/>
                  <w:szCs w:val="24"/>
                  <w:lang w:val="lt" w:bidi="en-US"/>
                </w:rPr>
                <w:t xml:space="preserve"> ir jį iš dalies pakeičiančio Reglamento </w:t>
              </w:r>
              <w:fldSimple w:instr="HYPERLINK http://eur-lex.europa.eu/legal-content/LIT/TXT/?uri=CELEX:32024R1849&amp;locale=lt \t _blank">
                <w:r>
                  <w:rPr>
                    <w:i/>
                    <w:iCs/>
                    <w:szCs w:val="24"/>
                    <w:lang w:val="lt" w:bidi="en-US"/>
                    <w:u w:val="single"/>
                    <w:color w:val="0000FF" w:themeColor="hyperlink"/>
                  </w:rPr>
                  <w:t>(ES) 2024/1849</w:t>
                </w:r>
              </w:fldSimple>
            </w:p>
            <w:p>
              <w:pPr>
                <w:shd w:val="clear" w:color="auto" w:fill="FFFFFF"/>
                <w:spacing w:line="276" w:lineRule="auto"/>
                <w:ind w:firstLine="567"/>
                <w:jc w:val="both"/>
                <w:rPr>
                  <w:rFonts w:eastAsia="Andale Sans UI"/>
                  <w:szCs w:val="24"/>
                  <w:lang w:bidi="en-US"/>
                </w:rPr>
              </w:pPr>
              <w:r>
                <w:rPr>
                  <w:color w:val="000000"/>
                  <w:szCs w:val="24"/>
                  <w:lang w:bidi="en-US"/>
                </w:rPr>
                <w:t xml:space="preserve">Įstatymo projektais siekiama </w:t>
              </w:r>
              <w:r>
                <w:rPr>
                  <w:szCs w:val="24"/>
                  <w:lang w:val="lt" w:bidi="en-US"/>
                </w:rPr>
                <w:t xml:space="preserve">nustatyti veiksmingas, proporcingas sankcijas už Reglamente </w:t>
              </w:r>
              <w:fldSimple w:instr="HYPERLINK http://eur-lex.europa.eu/legal-content/LIT/TXT/?uri=CELEX:32024R1849&amp;locale=lt \t _blank">
                <w:r>
                  <w:rPr>
                    <w:szCs w:val="24"/>
                    <w:lang w:val="lt" w:bidi="en-US"/>
                    <w:u w:val="single"/>
                    <w:color w:val="0000FF" w:themeColor="hyperlink"/>
                  </w:rPr>
                  <w:t>(ES) 2024/1849</w:t>
                </w:r>
              </w:fldSimple>
              <w:r>
                <w:rPr>
                  <w:szCs w:val="24"/>
                  <w:lang w:val="lt" w:bidi="en-US"/>
                </w:rPr>
                <w:t xml:space="preserve"> nustatytų </w:t>
              </w:r>
              <w:r>
                <w:rPr>
                  <w:rFonts w:eastAsia="Andale Sans UI"/>
                  <w:bCs/>
                  <w:szCs w:val="24"/>
                  <w:lang w:bidi="en-US"/>
                </w:rPr>
                <w:t xml:space="preserve">dantų amalgamos gamybos, importo, eksporto draudimo reikalavimų pažeidimus. </w:t>
              </w:r>
              <w:r>
                <w:rPr>
                  <w:rFonts w:eastAsia="Andale Sans UI"/>
                  <w:szCs w:val="24"/>
                  <w:lang w:bidi="en-US"/>
                </w:rPr>
                <w:t xml:space="preserve">Priėmus Įstatymo ir ANK projektus, bus visiškai įgyvendintos Reglamento </w:t>
              </w:r>
              <w:fldSimple w:instr="HYPERLINK http://eur-lex.europa.eu/legal-content/LIT/TXT/?uri=CELEX:32017R0852&amp;locale=lt \t _blank">
                <w:r>
                  <w:rPr>
                    <w:rFonts w:eastAsia="Andale Sans UI"/>
                    <w:szCs w:val="24"/>
                    <w:lang w:bidi="en-US"/>
                    <w:u w:val="single"/>
                    <w:color w:val="0000FF" w:themeColor="hyperlink"/>
                  </w:rPr>
                  <w:t>(ES) 2017/852</w:t>
                </w:r>
              </w:fldSimple>
              <w:r>
                <w:rPr>
                  <w:rFonts w:eastAsia="Andale Sans UI"/>
                  <w:szCs w:val="24"/>
                  <w:lang w:bidi="en-US"/>
                </w:rPr>
                <w:t xml:space="preserve"> 16 straipsnio nuostatos dėl sankcijų už šio reglamento pažeidimus taikant ekonomines sankcijas (baudas) juridiniams ir fiziniams asmenims. </w:t>
              </w:r>
            </w:p>
            <w:p>
              <w:pPr>
                <w:spacing w:line="276" w:lineRule="auto"/>
                <w:ind w:firstLine="567"/>
                <w:jc w:val="both"/>
                <w:rPr>
                  <w:color w:val="000000"/>
                  <w:szCs w:val="24"/>
                  <w:lang w:bidi="en-US"/>
                </w:rPr>
              </w:pPr>
              <w:r>
                <w:rPr>
                  <w:rFonts w:eastAsia="Andale Sans UI"/>
                  <w:szCs w:val="24"/>
                  <w:lang w:bidi="en-US"/>
                </w:rPr>
                <w:t xml:space="preserve">Priėmus Įstatymų projektus, susijusius su Reglamento </w:t>
              </w:r>
              <w:fldSimple w:instr="HYPERLINK http://eur-lex.europa.eu/legal-content/LIT/TXT/?uri=CELEX:32017R0852&amp;locale=lt \t _blank">
                <w:r>
                  <w:rPr>
                    <w:rFonts w:eastAsia="Andale Sans UI"/>
                    <w:szCs w:val="24"/>
                    <w:lang w:bidi="en-US"/>
                    <w:u w:val="single"/>
                    <w:color w:val="0000FF" w:themeColor="hyperlink"/>
                  </w:rPr>
                  <w:t>(ES) 2017/852</w:t>
                </w:r>
              </w:fldSimple>
              <w:r>
                <w:rPr>
                  <w:rFonts w:eastAsia="Andale Sans UI"/>
                  <w:szCs w:val="24"/>
                  <w:lang w:bidi="en-US"/>
                </w:rPr>
                <w:t xml:space="preserve"> ir jo paskutinio pakeitimo Reglamentu </w:t>
              </w:r>
              <w:fldSimple w:instr="HYPERLINK http://eur-lex.europa.eu/legal-content/LIT/TXT/?uri=CELEX:32024R1849&amp;locale=lt \t _blank">
                <w:r>
                  <w:rPr>
                    <w:rFonts w:eastAsia="Andale Sans UI"/>
                    <w:szCs w:val="24"/>
                    <w:lang w:bidi="en-US"/>
                    <w:u w:val="single"/>
                    <w:color w:val="0000FF" w:themeColor="hyperlink"/>
                  </w:rPr>
                  <w:t>(ES) 2024/1849</w:t>
                </w:r>
              </w:fldSimple>
              <w:r>
                <w:rPr>
                  <w:rFonts w:eastAsia="Andale Sans UI"/>
                  <w:szCs w:val="24"/>
                  <w:lang w:bidi="en-US"/>
                </w:rPr>
                <w:t xml:space="preserve"> nuostatų įgyvendinimu, sumažės administracinė našta verslo subjektams </w:t>
              </w:r>
              <w:r>
                <w:rPr>
                  <w:rFonts w:eastAsia="Andale Sans UI"/>
                  <w:color w:val="000000"/>
                  <w:szCs w:val="24"/>
                  <w:lang w:bidi="en-US"/>
                </w:rPr>
                <w:t>–</w:t>
              </w:r>
              <w:r>
                <w:rPr>
                  <w:rFonts w:eastAsia="Andale Sans UI"/>
                  <w:szCs w:val="24"/>
                  <w:lang w:bidi="en-US"/>
                </w:rPr>
                <w:t xml:space="preserve"> odontologijos įstaigoms, bus efektyvesnė reikalavimų odontologinės priežiūros (pagalbos) įstaigose įrengti amalgamos separatorius priežiūra, nes, perskirsčius priežiūrą vykdančių institucijų funkcijas, nesidubliuotų patikrinimai, odontologinės priežiūros (pagalbos) įstaigas tikrintų specialių medicinos ir visuomenės sveikatos žinių turintys pareigūnai. NVSC būtų maža pridėtinė našta, nes ši institucija </w:t>
              </w:r>
              <w:r>
                <w:rPr>
                  <w:rFonts w:eastAsia="Andale Sans UI"/>
                  <w:bCs/>
                  <w:szCs w:val="24"/>
                  <w:lang w:bidi="en-US"/>
                </w:rPr>
                <w:t>vykdo odontologinės priežiūros (pagalbos) paslaugas teikiančių įstaigų veiklos priežiūrą</w:t>
              </w:r>
              <w:r>
                <w:rPr>
                  <w:rFonts w:eastAsia="Andale Sans UI"/>
                  <w:szCs w:val="24"/>
                  <w:lang w:bidi="en-US"/>
                </w:rPr>
                <w:t>.</w:t>
              </w:r>
            </w:p>
            <w:p>
              <w:pPr>
                <w:spacing w:line="276" w:lineRule="auto"/>
                <w:ind w:firstLine="567"/>
                <w:jc w:val="both"/>
                <w:rPr>
                  <w:i/>
                  <w:iCs/>
                  <w:szCs w:val="24"/>
                  <w:lang w:val="lt" w:bidi="en-US"/>
                </w:rPr>
              </w:pPr>
              <w:r>
                <w:rPr>
                  <w:i/>
                  <w:iCs/>
                  <w:szCs w:val="24"/>
                  <w:lang w:bidi="en-US"/>
                </w:rPr>
                <w:t xml:space="preserve">Dėl Reglamento </w:t>
              </w:r>
              <w:fldSimple w:instr="HYPERLINK http://eur-lex.europa.eu/legal-content/LIT/TXT/?uri=CELEX:32024R1157&amp;locale=lt \t _blank">
                <w:r>
                  <w:rPr>
                    <w:i/>
                    <w:iCs/>
                    <w:szCs w:val="24"/>
                    <w:lang w:bidi="en-US"/>
                    <w:u w:val="single"/>
                    <w:color w:val="0000FF" w:themeColor="hyperlink"/>
                  </w:rPr>
                  <w:t xml:space="preserve">(ES) </w:t>
                </w:r>
                <w:r>
                  <w:rPr>
                    <w:i/>
                    <w:iCs/>
                    <w:szCs w:val="24"/>
                    <w:lang w:val="lt" w:bidi="en-US"/>
                    <w:u w:val="single"/>
                    <w:color w:val="0000FF" w:themeColor="hyperlink"/>
                  </w:rPr>
                  <w:t>2024/1157</w:t>
                </w:r>
              </w:fldSimple>
            </w:p>
            <w:p>
              <w:pPr>
                <w:spacing w:line="276" w:lineRule="auto"/>
                <w:ind w:firstLine="567"/>
                <w:jc w:val="both"/>
                <w:rPr>
                  <w:szCs w:val="24"/>
                  <w:highlight w:val="yellow"/>
                  <w:lang w:bidi="en-US"/>
                </w:rPr>
              </w:pPr>
              <w:r>
                <w:rPr>
                  <w:szCs w:val="24"/>
                  <w:lang w:bidi="en-US"/>
                </w:rPr>
                <w:t xml:space="preserve">Įstatymų projektais siekiama numatyti sankcijas, kuriomis būtų įgyvendinti Reglamento </w:t>
              </w:r>
              <w:fldSimple w:instr="HYPERLINK http://eur-lex.europa.eu/legal-content/LIT/TXT/?uri=CELEX:32024R1157&amp;locale=lt \t _blank">
                <w:r>
                  <w:rPr>
                    <w:szCs w:val="24"/>
                    <w:lang w:bidi="en-US"/>
                    <w:u w:val="single"/>
                    <w:color w:val="0000FF" w:themeColor="hyperlink"/>
                  </w:rPr>
                  <w:t>(ES) </w:t>
                </w:r>
                <w:r>
                  <w:rPr>
                    <w:szCs w:val="24"/>
                    <w:lang w:val="lt" w:bidi="en-US"/>
                    <w:u w:val="single"/>
                    <w:color w:val="0000FF" w:themeColor="hyperlink"/>
                  </w:rPr>
                  <w:t>2024/1157</w:t>
                </w:r>
              </w:fldSimple>
              <w:r>
                <w:rPr>
                  <w:szCs w:val="24"/>
                  <w:lang w:val="lt" w:bidi="en-US"/>
                </w:rPr>
                <w:t xml:space="preserve"> reikalavimai ir </w:t>
              </w:r>
              <w:r>
                <w:rPr>
                  <w:szCs w:val="24"/>
                  <w:lang w:bidi="en-US"/>
                </w:rPr>
                <w:t xml:space="preserve">sukurtas atgrasomasis poveikis atliekų tarpvalstybiniams vežimams nesilaikant Reglamento </w:t>
              </w:r>
              <w:fldSimple w:instr="HYPERLINK http://eur-lex.europa.eu/legal-content/LIT/TXT/?uri=CELEX:32024R1157&amp;locale=lt \t _blank">
                <w:r>
                  <w:rPr>
                    <w:szCs w:val="24"/>
                    <w:lang w:bidi="en-US"/>
                    <w:u w:val="single"/>
                    <w:color w:val="0000FF" w:themeColor="hyperlink"/>
                  </w:rPr>
                  <w:t xml:space="preserve">(ES) </w:t>
                </w:r>
                <w:r>
                  <w:rPr>
                    <w:szCs w:val="24"/>
                    <w:lang w:val="lt" w:bidi="en-US"/>
                    <w:u w:val="single"/>
                    <w:color w:val="0000FF" w:themeColor="hyperlink"/>
                  </w:rPr>
                  <w:t>2024/1157</w:t>
                </w:r>
              </w:fldSimple>
              <w:r>
                <w:rPr>
                  <w:szCs w:val="24"/>
                  <w:lang w:val="lt" w:bidi="en-US"/>
                </w:rPr>
                <w:t xml:space="preserve"> reikalavimų.</w:t>
              </w:r>
            </w:p>
            <w:p>
              <w:pPr>
                <w:spacing w:line="276" w:lineRule="auto"/>
                <w:ind w:firstLine="567"/>
                <w:jc w:val="both"/>
                <w:rPr>
                  <w:szCs w:val="24"/>
                  <w:lang w:bidi="en-US"/>
                </w:rPr>
              </w:pPr>
              <w:r>
                <w:rPr>
                  <w:szCs w:val="24"/>
                  <w:lang w:val="lt" w:bidi="en-US"/>
                </w:rPr>
                <w:t>Priėmus šiuos Įstatymų projektų pakeitimus, bus įgyvendinti Europos Sąjungos teisės aktų reikalavimai, nustatytos veiksmingos, proporcingos ir atgrasomos sankcijos – sumažės pažeidimų, darančių neigiamą poveikį aplinkai. Nustačius veiksmingas baudas, pareigūnų vykdoma kontrolė duos laukiamų rezultatų (tikslų) aplinkos apsaugos srityse.</w:t>
              </w:r>
            </w:p>
            <w:p>
              <w:pPr>
                <w:spacing w:line="276" w:lineRule="auto"/>
                <w:ind w:firstLine="567"/>
                <w:jc w:val="both"/>
                <w:rPr>
                  <w:i/>
                  <w:szCs w:val="24"/>
                  <w:lang w:val="lt" w:bidi="en-US"/>
                </w:rPr>
              </w:pPr>
              <w:r>
                <w:rPr>
                  <w:i/>
                  <w:szCs w:val="24"/>
                  <w:lang w:val="lt" w:bidi="en-US"/>
                </w:rPr>
                <w:t xml:space="preserve">Dėl Reglamento </w:t>
              </w:r>
              <w:fldSimple w:instr="HYPERLINK http://eur-lex.europa.eu/legal-content/LIT/TXT/?uri=CELEX:32590R2024&amp;locale=lt \t _blank">
                <w:r>
                  <w:rPr>
                    <w:i/>
                    <w:szCs w:val="24"/>
                    <w:lang w:val="lt" w:bidi="en-US"/>
                    <w:u w:val="single"/>
                    <w:color w:val="0000FF" w:themeColor="hyperlink"/>
                  </w:rPr>
                  <w:t>(ES) Nr. 2024/590</w:t>
                </w:r>
              </w:fldSimple>
            </w:p>
            <w:p>
              <w:pPr>
                <w:spacing w:line="276" w:lineRule="auto"/>
                <w:ind w:firstLine="567"/>
                <w:jc w:val="both"/>
                <w:rPr>
                  <w:i/>
                  <w:iCs/>
                  <w:szCs w:val="24"/>
                  <w:lang w:val="lt" w:bidi="en-US"/>
                </w:rPr>
              </w:pPr>
              <w:r>
                <w:rPr>
                  <w:szCs w:val="24"/>
                  <w:lang w:val="lt" w:bidi="en-US"/>
                </w:rPr>
                <w:t xml:space="preserve">AAĮ 110 straipsnio ir ANK 310 straipsnio pakeitimai siūlomi siekiant nustatyti veiksmingas, proporcingas ir atgrasomas sankcijas už netinkamą ozono sluoksnį ardančių medžiagų, produktų ir įrangos, kuriuose yra šių medžiagų ar kurių veikimas nuo jų priklauso, tvarkymą  įgyvendinant Reglamento </w:t>
              </w:r>
              <w:fldSimple w:instr="HYPERLINK http://eur-lex.europa.eu/legal-content/LIT/TXT/?uri=CELEX:32024R0590&amp;locale=lt \t _blank">
                <w:r>
                  <w:rPr>
                    <w:szCs w:val="24"/>
                    <w:lang w:val="lt" w:bidi="en-US"/>
                    <w:u w:val="single"/>
                    <w:color w:val="0000FF" w:themeColor="hyperlink"/>
                  </w:rPr>
                  <w:t>(ES) 2024/590</w:t>
                </w:r>
              </w:fldSimple>
              <w:r>
                <w:rPr>
                  <w:szCs w:val="24"/>
                  <w:lang w:val="lt" w:bidi="en-US"/>
                </w:rPr>
                <w:t xml:space="preserve"> nuostatas</w:t>
              </w:r>
              <w:r>
                <w:rPr>
                  <w:color w:val="000000"/>
                  <w:szCs w:val="24"/>
                  <w:lang w:val="lt" w:bidi="en-US"/>
                </w:rPr>
                <w:t xml:space="preserve"> dėl atsakomybės taikymo už jame nustatytų reikalavimų pažeidimus.</w:t>
              </w:r>
              <w:r>
                <w:rPr>
                  <w:szCs w:val="24"/>
                  <w:lang w:val="lt" w:bidi="en-US"/>
                </w:rPr>
                <w:t xml:space="preserve"> </w:t>
              </w:r>
            </w:p>
            <w:p>
              <w:pPr>
                <w:spacing w:line="276" w:lineRule="auto"/>
                <w:ind w:firstLine="567"/>
                <w:jc w:val="both"/>
                <w:rPr>
                  <w:i/>
                  <w:iCs/>
                  <w:szCs w:val="24"/>
                  <w:lang w:val="lt" w:bidi="en-US"/>
                </w:rPr>
              </w:pPr>
              <w:r>
                <w:rPr>
                  <w:i/>
                  <w:iCs/>
                  <w:szCs w:val="24"/>
                  <w:lang w:val="lt" w:bidi="en-US"/>
                </w:rPr>
                <w:t xml:space="preserve">Dėl Reglamento </w:t>
              </w:r>
              <w:fldSimple w:instr="HYPERLINK http://eur-lex.europa.eu/legal-content/LIT/TXT/?uri=CELEX:32023R1115&amp;locale=lt \t _blank">
                <w:r>
                  <w:rPr>
                    <w:i/>
                    <w:iCs/>
                    <w:szCs w:val="24"/>
                    <w:lang w:val="lt" w:bidi="en-US"/>
                    <w:u w:val="single"/>
                    <w:color w:val="0000FF" w:themeColor="hyperlink"/>
                  </w:rPr>
                  <w:t>(ES) 2023/1115</w:t>
                </w:r>
              </w:fldSimple>
            </w:p>
            <w:p>
              <w:pPr>
                <w:spacing w:line="276" w:lineRule="auto"/>
                <w:ind w:firstLine="567"/>
                <w:jc w:val="both"/>
                <w:rPr>
                  <w:szCs w:val="24"/>
                  <w:lang w:val="lt" w:bidi="en-US"/>
                </w:rPr>
              </w:pPr>
              <w:r>
                <w:rPr>
                  <w:szCs w:val="24"/>
                  <w:lang w:val="lt" w:bidi="en-US"/>
                </w:rPr>
                <w:t xml:space="preserve">Siekiant prisidėti prie pasaulinės miškų naikinimo ir alinimo problemos, siūlomos sankcijos būtų skiriamos veiklos vykdytojams ar prekiautojams, pažeidžiantiems Reglamente </w:t>
              </w:r>
              <w:fldSimple w:instr="HYPERLINK http://eur-lex.europa.eu/legal-content/LIT/TXT/?uri=CELEX:32023R1115&amp;locale=lt \t _blank">
                <w:r>
                  <w:rPr>
                    <w:szCs w:val="24"/>
                    <w:lang w:val="lt" w:bidi="en-US"/>
                    <w:u w:val="single"/>
                    <w:color w:val="0000FF" w:themeColor="hyperlink"/>
                  </w:rPr>
                  <w:t>(ES) 2023/1115</w:t>
                </w:r>
              </w:fldSimple>
              <w:r>
                <w:rPr>
                  <w:szCs w:val="24"/>
                  <w:lang w:val="lt" w:bidi="en-US"/>
                </w:rPr>
                <w:t xml:space="preserve"> nustatytus reikalavimus, sukurtų atgrasomąjį poveikį, kad atitinkamos biržos prekės ir atitinkami produktai, nurodyti Reglamento </w:t>
              </w:r>
              <w:fldSimple w:instr="HYPERLINK http://eur-lex.europa.eu/legal-content/LIT/TXT/?uri=CELEX:32023R1115&amp;locale=lt \t _blank">
                <w:r>
                  <w:rPr>
                    <w:szCs w:val="24"/>
                    <w:lang w:val="lt" w:bidi="en-US"/>
                    <w:u w:val="single"/>
                    <w:color w:val="0000FF" w:themeColor="hyperlink"/>
                  </w:rPr>
                  <w:t>(ES) 2023/1115</w:t>
                </w:r>
              </w:fldSimple>
              <w:r>
                <w:rPr>
                  <w:szCs w:val="24"/>
                  <w:lang w:val="lt" w:bidi="en-US"/>
                </w:rPr>
                <w:t xml:space="preserve"> I priede, nebūtų susiję su miškų naikinimu.</w:t>
              </w:r>
            </w:p>
            <w:p>
              <w:pPr>
                <w:shd w:val="clear" w:color="auto" w:fill="FFFFFF"/>
                <w:spacing w:line="276" w:lineRule="auto"/>
                <w:ind w:firstLine="567"/>
                <w:jc w:val="both"/>
                <w:rPr>
                  <w:i/>
                  <w:iCs/>
                  <w:szCs w:val="24"/>
                  <w:lang w:val="lt" w:bidi="en-US"/>
                </w:rPr>
              </w:pPr>
              <w:r>
                <w:rPr>
                  <w:i/>
                  <w:iCs/>
                  <w:szCs w:val="24"/>
                  <w:lang w:val="lt" w:bidi="en-US"/>
                </w:rPr>
                <w:t xml:space="preserve">Dėl Reglamento </w:t>
              </w:r>
              <w:fldSimple w:instr="HYPERLINK http://eur-lex.europa.eu/legal-content/LIT/TXT/?uri=CELEX:32023R0956&amp;locale=lt \t _blank">
                <w:r>
                  <w:rPr>
                    <w:i/>
                    <w:iCs/>
                    <w:szCs w:val="24"/>
                    <w:lang w:val="lt" w:bidi="en-US"/>
                    <w:u w:val="single"/>
                    <w:color w:val="0000FF" w:themeColor="hyperlink"/>
                  </w:rPr>
                  <w:t>(ES) 2023/956</w:t>
                </w:r>
              </w:fldSimple>
              <w:r>
                <w:rPr>
                  <w:i/>
                  <w:iCs/>
                  <w:szCs w:val="24"/>
                  <w:lang w:val="lt" w:bidi="en-US"/>
                </w:rPr>
                <w:t xml:space="preserve"> </w:t>
              </w:r>
            </w:p>
            <w:p>
              <w:pPr>
                <w:shd w:val="clear" w:color="auto" w:fill="FFFFFF"/>
                <w:spacing w:line="276" w:lineRule="auto"/>
                <w:ind w:firstLine="567"/>
                <w:jc w:val="both"/>
                <w:rPr>
                  <w:szCs w:val="24"/>
                  <w:lang w:val="lt" w:bidi="en-US"/>
                </w:rPr>
              </w:pPr>
              <w:r>
                <w:rPr>
                  <w:szCs w:val="24"/>
                  <w:lang w:val="lt" w:bidi="en-US"/>
                </w:rPr>
                <w:t>Papildyti AAĮ 110</w:t>
              </w:r>
              <w:r>
                <w:rPr>
                  <w:szCs w:val="24"/>
                  <w:vertAlign w:val="superscript"/>
                  <w:lang w:val="lt" w:bidi="en-US"/>
                </w:rPr>
                <w:t>2</w:t>
              </w:r>
              <w:r>
                <w:rPr>
                  <w:szCs w:val="24"/>
                  <w:lang w:val="lt" w:bidi="en-US"/>
                </w:rPr>
                <w:t>, 110</w:t>
              </w:r>
              <w:r>
                <w:rPr>
                  <w:szCs w:val="24"/>
                  <w:vertAlign w:val="superscript"/>
                  <w:lang w:val="lt" w:bidi="en-US"/>
                </w:rPr>
                <w:t xml:space="preserve">3 </w:t>
              </w:r>
              <w:r>
                <w:rPr>
                  <w:szCs w:val="24"/>
                  <w:lang w:val="lt" w:bidi="en-US"/>
                </w:rPr>
                <w:t>straipsniais, pakeisti ANK 243</w:t>
              </w:r>
              <w:r>
                <w:rPr>
                  <w:szCs w:val="24"/>
                  <w:vertAlign w:val="superscript"/>
                  <w:lang w:val="lt" w:bidi="en-US"/>
                </w:rPr>
                <w:t>1</w:t>
              </w:r>
              <w:r>
                <w:rPr>
                  <w:szCs w:val="24"/>
                  <w:lang w:val="lt" w:bidi="en-US"/>
                </w:rPr>
                <w:t xml:space="preserve"> straipsnį ir papildyti 243</w:t>
              </w:r>
              <w:r>
                <w:rPr>
                  <w:szCs w:val="24"/>
                  <w:vertAlign w:val="superscript"/>
                  <w:lang w:val="lt" w:bidi="en-US"/>
                </w:rPr>
                <w:t>2</w:t>
              </w:r>
              <w:r>
                <w:rPr>
                  <w:szCs w:val="24"/>
                  <w:lang w:val="lt" w:bidi="en-US"/>
                </w:rPr>
                <w:t xml:space="preserve"> straipsniu siūloma siekiant įgyvendinti Reglamento </w:t>
              </w:r>
              <w:fldSimple w:instr="HYPERLINK http://eur-lex.europa.eu/legal-content/LIT/TXT/?uri=CELEX:32023R0956&amp;locale=lt \t _blank">
                <w:r>
                  <w:rPr>
                    <w:szCs w:val="24"/>
                    <w:lang w:val="lt" w:bidi="en-US"/>
                    <w:u w:val="single"/>
                    <w:color w:val="0000FF" w:themeColor="hyperlink"/>
                  </w:rPr>
                  <w:t>(ES) 2023/956</w:t>
                </w:r>
              </w:fldSimple>
              <w:r>
                <w:rPr>
                  <w:szCs w:val="24"/>
                  <w:lang w:val="lt" w:bidi="en-US"/>
                </w:rPr>
                <w:t xml:space="preserve"> 35 ir 26 straipsnio reikalavimus bei sankcijas PADKM ataskaitų ir (ar) deklaracijų teikimo, PADKM prekių įvežimo ir sertifikatų atsisakymo reikalavimų laikymuisi užtikrinti. Sankcijų įtraukimas į įstatymų projektus padės užtikrinti efektyvesnę kontrolę nustatant aiškias atsakomybes ir atgrasančias priemones už reglamento pažeidimus, sumažinti anglies dioksido nutekėjimo riziką ateityje, įgyvendinti ambicingus klimato politikos tikslus, užtikrins sąžiningesnę ES ir trečiųjų šalių gamintojų konkurenciją. Aiškus reguliavimas ne tik sumažins interpretavimo klaidas, bet ir sustiprins teisinį tikrumą, palengvins reglamento praktinį taikymą, užtikrins sklandų jo vykdymą.</w:t>
              </w:r>
            </w:p>
            <w:p>
              <w:pPr>
                <w:shd w:val="clear" w:color="auto" w:fill="FFFFFF"/>
                <w:spacing w:line="276" w:lineRule="auto"/>
                <w:ind w:firstLine="567"/>
                <w:jc w:val="both"/>
                <w:rPr>
                  <w:i/>
                  <w:iCs/>
                  <w:szCs w:val="24"/>
                  <w:lang w:val="lt" w:bidi="en-US"/>
                </w:rPr>
              </w:pPr>
              <w:r>
                <w:rPr>
                  <w:i/>
                  <w:iCs/>
                  <w:szCs w:val="24"/>
                  <w:lang w:val="lt" w:bidi="en-US"/>
                </w:rPr>
                <w:t xml:space="preserve">Dėl Reglamento </w:t>
              </w:r>
              <w:fldSimple w:instr="HYPERLINK http://eur-lex.europa.eu/legal-content/LIT/TXT/?uri=CELEX:32023R1805&amp;locale=lt \t _blank">
                <w:r>
                  <w:rPr>
                    <w:i/>
                    <w:iCs/>
                    <w:szCs w:val="24"/>
                    <w:lang w:val="lt" w:bidi="en-US"/>
                    <w:u w:val="single"/>
                    <w:color w:val="0000FF" w:themeColor="hyperlink"/>
                  </w:rPr>
                  <w:t>(ES) 2023/1805</w:t>
                </w:r>
              </w:fldSimple>
            </w:p>
            <w:p>
              <w:pPr>
                <w:shd w:val="clear" w:color="auto" w:fill="FFFFFF"/>
                <w:spacing w:line="276" w:lineRule="auto"/>
                <w:ind w:firstLine="567"/>
                <w:jc w:val="both"/>
                <w:rPr>
                  <w:szCs w:val="24"/>
                  <w:lang w:val="lt" w:bidi="en-US"/>
                </w:rPr>
              </w:pPr>
              <w:r>
                <w:rPr>
                  <w:szCs w:val="24"/>
                  <w:lang w:val="lt" w:bidi="en-US"/>
                </w:rPr>
                <w:t>Papildyti AAĮ 110</w:t>
              </w:r>
              <w:r>
                <w:rPr>
                  <w:szCs w:val="24"/>
                  <w:vertAlign w:val="superscript"/>
                  <w:lang w:val="lt" w:bidi="en-US"/>
                </w:rPr>
                <w:t>3</w:t>
              </w:r>
              <w:r>
                <w:rPr>
                  <w:szCs w:val="24"/>
                  <w:lang w:val="lt" w:bidi="en-US"/>
                </w:rPr>
                <w:t xml:space="preserve"> straipsniu siūloma siekiant nustatyti juridinių asmenų atsakomybę už laivybos bendrovei priklausančiame laive sunaudojamai energijai tenkančios šiltnamio efektą sukeliančių dujų taršos vidutinės metinės ribos reikalavimų pažeidimus ir galiojančio „FuelEU“ atitikties patvirtinimo dokumento neturėjimą pagal Reglamento </w:t>
              </w:r>
              <w:fldSimple w:instr="HYPERLINK http://eur-lex.europa.eu/legal-content/LIT/TXT/?uri=CELEX:32023R1805&amp;locale=lt \t _blank">
                <w:r>
                  <w:rPr>
                    <w:szCs w:val="24"/>
                    <w:lang w:val="lt" w:bidi="en-US"/>
                    <w:u w:val="single"/>
                    <w:color w:val="0000FF" w:themeColor="hyperlink"/>
                  </w:rPr>
                  <w:t>(ES) 2023/1805</w:t>
                </w:r>
              </w:fldSimple>
              <w:r>
                <w:rPr>
                  <w:szCs w:val="24"/>
                  <w:lang w:val="lt" w:bidi="en-US"/>
                </w:rPr>
                <w:t xml:space="preserve"> 4, 23–25 straipsnių nuostatas. Įtraukus sankcijas, bus nustatytos aiškios atsakomybės ir atgrasančios priemonės už reglamento pažeidimus, ateityje bus prisidedama prie alternatyvių kuro rūšių vartojimo skatinimo ir išmetamo šiltnamio efektą sukeliančių dujų kiekio mažinimo laivybos sektoriuje.</w:t>
              </w:r>
            </w:p>
            <w:p>
              <w:pPr>
                <w:shd w:val="clear" w:color="auto" w:fill="FFFFFF"/>
                <w:spacing w:line="276" w:lineRule="auto"/>
                <w:ind w:firstLine="567"/>
                <w:jc w:val="both"/>
                <w:rPr>
                  <w:i/>
                  <w:iCs/>
                  <w:szCs w:val="24"/>
                  <w:lang w:val="lt" w:bidi="en-US"/>
                </w:rPr>
              </w:pPr>
              <w:r>
                <w:rPr>
                  <w:i/>
                  <w:iCs/>
                  <w:szCs w:val="24"/>
                  <w:lang w:val="lt" w:bidi="en-US"/>
                </w:rPr>
                <w:t>Dėl ANK 12 straipsnio pakeitimo</w:t>
              </w:r>
            </w:p>
            <w:p>
              <w:pPr>
                <w:shd w:val="clear" w:color="auto" w:fill="FFFFFF"/>
                <w:spacing w:line="276" w:lineRule="auto"/>
                <w:ind w:firstLine="567"/>
                <w:jc w:val="both"/>
                <w:rPr>
                  <w:szCs w:val="24"/>
                  <w:lang w:val="lt" w:bidi="en-US"/>
                </w:rPr>
              </w:pPr>
              <w:r>
                <w:rPr>
                  <w:szCs w:val="24"/>
                  <w:lang w:val="lt" w:bidi="en-US"/>
                </w:rPr>
                <w:t xml:space="preserve">Siūlomais pakeitimais bus prisidedama optimizuojant valstybinę aplinkos apsaugos kontrolę vykdančios institucijos veiklą, vykdant individualiai nuotekas tvarkančių asmenų kontrolę. </w:t>
              </w:r>
            </w:p>
            <w:p>
              <w:pPr>
                <w:shd w:val="clear" w:color="auto" w:fill="FFFFFF"/>
                <w:spacing w:line="276" w:lineRule="auto"/>
                <w:ind w:firstLine="567"/>
                <w:jc w:val="both"/>
                <w:rPr>
                  <w:i/>
                  <w:iCs/>
                  <w:szCs w:val="24"/>
                  <w:lang w:val="lt" w:bidi="en-US"/>
                </w:rPr>
              </w:pPr>
              <w:r>
                <w:rPr>
                  <w:i/>
                  <w:iCs/>
                  <w:szCs w:val="24"/>
                  <w:lang w:val="lt" w:bidi="en-US"/>
                </w:rPr>
                <w:t>Dėl ANK 589 straipsnio pakeitimo</w:t>
              </w:r>
            </w:p>
            <w:p>
              <w:pPr>
                <w:shd w:val="clear" w:color="auto" w:fill="FFFFFF"/>
                <w:spacing w:line="276" w:lineRule="auto"/>
                <w:ind w:firstLine="567"/>
                <w:jc w:val="both"/>
                <w:rPr>
                  <w:szCs w:val="24"/>
                  <w:lang w:val="lt" w:bidi="en-US"/>
                </w:rPr>
              </w:pPr>
              <w:r>
                <w:rPr>
                  <w:szCs w:val="24"/>
                  <w:lang w:val="lt" w:bidi="en-US"/>
                </w:rPr>
                <w:t>Siekiama užtikrinti atitiktį įstatyminiam reguliavimui ir išvengti funkcijų dubliavimosi tarp valstybės ir savivaldybių institucijų.</w:t>
              </w:r>
            </w:p>
          </w:sdtContent>
        </w:sdt>
        <w:sdt>
          <w:sdtPr>
            <w:alias w:val="4 p."/>
            <w:tag w:val="part_bfda8f225fde47b99e83cb961b53bfc8"/>
            <w:lock w:val="sdtLocked"/>
            <w:richText/>
          </w:sdtPr>
          <w:sdtContent>
            <w:p>
              <w:pPr>
                <w:spacing w:line="276" w:lineRule="auto"/>
                <w:ind w:firstLine="567"/>
                <w:jc w:val="both"/>
                <w:textAlignment w:val="center"/>
                <w:rPr>
                  <w:rFonts w:eastAsia="Andale Sans UI"/>
                  <w:b/>
                  <w:bCs/>
                  <w:szCs w:val="24"/>
                  <w:lang w:bidi="en-US"/>
                </w:rPr>
              </w:pPr>
              <w:sdt>
                <w:sdtPr>
                  <w:alias w:val="Numeris"/>
                  <w:tag w:val="nr_bfda8f225fde47b99e83cb961b53bfc8"/>
                  <w:lock w:val="sdtLocked"/>
                  <w:richText/>
                </w:sdtPr>
                <w:sdtContent>
                  <w:r>
                    <w:rPr>
                      <w:rFonts w:eastAsia="Andale Sans UI"/>
                      <w:b/>
                      <w:bCs/>
                      <w:szCs w:val="24"/>
                      <w:lang w:bidi="en-US"/>
                    </w:rPr>
                    <w:t>4</w:t>
                  </w:r>
                </w:sdtContent>
              </w:sdt>
              <w:r>
                <w:rPr>
                  <w:rFonts w:eastAsia="Andale Sans UI"/>
                  <w:b/>
                  <w:bCs/>
                  <w:szCs w:val="24"/>
                  <w:lang w:bidi="en-US"/>
                </w:rPr>
                <w:t>. Rodikliai, kurie bus stebimi</w:t>
              </w:r>
            </w:p>
            <w:p>
              <w:pPr>
                <w:spacing w:line="276" w:lineRule="auto"/>
                <w:ind w:firstLine="567"/>
                <w:jc w:val="both"/>
                <w:textAlignment w:val="center"/>
                <w:rPr>
                  <w:rFonts w:eastAsia="Andale Sans UI"/>
                  <w:szCs w:val="24"/>
                  <w:lang w:bidi="en-US"/>
                </w:rPr>
              </w:pPr>
              <w:r>
                <w:rPr>
                  <w:rFonts w:eastAsia="Andale Sans UI"/>
                  <w:szCs w:val="24"/>
                  <w:lang w:bidi="en-US"/>
                </w:rPr>
                <w:t>Nenumatyta.</w:t>
              </w:r>
            </w:p>
          </w:sdtContent>
        </w:sdt>
        <w:sdt>
          <w:sdtPr>
            <w:alias w:val="5 p."/>
            <w:tag w:val="part_5ce05192916946568c2d2246af63769a"/>
            <w:lock w:val="sdtLocked"/>
            <w:richText/>
          </w:sdtPr>
          <w:sdtContent>
            <w:p>
              <w:pPr>
                <w:spacing w:line="276" w:lineRule="auto"/>
                <w:ind w:firstLine="567"/>
                <w:jc w:val="both"/>
                <w:rPr>
                  <w:szCs w:val="24"/>
                  <w:lang w:eastAsia="lt-LT" w:bidi="en-US"/>
                </w:rPr>
              </w:pPr>
              <w:sdt>
                <w:sdtPr>
                  <w:alias w:val="Numeris"/>
                  <w:tag w:val="nr_5ce05192916946568c2d2246af63769a"/>
                  <w:lock w:val="sdtLocked"/>
                  <w:richText/>
                </w:sdtPr>
                <w:sdtContent>
                  <w:r>
                    <w:rPr>
                      <w:b/>
                      <w:bCs/>
                      <w:szCs w:val="24"/>
                      <w:lang w:eastAsia="lt-LT" w:bidi="en-US"/>
                    </w:rPr>
                    <w:t>5</w:t>
                  </w:r>
                </w:sdtContent>
              </w:sdt>
              <w:r>
                <w:rPr>
                  <w:b/>
                  <w:bCs/>
                  <w:szCs w:val="24"/>
                  <w:lang w:eastAsia="lt-LT" w:bidi="en-US"/>
                </w:rPr>
                <w:t>. Lietuvos Respublikos Vyriausybės programos</w:t>
              </w:r>
              <w:r>
                <w:rPr>
                  <w:b/>
                  <w:bCs/>
                  <w:szCs w:val="24"/>
                  <w:vertAlign w:val="superscript"/>
                  <w:lang w:eastAsia="lt-LT" w:bidi="en-US"/>
                </w:rPr>
                <w:footnoteReference w:id="2"/>
              </w:r>
              <w:r>
                <w:rPr>
                  <w:b/>
                  <w:bCs/>
                  <w:szCs w:val="24"/>
                  <w:lang w:eastAsia="lt-LT" w:bidi="en-US"/>
                </w:rPr>
                <w:t xml:space="preserve"> nuostatų įgyvendinimas </w:t>
              </w:r>
              <w:r>
                <w:rPr>
                  <w:szCs w:val="24"/>
                  <w:lang w:eastAsia="lt-LT" w:bidi="en-US"/>
                </w:rPr>
                <w:t>(pažymimas tinkamas variantas)</w:t>
              </w:r>
            </w:p>
            <w:p>
              <w:pPr>
                <w:spacing w:line="276" w:lineRule="auto"/>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 įgyvendinamos šios Lietuvos Respublikos Vyriausybės programos nuostatos: (</w:t>
              </w:r>
              <w:r>
                <w:rPr>
                  <w:rFonts w:eastAsia="Andale Sans UI"/>
                  <w:i/>
                  <w:iCs/>
                  <w:szCs w:val="24"/>
                  <w:lang w:bidi="en-US"/>
                </w:rPr>
                <w:t>nurodomos programos nuostatos ir punktas ar papunktis, kuriame jos nurodytos</w:t>
              </w:r>
              <w:r>
                <w:rPr>
                  <w:rFonts w:eastAsia="Andale Sans UI"/>
                  <w:szCs w:val="24"/>
                  <w:lang w:bidi="en-US"/>
                </w:rPr>
                <w:t>).</w:t>
              </w:r>
            </w:p>
            <w:p>
              <w:pPr>
                <w:spacing w:line="276" w:lineRule="auto"/>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Projektai neprieštarauja Devynioliktosios Lietuvos Respublikos Vyriausybės programai.</w:t>
              </w:r>
            </w:p>
          </w:sdtContent>
        </w:sdt>
        <w:sdt>
          <w:sdtPr>
            <w:alias w:val="6 p."/>
            <w:tag w:val="part_c204aee6686849bab166465f5c2fa552"/>
            <w:lock w:val="sdtLocked"/>
            <w:richText/>
          </w:sdtPr>
          <w:sdtContent>
            <w:p>
              <w:pPr>
                <w:spacing w:line="276" w:lineRule="auto"/>
                <w:ind w:firstLine="567"/>
                <w:jc w:val="both"/>
                <w:rPr>
                  <w:szCs w:val="24"/>
                  <w:lang w:eastAsia="lt-LT" w:bidi="en-US"/>
                </w:rPr>
              </w:pPr>
              <w:sdt>
                <w:sdtPr>
                  <w:alias w:val="Numeris"/>
                  <w:tag w:val="nr_c204aee6686849bab166465f5c2fa552"/>
                  <w:lock w:val="sdtLocked"/>
                  <w:richText/>
                </w:sdtPr>
                <w:sdtContent>
                  <w:r>
                    <w:rPr>
                      <w:b/>
                      <w:bCs/>
                      <w:szCs w:val="24"/>
                      <w:lang w:eastAsia="lt-LT" w:bidi="en-US"/>
                    </w:rPr>
                    <w:t>6</w:t>
                  </w:r>
                </w:sdtContent>
              </w:sdt>
              <w:r>
                <w:rPr>
                  <w:b/>
                  <w:bCs/>
                  <w:szCs w:val="24"/>
                  <w:lang w:eastAsia="lt-LT" w:bidi="en-US"/>
                </w:rPr>
                <w:t xml:space="preserve">. Europos Sąjungos teisės aktų perkėlimas ir (ar) įgyvendinimas </w:t>
              </w:r>
              <w:r>
                <w:rPr>
                  <w:szCs w:val="24"/>
                  <w:lang w:eastAsia="lt-LT" w:bidi="en-US"/>
                </w:rPr>
                <w:t>(pažymimas tinkamas variantas)</w:t>
              </w:r>
            </w:p>
            <w:p>
              <w:pPr>
                <w:spacing w:line="276" w:lineRule="auto"/>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Projektais neperkeliamos ir neįgyvendinamos Europos Sąjungos teisės aktų nuostatos.</w:t>
              </w:r>
            </w:p>
            <w:p>
              <w:pPr>
                <w:spacing w:line="276" w:lineRule="auto"/>
                <w:ind w:firstLine="567"/>
                <w:jc w:val="both"/>
                <w:rPr>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Įstatymų projektais įgyvendinami </w:t>
              </w:r>
              <w:r>
                <w:rPr>
                  <w:szCs w:val="24"/>
                  <w:lang w:val="lt" w:bidi="en-US"/>
                </w:rPr>
                <w:t xml:space="preserve">2024 m. vasario 7 d. Europos Parlamento ir Tarybos reglamentas </w:t>
              </w:r>
              <w:fldSimple w:instr="HYPERLINK http://eur-lex.europa.eu/legal-content/LIT/TXT/?uri=CELEX:32024R0590&amp;locale=lt \t _blank">
                <w:r>
                  <w:rPr>
                    <w:szCs w:val="24"/>
                    <w:lang w:val="lt" w:bidi="en-US"/>
                    <w:u w:val="single"/>
                    <w:color w:val="0000FF" w:themeColor="hyperlink"/>
                  </w:rPr>
                  <w:t>(ES) 2024/590</w:t>
                </w:r>
              </w:fldSimple>
              <w:r>
                <w:rPr>
                  <w:szCs w:val="24"/>
                  <w:lang w:val="lt" w:bidi="en-US"/>
                </w:rPr>
                <w:t xml:space="preserve"> dėl ozono sluoksnį ardančių medžiagų, kuriuo panaikinamas Reglamentas </w:t>
              </w:r>
              <w:fldSimple w:instr="HYPERLINK http://eur-lex.europa.eu/legal-content/LIT/TXT/?uri=CELEX:32009R1005&amp;locale=lt \t _blank">
                <w:r>
                  <w:rPr>
                    <w:szCs w:val="24"/>
                    <w:lang w:val="lt" w:bidi="en-US"/>
                    <w:u w:val="single"/>
                    <w:color w:val="0000FF" w:themeColor="hyperlink"/>
                  </w:rPr>
                  <w:t>(EB) Nr. 1005/2009</w:t>
                </w:r>
              </w:fldSimple>
              <w:r>
                <w:rPr>
                  <w:szCs w:val="24"/>
                  <w:lang w:val="lt" w:bidi="en-US"/>
                </w:rPr>
                <w:t xml:space="preserve">; </w:t>
              </w:r>
              <w:r>
                <w:rPr>
                  <w:szCs w:val="24"/>
                  <w:lang w:bidi="en-US"/>
                </w:rPr>
                <w:t xml:space="preserve">2017 m. gegužės 17 d. Europos Parlamento ir Tarybos reglamentas </w:t>
              </w:r>
              <w:fldSimple w:instr="HYPERLINK http://eur-lex.europa.eu/legal-content/LIT/TXT/?uri=CELEX:32017R0852&amp;locale=lt \t _blank">
                <w:r>
                  <w:rPr>
                    <w:szCs w:val="24"/>
                    <w:lang w:bidi="en-US"/>
                    <w:u w:val="single"/>
                    <w:color w:val="0000FF" w:themeColor="hyperlink"/>
                  </w:rPr>
                  <w:t>(ES) 2017/852</w:t>
                </w:r>
              </w:fldSimple>
              <w:r>
                <w:rPr>
                  <w:szCs w:val="24"/>
                  <w:lang w:bidi="en-US"/>
                </w:rPr>
                <w:t xml:space="preserve"> dėl gyvsidabrio, kuriuo panaikinamas Reglamentas </w:t>
              </w:r>
              <w:fldSimple w:instr="HYPERLINK http://eur-lex.europa.eu/legal-content/LIT/TXT/?uri=CELEX:32008R1102&amp;locale=lt \t _blank">
                <w:r>
                  <w:rPr>
                    <w:szCs w:val="24"/>
                    <w:lang w:bidi="en-US"/>
                    <w:u w:val="single"/>
                    <w:color w:val="0000FF" w:themeColor="hyperlink"/>
                  </w:rPr>
                  <w:t>(EB) Nr. 1102/2008</w:t>
                </w:r>
              </w:fldSimple>
              <w:r>
                <w:rPr>
                  <w:szCs w:val="24"/>
                  <w:lang w:bidi="en-US"/>
                </w:rPr>
                <w:t xml:space="preserve">, su paskutiniais pakeitimais, padarytais </w:t>
              </w:r>
              <w:r>
                <w:rPr>
                  <w:szCs w:val="24"/>
                  <w:lang w:bidi="en-US"/>
                </w:rPr>
                <w:t xml:space="preserve">2024 m. birželio 13 d. Europos Parlamento ir Tarybos reglamentu </w:t>
              </w:r>
              <w:fldSimple w:instr="HYPERLINK http://eur-lex.europa.eu/legal-content/LIT/TXT/?uri=CELEX:32024R1849&amp;locale=lt \t _blank">
                <w:r>
                  <w:rPr>
                    <w:szCs w:val="24"/>
                    <w:lang w:bidi="en-US"/>
                    <w:u w:val="single"/>
                    <w:color w:val="0000FF" w:themeColor="hyperlink"/>
                  </w:rPr>
                  <w:t>(ES) 2024/1849</w:t>
                </w:r>
              </w:fldSimple>
              <w:r>
                <w:rPr>
                  <w:szCs w:val="24"/>
                  <w:lang w:bidi="en-US"/>
                </w:rPr>
                <w:t xml:space="preserve">, kuriuo iš dalies keičiamas reglamentas </w:t>
              </w:r>
              <w:fldSimple w:instr="HYPERLINK http://eur-lex.europa.eu/legal-content/LIT/TXT/?uri=CELEX:32017R0852&amp;locale=lt \t _blank">
                <w:r>
                  <w:rPr>
                    <w:szCs w:val="24"/>
                    <w:lang w:bidi="en-US"/>
                    <w:u w:val="single"/>
                    <w:color w:val="0000FF" w:themeColor="hyperlink"/>
                  </w:rPr>
                  <w:t>(ES) 2017/852</w:t>
                </w:r>
              </w:fldSimple>
              <w:r>
                <w:rPr>
                  <w:szCs w:val="24"/>
                  <w:lang w:bidi="en-US"/>
                </w:rPr>
                <w:t xml:space="preserve"> dėl gyvsidabrio, kiek tai susiję su dantų amalgama ir kitais produktais, kurių sudėtyje yra gyvsidabrio ir kuriems taikomi eksporto, importo ir gamybos apribojimai</w:t>
              </w:r>
              <w:r>
                <w:rPr>
                  <w:szCs w:val="24"/>
                  <w:lang w:val="lt" w:bidi="en-US"/>
                </w:rPr>
                <w:t xml:space="preserve">; 2023 m. gegužės 11 d. Europos Parlamento ir Tarybos reglamentas </w:t>
              </w:r>
              <w:fldSimple w:instr="HYPERLINK http://eur-lex.europa.eu/legal-content/LIT/TXT/?uri=CELEX:32023R0956&amp;locale=lt \t _blank">
                <w:r>
                  <w:rPr>
                    <w:szCs w:val="24"/>
                    <w:lang w:val="lt" w:bidi="en-US"/>
                    <w:u w:val="single"/>
                    <w:color w:val="0000FF" w:themeColor="hyperlink"/>
                  </w:rPr>
                  <w:t>(ES) 2023/956</w:t>
                </w:r>
              </w:fldSimple>
              <w:r>
                <w:rPr>
                  <w:szCs w:val="24"/>
                  <w:lang w:val="lt" w:bidi="en-US"/>
                </w:rPr>
                <w:t xml:space="preserve">, kuriuo nustatomas pasienio anglies dioksido korekcinis mechanizmas; </w:t>
              </w:r>
              <w:r>
                <w:rPr>
                  <w:color w:val="000000"/>
                  <w:szCs w:val="24"/>
                  <w:lang w:bidi="en-US"/>
                </w:rPr>
                <w:t xml:space="preserve">2023 m. gegužės 31 d. Europos Parlamento ir Tarybos reglamentas </w:t>
              </w:r>
              <w:fldSimple w:instr="HYPERLINK http://eur-lex.europa.eu/legal-content/LIT/TXT/?uri=CELEX:33115R2023&amp;locale=lt \t _blank">
                <w:r>
                  <w:rPr>
                    <w:color w:val="0000FF" w:themeColor="hyperlink"/>
                    <w:szCs w:val="24"/>
                    <w:lang w:bidi="en-US"/>
                    <w:u w:val="single"/>
                  </w:rPr>
                  <w:t>(ES) Nr. 2023/1115</w:t>
                </w:r>
              </w:fldSimple>
              <w:r>
                <w:rPr>
                  <w:color w:val="000000"/>
                  <w:szCs w:val="24"/>
                  <w:lang w:bidi="en-US"/>
                </w:rPr>
                <w:t xml:space="preserve"> dėl tam tikrų su miškų naikinimu ir alinimu siejamų biržos prekių ir produktų tiekimo Sąjungos rinkai ir jų eksporto iš Sąjungos, kuriuo panaikinimas Reglamentas </w:t>
              </w:r>
              <w:fldSimple w:instr="HYPERLINK http://eur-lex.europa.eu/legal-content/LIT/TXT/?uri=CELEX:32010R0995&amp;locale=lt \t _blank">
                <w:r>
                  <w:rPr>
                    <w:color w:val="0000FF" w:themeColor="hyperlink"/>
                    <w:szCs w:val="24"/>
                    <w:lang w:bidi="en-US"/>
                    <w:u w:val="single"/>
                  </w:rPr>
                  <w:t>(ES) Nr. 995/2010</w:t>
                </w:r>
              </w:fldSimple>
              <w:r>
                <w:rPr>
                  <w:color w:val="000000"/>
                  <w:szCs w:val="24"/>
                  <w:lang w:bidi="en-US"/>
                </w:rPr>
                <w:t xml:space="preserve">; 2023 m. rugsėjo 13 d. Europos Parlamento ir Tarybos reglamentas </w:t>
              </w:r>
              <w:fldSimple w:instr="HYPERLINK http://eur-lex.europa.eu/legal-content/LIT/TXT/?uri=CELEX:32023R1805&amp;locale=lt \t _blank">
                <w:r>
                  <w:rPr>
                    <w:color w:val="0000FF" w:themeColor="hyperlink"/>
                    <w:szCs w:val="24"/>
                    <w:lang w:bidi="en-US"/>
                    <w:u w:val="single"/>
                  </w:rPr>
                  <w:t>(ES) 2023/1805</w:t>
                </w:r>
              </w:fldSimple>
              <w:r>
                <w:rPr>
                  <w:color w:val="000000"/>
                  <w:szCs w:val="24"/>
                  <w:lang w:bidi="en-US"/>
                </w:rPr>
                <w:t xml:space="preserve"> dėl atsinaujinančiųjų energijos išteklių ir mažo anglies dioksido pėdsako kuro naudojimo jūrų transporto sektoriuje, kuriuo iš dalies keičiama Direktyva </w:t>
              </w:r>
              <w:fldSimple w:instr="HYPERLINK http://eur-lex.europa.eu/legal-content/LIT/TXT/?uri=CELEX:32009L0016&amp;locale=lt \t _blank">
                <w:r>
                  <w:rPr>
                    <w:color w:val="0000FF" w:themeColor="hyperlink"/>
                    <w:szCs w:val="24"/>
                    <w:lang w:bidi="en-US"/>
                    <w:u w:val="single"/>
                  </w:rPr>
                  <w:t>2009/16/EB</w:t>
                </w:r>
              </w:fldSimple>
              <w:r>
                <w:rPr>
                  <w:color w:val="000000"/>
                  <w:szCs w:val="24"/>
                  <w:lang w:bidi="en-US"/>
                </w:rPr>
                <w:t>.</w:t>
              </w:r>
              <w:r>
                <w:rPr>
                  <w:rFonts w:eastAsia="Andale Sans UI"/>
                  <w:szCs w:val="24"/>
                  <w:lang w:eastAsia="lt-LT" w:bidi="en-US"/>
                </w:rPr>
                <w:t xml:space="preserve"> Projektai įtraukti į perkeliamo ir (ar) įgyvendinamų Europos Sąjungos teisės aktų perkėlimo ir įgyvendinimo planus Lietuvos narystės Europos Sąjungoje informacinėje sistemoje (LINESIS), į kurią įkeltos atitikties lentelės</w:t>
              </w:r>
              <w:r>
                <w:rPr>
                  <w:rFonts w:eastAsia="Andale Sans UI"/>
                  <w:szCs w:val="24"/>
                  <w:vertAlign w:val="superscript"/>
                  <w:lang w:eastAsia="lt-LT" w:bidi="en-US"/>
                </w:rPr>
                <w:footnoteReference w:id="3"/>
              </w:r>
              <w:r>
                <w:rPr>
                  <w:rFonts w:eastAsia="Andale Sans UI"/>
                  <w:szCs w:val="24"/>
                  <w:lang w:eastAsia="lt-LT" w:bidi="en-US"/>
                </w:rPr>
                <w:t xml:space="preserve">; </w:t>
              </w:r>
              <w:r>
                <w:rPr>
                  <w:rFonts w:eastAsia="Andale Sans UI"/>
                  <w:szCs w:val="24"/>
                  <w:lang w:bidi="en-US"/>
                </w:rPr>
                <w:t xml:space="preserve">2024 m. balandžio 11 d. Europos Parlamento ir Tarybos reglamentas </w:t>
              </w:r>
              <w:fldSimple w:instr="HYPERLINK http://eur-lex.europa.eu/legal-content/LIT/TXT/?uri=CELEX:32024R1157&amp;locale=lt \t _blank">
                <w:r>
                  <w:rPr>
                    <w:rFonts w:eastAsia="Andale Sans UI"/>
                    <w:szCs w:val="24"/>
                    <w:lang w:bidi="en-US"/>
                    <w:u w:val="single"/>
                    <w:color w:val="0000FF" w:themeColor="hyperlink"/>
                  </w:rPr>
                  <w:t>(ES) 2024/1157</w:t>
                </w:r>
              </w:fldSimple>
              <w:r>
                <w:rPr>
                  <w:rFonts w:eastAsia="Andale Sans UI"/>
                  <w:szCs w:val="24"/>
                  <w:lang w:bidi="en-US"/>
                </w:rPr>
                <w:t xml:space="preserve"> dėl atliekų vežimo, kuriuo iš dalies keičiami reglamentai </w:t>
              </w:r>
              <w:fldSimple w:instr="HYPERLINK http://eur-lex.europa.eu/legal-content/LIT/TXT/?uri=CELEX:32013R1257&amp;locale=lt \t _blank">
                <w:r>
                  <w:rPr>
                    <w:rFonts w:eastAsia="Andale Sans UI"/>
                    <w:szCs w:val="24"/>
                    <w:lang w:bidi="en-US"/>
                    <w:u w:val="single"/>
                    <w:color w:val="0000FF" w:themeColor="hyperlink"/>
                  </w:rPr>
                  <w:t>(ES) Nr. 1257/2013</w:t>
                </w:r>
              </w:fldSimple>
              <w:r>
                <w:rPr>
                  <w:rFonts w:eastAsia="Andale Sans UI"/>
                  <w:szCs w:val="24"/>
                  <w:lang w:bidi="en-US"/>
                </w:rPr>
                <w:t xml:space="preserve"> ir </w:t>
              </w:r>
              <w:fldSimple w:instr="HYPERLINK http://eur-lex.europa.eu/legal-content/LIT/TXT/?uri=CELEX:32020R1056&amp;locale=lt \t _blank">
                <w:r>
                  <w:rPr>
                    <w:rFonts w:eastAsia="Andale Sans UI"/>
                    <w:szCs w:val="24"/>
                    <w:lang w:bidi="en-US"/>
                    <w:u w:val="single"/>
                    <w:color w:val="0000FF" w:themeColor="hyperlink"/>
                  </w:rPr>
                  <w:t>(ES) 2020/1056</w:t>
                </w:r>
              </w:fldSimple>
              <w:r>
                <w:rPr>
                  <w:rFonts w:eastAsia="Andale Sans UI"/>
                  <w:szCs w:val="24"/>
                  <w:lang w:bidi="en-US"/>
                </w:rPr>
                <w:t xml:space="preserve"> ir panaikinamas Reglamentas </w:t>
              </w:r>
              <w:fldSimple w:instr="HYPERLINK http://eur-lex.europa.eu/legal-content/LIT/TXT/?uri=CELEX:32006R1013&amp;locale=lt \t _blank">
                <w:r>
                  <w:rPr>
                    <w:rFonts w:eastAsia="Andale Sans UI"/>
                    <w:szCs w:val="24"/>
                    <w:lang w:bidi="en-US"/>
                    <w:u w:val="single"/>
                    <w:color w:val="0000FF" w:themeColor="hyperlink"/>
                  </w:rPr>
                  <w:t>(EB) Nr. 1013/2006</w:t>
                </w:r>
              </w:fldSimple>
              <w:r>
                <w:rPr>
                  <w:rFonts w:eastAsia="Andale Sans UI"/>
                  <w:szCs w:val="24"/>
                  <w:lang w:bidi="en-US"/>
                </w:rPr>
                <w:t xml:space="preserve">; 2024 m. balandžio 11 d. Europos Parlamento ir Tarybos direktyva </w:t>
              </w:r>
              <w:fldSimple w:instr="HYPERLINK http://eur-lex.europa.eu/legal-content/LIT/TXT/?uri=CELEX:32024L1203&amp;locale=lt \t _blank">
                <w:r>
                  <w:rPr>
                    <w:rFonts w:eastAsia="Andale Sans UI"/>
                    <w:szCs w:val="24"/>
                    <w:lang w:bidi="en-US"/>
                    <w:u w:val="single"/>
                    <w:color w:val="0000FF" w:themeColor="hyperlink"/>
                  </w:rPr>
                  <w:t>(ES) 2024/1203</w:t>
                </w:r>
              </w:fldSimple>
              <w:r>
                <w:rPr>
                  <w:rFonts w:eastAsia="Andale Sans UI"/>
                  <w:szCs w:val="24"/>
                  <w:lang w:bidi="en-US"/>
                </w:rPr>
                <w:t xml:space="preserve"> dėl aplinkos apsaugos baudžiamosios teisės priemonėmis, kuria pakeičiamos direktyvos </w:t>
              </w:r>
              <w:fldSimple w:instr="HYPERLINK http://eur-lex.europa.eu/legal-content/LIT/TXT/?uri=CELEX:32008L0099&amp;locale=lt \t _blank">
                <w:r>
                  <w:rPr>
                    <w:rFonts w:eastAsia="Andale Sans UI"/>
                    <w:szCs w:val="24"/>
                    <w:lang w:bidi="en-US"/>
                    <w:u w:val="single"/>
                    <w:color w:val="0000FF" w:themeColor="hyperlink"/>
                  </w:rPr>
                  <w:t>2008/99/EB</w:t>
                </w:r>
              </w:fldSimple>
              <w:r>
                <w:rPr>
                  <w:rFonts w:eastAsia="Andale Sans UI"/>
                  <w:szCs w:val="24"/>
                  <w:lang w:bidi="en-US"/>
                </w:rPr>
                <w:t xml:space="preserve"> ir </w:t>
              </w:r>
              <w:fldSimple w:instr="HYPERLINK http://eur-lex.europa.eu/legal-content/LIT/TXT/?uri=CELEX:32009L0123&amp;locale=lt \t _blank">
                <w:r>
                  <w:rPr>
                    <w:rFonts w:eastAsia="Andale Sans UI"/>
                    <w:szCs w:val="24"/>
                    <w:lang w:bidi="en-US"/>
                    <w:u w:val="single"/>
                    <w:color w:val="0000FF" w:themeColor="hyperlink"/>
                  </w:rPr>
                  <w:t>2009/123/EB</w:t>
                </w:r>
              </w:fldSimple>
              <w:r>
                <w:rPr>
                  <w:rFonts w:eastAsia="Andale Sans UI"/>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susijusių Europos Sąjungos teisės aktų perkėlimą ir (ar) įgyvendinimą, kitų teisės aktų priimti nereikės.</w:t>
              </w:r>
            </w:p>
          </w:sdtContent>
        </w:sdt>
        <w:sdt>
          <w:sdtPr>
            <w:alias w:val="7 p."/>
            <w:tag w:val="part_0a1c0cf437414edf8bd33dbfc052f02a"/>
            <w:lock w:val="sdtLocked"/>
            <w:richText/>
          </w:sdtPr>
          <w:sdtContent>
            <w:p>
              <w:pPr>
                <w:spacing w:line="276" w:lineRule="auto"/>
                <w:ind w:firstLine="567"/>
                <w:jc w:val="both"/>
                <w:rPr>
                  <w:szCs w:val="24"/>
                  <w:lang w:eastAsia="lt-LT" w:bidi="en-US"/>
                </w:rPr>
              </w:pPr>
              <w:sdt>
                <w:sdtPr>
                  <w:alias w:val="Numeris"/>
                  <w:tag w:val="nr_0a1c0cf437414edf8bd33dbfc052f02a"/>
                  <w:lock w:val="sdtLocked"/>
                  <w:richText/>
                </w:sdtPr>
                <w:sdtContent>
                  <w:r>
                    <w:rPr>
                      <w:rFonts w:eastAsia="Andale Sans UI"/>
                      <w:b/>
                      <w:bCs/>
                      <w:szCs w:val="24"/>
                      <w:lang w:bidi="en-US"/>
                    </w:rPr>
                    <w:t>7</w:t>
                  </w:r>
                </w:sdtContent>
              </w:sdt>
              <w:r>
                <w:rPr>
                  <w:rFonts w:eastAsia="Andale Sans UI"/>
                  <w:b/>
                  <w:bCs/>
                  <w:szCs w:val="24"/>
                  <w:lang w:bidi="en-US"/>
                </w:rPr>
                <w:t>. Notifikavimas</w:t>
              </w:r>
              <w:r>
                <w:rPr>
                  <w:rFonts w:eastAsia="Andale Sans UI"/>
                  <w:b/>
                  <w:bCs/>
                  <w:szCs w:val="24"/>
                  <w:vertAlign w:val="superscript"/>
                  <w:lang w:bidi="en-US"/>
                </w:rPr>
                <w:footnoteReference w:id="4"/>
              </w:r>
              <w:r>
                <w:rPr>
                  <w:rFonts w:eastAsia="Andale Sans UI"/>
                  <w:b/>
                  <w:bCs/>
                  <w:szCs w:val="24"/>
                  <w:lang w:bidi="en-US"/>
                </w:rPr>
                <w:t xml:space="preserve"> Europos Komisijai </w:t>
              </w:r>
              <w:r>
                <w:rPr>
                  <w:szCs w:val="24"/>
                  <w:lang w:eastAsia="lt-LT" w:bidi="en-US"/>
                </w:rPr>
                <w:t>(pažymimas tinkamas variantas)</w:t>
              </w:r>
            </w:p>
            <w:p>
              <w:pPr>
                <w:spacing w:line="276" w:lineRule="auto"/>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Projektas nenotifikuotinas Europos Komisijai (</w:t>
              </w:r>
              <w:r>
                <w:rPr>
                  <w:rFonts w:eastAsia="Andale Sans UI"/>
                  <w:i/>
                  <w:iCs/>
                  <w:szCs w:val="24"/>
                  <w:lang w:bidi="en-US"/>
                </w:rPr>
                <w:t>nurodoma data</w:t>
              </w:r>
              <w:r>
                <w:rPr>
                  <w:rFonts w:eastAsia="Andale Sans UI"/>
                  <w:szCs w:val="24"/>
                  <w:lang w:bidi="en-US"/>
                </w:rPr>
                <w:t>).</w:t>
              </w:r>
            </w:p>
          </w:sdtContent>
        </w:sdt>
        <w:sdt>
          <w:sdtPr>
            <w:alias w:val="8 p."/>
            <w:tag w:val="part_23186f3ba8a146ec987a75633c2b9ca0"/>
            <w:lock w:val="sdtLocked"/>
            <w:richText/>
          </w:sdtPr>
          <w:sdtContent>
            <w:p>
              <w:pPr>
                <w:spacing w:line="276" w:lineRule="auto"/>
                <w:ind w:firstLine="567"/>
                <w:jc w:val="both"/>
                <w:rPr>
                  <w:color w:val="000000"/>
                  <w:szCs w:val="24"/>
                  <w:lang w:eastAsia="lt-LT" w:bidi="en-US"/>
                </w:rPr>
              </w:pPr>
              <w:sdt>
                <w:sdtPr>
                  <w:alias w:val="Numeris"/>
                  <w:tag w:val="nr_23186f3ba8a146ec987a75633c2b9ca0"/>
                  <w:lock w:val="sdtLocked"/>
                  <w:richText/>
                </w:sdtPr>
                <w:sdtContent>
                  <w:r>
                    <w:rPr>
                      <w:rFonts w:eastAsia="Andale Sans UI"/>
                      <w:b/>
                      <w:bCs/>
                      <w:szCs w:val="24"/>
                      <w:lang w:bidi="en-US"/>
                    </w:rPr>
                    <w:t>8</w:t>
                  </w:r>
                </w:sdtContent>
              </w:sdt>
              <w:r>
                <w:rPr>
                  <w:rFonts w:eastAsia="Andale Sans UI"/>
                  <w:b/>
                  <w:bCs/>
                  <w:szCs w:val="24"/>
                  <w:lang w:bidi="en-US"/>
                </w:rPr>
                <w:t xml:space="preserve">. </w:t>
              </w:r>
              <w:r>
                <w:rPr>
                  <w:b/>
                  <w:bCs/>
                  <w:color w:val="000000"/>
                  <w:szCs w:val="24"/>
                  <w:lang w:eastAsia="lt-LT" w:bidi="en-US"/>
                </w:rPr>
                <w:t>Pranešimo Europos Komisijai teikimas</w:t>
              </w:r>
              <w:r>
                <w:rPr>
                  <w:b/>
                  <w:bCs/>
                  <w:color w:val="000000"/>
                  <w:szCs w:val="24"/>
                  <w:vertAlign w:val="superscript"/>
                  <w:lang w:eastAsia="lt-LT" w:bidi="en-US"/>
                </w:rPr>
                <w:footnoteReference w:id="5"/>
              </w:r>
              <w:r>
                <w:rPr>
                  <w:color w:val="000000"/>
                  <w:szCs w:val="24"/>
                  <w:lang w:eastAsia="lt-LT" w:bidi="en-US"/>
                </w:rPr>
                <w:t xml:space="preserve"> (</w:t>
              </w:r>
              <w:r>
                <w:rPr>
                  <w:szCs w:val="24"/>
                  <w:lang w:eastAsia="lt-LT" w:bidi="en-US"/>
                </w:rPr>
                <w:t>pažymimas tinkamas variantas)</w:t>
              </w:r>
            </w:p>
            <w:p>
              <w:pPr>
                <w:spacing w:line="276" w:lineRule="auto"/>
                <w:ind w:firstLine="567"/>
                <w:jc w:val="both"/>
                <w:rPr>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color w:val="000000"/>
                  <w:szCs w:val="24"/>
                  <w:lang w:eastAsia="lt-LT" w:bidi="en-US"/>
                </w:rPr>
                <w:t>ranešimas Europos Komisijai teiktinas.</w:t>
              </w:r>
            </w:p>
            <w:p>
              <w:pPr>
                <w:spacing w:line="276" w:lineRule="auto"/>
                <w:ind w:firstLine="567"/>
                <w:jc w:val="both"/>
                <w:rPr>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color w:val="000000"/>
                  <w:szCs w:val="24"/>
                  <w:lang w:eastAsia="lt-LT" w:bidi="en-US"/>
                </w:rPr>
                <w:t>ranešimas Europos Komisijai neteiktinas.</w:t>
              </w:r>
            </w:p>
          </w:sdtContent>
        </w:sdt>
        <w:sdt>
          <w:sdtPr>
            <w:alias w:val="9 p."/>
            <w:tag w:val="part_d0dcef14f79b41ef83c9d962ab7b5d23"/>
            <w:lock w:val="sdtLocked"/>
            <w:richText/>
          </w:sdtPr>
          <w:sdtContent>
            <w:p>
              <w:pPr>
                <w:spacing w:line="276" w:lineRule="auto"/>
                <w:ind w:firstLine="567"/>
                <w:jc w:val="both"/>
                <w:rPr>
                  <w:rFonts w:eastAsia="Andale Sans UI"/>
                  <w:b/>
                  <w:bCs/>
                  <w:szCs w:val="24"/>
                  <w:lang w:bidi="en-US"/>
                </w:rPr>
              </w:pPr>
              <w:sdt>
                <w:sdtPr>
                  <w:alias w:val="Numeris"/>
                  <w:tag w:val="nr_d0dcef14f79b41ef83c9d962ab7b5d23"/>
                  <w:lock w:val="sdtLocked"/>
                  <w:richText/>
                </w:sdtPr>
                <w:sdtContent>
                  <w:r>
                    <w:rPr>
                      <w:rFonts w:eastAsia="Andale Sans UI"/>
                      <w:b/>
                      <w:bCs/>
                      <w:szCs w:val="24"/>
                      <w:lang w:bidi="en-US"/>
                    </w:rPr>
                    <w:t>9</w:t>
                  </w:r>
                </w:sdtContent>
              </w:sdt>
              <w:r>
                <w:rPr>
                  <w:rFonts w:eastAsia="Andale Sans UI"/>
                  <w:b/>
                  <w:bCs/>
                  <w:szCs w:val="24"/>
                  <w:lang w:bidi="en-US"/>
                </w:rPr>
                <w:t>. Numatomo teisinio reguliavimo poveikio vertinimas</w:t>
              </w:r>
              <w:r>
                <w:rPr>
                  <w:rFonts w:eastAsia="Andale Sans UI"/>
                  <w:b/>
                  <w:bCs/>
                  <w:szCs w:val="24"/>
                  <w:vertAlign w:val="superscript"/>
                  <w:lang w:bidi="en-US"/>
                </w:rPr>
                <w:footnoteReference w:id="6"/>
              </w:r>
              <w:r>
                <w:rPr>
                  <w:rFonts w:eastAsia="Andale Sans UI"/>
                  <w:b/>
                  <w:bCs/>
                  <w:szCs w:val="24"/>
                  <w:lang w:bidi="en-US"/>
                </w:rPr>
                <w:t xml:space="preserve"> </w:t>
              </w:r>
              <w:r>
                <w:rPr>
                  <w:szCs w:val="24"/>
                  <w:lang w:eastAsia="lt-LT" w:bidi="en-US"/>
                </w:rPr>
                <w:t>(pažymimas tinkamas variantas)</w:t>
              </w:r>
            </w:p>
            <w:p>
              <w:pPr>
                <w:widowControl w:val="0"/>
                <w:spacing w:line="276" w:lineRule="auto"/>
                <w:ind w:firstLine="567"/>
                <w:jc w:val="both"/>
                <w:rPr>
                  <w:rFonts w:eastAsia="Andale Sans UI"/>
                  <w:b/>
                  <w:bCs/>
                  <w:szCs w:val="24"/>
                  <w:lang w:bidi="en-US"/>
                </w:rPr>
              </w:pPr>
              <w:r>
                <w:rPr>
                  <w:rFonts w:ascii="Segoe UI Symbol" w:eastAsia="MS Gothic" w:hAnsi="Segoe UI Symbol" w:cs="Segoe UI Symbol"/>
                  <w:szCs w:val="24"/>
                  <w:lang w:bidi="en-US"/>
                </w:rPr>
                <w:t>☒</w:t>
              </w:r>
              <w:r>
                <w:rPr>
                  <w:rFonts w:eastAsia="Andale Sans UI"/>
                  <w:szCs w:val="24"/>
                  <w:lang w:bidi="en-US"/>
                </w:rPr>
                <w:t xml:space="preserve"> Atliktas Projekto numatomo teisinio reguliavimo poveikio vertinimas. </w:t>
              </w:r>
            </w:p>
            <w:p>
              <w:pPr>
                <w:widowControl w:val="0"/>
                <w:spacing w:line="276" w:lineRule="auto"/>
                <w:ind w:firstLine="567"/>
                <w:jc w:val="both"/>
                <w:rPr>
                  <w:szCs w:val="24"/>
                  <w:lang w:bidi="en-US"/>
                </w:rPr>
              </w:pPr>
              <w:r>
                <w:rPr>
                  <w:szCs w:val="24"/>
                  <w:lang w:bidi="en-US"/>
                </w:rPr>
                <w:t>Įstatymų projektais galimų sukelti ūkio subjektų prisitaikymo prie reguliavimo išlaidų apskaičiavimo ataskaita darbo tvarka suderinta su Ekonomikos ir inovacijų ministerijos specialistais. Dėl siūlomo reguliavimo pakeitimo perskirstant reikalavimų odontologinės priežiūros (pagalbos) įstaigose įrengti amalgamos separatorius vykdymo priežiūrą tarp institucijų bus mažiau patikrinimų odontologinės priežiūros (pagalbos) įstaigose, dėl to prisitaikymo našta ūkio subjektams sumažės 5124 Eur.</w:t>
              </w:r>
            </w:p>
            <w:p>
              <w:pPr>
                <w:widowControl w:val="0"/>
                <w:spacing w:line="276" w:lineRule="auto"/>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Projekto numatomo teisinio reguliavimo poveikio vertinimas neatliekamas.</w:t>
              </w:r>
            </w:p>
            <w:p>
              <w:pPr>
                <w:widowControl w:val="0"/>
                <w:spacing w:line="276" w:lineRule="auto"/>
                <w:ind w:firstLine="567"/>
                <w:jc w:val="both"/>
                <w:rPr>
                  <w:rFonts w:eastAsia="Andale Sans UI"/>
                  <w:i/>
                  <w:color w:val="000000"/>
                  <w:szCs w:val="24"/>
                  <w:lang w:bidi="en-US"/>
                </w:rPr>
              </w:pPr>
              <w:r>
                <w:rPr>
                  <w:rFonts w:ascii="Segoe UI Symbol" w:eastAsia="MS Gothic" w:hAnsi="Segoe UI Symbol" w:cs="Segoe UI Symbol"/>
                  <w:szCs w:val="24"/>
                  <w:lang w:bidi="en-US"/>
                </w:rPr>
                <w:t>☒</w:t>
              </w:r>
              <w:r>
                <w:rPr>
                  <w:color w:val="000000"/>
                  <w:szCs w:val="24"/>
                  <w:lang w:eastAsia="lt-LT" w:bidi="en-US"/>
                </w:rPr>
                <w:t xml:space="preserve"> </w:t>
              </w:r>
              <w:r>
                <w:rPr>
                  <w:rFonts w:eastAsia="Andale Sans UI"/>
                  <w:iCs/>
                  <w:color w:val="000000"/>
                  <w:szCs w:val="24"/>
                  <w:lang w:bidi="en-US"/>
                </w:rPr>
                <w:t>Ši informacija nurodoma aiškinamajame rašte</w:t>
              </w:r>
              <w:r>
                <w:rPr>
                  <w:rFonts w:eastAsia="Andale Sans UI"/>
                  <w:color w:val="000000"/>
                  <w:szCs w:val="24"/>
                  <w:lang w:bidi="en-US"/>
                </w:rPr>
                <w:t>.</w:t>
              </w:r>
            </w:p>
          </w:sdtContent>
        </w:sdt>
        <w:sdt>
          <w:sdtPr>
            <w:alias w:val="10 p."/>
            <w:tag w:val="part_125699b367604aa7a935b8f44fc4fcba"/>
            <w:lock w:val="sdtLocked"/>
            <w:richText/>
          </w:sdtPr>
          <w:sdtContent>
            <w:p>
              <w:pPr>
                <w:spacing w:line="276" w:lineRule="auto"/>
                <w:ind w:firstLine="567"/>
                <w:jc w:val="both"/>
                <w:rPr>
                  <w:rFonts w:eastAsia="Andale Sans UI"/>
                  <w:b/>
                  <w:bCs/>
                  <w:szCs w:val="24"/>
                  <w:lang w:bidi="en-US"/>
                </w:rPr>
              </w:pPr>
              <w:sdt>
                <w:sdtPr>
                  <w:alias w:val="Numeris"/>
                  <w:tag w:val="nr_125699b367604aa7a935b8f44fc4fcba"/>
                  <w:lock w:val="sdtLocked"/>
                  <w:richText/>
                </w:sdtPr>
                <w:sdtContent>
                  <w:r>
                    <w:rPr>
                      <w:rFonts w:eastAsia="Andale Sans UI"/>
                      <w:b/>
                      <w:bCs/>
                      <w:szCs w:val="24"/>
                      <w:lang w:bidi="en-US"/>
                    </w:rPr>
                    <w:t>10</w:t>
                  </w:r>
                </w:sdtContent>
              </w:sdt>
              <w:r>
                <w:rPr>
                  <w:rFonts w:eastAsia="Andale Sans UI"/>
                  <w:b/>
                  <w:bCs/>
                  <w:szCs w:val="24"/>
                  <w:lang w:bidi="en-US"/>
                </w:rPr>
                <w:t xml:space="preserve">. Teisės aktai, kuriuos reikės priimti, pakeisti arba pripažinti netekusiais galios </w:t>
              </w:r>
              <w:r>
                <w:rPr>
                  <w:szCs w:val="24"/>
                  <w:lang w:eastAsia="lt-LT" w:bidi="en-US"/>
                </w:rPr>
                <w:t>(pažymimas tinkamas variantas)</w:t>
              </w:r>
            </w:p>
            <w:p>
              <w:pPr>
                <w:spacing w:line="276" w:lineRule="auto"/>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Projektui įtraukti į teisės sistemą kitų teisės aktų priimti nereikės.</w:t>
              </w:r>
            </w:p>
            <w:p>
              <w:pPr>
                <w:spacing w:line="276" w:lineRule="auto"/>
                <w:ind w:firstLine="567"/>
                <w:jc w:val="both"/>
                <w:rPr>
                  <w:rFonts w:eastAsia="Andale Sans UI"/>
                  <w: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Projektui įtraukti į teisės sistemą reikės priimti šiuos teisės aktus: (</w:t>
              </w:r>
              <w:r>
                <w:rPr>
                  <w:rFonts w:eastAsia="Andale Sans UI"/>
                  <w:i/>
                  <w:szCs w:val="24"/>
                  <w:lang w:bidi="en-US"/>
                </w:rPr>
                <w:t>išvardijama</w:t>
              </w:r>
              <w:r>
                <w:rPr>
                  <w:rFonts w:eastAsia="Andale Sans UI"/>
                  <w:szCs w:val="24"/>
                  <w:lang w:bidi="en-US"/>
                </w:rPr>
                <w:t>)</w:t>
              </w:r>
              <w:r>
                <w:rPr>
                  <w:rFonts w:eastAsia="Andale Sans UI"/>
                  <w:i/>
                  <w:szCs w:val="24"/>
                  <w:lang w:bidi="en-US"/>
                </w:rPr>
                <w:t>.</w:t>
              </w:r>
            </w:p>
            <w:p>
              <w:pPr>
                <w:spacing w:line="276" w:lineRule="auto"/>
                <w:ind w:firstLine="567"/>
                <w:jc w:val="both"/>
                <w:rPr>
                  <w:rFonts w:eastAsia="Andale Sans UI"/>
                  <w:b/>
                  <w:bCs/>
                  <w:szCs w:val="24"/>
                  <w:lang w:bidi="en-US"/>
                </w:rPr>
              </w:pPr>
              <w:r>
                <w:rPr>
                  <w:rFonts w:ascii="Segoe UI Symbol" w:eastAsia="MS Gothic" w:hAnsi="Segoe UI Symbol" w:cs="Segoe UI Symbol"/>
                  <w:szCs w:val="24"/>
                  <w:lang w:bidi="en-US"/>
                </w:rPr>
                <w:t>☒</w:t>
              </w:r>
              <w:r>
                <w:rPr>
                  <w:color w:val="000000"/>
                  <w:szCs w:val="24"/>
                  <w:lang w:eastAsia="lt-LT" w:bidi="en-US"/>
                </w:rPr>
                <w:t xml:space="preserve"> </w:t>
              </w:r>
              <w:r>
                <w:rPr>
                  <w:rFonts w:eastAsia="Andale Sans UI"/>
                  <w:iCs/>
                  <w:color w:val="000000"/>
                  <w:szCs w:val="24"/>
                  <w:lang w:bidi="en-US"/>
                </w:rPr>
                <w:t>Ši informacija nurodoma aiškinamajame rašte</w:t>
              </w:r>
              <w:r>
                <w:rPr>
                  <w:rFonts w:eastAsia="Andale Sans UI"/>
                  <w:color w:val="000000"/>
                  <w:szCs w:val="24"/>
                  <w:lang w:bidi="en-US"/>
                </w:rPr>
                <w:t>.</w:t>
              </w:r>
            </w:p>
          </w:sdtContent>
        </w:sdt>
        <w:sdt>
          <w:sdtPr>
            <w:alias w:val="11 p."/>
            <w:tag w:val="part_4cfc1e50b408466797b4f32556f58ff4"/>
            <w:lock w:val="sdtLocked"/>
            <w:richText/>
          </w:sdtPr>
          <w:sdtContent>
            <w:p>
              <w:pPr>
                <w:spacing w:line="276" w:lineRule="auto"/>
                <w:ind w:firstLine="567"/>
                <w:jc w:val="both"/>
                <w:rPr>
                  <w:rFonts w:eastAsia="Andale Sans UI"/>
                  <w:b/>
                  <w:bCs/>
                  <w:szCs w:val="24"/>
                  <w:lang w:bidi="en-US"/>
                </w:rPr>
              </w:pPr>
              <w:sdt>
                <w:sdtPr>
                  <w:alias w:val="Numeris"/>
                  <w:tag w:val="nr_4cfc1e50b408466797b4f32556f58ff4"/>
                  <w:lock w:val="sdtLocked"/>
                  <w:richText/>
                </w:sdtPr>
                <w:sdtContent>
                  <w:r>
                    <w:rPr>
                      <w:rFonts w:eastAsia="Andale Sans UI"/>
                      <w:b/>
                      <w:bCs/>
                      <w:szCs w:val="24"/>
                      <w:lang w:bidi="en-US"/>
                    </w:rPr>
                    <w:t>11</w:t>
                  </w:r>
                </w:sdtContent>
              </w:sdt>
              <w:r>
                <w:rPr>
                  <w:rFonts w:eastAsia="Andale Sans UI"/>
                  <w:b/>
                  <w:bCs/>
                  <w:szCs w:val="24"/>
                  <w:lang w:bidi="en-US"/>
                </w:rPr>
                <w:t xml:space="preserve">. Informacija apie sąvokų įvertinimą Lietuvos Respublikos terminų banko įstatymo ir jo įgyvendinamųjų teisės aktų nustatyta tvarka </w:t>
              </w:r>
              <w:r>
                <w:rPr>
                  <w:szCs w:val="24"/>
                  <w:lang w:eastAsia="lt-LT" w:bidi="en-US"/>
                </w:rPr>
                <w:t>(pažymimas tinkamas variantas)</w:t>
              </w:r>
            </w:p>
            <w:p>
              <w:pPr>
                <w:spacing w:line="276" w:lineRule="auto"/>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Projekte naujų sąvokų nėra.</w:t>
              </w:r>
            </w:p>
            <w:p>
              <w:pPr>
                <w:spacing w:line="276" w:lineRule="auto"/>
                <w:ind w:firstLine="567"/>
                <w:jc w:val="both"/>
                <w:rPr>
                  <w:rFonts w:eastAsia="Andale Sans UI"/>
                  <w:color w:val="000000"/>
                  <w:szCs w:val="24"/>
                  <w:lang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 xml:space="preserve">rojekte vartojamos sąvokos aprobuotos Lietuvos Respublikos terminų banko įstatymo ir jo įgyvendinamųjų teisės aktų nustatyta tvarka. </w:t>
              </w:r>
            </w:p>
            <w:p>
              <w:pPr>
                <w:spacing w:line="276" w:lineRule="auto"/>
                <w:ind w:firstLine="567"/>
                <w:jc w:val="both"/>
                <w:rPr>
                  <w:rFonts w:eastAsia="Andale Sans UI"/>
                  <w:color w:val="000000"/>
                  <w:szCs w:val="24"/>
                  <w:lang w:bidi="en-US"/>
                </w:rPr>
              </w:pPr>
              <w:r>
                <w:rPr>
                  <w:rFonts w:ascii="Segoe UI Symbol" w:eastAsia="MS Gothic" w:hAnsi="Segoe UI Symbol" w:cs="Segoe UI Symbol"/>
                  <w:szCs w:val="24"/>
                  <w:lang w:bidi="en-US"/>
                </w:rPr>
                <w:t>☒</w:t>
              </w:r>
              <w:r>
                <w:rPr>
                  <w:color w:val="000000"/>
                  <w:szCs w:val="24"/>
                  <w:lang w:eastAsia="lt-LT" w:bidi="en-US"/>
                </w:rPr>
                <w:t xml:space="preserve"> </w:t>
              </w:r>
              <w:r>
                <w:rPr>
                  <w:rFonts w:eastAsia="Andale Sans UI"/>
                  <w:color w:val="000000"/>
                  <w:szCs w:val="24"/>
                  <w:lang w:bidi="en-US"/>
                </w:rPr>
                <w:t>Ši informacija nurodoma aiškinamajame rašte.</w:t>
              </w:r>
            </w:p>
          </w:sdtContent>
        </w:sdt>
        <w:sdt>
          <w:sdtPr>
            <w:alias w:val="12 p."/>
            <w:tag w:val="part_f7f3e4e64ad140eebd4ab014d57c8710"/>
            <w:lock w:val="sdtLocked"/>
            <w:richText/>
          </w:sdtPr>
          <w:sdtContent>
            <w:p>
              <w:pPr>
                <w:spacing w:line="276" w:lineRule="auto"/>
                <w:ind w:firstLine="567"/>
                <w:jc w:val="both"/>
                <w:rPr>
                  <w:rFonts w:eastAsia="Andale Sans UI"/>
                  <w:b/>
                  <w:bCs/>
                  <w:color w:val="000000"/>
                  <w:szCs w:val="24"/>
                  <w:lang w:bidi="en-US"/>
                </w:rPr>
              </w:pPr>
              <w:sdt>
                <w:sdtPr>
                  <w:alias w:val="Numeris"/>
                  <w:tag w:val="nr_f7f3e4e64ad140eebd4ab014d57c8710"/>
                  <w:lock w:val="sdtLocked"/>
                  <w:richText/>
                </w:sdtPr>
                <w:sdtContent>
                  <w:r>
                    <w:rPr>
                      <w:rFonts w:eastAsia="Andale Sans UI"/>
                      <w:b/>
                      <w:bCs/>
                      <w:szCs w:val="24"/>
                      <w:lang w:bidi="en-US"/>
                    </w:rPr>
                    <w:t>12</w:t>
                  </w:r>
                </w:sdtContent>
              </w:sdt>
              <w:r>
                <w:rPr>
                  <w:rFonts w:eastAsia="Andale Sans UI"/>
                  <w:b/>
                  <w:bCs/>
                  <w:szCs w:val="24"/>
                  <w:lang w:bidi="en-US"/>
                </w:rPr>
                <w:t>. Kita reikalinga informacija</w:t>
              </w:r>
            </w:p>
            <w:p>
              <w:pPr>
                <w:shd w:val="clear" w:color="auto" w:fill="FFFFFF"/>
                <w:spacing w:line="276" w:lineRule="auto"/>
                <w:ind w:firstLine="567"/>
                <w:jc w:val="both"/>
                <w:textAlignment w:val="center"/>
                <w:rPr>
                  <w:rFonts w:eastAsia="Andale Sans UI"/>
                  <w:color w:val="000000"/>
                  <w:szCs w:val="24"/>
                  <w:lang w:bidi="en-US"/>
                </w:rPr>
              </w:pPr>
              <w:r>
                <w:rPr>
                  <w:rFonts w:eastAsia="Andale Sans UI"/>
                  <w:szCs w:val="24"/>
                  <w:lang w:bidi="en-US"/>
                </w:rPr>
                <w:t>P</w:t>
              </w:r>
              <w:r>
                <w:rPr>
                  <w:rFonts w:eastAsia="Andale Sans UI"/>
                  <w:color w:val="000000"/>
                  <w:szCs w:val="24"/>
                  <w:lang w:bidi="en-US"/>
                </w:rPr>
                <w:t>rojektuose nereglamentuojamas asmens duomenų naudojimas.</w:t>
              </w:r>
            </w:p>
          </w:sdtContent>
        </w:sdt>
        <w:sdt>
          <w:sdtPr>
            <w:alias w:val="13 p."/>
            <w:tag w:val="part_da2890128f6346e08d62034cb54e75f6"/>
            <w:lock w:val="sdtLocked"/>
            <w:richText/>
          </w:sdtPr>
          <w:sdtContent>
            <w:p>
              <w:pPr>
                <w:spacing w:line="276" w:lineRule="auto"/>
                <w:ind w:firstLine="567"/>
                <w:jc w:val="both"/>
                <w:rPr>
                  <w:rFonts w:eastAsia="Andale Sans UI"/>
                  <w:b/>
                  <w:bCs/>
                  <w:i/>
                  <w:iCs/>
                  <w:color w:val="000000"/>
                  <w:szCs w:val="24"/>
                  <w:lang w:bidi="en-US"/>
                </w:rPr>
              </w:pPr>
              <w:sdt>
                <w:sdtPr>
                  <w:alias w:val="Numeris"/>
                  <w:tag w:val="nr_da2890128f6346e08d62034cb54e75f6"/>
                  <w:lock w:val="sdtLocked"/>
                  <w:richText/>
                </w:sdtPr>
                <w:sdtContent>
                  <w:r>
                    <w:rPr>
                      <w:rFonts w:eastAsia="Andale Sans UI"/>
                      <w:b/>
                      <w:bCs/>
                      <w:szCs w:val="24"/>
                      <w:lang w:bidi="en-US"/>
                    </w:rPr>
                    <w:t>13</w:t>
                  </w:r>
                </w:sdtContent>
              </w:sdt>
              <w:r>
                <w:rPr>
                  <w:rFonts w:eastAsia="Andale Sans UI"/>
                  <w:b/>
                  <w:bCs/>
                  <w:szCs w:val="24"/>
                  <w:lang w:bidi="en-US"/>
                </w:rPr>
                <w:t>. Konsultavimasis su visuomene</w:t>
              </w:r>
              <w:r>
                <w:rPr>
                  <w:rFonts w:eastAsia="Andale Sans UI"/>
                  <w:b/>
                  <w:bCs/>
                  <w:szCs w:val="24"/>
                  <w:vertAlign w:val="superscript"/>
                  <w:lang w:bidi="en-US"/>
                </w:rPr>
                <w:footnoteReference w:id="7"/>
              </w:r>
              <w:r>
                <w:rPr>
                  <w:rFonts w:eastAsia="Andale Sans UI"/>
                  <w:b/>
                  <w:bCs/>
                  <w:szCs w:val="24"/>
                  <w:lang w:bidi="en-US"/>
                </w:rPr>
                <w:t xml:space="preserve"> </w:t>
              </w:r>
              <w:r>
                <w:rPr>
                  <w:rFonts w:eastAsia="Andale Sans UI"/>
                  <w:b/>
                  <w:bCs/>
                  <w:color w:val="000000"/>
                  <w:szCs w:val="24"/>
                  <w:lang w:bidi="en-US"/>
                </w:rPr>
                <w:t>interneto svetainėje epilietis.lrv.lt</w:t>
              </w:r>
              <w:r>
                <w:rPr>
                  <w:rFonts w:eastAsia="Andale Sans UI"/>
                  <w:color w:val="000000"/>
                  <w:szCs w:val="24"/>
                  <w:lang w:bidi="en-US"/>
                </w:rPr>
                <w:t xml:space="preserve"> </w:t>
              </w:r>
              <w:r>
                <w:rPr>
                  <w:szCs w:val="24"/>
                  <w:lang w:eastAsia="lt-LT" w:bidi="en-US"/>
                </w:rPr>
                <w:t>(pažymimas tinkamas variantas)</w:t>
              </w:r>
            </w:p>
            <w:p>
              <w:pPr>
                <w:spacing w:line="276" w:lineRule="auto"/>
                <w:ind w:firstLine="567"/>
                <w:jc w:val="both"/>
                <w:rPr>
                  <w:i/>
                  <w:iCs/>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rojektas viešosioms konsultacijoms skelbtas interneto svetainėje epilietis.lrv.lt</w:t>
              </w:r>
              <w:r>
                <w:rPr>
                  <w:i/>
                  <w:iCs/>
                  <w:color w:val="000000"/>
                  <w:szCs w:val="24"/>
                  <w:lang w:eastAsia="lt-LT" w:bidi="en-US"/>
                </w:rPr>
                <w:t xml:space="preserve"> </w:t>
              </w:r>
            </w:p>
            <w:p>
              <w:pPr>
                <w:spacing w:line="276" w:lineRule="auto"/>
                <w:ind w:firstLine="567"/>
                <w:jc w:val="both"/>
                <w:rPr>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 xml:space="preserve">rojektų skelbti viešosioms konsultacijoms interneto svetainėje epilietis.lrv.lt </w:t>
              </w:r>
              <w:r>
                <w:rPr>
                  <w:color w:val="000000"/>
                  <w:szCs w:val="24"/>
                  <w:lang w:eastAsia="lt-LT" w:bidi="en-US"/>
                </w:rPr>
                <w:t xml:space="preserve">neplanuojama. </w:t>
              </w:r>
            </w:p>
          </w:sdtContent>
        </w:sdt>
        <w:sdt>
          <w:sdtPr>
            <w:alias w:val="14 p."/>
            <w:tag w:val="part_b6545559e0d0489b845d022f08614f37"/>
            <w:lock w:val="sdtLocked"/>
            <w:richText/>
          </w:sdtPr>
          <w:sdtContent>
            <w:p>
              <w:pPr>
                <w:spacing w:line="276" w:lineRule="auto"/>
                <w:ind w:firstLine="567"/>
                <w:jc w:val="both"/>
                <w:rPr>
                  <w:rFonts w:eastAsia="Andale Sans UI"/>
                  <w:b/>
                  <w:bCs/>
                  <w:color w:val="000000"/>
                  <w:szCs w:val="24"/>
                  <w:lang w:bidi="en-US"/>
                </w:rPr>
              </w:pPr>
              <w:sdt>
                <w:sdtPr>
                  <w:alias w:val="Numeris"/>
                  <w:tag w:val="nr_b6545559e0d0489b845d022f08614f37"/>
                  <w:lock w:val="sdtLocked"/>
                  <w:richText/>
                </w:sdtPr>
                <w:sdtContent>
                  <w:r>
                    <w:rPr>
                      <w:rFonts w:eastAsia="Andale Sans UI"/>
                      <w:b/>
                      <w:bCs/>
                      <w:szCs w:val="24"/>
                      <w:lang w:bidi="en-US"/>
                    </w:rPr>
                    <w:t>14</w:t>
                  </w:r>
                </w:sdtContent>
              </w:sdt>
              <w:r>
                <w:rPr>
                  <w:rFonts w:eastAsia="Andale Sans UI"/>
                  <w:b/>
                  <w:bCs/>
                  <w:szCs w:val="24"/>
                  <w:lang w:bidi="en-US"/>
                </w:rPr>
                <w:t>. Derinimas su suinteresuotomis institucijomis ir suinteresuotais asmenimis</w:t>
              </w:r>
            </w:p>
            <w:p>
              <w:pPr>
                <w:spacing w:line="276" w:lineRule="auto"/>
                <w:ind w:firstLine="567"/>
                <w:jc w:val="both"/>
                <w:rPr>
                  <w:rFonts w:eastAsia="Andale Sans UI"/>
                  <w:szCs w:val="24"/>
                  <w:lang w:bidi="en-US"/>
                </w:rPr>
              </w:pPr>
              <w:r>
                <w:rPr>
                  <w:rFonts w:eastAsia="Andale Sans UI"/>
                  <w:szCs w:val="24"/>
                  <w:lang w:bidi="en-US"/>
                </w:rPr>
                <w:t>Projektas skelbiamas Lietuvos Respublikos Seimo kanceliarijos teisės aktų informacinėje sistemoje (TAIS).</w:t>
              </w:r>
            </w:p>
            <w:p>
              <w:pPr>
                <w:spacing w:line="276" w:lineRule="auto"/>
                <w:ind w:firstLine="567"/>
                <w:jc w:val="both"/>
                <w:rPr>
                  <w:rFonts w:eastAsia="Andale Sans UI"/>
                  <w:szCs w:val="24"/>
                  <w:lang w:bidi="en-US"/>
                </w:rPr>
              </w:pPr>
              <w:r>
                <w:rPr>
                  <w:rFonts w:eastAsia="Andale Sans UI"/>
                  <w:szCs w:val="24"/>
                  <w:lang w:bidi="en-US"/>
                </w:rPr>
                <w:t xml:space="preserve">Derinimo terminas </w:t>
              </w:r>
              <w:r>
                <w:rPr>
                  <w:szCs w:val="24"/>
                  <w:lang w:eastAsia="lt-LT" w:bidi="en-US"/>
                </w:rPr>
                <w:t>(pažymimas tinkamas variantas)</w:t>
              </w:r>
              <w:r>
                <w:rPr>
                  <w:rFonts w:eastAsia="Andale Sans UI"/>
                  <w:szCs w:val="24"/>
                  <w:lang w:bidi="en-US"/>
                </w:rPr>
                <w:t>:</w:t>
              </w:r>
            </w:p>
            <w:p>
              <w:pPr>
                <w:spacing w:line="276" w:lineRule="auto"/>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20 darbo dienų </w:t>
              </w:r>
            </w:p>
            <w:p>
              <w:pPr>
                <w:spacing w:line="276" w:lineRule="auto"/>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10 darbo dienų </w:t>
              </w:r>
            </w:p>
            <w:p>
              <w:pPr>
                <w:spacing w:line="276" w:lineRule="auto"/>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5 darbo dienos (</w:t>
              </w:r>
              <w:r>
                <w:rPr>
                  <w:rFonts w:eastAsia="Andale Sans UI"/>
                  <w:i/>
                  <w:iCs/>
                  <w:szCs w:val="24"/>
                  <w:lang w:bidi="en-US"/>
                </w:rPr>
                <w:t>dėl Vyriausybės nutarimų projektų, kuriuose teikiamos Vyriausybės išvados dėl Seime svarstomų teisės aktų projektų, arba surašomas motyvuotas prašymas pateikti išvadas dėl Projekto skubos tvarka Vyriausybės darbo reglamento</w:t>
              </w:r>
              <w:r>
                <w:rPr>
                  <w:rFonts w:eastAsia="Andale Sans UI"/>
                  <w:i/>
                  <w:iCs/>
                  <w:szCs w:val="24"/>
                  <w:vertAlign w:val="superscript"/>
                  <w:lang w:bidi="en-US"/>
                </w:rPr>
                <w:t>10</w:t>
              </w:r>
              <w:r>
                <w:rPr>
                  <w:rFonts w:eastAsia="Andale Sans UI"/>
                  <w:i/>
                  <w:iCs/>
                  <w:szCs w:val="24"/>
                  <w:lang w:bidi="en-US"/>
                </w:rPr>
                <w:t xml:space="preserve"> 28 punkte išvardytais išimtiniais atvejais </w:t>
              </w:r>
              <w:r>
                <w:rPr>
                  <w:rFonts w:eastAsia="Andale Sans UI"/>
                  <w:szCs w:val="24"/>
                  <w:lang w:bidi="en-US"/>
                </w:rPr>
                <w:t>)</w:t>
              </w:r>
              <w:r>
                <w:rPr>
                  <w:rFonts w:eastAsia="Andale Sans UI"/>
                  <w:i/>
                  <w:iCs/>
                  <w:szCs w:val="24"/>
                  <w:lang w:bidi="en-US"/>
                </w:rPr>
                <w:t>.</w:t>
              </w:r>
              <w:r>
                <w:rPr>
                  <w:rFonts w:eastAsia="Andale Sans UI"/>
                  <w:szCs w:val="24"/>
                  <w:lang w:bidi="en-US"/>
                </w:rPr>
                <w:t> </w:t>
              </w:r>
            </w:p>
          </w:sdtContent>
        </w:sdt>
        <w:sdt>
          <w:sdtPr>
            <w:alias w:val="15 p."/>
            <w:tag w:val="part_362d234a7993422fad7a431d66f3ff9f"/>
            <w:lock w:val="sdtLocked"/>
            <w:richText/>
          </w:sdtPr>
          <w:sdtContent>
            <w:p>
              <w:pPr>
                <w:spacing w:line="276" w:lineRule="auto"/>
                <w:ind w:firstLine="567"/>
                <w:jc w:val="both"/>
                <w:rPr>
                  <w:rFonts w:eastAsia="Andale Sans UI"/>
                  <w:szCs w:val="24"/>
                  <w:lang w:bidi="en-US"/>
                </w:rPr>
              </w:pPr>
              <w:sdt>
                <w:sdtPr>
                  <w:alias w:val="Numeris"/>
                  <w:tag w:val="nr_362d234a7993422fad7a431d66f3ff9f"/>
                  <w:lock w:val="sdtLocked"/>
                  <w:richText/>
                </w:sdtPr>
                <w:sdtContent>
                  <w:r>
                    <w:rPr>
                      <w:rFonts w:eastAsia="Andale Sans UI"/>
                      <w:b/>
                      <w:bCs/>
                      <w:szCs w:val="24"/>
                      <w:lang w:bidi="en-US"/>
                    </w:rPr>
                    <w:t>15</w:t>
                  </w:r>
                </w:sdtContent>
              </w:sdt>
              <w:r>
                <w:rPr>
                  <w:rFonts w:eastAsia="Andale Sans UI"/>
                  <w:b/>
                  <w:bCs/>
                  <w:szCs w:val="24"/>
                  <w:lang w:bidi="en-US"/>
                </w:rPr>
                <w:t>. Projektų rengėjai</w:t>
              </w:r>
              <w:r>
                <w:rPr>
                  <w:rFonts w:eastAsia="Andale Sans UI"/>
                  <w:szCs w:val="24"/>
                  <w:lang w:bidi="en-US"/>
                </w:rPr>
                <w:t xml:space="preserve"> </w:t>
              </w:r>
            </w:p>
            <w:p>
              <w:pPr>
                <w:shd w:val="clear" w:color="auto" w:fill="FFFFFF"/>
                <w:spacing w:line="276" w:lineRule="auto"/>
                <w:ind w:firstLine="709"/>
                <w:jc w:val="both"/>
                <w:rPr>
                  <w:rFonts w:eastAsia="Andale Sans UI"/>
                  <w:szCs w:val="24"/>
                  <w:lang w:val="lt" w:bidi="en-US"/>
                </w:rPr>
              </w:pPr>
              <w:r>
                <w:rPr>
                  <w:color w:val="000000"/>
                  <w:szCs w:val="24"/>
                  <w:lang w:bidi="en-US"/>
                </w:rPr>
                <w:t>Įstatymų projektus parengė Aplinkos ministerijos Atliekų politikos grupės (vadovė – Vilma Slavinskienė, tel. +370 698 75 027, el. p. </w:t>
              </w:r>
              <w:r>
                <w:rPr>
                  <w:color w:val="000080"/>
                  <w:szCs w:val="24"/>
                  <w:lang w:bidi="en-US"/>
                </w:rPr>
                <w:t>vilma.slavinskiene@am.lt</w:t>
              </w:r>
              <w:r>
                <w:rPr>
                  <w:color w:val="000000"/>
                  <w:szCs w:val="24"/>
                  <w:lang w:bidi="en-US"/>
                </w:rPr>
                <w:t>) vyr. patarėjas Mindaugas Kauzonas (tel. +370 695 26 717, el. p. </w:t>
              </w:r>
              <w:r>
                <w:rPr>
                  <w:color w:val="000080"/>
                  <w:szCs w:val="24"/>
                  <w:lang w:bidi="en-US"/>
                </w:rPr>
                <w:t>mindaugas.kauzonas@am.lt</w:t>
              </w:r>
              <w:r>
                <w:rPr>
                  <w:color w:val="000000"/>
                  <w:szCs w:val="24"/>
                  <w:lang w:bidi="en-US"/>
                </w:rPr>
                <w:t xml:space="preserve">), vyr. specialistė Jurga Girdziušienė, (tel. +370 695 49 899, el. p. </w:t>
              </w:r>
              <w:r>
                <w:rPr>
                  <w:color w:val="000080"/>
                  <w:szCs w:val="24"/>
                  <w:lang w:bidi="en-US"/>
                </w:rPr>
                <w:t>jurga.girdziusiene</w:t>
              </w:r>
              <w:r>
                <w:rPr>
                  <w:color w:val="000080"/>
                  <w:szCs w:val="24"/>
                  <w:lang w:val="pt-BR" w:bidi="en-US"/>
                </w:rPr>
                <w:t>@am.lt</w:t>
              </w:r>
              <w:r>
                <w:rPr>
                  <w:color w:val="000000"/>
                  <w:szCs w:val="24"/>
                  <w:lang w:bidi="en-US"/>
                </w:rPr>
                <w:t xml:space="preserve">), Miškų politikos grupės (vadovas – Aurimas Saladžius, tel. +370 696 59 321, el. p. aurimas.saladzius@am.lt) vyr. patarėjas Donatas Vaikasas (tel. +370 696 49 889, el. p. </w:t>
              </w:r>
              <w:r>
                <w:rPr>
                  <w:color w:val="000080"/>
                  <w:szCs w:val="24"/>
                  <w:lang w:bidi="en-US"/>
                </w:rPr>
                <w:t>donatas.vaikasas@am.lt</w:t>
              </w:r>
              <w:r>
                <w:rPr>
                  <w:color w:val="000000"/>
                  <w:szCs w:val="24"/>
                  <w:lang w:bidi="en-US"/>
                </w:rPr>
                <w:t xml:space="preserve">), vyr. specialistė Daiva Kazlauskienė (tel. +370 686 07 316, el. p. </w:t>
              </w:r>
              <w:r>
                <w:rPr>
                  <w:color w:val="000080"/>
                  <w:szCs w:val="24"/>
                  <w:lang w:bidi="en-US"/>
                </w:rPr>
                <w:t>daiva.kazlauskiene@am.lt</w:t>
              </w:r>
              <w:r>
                <w:rPr>
                  <w:color w:val="000000"/>
                  <w:szCs w:val="24"/>
                  <w:lang w:bidi="en-US"/>
                </w:rPr>
                <w:t>), Klimato politikos grupės (vadovė – Vilija Augutavičienė, tel. +370 686 17 484, el. p.</w:t>
              </w:r>
              <w:r>
                <w:rPr>
                  <w:color w:val="0563C1"/>
                  <w:szCs w:val="24"/>
                  <w:lang w:bidi="en-US"/>
                </w:rPr>
                <w:t xml:space="preserve"> </w:t>
              </w:r>
              <w:r>
                <w:rPr>
                  <w:color w:val="000080"/>
                  <w:szCs w:val="24"/>
                  <w:lang w:bidi="en-US"/>
                </w:rPr>
                <w:t>vilija.augutaviciene@am.lt</w:t>
              </w:r>
              <w:r>
                <w:rPr>
                  <w:color w:val="000000"/>
                  <w:szCs w:val="24"/>
                  <w:lang w:bidi="en-US"/>
                </w:rPr>
                <w:t xml:space="preserve">) vyresn. patarėja Stasilė Znutienė (tel. +370 696 51 357, el. p. </w:t>
              </w:r>
              <w:r>
                <w:rPr>
                  <w:color w:val="000080"/>
                  <w:szCs w:val="24"/>
                  <w:lang w:bidi="en-US"/>
                </w:rPr>
                <w:t>stasile.znutiene@am.lt</w:t>
              </w:r>
              <w:r>
                <w:rPr>
                  <w:color w:val="000080"/>
                  <w:szCs w:val="24"/>
                  <w:lang w:bidi="en-US"/>
                </w:rPr>
                <w:t>)</w:t>
              </w:r>
              <w:r>
                <w:rPr>
                  <w:color w:val="000000"/>
                  <w:szCs w:val="24"/>
                  <w:lang w:bidi="en-US"/>
                </w:rPr>
                <w:t xml:space="preserve">, vyr. specialistė Skaistė Garlaitė (tel. +370 650 10 109, el. p. </w:t>
              </w:r>
              <w:r>
                <w:rPr>
                  <w:color w:val="000080"/>
                  <w:szCs w:val="24"/>
                  <w:lang w:bidi="en-US"/>
                </w:rPr>
                <w:t>skaiste.garlaite@am.lt</w:t>
              </w:r>
              <w:r>
                <w:rPr>
                  <w:color w:val="000000"/>
                  <w:szCs w:val="24"/>
                  <w:lang w:bidi="en-US"/>
                </w:rPr>
                <w:t xml:space="preserve">), vyr. patarėjas Tomas Aukštinaitis (tel. +370 610 79 985, el. p. </w:t>
              </w:r>
              <w:r>
                <w:rPr>
                  <w:color w:val="0563C1"/>
                  <w:szCs w:val="24"/>
                  <w:lang w:bidi="en-US"/>
                </w:rPr>
                <w:t>tomas.aukstinaitis@am.lt</w:t>
              </w:r>
              <w:r>
                <w:rPr>
                  <w:szCs w:val="24"/>
                  <w:lang w:bidi="en-US"/>
                </w:rPr>
                <w:t>),</w:t>
              </w:r>
              <w:r>
                <w:rPr>
                  <w:color w:val="000000"/>
                  <w:szCs w:val="24"/>
                  <w:lang w:bidi="en-US"/>
                </w:rPr>
                <w:t xml:space="preserve"> </w:t>
              </w:r>
              <w:r>
                <w:rPr>
                  <w:color w:val="000000"/>
                  <w:szCs w:val="24"/>
                  <w:lang w:val="lt" w:bidi="en-US"/>
                </w:rPr>
                <w:t xml:space="preserve">Taršos prevencijos politikos grupės (vadovas – Vitalijus Auglys, tel. +370 686 46 087, el. p. </w:t>
              </w:r>
              <w:r>
                <w:rPr>
                  <w:color w:val="000080"/>
                  <w:szCs w:val="24"/>
                  <w:lang w:val="lt" w:bidi="en-US"/>
                </w:rPr>
                <w:t>vitalijus.auglys@am.lt</w:t>
              </w:r>
              <w:r>
                <w:rPr>
                  <w:szCs w:val="24"/>
                  <w:lang w:val="lt" w:bidi="en-US"/>
                </w:rPr>
                <w:t>)</w:t>
              </w:r>
              <w:r>
                <w:rPr>
                  <w:color w:val="000000"/>
                  <w:szCs w:val="24"/>
                  <w:lang w:val="lt" w:bidi="en-US"/>
                </w:rPr>
                <w:t xml:space="preserve"> vyresn. patarėja Dovilė Navickienė (tel. +370 603 54 457, el. p. </w:t>
              </w:r>
              <w:r>
                <w:rPr>
                  <w:color w:val="000080"/>
                  <w:szCs w:val="24"/>
                  <w:lang w:val="lt" w:bidi="en-US"/>
                </w:rPr>
                <w:t>dovile.navickiene</w:t>
              </w:r>
              <w:r>
                <w:rPr>
                  <w:color w:val="000080"/>
                  <w:szCs w:val="24"/>
                  <w:lang w:val="pt-BR" w:bidi="en-US"/>
                </w:rPr>
                <w:t>@am.lt</w:t>
              </w:r>
              <w:r>
                <w:rPr>
                  <w:color w:val="000000"/>
                  <w:szCs w:val="24"/>
                  <w:lang w:val="lt" w:bidi="en-US"/>
                </w:rPr>
                <w:t>)</w:t>
              </w:r>
              <w:r>
                <w:rPr>
                  <w:color w:val="000000"/>
                  <w:szCs w:val="24"/>
                  <w:lang w:val="pt-BR" w:bidi="en-US"/>
                </w:rPr>
                <w:t>, v</w:t>
              </w:r>
              <w:r>
                <w:rPr>
                  <w:color w:val="000000"/>
                  <w:szCs w:val="24"/>
                  <w:lang w:val="lt" w:bidi="en-US"/>
                </w:rPr>
                <w:t xml:space="preserve">yresn. patarėja Donata Pipiraitė-Vališkienė (tel. +370 687 25 786, el. p. </w:t>
              </w:r>
              <w:r>
                <w:rPr>
                  <w:color w:val="0563C1"/>
                  <w:szCs w:val="24"/>
                  <w:lang w:val="lt" w:bidi="en-US"/>
                </w:rPr>
                <w:t>donata.valiskiene@am.lt</w:t>
              </w:r>
              <w:r>
                <w:rPr>
                  <w:color w:val="000000"/>
                  <w:szCs w:val="24"/>
                  <w:lang w:val="lt" w:bidi="en-US"/>
                </w:rPr>
                <w:t>), vyresn. patarėja Elena Auglienė (tel. + 370  645 22 458, e. p</w:t>
              </w:r>
              <w:r>
                <w:rPr>
                  <w:color w:val="0563C1"/>
                  <w:szCs w:val="24"/>
                  <w:lang w:val="lt" w:bidi="en-US"/>
                </w:rPr>
                <w:t xml:space="preserve">. </w:t>
              </w:r>
              <w:r>
                <w:rPr>
                  <w:color w:val="000080"/>
                  <w:szCs w:val="24"/>
                  <w:u w:val="single"/>
                  <w:lang w:val="lt" w:bidi="en-US"/>
                </w:rPr>
                <w:t>elena.augliene@am.lt</w:t>
              </w:r>
              <w:r>
                <w:rPr>
                  <w:color w:val="000000"/>
                  <w:szCs w:val="24"/>
                  <w:lang w:val="lt" w:bidi="en-US"/>
                </w:rPr>
                <w:t xml:space="preserve">), vyresn. patarėjas Irmantas Valūnas (tel. +370 684 04 000, el. p. </w:t>
              </w:r>
              <w:r>
                <w:rPr>
                  <w:color w:val="0563C1"/>
                  <w:szCs w:val="24"/>
                  <w:lang w:val="lt" w:bidi="en-US"/>
                </w:rPr>
                <w:t>irmantas.valunas@am.lt</w:t>
              </w:r>
              <w:r>
                <w:rPr>
                  <w:color w:val="000000"/>
                  <w:szCs w:val="24"/>
                  <w:lang w:val="lt" w:bidi="en-US"/>
                </w:rPr>
                <w:t xml:space="preserve">), patarėja Ingrida Varžgalienė (tel. +370 618 60 873, el. p. </w:t>
              </w:r>
              <w:r>
                <w:rPr>
                  <w:color w:val="0563C1"/>
                  <w:szCs w:val="24"/>
                  <w:lang w:val="lt" w:bidi="en-US"/>
                </w:rPr>
                <w:t>ingrida.varzgaliene@am.lt)</w:t>
              </w:r>
              <w:r>
                <w:rPr>
                  <w:color w:val="000000"/>
                  <w:szCs w:val="24"/>
                  <w:lang w:val="lt" w:bidi="en-US"/>
                </w:rPr>
                <w:t xml:space="preserve">, patarėja Aurelija Bajoraitienė (tel. +370 618 76 434, </w:t>
              </w:r>
              <w:r>
                <w:rPr>
                  <w:color w:val="000080"/>
                  <w:szCs w:val="24"/>
                  <w:lang w:val="lt" w:bidi="en-US"/>
                </w:rPr>
                <w:t>aurelija.bajoraitiene@am.lt</w:t>
              </w:r>
              <w:r>
                <w:rPr>
                  <w:color w:val="000000"/>
                  <w:szCs w:val="24"/>
                  <w:lang w:bidi="en-US"/>
                </w:rPr>
                <w:t xml:space="preserve">), </w:t>
              </w:r>
              <w:r>
                <w:rPr>
                  <w:rFonts w:eastAsia="Andale Sans UI"/>
                  <w:szCs w:val="24"/>
                  <w:lang w:bidi="en-US"/>
                </w:rPr>
                <w:t xml:space="preserve">patarėjas Kastytis Gedminas (tel. +370 618 30 134, </w:t>
              </w:r>
              <w:r>
                <w:rPr>
                  <w:rFonts w:eastAsia="Andale Sans UI"/>
                  <w:color w:val="000080"/>
                  <w:szCs w:val="24"/>
                  <w:u w:val="single"/>
                  <w:lang w:bidi="en-US"/>
                </w:rPr>
                <w:t>kastytis.gedminas@am.lt</w:t>
              </w:r>
              <w:r>
                <w:rPr>
                  <w:rFonts w:eastAsia="Andale Sans UI"/>
                  <w:szCs w:val="24"/>
                  <w:lang w:bidi="en-US"/>
                </w:rPr>
                <w:t xml:space="preserve">), </w:t>
              </w:r>
              <w:r>
                <w:rPr>
                  <w:szCs w:val="24"/>
                  <w:lang w:bidi="en-US"/>
                </w:rPr>
                <w:t xml:space="preserve">Gamtos apsaugos politikos grupės (vadovas – Algirdas Klimavičius, tel. +370 686 17295, el. p. </w:t>
              </w:r>
              <w:r>
                <w:rPr>
                  <w:color w:val="0070C0"/>
                  <w:szCs w:val="24"/>
                  <w:lang w:bidi="en-US"/>
                </w:rPr>
                <w:t>algirdas.klimavicius@am.lt</w:t>
              </w:r>
              <w:r>
                <w:rPr>
                  <w:szCs w:val="24"/>
                  <w:lang w:bidi="en-US"/>
                </w:rPr>
                <w:t xml:space="preserve">) vyresn. patarėja Laura Janulaitienė (tel. +370 698 83 219, el. p. </w:t>
              </w:r>
              <w:r>
                <w:rPr>
                  <w:color w:val="0070C0"/>
                  <w:szCs w:val="24"/>
                  <w:lang w:bidi="en-US"/>
                </w:rPr>
                <w:t>laura.janulaitiene@am.lt</w:t>
              </w:r>
              <w:r>
                <w:rPr>
                  <w:szCs w:val="24"/>
                  <w:lang w:bidi="en-US"/>
                </w:rPr>
                <w:t xml:space="preserve">), vyr. specialistė Kristina Jankauskaitė (tel. +370 645 09 324, el. p. </w:t>
              </w:r>
              <w:r>
                <w:rPr>
                  <w:color w:val="0070C0"/>
                  <w:szCs w:val="24"/>
                  <w:lang w:bidi="en-US"/>
                </w:rPr>
                <w:t>kristina.jankauskaite@am.lt</w:t>
              </w:r>
              <w:r>
                <w:rPr>
                  <w:szCs w:val="24"/>
                  <w:lang w:bidi="en-US"/>
                </w:rPr>
                <w:t xml:space="preserve">), </w:t>
              </w:r>
              <w:r>
                <w:rPr>
                  <w:szCs w:val="24"/>
                  <w:lang w:val="lt" w:bidi="en-US"/>
                </w:rPr>
                <w:t xml:space="preserve">Aplinkos apsaugos politikos įgyvendinimo koordinavimo grupės </w:t>
              </w:r>
              <w:r>
                <w:rPr>
                  <w:szCs w:val="24"/>
                  <w:lang w:bidi="en-US"/>
                </w:rPr>
                <w:t>(patarėjas, laikinai vykdantis grupės vadovo funkcijas – Andrius Girdziušas, tel. +370 695 62 741, el. p. </w:t>
              </w:r>
              <w:r>
                <w:rPr>
                  <w:color w:val="000080"/>
                  <w:szCs w:val="24"/>
                  <w:u w:val="single"/>
                  <w:lang w:bidi="en-US"/>
                </w:rPr>
                <w:t>andrius.girdziusas@am.lt</w:t>
              </w:r>
              <w:r>
                <w:rPr>
                  <w:szCs w:val="24"/>
                  <w:lang w:bidi="en-US"/>
                </w:rPr>
                <w:t>)</w:t>
              </w:r>
              <w:r>
                <w:rPr>
                  <w:szCs w:val="24"/>
                  <w:lang w:val="lt" w:bidi="en-US"/>
                </w:rPr>
                <w:t xml:space="preserve"> </w:t>
              </w:r>
              <w:r>
                <w:rPr>
                  <w:szCs w:val="24"/>
                  <w:lang w:bidi="en-US"/>
                </w:rPr>
                <w:t>vyr. specialistė Justina Aukštinaitienė</w:t>
              </w:r>
              <w:r>
                <w:rPr>
                  <w:szCs w:val="24"/>
                  <w:u w:val="single"/>
                  <w:lang w:bidi="en-US"/>
                </w:rPr>
                <w:t xml:space="preserve"> </w:t>
              </w:r>
              <w:r>
                <w:rPr>
                  <w:color w:val="294903"/>
                  <w:szCs w:val="24"/>
                  <w:u w:val="single"/>
                  <w:lang w:bidi="en-US"/>
                </w:rPr>
                <w:t>(</w:t>
              </w:r>
              <w:r>
                <w:rPr>
                  <w:color w:val="000000"/>
                  <w:szCs w:val="24"/>
                  <w:lang w:val="lt" w:bidi="en-US"/>
                </w:rPr>
                <w:t xml:space="preserve">tel. +370 695 01 513, el. p. </w:t>
              </w:r>
              <w:r>
                <w:rPr>
                  <w:color w:val="000080"/>
                  <w:szCs w:val="24"/>
                  <w:u w:val="single"/>
                  <w:lang w:val="lt" w:bidi="en-US"/>
                </w:rPr>
                <w:t>justina.aukstinaitiene@am.lt</w:t>
              </w:r>
              <w:r>
                <w:rPr>
                  <w:color w:val="294903"/>
                  <w:szCs w:val="24"/>
                  <w:u w:val="single"/>
                  <w:lang w:bidi="en-US"/>
                </w:rPr>
                <w:t>)</w:t>
              </w:r>
              <w:r>
                <w:rPr>
                  <w:color w:val="000000"/>
                  <w:szCs w:val="24"/>
                  <w:lang w:val="lt" w:bidi="en-US"/>
                </w:rPr>
                <w:t>.</w:t>
              </w:r>
            </w:p>
            <w:p>
              <w:pPr>
                <w:spacing w:line="276" w:lineRule="auto"/>
                <w:ind w:firstLine="567"/>
                <w:jc w:val="both"/>
                <w:rPr>
                  <w:rFonts w:eastAsia="Andale Sans UI"/>
                  <w:szCs w:val="24"/>
                  <w:lang w:bidi="en-US"/>
                </w:rPr>
              </w:pPr>
              <w:r>
                <w:rPr>
                  <w:rFonts w:eastAsia="Andale Sans UI"/>
                  <w:szCs w:val="24"/>
                  <w:lang w:bidi="en-US"/>
                </w:rPr>
                <w:t xml:space="preserve">PRIDEDAMA: </w:t>
              </w:r>
            </w:p>
          </w:sdtContent>
        </w:sdt>
        <w:sdt>
          <w:sdtPr>
            <w:alias w:val="1 p."/>
            <w:tag w:val="part_da2b28a2d4b747bbb41f767fdf58e9b6"/>
            <w:lock w:val="sdtLocked"/>
            <w:richText/>
          </w:sdtPr>
          <w:sdtContent>
            <w:p>
              <w:pPr>
                <w:spacing w:line="276" w:lineRule="auto"/>
                <w:ind w:firstLine="567"/>
                <w:jc w:val="both"/>
                <w:rPr>
                  <w:rFonts w:eastAsia="Andale Sans UI"/>
                  <w:szCs w:val="24"/>
                  <w:lang w:bidi="en-US"/>
                </w:rPr>
              </w:pPr>
              <w:sdt>
                <w:sdtPr>
                  <w:alias w:val="Numeris"/>
                  <w:tag w:val="nr_da2b28a2d4b747bbb41f767fdf58e9b6"/>
                  <w:lock w:val="sdtLocked"/>
                  <w:richText/>
                </w:sdtPr>
                <w:sdtContent>
                  <w:r>
                    <w:rPr>
                      <w:rFonts w:eastAsia="Andale Sans UI"/>
                      <w:szCs w:val="24"/>
                      <w:lang w:bidi="en-US"/>
                    </w:rPr>
                    <w:t>1</w:t>
                  </w:r>
                </w:sdtContent>
              </w:sdt>
              <w:r>
                <w:rPr>
                  <w:rFonts w:eastAsia="Andale Sans UI"/>
                  <w:szCs w:val="24"/>
                  <w:lang w:bidi="en-US"/>
                </w:rPr>
                <w:t xml:space="preserve">.  </w:t>
              </w:r>
              <w:r>
                <w:rPr>
                  <w:rFonts w:eastAsia="Andale Sans UI"/>
                  <w:color w:val="000000"/>
                  <w:szCs w:val="24"/>
                  <w:lang w:bidi="en-US"/>
                </w:rPr>
                <w:t xml:space="preserve">Lietuvos Respublikos administracinių nusižengimų kodekso </w:t>
              </w:r>
              <w:r>
                <w:rPr>
                  <w:rFonts w:eastAsia="Andale Sans UI"/>
                  <w:szCs w:val="24"/>
                  <w:lang w:bidi="en-US"/>
                </w:rPr>
                <w:t>12, 27, 29, 243</w:t>
              </w:r>
              <w:r>
                <w:rPr>
                  <w:rFonts w:eastAsia="Andale Sans UI"/>
                  <w:szCs w:val="24"/>
                  <w:vertAlign w:val="superscript"/>
                  <w:lang w:bidi="en-US"/>
                </w:rPr>
                <w:t>1</w:t>
              </w:r>
              <w:r>
                <w:rPr>
                  <w:rFonts w:eastAsia="Andale Sans UI"/>
                  <w:szCs w:val="24"/>
                  <w:lang w:bidi="en-US"/>
                </w:rPr>
                <w:t>, 251, 304</w:t>
              </w:r>
              <w:r>
                <w:rPr>
                  <w:rFonts w:eastAsia="Andale Sans UI"/>
                  <w:caps/>
                  <w:szCs w:val="24"/>
                  <w:vertAlign w:val="superscript"/>
                  <w:lang w:bidi="en-US"/>
                </w:rPr>
                <w:t>2</w:t>
              </w:r>
              <w:r>
                <w:rPr>
                  <w:rFonts w:eastAsia="Andale Sans UI"/>
                  <w:szCs w:val="24"/>
                  <w:lang w:bidi="en-US"/>
                </w:rPr>
                <w:t>, 308</w:t>
              </w:r>
              <w:r>
                <w:rPr>
                  <w:rFonts w:eastAsia="Andale Sans UI"/>
                  <w:szCs w:val="24"/>
                  <w:vertAlign w:val="superscript"/>
                  <w:lang w:bidi="en-US"/>
                </w:rPr>
                <w:t>1</w:t>
              </w:r>
              <w:r>
                <w:rPr>
                  <w:rFonts w:eastAsia="Andale Sans UI"/>
                  <w:szCs w:val="24"/>
                  <w:lang w:bidi="en-US"/>
                </w:rPr>
                <w:t xml:space="preserve">, 310, 589 </w:t>
              </w:r>
              <w:r>
                <w:rPr>
                  <w:rFonts w:eastAsia="Andale Sans UI"/>
                  <w:color w:val="000000"/>
                  <w:szCs w:val="24"/>
                  <w:lang w:bidi="en-US"/>
                </w:rPr>
                <w:t>straipsnių ir priedo pakeitimo,</w:t>
              </w:r>
              <w:r>
                <w:rPr>
                  <w:rFonts w:eastAsia="Andale Sans UI"/>
                  <w:szCs w:val="24"/>
                  <w:lang w:bidi="en-US"/>
                </w:rPr>
                <w:t xml:space="preserve"> Kodekso papildymo 31</w:t>
              </w:r>
              <w:r>
                <w:rPr>
                  <w:rFonts w:eastAsia="Andale Sans UI"/>
                  <w:szCs w:val="24"/>
                  <w:vertAlign w:val="superscript"/>
                  <w:lang w:bidi="en-US"/>
                </w:rPr>
                <w:t>2</w:t>
              </w:r>
              <w:r>
                <w:rPr>
                  <w:rFonts w:eastAsia="Andale Sans UI"/>
                  <w:szCs w:val="24"/>
                  <w:lang w:bidi="en-US"/>
                </w:rPr>
                <w:t>, 243</w:t>
              </w:r>
              <w:r>
                <w:rPr>
                  <w:rFonts w:eastAsia="Andale Sans UI"/>
                  <w:szCs w:val="24"/>
                  <w:vertAlign w:val="superscript"/>
                  <w:lang w:bidi="en-US"/>
                </w:rPr>
                <w:t>2</w:t>
              </w:r>
              <w:r>
                <w:rPr>
                  <w:rFonts w:eastAsia="Andale Sans UI"/>
                  <w:szCs w:val="24"/>
                  <w:lang w:bidi="en-US"/>
                </w:rPr>
                <w:t>,</w:t>
              </w:r>
              <w:r>
                <w:rPr>
                  <w:rFonts w:eastAsia="Andale Sans UI"/>
                  <w:szCs w:val="24"/>
                  <w:vertAlign w:val="superscript"/>
                  <w:lang w:bidi="en-US"/>
                </w:rPr>
                <w:t xml:space="preserve"> </w:t>
              </w:r>
              <w:r>
                <w:rPr>
                  <w:rFonts w:eastAsia="Andale Sans UI"/>
                  <w:szCs w:val="24"/>
                  <w:lang w:bidi="en-US"/>
                </w:rPr>
                <w:t>270</w:t>
              </w:r>
              <w:r>
                <w:rPr>
                  <w:rFonts w:eastAsia="Andale Sans UI"/>
                  <w:szCs w:val="24"/>
                  <w:vertAlign w:val="superscript"/>
                  <w:lang w:bidi="en-US"/>
                </w:rPr>
                <w:t>2</w:t>
              </w:r>
              <w:r>
                <w:rPr>
                  <w:rFonts w:eastAsia="Andale Sans UI"/>
                  <w:szCs w:val="24"/>
                  <w:lang w:bidi="en-US"/>
                </w:rPr>
                <w:t xml:space="preserve"> straipsniais ir 243</w:t>
              </w:r>
              <w:r>
                <w:rPr>
                  <w:rFonts w:eastAsia="Andale Sans UI"/>
                  <w:szCs w:val="24"/>
                  <w:vertAlign w:val="superscript"/>
                  <w:lang w:bidi="en-US"/>
                </w:rPr>
                <w:t>1</w:t>
              </w:r>
              <w:r>
                <w:rPr>
                  <w:rFonts w:eastAsia="Andale Sans UI"/>
                  <w:szCs w:val="24"/>
                  <w:lang w:bidi="en-US"/>
                </w:rPr>
                <w:t> straipsnio pripažinimo netekusiu galios įstatymo projektas, 11 lapų.</w:t>
              </w:r>
            </w:p>
          </w:sdtContent>
        </w:sdt>
        <w:sdt>
          <w:sdtPr>
            <w:alias w:val="2 p."/>
            <w:tag w:val="part_2372ad754492494691776af9359cbf61"/>
            <w:lock w:val="sdtLocked"/>
            <w:richText/>
          </w:sdtPr>
          <w:sdtContent>
            <w:p>
              <w:pPr>
                <w:spacing w:line="276" w:lineRule="auto"/>
                <w:ind w:firstLine="567"/>
                <w:jc w:val="both"/>
                <w:rPr>
                  <w:rFonts w:eastAsia="Andale Sans UI"/>
                  <w:szCs w:val="24"/>
                  <w:lang w:bidi="en-US"/>
                </w:rPr>
              </w:pPr>
              <w:sdt>
                <w:sdtPr>
                  <w:alias w:val="Numeris"/>
                  <w:tag w:val="nr_2372ad754492494691776af9359cbf61"/>
                  <w:lock w:val="sdtLocked"/>
                  <w:richText/>
                </w:sdtPr>
                <w:sdtContent>
                  <w:r>
                    <w:rPr>
                      <w:rFonts w:eastAsia="Andale Sans UI"/>
                      <w:szCs w:val="24"/>
                      <w:lang w:bidi="en-US"/>
                    </w:rPr>
                    <w:t>2</w:t>
                  </w:r>
                </w:sdtContent>
              </w:sdt>
              <w:r>
                <w:rPr>
                  <w:rFonts w:eastAsia="Andale Sans UI"/>
                  <w:szCs w:val="24"/>
                  <w:lang w:bidi="en-US"/>
                </w:rPr>
                <w:t xml:space="preserve">. </w:t>
              </w:r>
              <w:r>
                <w:rPr>
                  <w:rFonts w:eastAsia="Andale Sans UI"/>
                  <w:color w:val="000000"/>
                  <w:szCs w:val="24"/>
                  <w:lang w:bidi="en-US"/>
                </w:rPr>
                <w:t xml:space="preserve">Lietuvos Respublikos administracinių nusižengimų kodekso </w:t>
              </w:r>
              <w:r>
                <w:rPr>
                  <w:rFonts w:eastAsia="Andale Sans UI"/>
                  <w:szCs w:val="24"/>
                  <w:lang w:bidi="en-US"/>
                </w:rPr>
                <w:t>12, 27, 29, 243</w:t>
              </w:r>
              <w:r>
                <w:rPr>
                  <w:rFonts w:eastAsia="Andale Sans UI"/>
                  <w:szCs w:val="24"/>
                  <w:vertAlign w:val="superscript"/>
                  <w:lang w:bidi="en-US"/>
                </w:rPr>
                <w:t>1</w:t>
              </w:r>
              <w:r>
                <w:rPr>
                  <w:rFonts w:eastAsia="Andale Sans UI"/>
                  <w:szCs w:val="24"/>
                  <w:lang w:bidi="en-US"/>
                </w:rPr>
                <w:t>, 251, 304</w:t>
              </w:r>
              <w:r>
                <w:rPr>
                  <w:rFonts w:eastAsia="Andale Sans UI"/>
                  <w:caps/>
                  <w:szCs w:val="24"/>
                  <w:vertAlign w:val="superscript"/>
                  <w:lang w:bidi="en-US"/>
                </w:rPr>
                <w:t>2</w:t>
              </w:r>
              <w:r>
                <w:rPr>
                  <w:rFonts w:eastAsia="Andale Sans UI"/>
                  <w:szCs w:val="24"/>
                  <w:lang w:bidi="en-US"/>
                </w:rPr>
                <w:t>, 308</w:t>
              </w:r>
              <w:r>
                <w:rPr>
                  <w:rFonts w:eastAsia="Andale Sans UI"/>
                  <w:szCs w:val="24"/>
                  <w:vertAlign w:val="superscript"/>
                  <w:lang w:bidi="en-US"/>
                </w:rPr>
                <w:t>1</w:t>
              </w:r>
              <w:r>
                <w:rPr>
                  <w:rFonts w:eastAsia="Andale Sans UI"/>
                  <w:szCs w:val="24"/>
                  <w:lang w:bidi="en-US"/>
                </w:rPr>
                <w:t xml:space="preserve">, 310, 589 </w:t>
              </w:r>
              <w:r>
                <w:rPr>
                  <w:rFonts w:eastAsia="Andale Sans UI"/>
                  <w:color w:val="000000"/>
                  <w:szCs w:val="24"/>
                  <w:lang w:bidi="en-US"/>
                </w:rPr>
                <w:t>straipsnių ir priedo pakeitimo,</w:t>
              </w:r>
              <w:r>
                <w:rPr>
                  <w:rFonts w:eastAsia="Andale Sans UI"/>
                  <w:szCs w:val="24"/>
                  <w:lang w:bidi="en-US"/>
                </w:rPr>
                <w:t xml:space="preserve"> Kodekso papildymo 31</w:t>
              </w:r>
              <w:r>
                <w:rPr>
                  <w:rFonts w:eastAsia="Andale Sans UI"/>
                  <w:szCs w:val="24"/>
                  <w:vertAlign w:val="superscript"/>
                  <w:lang w:bidi="en-US"/>
                </w:rPr>
                <w:t>2</w:t>
              </w:r>
              <w:r>
                <w:rPr>
                  <w:rFonts w:eastAsia="Andale Sans UI"/>
                  <w:szCs w:val="24"/>
                  <w:lang w:bidi="en-US"/>
                </w:rPr>
                <w:t>, 243</w:t>
              </w:r>
              <w:r>
                <w:rPr>
                  <w:rFonts w:eastAsia="Andale Sans UI"/>
                  <w:szCs w:val="24"/>
                  <w:vertAlign w:val="superscript"/>
                  <w:lang w:bidi="en-US"/>
                </w:rPr>
                <w:t>2</w:t>
              </w:r>
              <w:r>
                <w:rPr>
                  <w:rFonts w:eastAsia="Andale Sans UI"/>
                  <w:szCs w:val="24"/>
                  <w:lang w:bidi="en-US"/>
                </w:rPr>
                <w:t>,</w:t>
              </w:r>
              <w:r>
                <w:rPr>
                  <w:rFonts w:eastAsia="Andale Sans UI"/>
                  <w:szCs w:val="24"/>
                  <w:vertAlign w:val="superscript"/>
                  <w:lang w:bidi="en-US"/>
                </w:rPr>
                <w:t xml:space="preserve"> </w:t>
              </w:r>
              <w:r>
                <w:rPr>
                  <w:rFonts w:eastAsia="Andale Sans UI"/>
                  <w:szCs w:val="24"/>
                  <w:lang w:bidi="en-US"/>
                </w:rPr>
                <w:t>270</w:t>
              </w:r>
              <w:r>
                <w:rPr>
                  <w:rFonts w:eastAsia="Andale Sans UI"/>
                  <w:szCs w:val="24"/>
                  <w:vertAlign w:val="superscript"/>
                  <w:lang w:bidi="en-US"/>
                </w:rPr>
                <w:t>2</w:t>
              </w:r>
              <w:r>
                <w:rPr>
                  <w:rFonts w:eastAsia="Andale Sans UI"/>
                  <w:szCs w:val="24"/>
                  <w:lang w:bidi="en-US"/>
                </w:rPr>
                <w:t xml:space="preserve"> straipsniais ir 243</w:t>
              </w:r>
              <w:r>
                <w:rPr>
                  <w:rFonts w:eastAsia="Andale Sans UI"/>
                  <w:szCs w:val="24"/>
                  <w:vertAlign w:val="superscript"/>
                  <w:lang w:bidi="en-US"/>
                </w:rPr>
                <w:t>1</w:t>
              </w:r>
              <w:r>
                <w:rPr>
                  <w:rFonts w:eastAsia="Andale Sans UI"/>
                  <w:szCs w:val="24"/>
                  <w:lang w:bidi="en-US"/>
                </w:rPr>
                <w:t xml:space="preserve"> straipsnio pripažinimo netekusiu galios įstatymo </w:t>
              </w:r>
              <w:r>
                <w:rPr>
                  <w:color w:val="000000"/>
                  <w:szCs w:val="24"/>
                  <w:lang w:bidi="en-US"/>
                </w:rPr>
                <w:t xml:space="preserve"> projekto lyginamasis variantas</w:t>
              </w:r>
              <w:r>
                <w:rPr>
                  <w:rFonts w:eastAsia="Andale Sans UI"/>
                  <w:szCs w:val="24"/>
                  <w:lang w:bidi="en-US"/>
                </w:rPr>
                <w:t>, 14 lapų.</w:t>
              </w:r>
            </w:p>
          </w:sdtContent>
        </w:sdt>
        <w:sdt>
          <w:sdtPr>
            <w:alias w:val="3 p."/>
            <w:tag w:val="part_d7a585f276b34663921aba542419bd6e"/>
            <w:lock w:val="sdtLocked"/>
            <w:richText/>
          </w:sdtPr>
          <w:sdtContent>
            <w:p>
              <w:pPr>
                <w:spacing w:line="276" w:lineRule="auto"/>
                <w:ind w:firstLine="567"/>
                <w:jc w:val="both"/>
                <w:rPr>
                  <w:rFonts w:eastAsia="Andale Sans UI"/>
                  <w:szCs w:val="24"/>
                  <w:lang w:bidi="en-US"/>
                </w:rPr>
              </w:pPr>
              <w:sdt>
                <w:sdtPr>
                  <w:alias w:val="Numeris"/>
                  <w:tag w:val="nr_d7a585f276b34663921aba542419bd6e"/>
                  <w:lock w:val="sdtLocked"/>
                  <w:richText/>
                </w:sdtPr>
                <w:sdtContent>
                  <w:r>
                    <w:rPr>
                      <w:rFonts w:eastAsia="Andale Sans UI"/>
                      <w:szCs w:val="24"/>
                      <w:lang w:bidi="en-US"/>
                    </w:rPr>
                    <w:t>3</w:t>
                  </w:r>
                </w:sdtContent>
              </w:sdt>
              <w:r>
                <w:rPr>
                  <w:rFonts w:eastAsia="Andale Sans UI"/>
                  <w:szCs w:val="24"/>
                  <w:lang w:bidi="en-US"/>
                </w:rPr>
                <w:t xml:space="preserve">. </w:t>
              </w:r>
              <w:r>
                <w:rPr>
                  <w:rFonts w:eastAsia="Andale Sans UI"/>
                  <w:szCs w:val="24"/>
                  <w:lang w:eastAsia="lt-LT" w:bidi="en-US"/>
                </w:rPr>
                <w:t>Lietuvos Respublikos aplinkos apsaugos įstatymo Nr. I˗2223 </w:t>
              </w:r>
              <w:r>
                <w:rPr>
                  <w:rFonts w:eastAsia="Andale Sans UI"/>
                  <w:caps/>
                  <w:szCs w:val="24"/>
                  <w:lang w:bidi="en-US"/>
                </w:rPr>
                <w:t>1, 37, 40</w:t>
              </w:r>
              <w:r>
                <w:rPr>
                  <w:rFonts w:eastAsia="Andale Sans UI"/>
                  <w:caps/>
                  <w:szCs w:val="24"/>
                  <w:vertAlign w:val="superscript"/>
                  <w:lang w:bidi="en-US"/>
                </w:rPr>
                <w:t>1</w:t>
              </w:r>
              <w:r>
                <w:rPr>
                  <w:rFonts w:eastAsia="Andale Sans UI"/>
                  <w:caps/>
                  <w:szCs w:val="24"/>
                  <w:lang w:bidi="en-US"/>
                </w:rPr>
                <w:t xml:space="preserve">, 47, 87, </w:t>
              </w:r>
              <w:r>
                <w:rPr>
                  <w:rFonts w:eastAsia="Andale Sans UI"/>
                  <w:szCs w:val="24"/>
                  <w:lang w:bidi="en-US"/>
                </w:rPr>
                <w:t>109</w:t>
              </w:r>
              <w:r>
                <w:rPr>
                  <w:rFonts w:eastAsia="Andale Sans UI"/>
                  <w:szCs w:val="24"/>
                  <w:vertAlign w:val="superscript"/>
                  <w:lang w:bidi="en-US"/>
                </w:rPr>
                <w:t>1</w:t>
              </w:r>
              <w:r>
                <w:rPr>
                  <w:rFonts w:eastAsia="Andale Sans UI"/>
                  <w:caps/>
                  <w:szCs w:val="24"/>
                  <w:lang w:bidi="en-US"/>
                </w:rPr>
                <w:t>, 110, 122</w:t>
              </w:r>
              <w:r>
                <w:rPr>
                  <w:rFonts w:eastAsia="Andale Sans UI"/>
                  <w:caps/>
                  <w:szCs w:val="24"/>
                  <w:vertAlign w:val="superscript"/>
                  <w:lang w:bidi="en-US"/>
                </w:rPr>
                <w:t>4</w:t>
              </w:r>
              <w:r>
                <w:rPr>
                  <w:rFonts w:eastAsia="Andale Sans UI"/>
                  <w:caps/>
                  <w:szCs w:val="24"/>
                  <w:lang w:bidi="en-US"/>
                </w:rPr>
                <w:t xml:space="preserve"> </w:t>
              </w:r>
              <w:r>
                <w:rPr>
                  <w:rFonts w:eastAsia="Andale Sans UI"/>
                  <w:color w:val="000000"/>
                  <w:szCs w:val="24"/>
                  <w:lang w:bidi="en-US"/>
                </w:rPr>
                <w:t xml:space="preserve">straipsnių ir priedo pakeitimo, Įstatymo papildymo </w:t>
              </w:r>
              <w:r>
                <w:rPr>
                  <w:rFonts w:eastAsia="Andale Sans UI"/>
                  <w:caps/>
                  <w:color w:val="000000"/>
                  <w:szCs w:val="24"/>
                  <w:lang w:bidi="en-US"/>
                </w:rPr>
                <w:t>110</w:t>
              </w:r>
              <w:r>
                <w:rPr>
                  <w:rFonts w:eastAsia="Andale Sans UI"/>
                  <w:caps/>
                  <w:color w:val="000000"/>
                  <w:szCs w:val="24"/>
                  <w:vertAlign w:val="superscript"/>
                  <w:lang w:bidi="en-US"/>
                </w:rPr>
                <w:t>2</w:t>
              </w:r>
              <w:r>
                <w:rPr>
                  <w:rFonts w:eastAsia="Andale Sans UI"/>
                  <w:caps/>
                  <w:color w:val="000000"/>
                  <w:szCs w:val="24"/>
                  <w:lang w:bidi="en-US"/>
                </w:rPr>
                <w:t>, 110</w:t>
              </w:r>
              <w:r>
                <w:rPr>
                  <w:rFonts w:eastAsia="Andale Sans UI"/>
                  <w:caps/>
                  <w:color w:val="000000"/>
                  <w:szCs w:val="24"/>
                  <w:vertAlign w:val="superscript"/>
                  <w:lang w:bidi="en-US"/>
                </w:rPr>
                <w:t>3</w:t>
              </w:r>
              <w:r>
                <w:rPr>
                  <w:rFonts w:eastAsia="Andale Sans UI"/>
                  <w:caps/>
                  <w:color w:val="000000"/>
                  <w:szCs w:val="24"/>
                  <w:lang w:bidi="en-US"/>
                </w:rPr>
                <w:t>, 110</w:t>
              </w:r>
              <w:r>
                <w:rPr>
                  <w:rFonts w:eastAsia="Andale Sans UI"/>
                  <w:caps/>
                  <w:szCs w:val="24"/>
                  <w:vertAlign w:val="superscript"/>
                  <w:lang w:bidi="en-US"/>
                </w:rPr>
                <w:t>4</w:t>
              </w:r>
              <w:r>
                <w:rPr>
                  <w:rFonts w:eastAsia="Andale Sans UI"/>
                  <w:color w:val="000000"/>
                  <w:szCs w:val="24"/>
                  <w:lang w:bidi="en-US"/>
                </w:rPr>
                <w:t>,</w:t>
              </w:r>
              <w:r>
                <w:rPr>
                  <w:rFonts w:eastAsia="Andale Sans UI"/>
                  <w:caps/>
                  <w:color w:val="000000"/>
                  <w:szCs w:val="24"/>
                  <w:vertAlign w:val="superscript"/>
                  <w:lang w:bidi="en-US"/>
                </w:rPr>
                <w:t xml:space="preserve"> </w:t>
              </w:r>
              <w:r>
                <w:rPr>
                  <w:rFonts w:eastAsia="Andale Sans UI"/>
                  <w:caps/>
                  <w:color w:val="000000"/>
                  <w:szCs w:val="24"/>
                  <w:lang w:bidi="en-US"/>
                </w:rPr>
                <w:t>118</w:t>
              </w:r>
              <w:r>
                <w:rPr>
                  <w:rFonts w:eastAsia="Andale Sans UI"/>
                  <w:caps/>
                  <w:color w:val="000000"/>
                  <w:szCs w:val="24"/>
                  <w:vertAlign w:val="superscript"/>
                  <w:lang w:bidi="en-US"/>
                </w:rPr>
                <w:t>2</w:t>
              </w:r>
              <w:r>
                <w:rPr>
                  <w:rFonts w:eastAsia="Andale Sans UI"/>
                  <w:color w:val="000000"/>
                  <w:szCs w:val="24"/>
                  <w:vertAlign w:val="superscript"/>
                  <w:lang w:bidi="en-US"/>
                </w:rPr>
                <w:t xml:space="preserve"> </w:t>
              </w:r>
              <w:r>
                <w:rPr>
                  <w:rFonts w:eastAsia="Andale Sans UI"/>
                  <w:color w:val="000000"/>
                  <w:szCs w:val="24"/>
                  <w:lang w:bidi="en-US"/>
                </w:rPr>
                <w:t xml:space="preserve">straipsniais ir </w:t>
              </w:r>
              <w:r>
                <w:rPr>
                  <w:rFonts w:eastAsia="Andale Sans UI"/>
                  <w:caps/>
                  <w:color w:val="000000"/>
                  <w:szCs w:val="24"/>
                  <w:lang w:bidi="en-US"/>
                </w:rPr>
                <w:t>110</w:t>
              </w:r>
              <w:r>
                <w:rPr>
                  <w:rFonts w:eastAsia="Andale Sans UI"/>
                  <w:caps/>
                  <w:color w:val="000000"/>
                  <w:szCs w:val="24"/>
                  <w:vertAlign w:val="superscript"/>
                  <w:lang w:bidi="en-US"/>
                </w:rPr>
                <w:t>2</w:t>
              </w:r>
              <w:r>
                <w:rPr>
                  <w:rFonts w:eastAsia="Andale Sans UI"/>
                  <w:caps/>
                  <w:color w:val="000000"/>
                  <w:szCs w:val="24"/>
                  <w:lang w:bidi="en-US"/>
                </w:rPr>
                <w:t> </w:t>
              </w:r>
              <w:r>
                <w:rPr>
                  <w:rFonts w:eastAsia="Andale Sans UI"/>
                  <w:color w:val="000000"/>
                  <w:szCs w:val="24"/>
                  <w:lang w:bidi="en-US"/>
                </w:rPr>
                <w:t>straipsnio pripažinimo netekusiu galios įstatymo projektas</w:t>
              </w:r>
              <w:r>
                <w:rPr>
                  <w:rFonts w:eastAsia="Andale Sans UI"/>
                  <w:szCs w:val="24"/>
                  <w:lang w:bidi="en-US"/>
                </w:rPr>
                <w:t>, 8 lapai.</w:t>
              </w:r>
            </w:p>
          </w:sdtContent>
        </w:sdt>
        <w:sdt>
          <w:sdtPr>
            <w:alias w:val="4 p."/>
            <w:tag w:val="part_33d81f77d83e46f39b6bb889731a3c01"/>
            <w:lock w:val="sdtLocked"/>
            <w:richText/>
          </w:sdtPr>
          <w:sdtContent>
            <w:p>
              <w:pPr>
                <w:spacing w:line="276" w:lineRule="auto"/>
                <w:ind w:firstLine="567"/>
                <w:jc w:val="both"/>
                <w:rPr>
                  <w:rFonts w:eastAsia="Andale Sans UI"/>
                  <w:szCs w:val="24"/>
                  <w:lang w:bidi="en-US"/>
                </w:rPr>
              </w:pPr>
              <w:sdt>
                <w:sdtPr>
                  <w:alias w:val="Numeris"/>
                  <w:tag w:val="nr_33d81f77d83e46f39b6bb889731a3c01"/>
                  <w:lock w:val="sdtLocked"/>
                  <w:richText/>
                </w:sdtPr>
                <w:sdtContent>
                  <w:r>
                    <w:rPr>
                      <w:rFonts w:eastAsia="Andale Sans UI"/>
                      <w:szCs w:val="24"/>
                      <w:lang w:bidi="en-US"/>
                    </w:rPr>
                    <w:t>4</w:t>
                  </w:r>
                </w:sdtContent>
              </w:sdt>
              <w:r>
                <w:rPr>
                  <w:rFonts w:eastAsia="Andale Sans UI"/>
                  <w:szCs w:val="24"/>
                  <w:lang w:bidi="en-US"/>
                </w:rPr>
                <w:t xml:space="preserve">. </w:t>
              </w:r>
              <w:r>
                <w:rPr>
                  <w:rFonts w:eastAsia="Andale Sans UI"/>
                  <w:szCs w:val="24"/>
                  <w:lang w:eastAsia="lt-LT" w:bidi="en-US"/>
                </w:rPr>
                <w:t>Lietuvos Respublikos aplinkos apsaugos įstatymo Nr. I˗2223 </w:t>
              </w:r>
              <w:r>
                <w:rPr>
                  <w:rFonts w:eastAsia="Andale Sans UI"/>
                  <w:caps/>
                  <w:szCs w:val="24"/>
                  <w:lang w:bidi="en-US"/>
                </w:rPr>
                <w:t>1, 37, 40</w:t>
              </w:r>
              <w:r>
                <w:rPr>
                  <w:rFonts w:eastAsia="Andale Sans UI"/>
                  <w:caps/>
                  <w:szCs w:val="24"/>
                  <w:vertAlign w:val="superscript"/>
                  <w:lang w:bidi="en-US"/>
                </w:rPr>
                <w:t>1</w:t>
              </w:r>
              <w:r>
                <w:rPr>
                  <w:rFonts w:eastAsia="Andale Sans UI"/>
                  <w:caps/>
                  <w:szCs w:val="24"/>
                  <w:lang w:bidi="en-US"/>
                </w:rPr>
                <w:t xml:space="preserve">, 47, 87, </w:t>
              </w:r>
              <w:r>
                <w:rPr>
                  <w:rFonts w:eastAsia="Andale Sans UI"/>
                  <w:szCs w:val="24"/>
                  <w:lang w:bidi="en-US"/>
                </w:rPr>
                <w:t>109</w:t>
              </w:r>
              <w:r>
                <w:rPr>
                  <w:rFonts w:eastAsia="Andale Sans UI"/>
                  <w:szCs w:val="24"/>
                  <w:vertAlign w:val="superscript"/>
                  <w:lang w:bidi="en-US"/>
                </w:rPr>
                <w:t>1</w:t>
              </w:r>
              <w:r>
                <w:rPr>
                  <w:rFonts w:eastAsia="Andale Sans UI"/>
                  <w:caps/>
                  <w:szCs w:val="24"/>
                  <w:lang w:bidi="en-US"/>
                </w:rPr>
                <w:t>, 110, 122</w:t>
              </w:r>
              <w:r>
                <w:rPr>
                  <w:rFonts w:eastAsia="Andale Sans UI"/>
                  <w:caps/>
                  <w:szCs w:val="24"/>
                  <w:vertAlign w:val="superscript"/>
                  <w:lang w:bidi="en-US"/>
                </w:rPr>
                <w:t>4</w:t>
              </w:r>
              <w:r>
                <w:rPr>
                  <w:rFonts w:eastAsia="Andale Sans UI"/>
                  <w:caps/>
                  <w:szCs w:val="24"/>
                  <w:lang w:bidi="en-US"/>
                </w:rPr>
                <w:t xml:space="preserve"> </w:t>
              </w:r>
              <w:r>
                <w:rPr>
                  <w:rFonts w:eastAsia="Andale Sans UI"/>
                  <w:color w:val="000000"/>
                  <w:szCs w:val="24"/>
                  <w:lang w:bidi="en-US"/>
                </w:rPr>
                <w:t xml:space="preserve">straipsnių ir priedo pakeitimo, Įstatymo papildymo </w:t>
              </w:r>
              <w:r>
                <w:rPr>
                  <w:rFonts w:eastAsia="Andale Sans UI"/>
                  <w:caps/>
                  <w:color w:val="000000"/>
                  <w:szCs w:val="24"/>
                  <w:lang w:bidi="en-US"/>
                </w:rPr>
                <w:t>110</w:t>
              </w:r>
              <w:r>
                <w:rPr>
                  <w:rFonts w:eastAsia="Andale Sans UI"/>
                  <w:caps/>
                  <w:color w:val="000000"/>
                  <w:szCs w:val="24"/>
                  <w:vertAlign w:val="superscript"/>
                  <w:lang w:bidi="en-US"/>
                </w:rPr>
                <w:t>2</w:t>
              </w:r>
              <w:r>
                <w:rPr>
                  <w:rFonts w:eastAsia="Andale Sans UI"/>
                  <w:caps/>
                  <w:color w:val="000000"/>
                  <w:szCs w:val="24"/>
                  <w:lang w:bidi="en-US"/>
                </w:rPr>
                <w:t>, 110</w:t>
              </w:r>
              <w:r>
                <w:rPr>
                  <w:rFonts w:eastAsia="Andale Sans UI"/>
                  <w:caps/>
                  <w:color w:val="000000"/>
                  <w:szCs w:val="24"/>
                  <w:vertAlign w:val="superscript"/>
                  <w:lang w:bidi="en-US"/>
                </w:rPr>
                <w:t>3</w:t>
              </w:r>
              <w:r>
                <w:rPr>
                  <w:rFonts w:eastAsia="Andale Sans UI"/>
                  <w:caps/>
                  <w:color w:val="000000"/>
                  <w:szCs w:val="24"/>
                  <w:lang w:bidi="en-US"/>
                </w:rPr>
                <w:t>, 110</w:t>
              </w:r>
              <w:r>
                <w:rPr>
                  <w:rFonts w:eastAsia="Andale Sans UI"/>
                  <w:caps/>
                  <w:szCs w:val="24"/>
                  <w:vertAlign w:val="superscript"/>
                  <w:lang w:bidi="en-US"/>
                </w:rPr>
                <w:t>4</w:t>
              </w:r>
              <w:r>
                <w:rPr>
                  <w:rFonts w:eastAsia="Andale Sans UI"/>
                  <w:color w:val="000000"/>
                  <w:szCs w:val="24"/>
                  <w:lang w:bidi="en-US"/>
                </w:rPr>
                <w:t>,</w:t>
              </w:r>
              <w:r>
                <w:rPr>
                  <w:rFonts w:eastAsia="Andale Sans UI"/>
                  <w:caps/>
                  <w:color w:val="000000"/>
                  <w:szCs w:val="24"/>
                  <w:vertAlign w:val="superscript"/>
                  <w:lang w:bidi="en-US"/>
                </w:rPr>
                <w:t xml:space="preserve"> </w:t>
              </w:r>
              <w:r>
                <w:rPr>
                  <w:rFonts w:eastAsia="Andale Sans UI"/>
                  <w:caps/>
                  <w:color w:val="000000"/>
                  <w:szCs w:val="24"/>
                  <w:lang w:bidi="en-US"/>
                </w:rPr>
                <w:t>118</w:t>
              </w:r>
              <w:r>
                <w:rPr>
                  <w:rFonts w:eastAsia="Andale Sans UI"/>
                  <w:caps/>
                  <w:color w:val="000000"/>
                  <w:szCs w:val="24"/>
                  <w:vertAlign w:val="superscript"/>
                  <w:lang w:bidi="en-US"/>
                </w:rPr>
                <w:t>2</w:t>
              </w:r>
              <w:r>
                <w:rPr>
                  <w:rFonts w:eastAsia="Andale Sans UI"/>
                  <w:color w:val="000000"/>
                  <w:szCs w:val="24"/>
                  <w:vertAlign w:val="superscript"/>
                  <w:lang w:bidi="en-US"/>
                </w:rPr>
                <w:t xml:space="preserve"> </w:t>
              </w:r>
              <w:r>
                <w:rPr>
                  <w:rFonts w:eastAsia="Andale Sans UI"/>
                  <w:color w:val="000000"/>
                  <w:szCs w:val="24"/>
                  <w:lang w:bidi="en-US"/>
                </w:rPr>
                <w:t xml:space="preserve">straipsniais ir </w:t>
              </w:r>
              <w:r>
                <w:rPr>
                  <w:rFonts w:eastAsia="Andale Sans UI"/>
                  <w:caps/>
                  <w:color w:val="000000"/>
                  <w:szCs w:val="24"/>
                  <w:lang w:bidi="en-US"/>
                </w:rPr>
                <w:t>110</w:t>
              </w:r>
              <w:r>
                <w:rPr>
                  <w:rFonts w:eastAsia="Andale Sans UI"/>
                  <w:caps/>
                  <w:color w:val="000000"/>
                  <w:szCs w:val="24"/>
                  <w:vertAlign w:val="superscript"/>
                  <w:lang w:bidi="en-US"/>
                </w:rPr>
                <w:t>2</w:t>
              </w:r>
              <w:r>
                <w:rPr>
                  <w:rFonts w:eastAsia="Andale Sans UI"/>
                  <w:caps/>
                  <w:color w:val="000000"/>
                  <w:szCs w:val="24"/>
                  <w:lang w:bidi="en-US"/>
                </w:rPr>
                <w:t> </w:t>
              </w:r>
              <w:r>
                <w:rPr>
                  <w:rFonts w:eastAsia="Andale Sans UI"/>
                  <w:color w:val="000000"/>
                  <w:szCs w:val="24"/>
                  <w:lang w:bidi="en-US"/>
                </w:rPr>
                <w:t xml:space="preserve">straipsnio pripažinimo netekusiu galios įstatymo </w:t>
              </w:r>
              <w:r>
                <w:rPr>
                  <w:rFonts w:eastAsia="Andale Sans UI"/>
                  <w:szCs w:val="24"/>
                  <w:lang w:bidi="en-US"/>
                </w:rPr>
                <w:t xml:space="preserve">projekto </w:t>
              </w:r>
              <w:r>
                <w:rPr>
                  <w:color w:val="000000"/>
                  <w:szCs w:val="24"/>
                  <w:lang w:bidi="en-US"/>
                </w:rPr>
                <w:t>lyginamasis variantas</w:t>
              </w:r>
              <w:r>
                <w:rPr>
                  <w:rFonts w:eastAsia="Andale Sans UI"/>
                  <w:szCs w:val="24"/>
                  <w:lang w:bidi="en-US"/>
                </w:rPr>
                <w:t>, 10 lapų.</w:t>
              </w:r>
            </w:p>
          </w:sdtContent>
        </w:sdt>
        <w:sdt>
          <w:sdtPr>
            <w:alias w:val="5 p."/>
            <w:tag w:val="part_378d9b7676244d73a1d2dc31b1df11c8"/>
            <w:lock w:val="sdtLocked"/>
            <w:richText/>
          </w:sdtPr>
          <w:sdtContent>
            <w:p>
              <w:pPr>
                <w:spacing w:line="276" w:lineRule="auto"/>
                <w:ind w:firstLine="567"/>
                <w:jc w:val="both"/>
                <w:rPr>
                  <w:rFonts w:eastAsia="Andale Sans UI"/>
                  <w:szCs w:val="24"/>
                  <w:lang w:bidi="en-US"/>
                </w:rPr>
              </w:pPr>
              <w:sdt>
                <w:sdtPr>
                  <w:alias w:val="Numeris"/>
                  <w:tag w:val="nr_378d9b7676244d73a1d2dc31b1df11c8"/>
                  <w:lock w:val="sdtLocked"/>
                  <w:richText/>
                </w:sdtPr>
                <w:sdtContent>
                  <w:r>
                    <w:rPr>
                      <w:rFonts w:eastAsia="Andale Sans UI"/>
                      <w:szCs w:val="24"/>
                      <w:lang w:bidi="en-US"/>
                    </w:rPr>
                    <w:t>5</w:t>
                  </w:r>
                </w:sdtContent>
              </w:sdt>
              <w:r>
                <w:rPr>
                  <w:rFonts w:eastAsia="Andale Sans UI"/>
                  <w:szCs w:val="24"/>
                  <w:lang w:bidi="en-US"/>
                </w:rPr>
                <w:t>. Įstatymų projektų aiškinamasis raštas, 20 lapų.</w:t>
              </w:r>
            </w:p>
          </w:sdtContent>
        </w:sdt>
        <w:sdt>
          <w:sdtPr>
            <w:alias w:val="6 p."/>
            <w:tag w:val="part_5cedfbf2b32842079defce730ffc2c54"/>
            <w:lock w:val="sdtLocked"/>
            <w:richText/>
          </w:sdtPr>
          <w:sdtContent>
            <w:p>
              <w:pPr>
                <w:spacing w:line="276" w:lineRule="auto"/>
                <w:ind w:firstLine="567"/>
                <w:jc w:val="both"/>
                <w:rPr>
                  <w:rFonts w:eastAsia="Andale Sans UI"/>
                  <w:szCs w:val="24"/>
                  <w:lang w:bidi="en-US"/>
                </w:rPr>
              </w:pPr>
              <w:sdt>
                <w:sdtPr>
                  <w:alias w:val="Numeris"/>
                  <w:tag w:val="nr_5cedfbf2b32842079defce730ffc2c54"/>
                  <w:lock w:val="sdtLocked"/>
                  <w:richText/>
                </w:sdtPr>
                <w:sdtContent>
                  <w:r>
                    <w:rPr>
                      <w:rFonts w:eastAsia="Andale Sans UI"/>
                      <w:szCs w:val="24"/>
                      <w:lang w:bidi="en-US"/>
                    </w:rPr>
                    <w:t>6</w:t>
                  </w:r>
                </w:sdtContent>
              </w:sdt>
              <w:r>
                <w:rPr>
                  <w:rFonts w:eastAsia="Andale Sans UI"/>
                  <w:szCs w:val="24"/>
                  <w:lang w:bidi="en-US"/>
                </w:rPr>
                <w:t>. Lietuvos Respublikos Vyriausybės nutarimo „</w:t>
              </w:r>
              <w:r>
                <w:rPr>
                  <w:rFonts w:eastAsia="Calibri"/>
                  <w:kern w:val="1"/>
                  <w:szCs w:val="24"/>
                  <w:lang w:eastAsia="ar-SA" w:bidi="en-US"/>
                </w:rPr>
                <w:t>Dėl</w:t>
              </w:r>
              <w:r>
                <w:rPr>
                  <w:color w:val="000000"/>
                  <w:szCs w:val="24"/>
                  <w:lang w:bidi="en-US"/>
                </w:rPr>
                <w:t xml:space="preserve"> </w:t>
              </w:r>
              <w:r>
                <w:rPr>
                  <w:rFonts w:eastAsia="Andale Sans UI"/>
                  <w:szCs w:val="24"/>
                  <w:lang w:eastAsia="lt-LT" w:bidi="en-US"/>
                </w:rPr>
                <w:t xml:space="preserve">Lietuvos Respublikos aplinkos apsaugos įstatymo Nr. I-2223 </w:t>
              </w:r>
              <w:r>
                <w:rPr>
                  <w:rFonts w:eastAsia="Andale Sans UI"/>
                  <w:caps/>
                  <w:szCs w:val="24"/>
                  <w:lang w:bidi="en-US"/>
                </w:rPr>
                <w:t>1, 37, 40</w:t>
              </w:r>
              <w:r>
                <w:rPr>
                  <w:rFonts w:eastAsia="Andale Sans UI"/>
                  <w:caps/>
                  <w:szCs w:val="24"/>
                  <w:vertAlign w:val="superscript"/>
                  <w:lang w:bidi="en-US"/>
                </w:rPr>
                <w:t>1</w:t>
              </w:r>
              <w:r>
                <w:rPr>
                  <w:rFonts w:eastAsia="Andale Sans UI"/>
                  <w:caps/>
                  <w:szCs w:val="24"/>
                  <w:lang w:bidi="en-US"/>
                </w:rPr>
                <w:t xml:space="preserve">, 47, 87, </w:t>
              </w:r>
              <w:r>
                <w:rPr>
                  <w:rFonts w:eastAsia="Andale Sans UI"/>
                  <w:szCs w:val="24"/>
                  <w:lang w:bidi="en-US"/>
                </w:rPr>
                <w:t>109</w:t>
              </w:r>
              <w:r>
                <w:rPr>
                  <w:rFonts w:eastAsia="Andale Sans UI"/>
                  <w:szCs w:val="24"/>
                  <w:vertAlign w:val="superscript"/>
                  <w:lang w:bidi="en-US"/>
                </w:rPr>
                <w:t>1</w:t>
              </w:r>
              <w:r>
                <w:rPr>
                  <w:rFonts w:eastAsia="Andale Sans UI"/>
                  <w:caps/>
                  <w:szCs w:val="24"/>
                  <w:lang w:bidi="en-US"/>
                </w:rPr>
                <w:t>, 110, 122</w:t>
              </w:r>
              <w:r>
                <w:rPr>
                  <w:rFonts w:eastAsia="Andale Sans UI"/>
                  <w:caps/>
                  <w:szCs w:val="24"/>
                  <w:vertAlign w:val="superscript"/>
                  <w:lang w:bidi="en-US"/>
                </w:rPr>
                <w:t>4</w:t>
              </w:r>
              <w:r>
                <w:rPr>
                  <w:rFonts w:eastAsia="Andale Sans UI"/>
                  <w:caps/>
                  <w:szCs w:val="24"/>
                  <w:lang w:bidi="en-US"/>
                </w:rPr>
                <w:t xml:space="preserve"> </w:t>
              </w:r>
              <w:r>
                <w:rPr>
                  <w:rFonts w:eastAsia="Andale Sans UI"/>
                  <w:color w:val="000000"/>
                  <w:szCs w:val="24"/>
                  <w:lang w:bidi="en-US"/>
                </w:rPr>
                <w:t xml:space="preserve">straipsnių ir priedo pakeitimo, Įstatymo papildymo </w:t>
              </w:r>
              <w:r>
                <w:rPr>
                  <w:rFonts w:eastAsia="Andale Sans UI"/>
                  <w:caps/>
                  <w:color w:val="000000"/>
                  <w:szCs w:val="24"/>
                  <w:lang w:bidi="en-US"/>
                </w:rPr>
                <w:t>110</w:t>
              </w:r>
              <w:r>
                <w:rPr>
                  <w:rFonts w:eastAsia="Andale Sans UI"/>
                  <w:caps/>
                  <w:color w:val="000000"/>
                  <w:szCs w:val="24"/>
                  <w:vertAlign w:val="superscript"/>
                  <w:lang w:bidi="en-US"/>
                </w:rPr>
                <w:t>2</w:t>
              </w:r>
              <w:r>
                <w:rPr>
                  <w:rFonts w:eastAsia="Andale Sans UI"/>
                  <w:caps/>
                  <w:color w:val="000000"/>
                  <w:szCs w:val="24"/>
                  <w:lang w:bidi="en-US"/>
                </w:rPr>
                <w:t>, 110</w:t>
              </w:r>
              <w:r>
                <w:rPr>
                  <w:rFonts w:eastAsia="Andale Sans UI"/>
                  <w:caps/>
                  <w:color w:val="000000"/>
                  <w:szCs w:val="24"/>
                  <w:vertAlign w:val="superscript"/>
                  <w:lang w:bidi="en-US"/>
                </w:rPr>
                <w:t>3</w:t>
              </w:r>
              <w:r>
                <w:rPr>
                  <w:rFonts w:eastAsia="Andale Sans UI"/>
                  <w:caps/>
                  <w:color w:val="000000"/>
                  <w:szCs w:val="24"/>
                  <w:lang w:bidi="en-US"/>
                </w:rPr>
                <w:t>, 110</w:t>
              </w:r>
              <w:r>
                <w:rPr>
                  <w:rFonts w:eastAsia="Andale Sans UI"/>
                  <w:caps/>
                  <w:szCs w:val="24"/>
                  <w:vertAlign w:val="superscript"/>
                  <w:lang w:bidi="en-US"/>
                </w:rPr>
                <w:t>4</w:t>
              </w:r>
              <w:r>
                <w:rPr>
                  <w:rFonts w:eastAsia="Andale Sans UI"/>
                  <w:color w:val="000000"/>
                  <w:szCs w:val="24"/>
                  <w:lang w:bidi="en-US"/>
                </w:rPr>
                <w:t>,</w:t>
              </w:r>
              <w:r>
                <w:rPr>
                  <w:rFonts w:eastAsia="Andale Sans UI"/>
                  <w:caps/>
                  <w:color w:val="000000"/>
                  <w:szCs w:val="24"/>
                  <w:vertAlign w:val="superscript"/>
                  <w:lang w:bidi="en-US"/>
                </w:rPr>
                <w:t xml:space="preserve"> </w:t>
              </w:r>
              <w:r>
                <w:rPr>
                  <w:rFonts w:eastAsia="Andale Sans UI"/>
                  <w:caps/>
                  <w:color w:val="000000"/>
                  <w:szCs w:val="24"/>
                  <w:lang w:bidi="en-US"/>
                </w:rPr>
                <w:t>118</w:t>
              </w:r>
              <w:r>
                <w:rPr>
                  <w:rFonts w:eastAsia="Andale Sans UI"/>
                  <w:caps/>
                  <w:color w:val="000000"/>
                  <w:szCs w:val="24"/>
                  <w:vertAlign w:val="superscript"/>
                  <w:lang w:bidi="en-US"/>
                </w:rPr>
                <w:t>2</w:t>
              </w:r>
              <w:r>
                <w:rPr>
                  <w:rFonts w:eastAsia="Andale Sans UI"/>
                  <w:color w:val="000000"/>
                  <w:szCs w:val="24"/>
                  <w:vertAlign w:val="superscript"/>
                  <w:lang w:bidi="en-US"/>
                </w:rPr>
                <w:t xml:space="preserve"> </w:t>
              </w:r>
              <w:r>
                <w:rPr>
                  <w:rFonts w:eastAsia="Andale Sans UI"/>
                  <w:color w:val="000000"/>
                  <w:szCs w:val="24"/>
                  <w:lang w:bidi="en-US"/>
                </w:rPr>
                <w:t xml:space="preserve">straipsniais ir </w:t>
              </w:r>
              <w:r>
                <w:rPr>
                  <w:rFonts w:eastAsia="Andale Sans UI"/>
                  <w:caps/>
                  <w:color w:val="000000"/>
                  <w:szCs w:val="24"/>
                  <w:lang w:bidi="en-US"/>
                </w:rPr>
                <w:t>110</w:t>
              </w:r>
              <w:r>
                <w:rPr>
                  <w:rFonts w:eastAsia="Andale Sans UI"/>
                  <w:caps/>
                  <w:color w:val="000000"/>
                  <w:szCs w:val="24"/>
                  <w:vertAlign w:val="superscript"/>
                  <w:lang w:bidi="en-US"/>
                </w:rPr>
                <w:t>2</w:t>
              </w:r>
              <w:r>
                <w:rPr>
                  <w:rFonts w:eastAsia="Andale Sans UI"/>
                  <w:caps/>
                  <w:color w:val="000000"/>
                  <w:szCs w:val="24"/>
                  <w:lang w:bidi="en-US"/>
                </w:rPr>
                <w:t xml:space="preserve"> </w:t>
              </w:r>
              <w:r>
                <w:rPr>
                  <w:rFonts w:eastAsia="Andale Sans UI"/>
                  <w:color w:val="000000"/>
                  <w:szCs w:val="24"/>
                  <w:lang w:bidi="en-US"/>
                </w:rPr>
                <w:t xml:space="preserve">straipsnio pripažinimo netekusiu galios įstatymo ir Lietuvos Respublikos administracinių nusižengimų kodekso </w:t>
              </w:r>
              <w:r>
                <w:rPr>
                  <w:rFonts w:eastAsia="Andale Sans UI"/>
                  <w:szCs w:val="24"/>
                  <w:lang w:bidi="en-US"/>
                </w:rPr>
                <w:t>12, 27, 29, 31</w:t>
              </w:r>
              <w:r>
                <w:rPr>
                  <w:rFonts w:eastAsia="Andale Sans UI"/>
                  <w:szCs w:val="24"/>
                  <w:vertAlign w:val="superscript"/>
                  <w:lang w:bidi="en-US"/>
                </w:rPr>
                <w:t>2</w:t>
              </w:r>
              <w:r>
                <w:rPr>
                  <w:rFonts w:eastAsia="Andale Sans UI"/>
                  <w:szCs w:val="24"/>
                  <w:lang w:bidi="en-US"/>
                </w:rPr>
                <w:t>, 243</w:t>
              </w:r>
              <w:r>
                <w:rPr>
                  <w:rFonts w:eastAsia="Andale Sans UI"/>
                  <w:szCs w:val="24"/>
                  <w:vertAlign w:val="superscript"/>
                  <w:lang w:bidi="en-US"/>
                </w:rPr>
                <w:t>1</w:t>
              </w:r>
              <w:r>
                <w:rPr>
                  <w:rFonts w:eastAsia="Andale Sans UI"/>
                  <w:szCs w:val="24"/>
                  <w:lang w:bidi="en-US"/>
                </w:rPr>
                <w:t>, 251, 304</w:t>
              </w:r>
              <w:r>
                <w:rPr>
                  <w:rFonts w:eastAsia="Andale Sans UI"/>
                  <w:caps/>
                  <w:szCs w:val="24"/>
                  <w:vertAlign w:val="superscript"/>
                  <w:lang w:bidi="en-US"/>
                </w:rPr>
                <w:t>2</w:t>
              </w:r>
              <w:r>
                <w:rPr>
                  <w:rFonts w:eastAsia="Andale Sans UI"/>
                  <w:szCs w:val="24"/>
                  <w:lang w:bidi="en-US"/>
                </w:rPr>
                <w:t>, 308</w:t>
              </w:r>
              <w:r>
                <w:rPr>
                  <w:rFonts w:eastAsia="Andale Sans UI"/>
                  <w:szCs w:val="24"/>
                  <w:vertAlign w:val="superscript"/>
                  <w:lang w:bidi="en-US"/>
                </w:rPr>
                <w:t>1</w:t>
              </w:r>
              <w:r>
                <w:rPr>
                  <w:rFonts w:eastAsia="Andale Sans UI"/>
                  <w:szCs w:val="24"/>
                  <w:lang w:bidi="en-US"/>
                </w:rPr>
                <w:t xml:space="preserve">, 310, 589 </w:t>
              </w:r>
              <w:r>
                <w:rPr>
                  <w:rFonts w:eastAsia="Andale Sans UI"/>
                  <w:color w:val="000000"/>
                  <w:szCs w:val="24"/>
                  <w:lang w:bidi="en-US"/>
                </w:rPr>
                <w:t>straipsnių ir priedo pakeitimo,</w:t>
              </w:r>
              <w:r>
                <w:rPr>
                  <w:rFonts w:eastAsia="Andale Sans UI"/>
                  <w:szCs w:val="24"/>
                  <w:lang w:bidi="en-US"/>
                </w:rPr>
                <w:t xml:space="preserve"> Kodekso papildymo 31</w:t>
              </w:r>
              <w:r>
                <w:rPr>
                  <w:rFonts w:eastAsia="Andale Sans UI"/>
                  <w:szCs w:val="24"/>
                  <w:vertAlign w:val="superscript"/>
                  <w:lang w:bidi="en-US"/>
                </w:rPr>
                <w:t>2</w:t>
              </w:r>
              <w:r>
                <w:rPr>
                  <w:rFonts w:eastAsia="Andale Sans UI"/>
                  <w:szCs w:val="24"/>
                  <w:lang w:bidi="en-US"/>
                </w:rPr>
                <w:t>, 243</w:t>
              </w:r>
              <w:r>
                <w:rPr>
                  <w:rFonts w:eastAsia="Andale Sans UI"/>
                  <w:szCs w:val="24"/>
                  <w:vertAlign w:val="superscript"/>
                  <w:lang w:bidi="en-US"/>
                </w:rPr>
                <w:t>2</w:t>
              </w:r>
              <w:r>
                <w:rPr>
                  <w:rFonts w:eastAsia="Andale Sans UI"/>
                  <w:szCs w:val="24"/>
                  <w:lang w:bidi="en-US"/>
                </w:rPr>
                <w:t>,</w:t>
              </w:r>
              <w:r>
                <w:rPr>
                  <w:rFonts w:eastAsia="Andale Sans UI"/>
                  <w:szCs w:val="24"/>
                  <w:vertAlign w:val="superscript"/>
                  <w:lang w:bidi="en-US"/>
                </w:rPr>
                <w:t xml:space="preserve"> </w:t>
              </w:r>
              <w:r>
                <w:rPr>
                  <w:rFonts w:eastAsia="Andale Sans UI"/>
                  <w:szCs w:val="24"/>
                  <w:lang w:bidi="en-US"/>
                </w:rPr>
                <w:t>270</w:t>
              </w:r>
              <w:r>
                <w:rPr>
                  <w:rFonts w:eastAsia="Andale Sans UI"/>
                  <w:szCs w:val="24"/>
                  <w:vertAlign w:val="superscript"/>
                  <w:lang w:bidi="en-US"/>
                </w:rPr>
                <w:t>2</w:t>
              </w:r>
              <w:r>
                <w:rPr>
                  <w:rFonts w:eastAsia="Andale Sans UI"/>
                  <w:szCs w:val="24"/>
                  <w:lang w:bidi="en-US"/>
                </w:rPr>
                <w:t xml:space="preserve"> straipsniais ir 243</w:t>
              </w:r>
              <w:r>
                <w:rPr>
                  <w:rFonts w:eastAsia="Andale Sans UI"/>
                  <w:szCs w:val="24"/>
                  <w:vertAlign w:val="superscript"/>
                  <w:lang w:bidi="en-US"/>
                </w:rPr>
                <w:t>1</w:t>
              </w:r>
              <w:r>
                <w:rPr>
                  <w:rFonts w:eastAsia="Andale Sans UI"/>
                  <w:szCs w:val="24"/>
                  <w:lang w:bidi="en-US"/>
                </w:rPr>
                <w:t xml:space="preserve"> straipsnio pripažinimo netekusiu galios įstatymo </w:t>
              </w:r>
              <w:r>
                <w:rPr>
                  <w:rFonts w:eastAsia="Calibri"/>
                  <w:kern w:val="1"/>
                  <w:szCs w:val="24"/>
                  <w:lang w:eastAsia="ar-SA" w:bidi="en-US"/>
                </w:rPr>
                <w:t xml:space="preserve">projektams </w:t>
              </w:r>
              <w:r>
                <w:rPr>
                  <w:rFonts w:eastAsia="Andale Sans UI"/>
                  <w:szCs w:val="24"/>
                  <w:lang w:bidi="en-US"/>
                </w:rPr>
                <w:t>projektų pateikimo Lietuvos Respublikos Seimui“ projektas, 1 lapas.</w:t>
              </w:r>
            </w:p>
          </w:sdtContent>
        </w:sdt>
        <w:sdt>
          <w:sdtPr>
            <w:alias w:val="7 p."/>
            <w:tag w:val="part_c9d5eee9e57d4afdaac5a9a555a9a386"/>
            <w:lock w:val="sdtLocked"/>
            <w:richText/>
          </w:sdtPr>
          <w:sdtContent>
            <w:p>
              <w:pPr>
                <w:spacing w:line="276" w:lineRule="auto"/>
                <w:ind w:firstLine="567"/>
                <w:jc w:val="both"/>
                <w:rPr>
                  <w:rFonts w:eastAsia="Andale Sans UI"/>
                  <w:szCs w:val="24"/>
                  <w:lang w:bidi="en-US"/>
                </w:rPr>
              </w:pPr>
              <w:sdt>
                <w:sdtPr>
                  <w:alias w:val="Numeris"/>
                  <w:tag w:val="nr_c9d5eee9e57d4afdaac5a9a555a9a386"/>
                  <w:lock w:val="sdtLocked"/>
                  <w:richText/>
                </w:sdtPr>
                <w:sdtContent>
                  <w:r>
                    <w:rPr>
                      <w:rFonts w:eastAsia="Andale Sans UI"/>
                      <w:szCs w:val="24"/>
                      <w:lang w:bidi="en-US"/>
                    </w:rPr>
                    <w:t>7</w:t>
                  </w:r>
                </w:sdtContent>
              </w:sdt>
              <w:r>
                <w:rPr>
                  <w:rFonts w:eastAsia="Andale Sans UI"/>
                  <w:szCs w:val="24"/>
                  <w:lang w:bidi="en-US"/>
                </w:rPr>
                <w:t>. Atitikties lentelės, 37 lapai.</w:t>
              </w:r>
            </w:p>
          </w:sdtContent>
        </w:sdt>
        <w:sdt>
          <w:sdtPr>
            <w:alias w:val="8 p."/>
            <w:tag w:val="part_669dd4f942bd4c239525b0a2880f9b97"/>
            <w:lock w:val="sdtLocked"/>
            <w:richText/>
          </w:sdtPr>
          <w:sdtContent>
            <w:p>
              <w:pPr>
                <w:spacing w:line="276" w:lineRule="auto"/>
                <w:ind w:firstLine="567"/>
                <w:jc w:val="both"/>
                <w:rPr>
                  <w:rFonts w:eastAsia="Andale Sans UI"/>
                  <w:szCs w:val="24"/>
                  <w:lang w:bidi="en-US"/>
                </w:rPr>
              </w:pPr>
              <w:sdt>
                <w:sdtPr>
                  <w:alias w:val="Numeris"/>
                  <w:tag w:val="nr_669dd4f942bd4c239525b0a2880f9b97"/>
                  <w:lock w:val="sdtLocked"/>
                  <w:richText/>
                </w:sdtPr>
                <w:sdtContent>
                  <w:r>
                    <w:rPr>
                      <w:rFonts w:eastAsia="Andale Sans UI"/>
                      <w:szCs w:val="24"/>
                      <w:lang w:bidi="en-US"/>
                    </w:rPr>
                    <w:t>8</w:t>
                  </w:r>
                </w:sdtContent>
              </w:sdt>
              <w:r>
                <w:rPr>
                  <w:rFonts w:eastAsia="Andale Sans UI"/>
                  <w:szCs w:val="24"/>
                  <w:lang w:bidi="en-US"/>
                </w:rPr>
                <w:t xml:space="preserve">. Įstatymų projektais galimų sukelti ūkio subjektų prisitaikymo prie reguliavimo išlaidų apskaičiavimo ataskaita, 4 lapai. </w:t>
              </w:r>
            </w:p>
            <w:p>
              <w:pPr>
                <w:spacing w:line="276" w:lineRule="auto"/>
                <w:ind w:firstLine="567"/>
                <w:jc w:val="both"/>
                <w:rPr>
                  <w:rFonts w:eastAsia="Andale Sans UI"/>
                  <w:szCs w:val="24"/>
                  <w:lang w:bidi="en-US"/>
                </w:rPr>
              </w:pPr>
            </w:p>
            <w:p>
              <w:pPr>
                <w:spacing w:line="276" w:lineRule="auto"/>
                <w:ind w:firstLine="567"/>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r>
                <w:rPr>
                  <w:rFonts w:eastAsia="Andale Sans UI"/>
                  <w:szCs w:val="24"/>
                  <w:lang w:bidi="en-US"/>
                </w:rPr>
                <w:t xml:space="preserve">Aplinkos viceministras                                                                                            Tomas Vaitkevičius</w:t>
              </w: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jc w:val="both"/>
                <w:rPr>
                  <w:rFonts w:eastAsia="Andale Sans UI"/>
                  <w:szCs w:val="24"/>
                  <w:lang w:bidi="en-US"/>
                </w:rPr>
              </w:pPr>
            </w:p>
            <w:p>
              <w:pPr>
                <w:spacing w:line="276" w:lineRule="auto"/>
                <w:ind w:firstLine="567"/>
                <w:jc w:val="both"/>
                <w:rPr>
                  <w:rFonts w:eastAsia="Andale Sans UI" w:cs="Tahoma"/>
                  <w:sz w:val="22"/>
                  <w:szCs w:val="22"/>
                  <w:lang w:bidi="en-US"/>
                </w:rPr>
              </w:pPr>
              <w:r>
                <w:rPr>
                  <w:color w:val="000000"/>
                  <w:sz w:val="22"/>
                  <w:szCs w:val="22"/>
                  <w:lang w:bidi="en-US"/>
                </w:rPr>
                <w:t xml:space="preserve">Jurga Girdziušienė tel. +370 695 49 899, el. p. </w:t>
              </w:r>
              <w:r>
                <w:rPr>
                  <w:color w:val="000080"/>
                  <w:sz w:val="22"/>
                  <w:szCs w:val="22"/>
                  <w:lang w:bidi="en-US"/>
                </w:rPr>
                <w:t>jurga.girdziusiene</w:t>
              </w:r>
              <w:r>
                <w:rPr>
                  <w:color w:val="000080"/>
                  <w:sz w:val="22"/>
                  <w:szCs w:val="22"/>
                  <w:lang w:val="nl-BE" w:bidi="en-US"/>
                </w:rPr>
                <w:t>@am.lt</w:t>
              </w:r>
            </w:p>
            <w:p>
              <w:pPr>
                <w:spacing w:line="276" w:lineRule="auto"/>
                <w:ind w:firstLine="567"/>
                <w:jc w:val="both"/>
                <w:rPr>
                  <w:rFonts w:eastAsia="Andale Sans UI" w:cs="Tahoma"/>
                  <w:sz w:val="22"/>
                  <w:szCs w:val="22"/>
                  <w:lang w:bidi="en-US"/>
                </w:rPr>
              </w:pPr>
              <w:r>
                <w:rPr>
                  <w:color w:val="000000"/>
                  <w:sz w:val="22"/>
                  <w:szCs w:val="22"/>
                  <w:lang w:bidi="en-US"/>
                </w:rPr>
                <w:t xml:space="preserve">Daiva Kazlauskienė tel. +370 686 07 316, el. p. </w:t>
              </w:r>
              <w:r>
                <w:rPr>
                  <w:color w:val="000080"/>
                  <w:sz w:val="22"/>
                  <w:szCs w:val="22"/>
                  <w:lang w:bidi="en-US"/>
                </w:rPr>
                <w:t>daiva.kazlauskiene@am.lt</w:t>
              </w:r>
            </w:p>
            <w:p>
              <w:pPr>
                <w:spacing w:line="276" w:lineRule="auto"/>
                <w:ind w:firstLine="567"/>
                <w:jc w:val="both"/>
                <w:rPr>
                  <w:color w:val="000000"/>
                  <w:sz w:val="22"/>
                  <w:szCs w:val="22"/>
                  <w:lang w:bidi="en-US"/>
                </w:rPr>
              </w:pPr>
              <w:r>
                <w:rPr>
                  <w:color w:val="000000"/>
                  <w:sz w:val="22"/>
                  <w:szCs w:val="22"/>
                  <w:lang w:bidi="en-US"/>
                </w:rPr>
                <w:t xml:space="preserve">Skaistė Garlaitė tel. +370 650 10 109, el. p. </w:t>
              </w:r>
              <w:r>
                <w:rPr>
                  <w:color w:val="000080"/>
                  <w:sz w:val="22"/>
                  <w:szCs w:val="22"/>
                  <w:lang w:bidi="en-US"/>
                </w:rPr>
                <w:t>skaiste.garlaite@am.lt</w:t>
              </w:r>
            </w:p>
            <w:p>
              <w:pPr>
                <w:spacing w:line="276" w:lineRule="auto"/>
                <w:ind w:firstLine="567"/>
                <w:jc w:val="both"/>
                <w:rPr>
                  <w:color w:val="0563C1"/>
                  <w:sz w:val="22"/>
                  <w:szCs w:val="22"/>
                  <w:lang w:bidi="en-US"/>
                </w:rPr>
              </w:pPr>
              <w:r>
                <w:rPr>
                  <w:color w:val="000000"/>
                  <w:sz w:val="22"/>
                  <w:szCs w:val="22"/>
                  <w:lang w:bidi="en-US"/>
                </w:rPr>
                <w:t xml:space="preserve">Tomas Aukštinaitis tel. +370 610 79 985, el. p. </w:t>
              </w:r>
              <w:r>
                <w:rPr>
                  <w:color w:val="000080"/>
                  <w:sz w:val="22"/>
                  <w:szCs w:val="22"/>
                  <w:lang w:bidi="en-US"/>
                </w:rPr>
                <w:t>tomas.aukstinaitis@am.lt</w:t>
              </w:r>
            </w:p>
            <w:p>
              <w:pPr>
                <w:spacing w:line="276" w:lineRule="auto"/>
                <w:ind w:firstLine="567"/>
                <w:jc w:val="both"/>
                <w:rPr>
                  <w:color w:val="0563C1"/>
                  <w:sz w:val="22"/>
                  <w:szCs w:val="22"/>
                  <w:lang w:val="lt" w:bidi="en-US"/>
                </w:rPr>
              </w:pPr>
              <w:r>
                <w:rPr>
                  <w:color w:val="000000"/>
                  <w:sz w:val="22"/>
                  <w:szCs w:val="22"/>
                  <w:lang w:val="lt" w:bidi="en-US"/>
                </w:rPr>
                <w:t xml:space="preserve">Ingrida Varžgalienė tel. +370 618 60 873, el. p. </w:t>
              </w:r>
              <w:r>
                <w:rPr>
                  <w:color w:val="000080"/>
                  <w:sz w:val="22"/>
                  <w:szCs w:val="22"/>
                  <w:lang w:val="lt" w:bidi="en-US"/>
                </w:rPr>
                <w:t>ingrida.varzgaliene@am.lt</w:t>
              </w:r>
            </w:p>
            <w:p>
              <w:pPr>
                <w:spacing w:line="276" w:lineRule="auto"/>
                <w:ind w:firstLine="567"/>
                <w:jc w:val="both"/>
                <w:rPr>
                  <w:color w:val="000000"/>
                  <w:sz w:val="22"/>
                  <w:szCs w:val="22"/>
                  <w:lang w:bidi="en-US"/>
                </w:rPr>
              </w:pPr>
              <w:r>
                <w:rPr>
                  <w:color w:val="000000"/>
                  <w:sz w:val="22"/>
                  <w:szCs w:val="22"/>
                  <w:lang w:val="lt" w:bidi="en-US"/>
                </w:rPr>
                <w:t xml:space="preserve">Aurelija Bajoraitienė tel. +370 618 76 434, </w:t>
              </w:r>
              <w:r>
                <w:rPr>
                  <w:color w:val="000080"/>
                  <w:sz w:val="22"/>
                  <w:szCs w:val="22"/>
                  <w:lang w:val="lt" w:bidi="en-US"/>
                </w:rPr>
                <w:t>aurelija.bajoraitiene@am.lt</w:t>
              </w:r>
            </w:p>
            <w:p>
              <w:pPr>
                <w:spacing w:line="276" w:lineRule="auto"/>
                <w:ind w:firstLine="567"/>
                <w:jc w:val="both"/>
                <w:rPr>
                  <w:rFonts w:eastAsia="Andale Sans UI" w:cs="Tahoma"/>
                  <w:sz w:val="22"/>
                  <w:szCs w:val="22"/>
                  <w:lang w:bidi="en-US"/>
                </w:rPr>
              </w:pPr>
              <w:r>
                <w:rPr>
                  <w:color w:val="000000"/>
                  <w:sz w:val="22"/>
                  <w:szCs w:val="22"/>
                  <w:lang w:val="lt" w:bidi="en-US"/>
                </w:rPr>
                <w:t xml:space="preserve">Dovilė Navickienė tel. +370 603 54 457, el. p. </w:t>
              </w:r>
              <w:r>
                <w:rPr>
                  <w:color w:val="000080"/>
                  <w:sz w:val="22"/>
                  <w:szCs w:val="22"/>
                  <w:lang w:val="lt" w:bidi="en-US"/>
                </w:rPr>
                <w:t>dovile.navickiene@am.lt</w:t>
              </w:r>
            </w:p>
            <w:p>
              <w:pPr>
                <w:spacing w:line="276" w:lineRule="auto"/>
                <w:ind w:firstLine="567"/>
                <w:jc w:val="both"/>
                <w:rPr>
                  <w:color w:val="000000"/>
                  <w:sz w:val="22"/>
                  <w:szCs w:val="22"/>
                  <w:lang w:val="lt" w:bidi="en-US"/>
                </w:rPr>
              </w:pPr>
              <w:r>
                <w:rPr>
                  <w:color w:val="294903"/>
                  <w:szCs w:val="24"/>
                  <w:lang w:bidi="en-US"/>
                </w:rPr>
                <w:t>Kris</w:t>
              </w:r>
              <w:r>
                <w:rPr>
                  <w:color w:val="000000"/>
                  <w:sz w:val="22"/>
                  <w:szCs w:val="22"/>
                  <w:lang w:bidi="en-US"/>
                </w:rPr>
                <w:t xml:space="preserve">tina Jankauskaitė  +370 645 09 324, el. p. </w:t>
              </w:r>
              <w:r>
                <w:rPr>
                  <w:color w:val="000080"/>
                  <w:szCs w:val="24"/>
                  <w:u w:val="single"/>
                  <w:lang w:bidi="en-US"/>
                </w:rPr>
                <w:t>kristina.jankauskaite@am.lt</w:t>
              </w:r>
              <w:r>
                <w:rPr>
                  <w:color w:val="000000"/>
                  <w:sz w:val="22"/>
                  <w:szCs w:val="22"/>
                  <w:lang w:val="lt" w:bidi="en-US"/>
                </w:rPr>
                <w:t>.</w:t>
              </w:r>
            </w:p>
            <w:p>
              <w:pPr>
                <w:spacing w:line="276" w:lineRule="auto"/>
                <w:ind w:firstLine="540"/>
                <w:jc w:val="both"/>
                <w:rPr>
                  <w:rFonts w:eastAsia="Andale Sans UI" w:cs="Tahoma"/>
                  <w:color w:val="000000"/>
                  <w:sz w:val="22"/>
                  <w:szCs w:val="22"/>
                  <w:lang w:bidi="en-US"/>
                </w:rPr>
              </w:pPr>
              <w:r>
                <w:rPr>
                  <w:color w:val="000000"/>
                  <w:sz w:val="22"/>
                  <w:szCs w:val="22"/>
                  <w:lang w:val="lt" w:bidi="en-US"/>
                </w:rPr>
                <w:t xml:space="preserve">Justina Aukštinaitienė, tel. +370 695 01 513, el. p. </w:t>
              </w:r>
              <w:r>
                <w:rPr>
                  <w:color w:val="000080"/>
                  <w:szCs w:val="24"/>
                  <w:u w:val="single"/>
                  <w:lang w:val="lt" w:bidi="en-US"/>
                </w:rPr>
                <w:t>justina.aukstinaitiene@am.lt</w:t>
              </w:r>
            </w:p>
            <w:p>
              <w:pPr>
                <w:spacing w:line="276" w:lineRule="auto"/>
                <w:ind w:firstLine="567"/>
                <w:jc w:val="both"/>
                <w:rPr>
                  <w:color w:val="000000"/>
                  <w:szCs w:val="24"/>
                  <w:lang w:val="lt" w:bidi="en-US"/>
                </w:rPr>
                <w:sectPr>
                  <w:headerReference w:type="even" r:id="rId40"/>
                  <w:headerReference w:type="default" r:id="rId41"/>
                  <w:footerReference w:type="even" r:id="rId42"/>
                  <w:footerReference w:type="default" r:id="rId43"/>
                  <w:headerReference w:type="first" r:id="rId44"/>
                  <w:footerReference w:type="first" r:id="rId45"/>
                  <w:footnotePr>
                    <w:pos w:val="beneathText"/>
                    <w:numRestart w:val="eachPage"/>
                  </w:footnotePr>
                  <w:endnotePr>
                    <w:numFmt w:val="decimal"/>
                  </w:endnotePr>
                  <w:pgSz w:w="11905" w:h="16837"/>
                  <w:pgMar w:top="1021" w:right="567" w:bottom="1021" w:left="1588" w:header="567" w:footer="232" w:gutter="0"/>
                  <w:cols w:space="1296"/>
                  <w:titlePg/>
                  <w:docGrid w:linePitch="326"/>
                </w:sectPr>
              </w:pPr>
            </w:p>
            <w:p>
              <w:pPr>
                <w:suppressLineNumbers/>
                <w:tabs>
                  <w:tab w:val="center" w:pos="4800"/>
                  <w:tab w:val="right" w:pos="9601"/>
                </w:tabs>
                <w:jc w:val="both"/>
                <w:rPr>
                  <w:rFonts w:eastAsia="Andale Sans UI" w:cs="Tahoma"/>
                  <w:szCs w:val="24"/>
                  <w:lang w:bidi="en-US"/>
                </w:rPr>
              </w:pPr>
            </w:p>
            <w:p>
              <w:pPr>
                <w:spacing w:line="276" w:lineRule="auto"/>
                <w:ind w:firstLine="567"/>
                <w:jc w:val="both"/>
                <w:rPr>
                  <w:rFonts w:eastAsia="Andale Sans UI"/>
                  <w:szCs w:val="24"/>
                  <w:lang w:bidi="en-US"/>
                </w:rPr>
              </w:pPr>
            </w:p>
            <w:p>
              <w:pPr>
                <w:suppressLineNumbers/>
                <w:spacing w:line="276" w:lineRule="auto"/>
                <w:jc w:val="center"/>
                <w:rPr>
                  <w:rFonts w:eastAsia="Andale Sans UI"/>
                  <w:bCs/>
                  <w:szCs w:val="24"/>
                  <w:lang w:bidi="en-US"/>
                </w:rPr>
              </w:pPr>
              <w:r>
                <w:rPr>
                  <w:rFonts w:eastAsia="Andale Sans UI"/>
                  <w:bCs/>
                  <w:szCs w:val="24"/>
                  <w:lang w:bidi="en-US"/>
                </w:rPr>
                <w:t>ADRESATŲ SĄRAŠAS</w:t>
              </w:r>
            </w:p>
            <w:p>
              <w:pPr>
                <w:suppressLineNumbers/>
                <w:spacing w:line="276" w:lineRule="auto"/>
                <w:jc w:val="both"/>
                <w:rPr>
                  <w:rFonts w:eastAsia="Andale Sans UI"/>
                  <w:bCs/>
                  <w:szCs w:val="24"/>
                  <w:lang w:bidi="en-US"/>
                </w:rPr>
              </w:pPr>
            </w:p>
            <w:p>
              <w:pPr>
                <w:suppressLineNumbers/>
                <w:spacing w:line="276" w:lineRule="auto"/>
                <w:jc w:val="both"/>
                <w:rPr>
                  <w:rFonts w:eastAsia="Andale Sans UI"/>
                  <w:bCs/>
                  <w:szCs w:val="24"/>
                  <w:lang w:bidi="en-US"/>
                </w:rPr>
              </w:pPr>
              <w:r>
                <w:rPr>
                  <w:rFonts w:eastAsia="Andale Sans UI"/>
                  <w:bCs/>
                  <w:szCs w:val="24"/>
                  <w:lang w:bidi="en-US"/>
                </w:rPr>
                <w:t xml:space="preserve">Lietuvos Respublikos ekonomikos ir inovacijų ministerijai </w:t>
              </w:r>
            </w:p>
            <w:p>
              <w:pPr>
                <w:suppressLineNumbers/>
                <w:spacing w:line="276" w:lineRule="auto"/>
                <w:jc w:val="both"/>
                <w:rPr>
                  <w:rFonts w:eastAsia="Andale Sans UI"/>
                  <w:bCs/>
                  <w:szCs w:val="24"/>
                  <w:lang w:bidi="en-US"/>
                </w:rPr>
              </w:pPr>
              <w:r>
                <w:rPr>
                  <w:rFonts w:eastAsia="Andale Sans UI"/>
                  <w:bCs/>
                  <w:szCs w:val="24"/>
                  <w:lang w:bidi="en-US"/>
                </w:rPr>
                <w:t xml:space="preserve">Lietuvos Respublikos finansų ministerijai </w:t>
              </w:r>
            </w:p>
            <w:p>
              <w:pPr>
                <w:suppressLineNumbers/>
                <w:spacing w:line="276" w:lineRule="auto"/>
                <w:jc w:val="both"/>
                <w:rPr>
                  <w:rFonts w:eastAsia="Andale Sans UI"/>
                  <w:bCs/>
                  <w:szCs w:val="24"/>
                  <w:lang w:bidi="en-US"/>
                </w:rPr>
              </w:pPr>
              <w:r>
                <w:rPr>
                  <w:rFonts w:eastAsia="Andale Sans UI"/>
                  <w:bCs/>
                  <w:szCs w:val="24"/>
                  <w:lang w:bidi="en-US"/>
                </w:rPr>
                <w:t>Lietuvos Respublikos sveikatos apsaugos ministerijai</w:t>
              </w:r>
            </w:p>
            <w:p>
              <w:pPr>
                <w:suppressLineNumbers/>
                <w:spacing w:line="276" w:lineRule="auto"/>
                <w:jc w:val="both"/>
                <w:rPr>
                  <w:rFonts w:eastAsia="Andale Sans UI"/>
                  <w:bCs/>
                  <w:szCs w:val="24"/>
                  <w:lang w:bidi="en-US"/>
                </w:rPr>
              </w:pPr>
              <w:r>
                <w:rPr>
                  <w:rFonts w:eastAsia="Andale Sans UI"/>
                  <w:bCs/>
                  <w:szCs w:val="24"/>
                  <w:lang w:bidi="en-US"/>
                </w:rPr>
                <w:t xml:space="preserve">Lietuvos Respublikos teisingumo ministerijai </w:t>
              </w:r>
            </w:p>
            <w:p>
              <w:pPr>
                <w:suppressLineNumbers/>
                <w:spacing w:line="276" w:lineRule="auto"/>
                <w:jc w:val="both"/>
                <w:rPr>
                  <w:rFonts w:eastAsia="Andale Sans UI"/>
                  <w:bCs/>
                  <w:szCs w:val="24"/>
                  <w:lang w:bidi="en-US"/>
                </w:rPr>
              </w:pPr>
              <w:r>
                <w:rPr>
                  <w:rFonts w:eastAsia="Andale Sans UI"/>
                  <w:bCs/>
                  <w:szCs w:val="24"/>
                  <w:lang w:bidi="en-US"/>
                </w:rPr>
                <w:t xml:space="preserve">Lietuvos Respublikos žemės ūkio ministerijai </w:t>
              </w:r>
            </w:p>
            <w:p>
              <w:pPr>
                <w:suppressLineNumbers/>
                <w:spacing w:line="276" w:lineRule="auto"/>
                <w:jc w:val="both"/>
                <w:rPr>
                  <w:rFonts w:eastAsia="Andale Sans UI"/>
                  <w:bCs/>
                  <w:szCs w:val="24"/>
                  <w:lang w:bidi="en-US"/>
                </w:rPr>
              </w:pPr>
              <w:r>
                <w:rPr>
                  <w:rFonts w:eastAsia="Andale Sans UI"/>
                  <w:bCs/>
                  <w:szCs w:val="24"/>
                  <w:lang w:bidi="en-US"/>
                </w:rPr>
                <w:t xml:space="preserve">Lietuvos Respublikos konkurencijos tarybai </w:t>
              </w:r>
            </w:p>
            <w:p>
              <w:pPr>
                <w:suppressLineNumbers/>
                <w:spacing w:line="276" w:lineRule="auto"/>
                <w:jc w:val="both"/>
                <w:rPr>
                  <w:rFonts w:eastAsia="Andale Sans UI"/>
                  <w:bCs/>
                  <w:szCs w:val="24"/>
                  <w:lang w:bidi="en-US"/>
                </w:rPr>
              </w:pPr>
              <w:r>
                <w:rPr>
                  <w:rFonts w:eastAsia="Andale Sans UI"/>
                  <w:bCs/>
                  <w:szCs w:val="24"/>
                  <w:lang w:bidi="en-US"/>
                </w:rPr>
                <w:t xml:space="preserve">Lietuvos Respublikos specialiųjų tyrimų tarnybai </w:t>
              </w:r>
            </w:p>
            <w:p>
              <w:pPr>
                <w:suppressLineNumbers/>
                <w:spacing w:line="276" w:lineRule="auto"/>
                <w:jc w:val="both"/>
                <w:rPr>
                  <w:rFonts w:eastAsia="Andale Sans UI"/>
                  <w:bCs/>
                  <w:szCs w:val="24"/>
                  <w:lang w:bidi="en-US"/>
                </w:rPr>
              </w:pPr>
              <w:r>
                <w:rPr>
                  <w:rFonts w:eastAsia="Andale Sans UI"/>
                  <w:bCs/>
                  <w:szCs w:val="24"/>
                  <w:lang w:bidi="en-US"/>
                </w:rPr>
                <w:t>Nacionaliniam visuomenės sveikatos centrui prie Sveikatos apsaugos ministerijos</w:t>
              </w:r>
            </w:p>
          </w:sdtContent>
        </w:sdt>
        <w:sdt>
          <w:sdtPr>
            <w:alias w:val="signatura"/>
            <w:tag w:val="part_bc1f65d67b5c4feda4a4c49bfd7ae4ff"/>
            <w:lock w:val="sdtLocked"/>
            <w:richText/>
          </w:sdtPr>
          <w:sdtContent>
            <w:p>
              <w:pPr>
                <w:suppressLineNumbers/>
                <w:spacing w:line="276" w:lineRule="auto"/>
                <w:jc w:val="both"/>
                <w:rPr>
                  <w:rFonts w:eastAsia="Andale Sans UI"/>
                  <w:bCs/>
                  <w:szCs w:val="24"/>
                  <w:lang w:bidi="en-US"/>
                </w:rPr>
              </w:pPr>
              <w:r>
                <w:rPr>
                  <w:rFonts w:eastAsia="Andale Sans UI"/>
                  <w:bCs/>
                  <w:szCs w:val="24"/>
                  <w:lang w:bidi="en-US"/>
                </w:rPr>
                <w:t xml:space="preserve">Valstybinei miškų tarnybai prie Aplinkos ministerijos </w:t>
              </w:r>
            </w:p>
            <w:p>
              <w:pPr>
                <w:suppressLineNumbers/>
                <w:spacing w:line="276" w:lineRule="auto"/>
                <w:jc w:val="both"/>
                <w:rPr>
                  <w:rFonts w:eastAsia="Andale Sans UI"/>
                  <w:bCs/>
                  <w:szCs w:val="24"/>
                  <w:lang w:bidi="en-US"/>
                </w:rPr>
              </w:pPr>
              <w:r>
                <w:rPr>
                  <w:rFonts w:eastAsia="Andale Sans UI"/>
                  <w:bCs/>
                  <w:szCs w:val="24"/>
                  <w:lang w:bidi="en-US"/>
                </w:rPr>
                <w:t xml:space="preserve">Valstybinei vartotojų teisių apsaugos tarnybai </w:t>
              </w:r>
            </w:p>
            <w:p>
              <w:pPr>
                <w:suppressLineNumbers/>
                <w:spacing w:line="276" w:lineRule="auto"/>
                <w:jc w:val="both"/>
                <w:rPr>
                  <w:rFonts w:eastAsia="Andale Sans UI"/>
                  <w:bCs/>
                  <w:szCs w:val="24"/>
                  <w:lang w:bidi="en-US"/>
                </w:rPr>
              </w:pPr>
              <w:r>
                <w:rPr>
                  <w:rFonts w:eastAsia="Andale Sans UI"/>
                  <w:bCs/>
                  <w:szCs w:val="24"/>
                  <w:lang w:bidi="en-US"/>
                </w:rPr>
                <w:t>Aplinkos apsaugos agentūrai</w:t>
              </w:r>
            </w:p>
            <w:p>
              <w:pPr>
                <w:suppressLineNumbers/>
                <w:spacing w:line="276" w:lineRule="auto"/>
                <w:jc w:val="both"/>
                <w:rPr>
                  <w:rFonts w:eastAsia="Andale Sans UI"/>
                  <w:bCs/>
                  <w:szCs w:val="24"/>
                  <w:lang w:bidi="en-US"/>
                </w:rPr>
              </w:pPr>
              <w:r>
                <w:rPr>
                  <w:rFonts w:eastAsia="Andale Sans UI"/>
                  <w:bCs/>
                  <w:szCs w:val="24"/>
                  <w:lang w:bidi="en-US"/>
                </w:rPr>
                <w:t>Aplinkos apsaugos departamentui prie Aplinkos ministerijos</w:t>
              </w:r>
            </w:p>
            <w:p>
              <w:pPr>
                <w:suppressLineNumbers/>
                <w:spacing w:line="276" w:lineRule="auto"/>
                <w:jc w:val="both"/>
                <w:rPr>
                  <w:rFonts w:eastAsia="Andale Sans UI"/>
                  <w:bCs/>
                  <w:szCs w:val="24"/>
                  <w:lang w:bidi="en-US"/>
                </w:rPr>
              </w:pPr>
              <w:r>
                <w:rPr>
                  <w:rFonts w:eastAsia="Andale Sans UI"/>
                  <w:bCs/>
                  <w:szCs w:val="24"/>
                  <w:lang w:bidi="en-US"/>
                </w:rPr>
                <w:t>Muitinės departamentui prie Finansų ministerijos</w:t>
              </w:r>
            </w:p>
            <w:p>
              <w:pPr>
                <w:suppressLineNumbers/>
                <w:spacing w:line="276" w:lineRule="auto"/>
                <w:jc w:val="both"/>
                <w:rPr>
                  <w:rFonts w:eastAsia="Andale Sans UI"/>
                  <w:bCs/>
                  <w:szCs w:val="24"/>
                  <w:lang w:bidi="en-US"/>
                </w:rPr>
              </w:pPr>
              <w:r>
                <w:rPr>
                  <w:rFonts w:eastAsia="Andale Sans UI"/>
                  <w:bCs/>
                  <w:szCs w:val="24"/>
                  <w:lang w:bidi="en-US"/>
                </w:rPr>
                <w:t xml:space="preserve">VĮ Valstybinių miškų urėdijai </w:t>
              </w:r>
            </w:p>
            <w:p>
              <w:pPr>
                <w:suppressLineNumbers/>
                <w:spacing w:line="276" w:lineRule="auto"/>
                <w:jc w:val="both"/>
                <w:rPr>
                  <w:rFonts w:eastAsia="Andale Sans UI"/>
                  <w:bCs/>
                  <w:szCs w:val="24"/>
                  <w:lang w:bidi="en-US"/>
                </w:rPr>
              </w:pPr>
              <w:r>
                <w:rPr>
                  <w:rFonts w:eastAsia="Andale Sans UI"/>
                  <w:bCs/>
                  <w:szCs w:val="24"/>
                  <w:lang w:bidi="en-US"/>
                </w:rPr>
                <w:t>Valstybinei maisto ir veterinarijos tarnybai</w:t>
              </w:r>
            </w:p>
            <w:p>
              <w:pPr>
                <w:suppressLineNumbers/>
                <w:spacing w:line="276" w:lineRule="auto"/>
                <w:jc w:val="both"/>
                <w:rPr>
                  <w:rFonts w:eastAsia="Andale Sans UI"/>
                  <w:bCs/>
                  <w:szCs w:val="24"/>
                  <w:lang w:bidi="en-US"/>
                </w:rPr>
              </w:pPr>
              <w:r>
                <w:rPr>
                  <w:rFonts w:eastAsia="Andale Sans UI"/>
                  <w:bCs/>
                  <w:szCs w:val="24"/>
                  <w:lang w:bidi="en-US"/>
                </w:rPr>
                <w:t xml:space="preserve">Asociacija „Aplinkosaugos koalicija“ </w:t>
              </w:r>
            </w:p>
            <w:p>
              <w:pPr>
                <w:suppressLineNumbers/>
                <w:spacing w:line="276" w:lineRule="auto"/>
                <w:jc w:val="both"/>
                <w:rPr>
                  <w:rFonts w:eastAsia="Andale Sans UI"/>
                  <w:bCs/>
                  <w:szCs w:val="24"/>
                  <w:lang w:bidi="en-US"/>
                </w:rPr>
              </w:pPr>
              <w:r>
                <w:rPr>
                  <w:rFonts w:eastAsia="Andale Sans UI"/>
                  <w:bCs/>
                  <w:szCs w:val="24"/>
                  <w:lang w:bidi="en-US"/>
                </w:rPr>
                <w:t xml:space="preserve">Lietuvos agrarinių ir miškų mokslų centrui </w:t>
              </w:r>
            </w:p>
            <w:p>
              <w:pPr>
                <w:suppressLineNumbers/>
                <w:spacing w:line="276" w:lineRule="auto"/>
                <w:jc w:val="both"/>
                <w:rPr>
                  <w:rFonts w:eastAsia="Andale Sans UI"/>
                  <w:bCs/>
                  <w:szCs w:val="24"/>
                  <w:lang w:bidi="en-US"/>
                </w:rPr>
              </w:pPr>
              <w:r>
                <w:rPr>
                  <w:rFonts w:eastAsia="Andale Sans UI"/>
                  <w:bCs/>
                  <w:szCs w:val="24"/>
                  <w:lang w:bidi="en-US"/>
                </w:rPr>
                <w:t xml:space="preserve">Lietuvos medienos pramonės įmonių asociacijai „Lietuvos mediena“ </w:t>
              </w:r>
            </w:p>
            <w:p>
              <w:pPr>
                <w:suppressLineNumbers/>
                <w:spacing w:line="276" w:lineRule="auto"/>
                <w:jc w:val="both"/>
                <w:rPr>
                  <w:rFonts w:eastAsia="Andale Sans UI"/>
                  <w:bCs/>
                  <w:szCs w:val="24"/>
                  <w:lang w:bidi="en-US"/>
                </w:rPr>
              </w:pPr>
              <w:r>
                <w:rPr>
                  <w:rFonts w:eastAsia="Andale Sans UI"/>
                  <w:bCs/>
                  <w:szCs w:val="24"/>
                  <w:lang w:bidi="en-US"/>
                </w:rPr>
                <w:t xml:space="preserve">Lietuvos miško ir žemės savininkų asociacijai </w:t>
              </w:r>
            </w:p>
            <w:p>
              <w:pPr>
                <w:suppressLineNumbers/>
                <w:spacing w:line="276" w:lineRule="auto"/>
                <w:jc w:val="both"/>
                <w:rPr>
                  <w:rFonts w:eastAsia="Andale Sans UI"/>
                  <w:bCs/>
                  <w:szCs w:val="24"/>
                  <w:lang w:bidi="en-US"/>
                </w:rPr>
              </w:pPr>
              <w:r>
                <w:rPr>
                  <w:rFonts w:eastAsia="Andale Sans UI"/>
                  <w:bCs/>
                  <w:szCs w:val="24"/>
                  <w:lang w:bidi="en-US"/>
                </w:rPr>
                <w:t xml:space="preserve">Lietuvos miškininkų sąjungai </w:t>
              </w:r>
            </w:p>
            <w:p>
              <w:pPr>
                <w:suppressLineNumbers/>
                <w:spacing w:line="276" w:lineRule="auto"/>
                <w:jc w:val="both"/>
                <w:rPr>
                  <w:rFonts w:eastAsia="Andale Sans UI"/>
                  <w:bCs/>
                  <w:szCs w:val="24"/>
                  <w:lang w:bidi="en-US"/>
                </w:rPr>
              </w:pPr>
              <w:r>
                <w:rPr>
                  <w:rFonts w:eastAsia="Andale Sans UI"/>
                  <w:bCs/>
                  <w:szCs w:val="24"/>
                  <w:lang w:bidi="en-US"/>
                </w:rPr>
                <w:t xml:space="preserve">Lietuvos miškų ūkio rūmams </w:t>
              </w:r>
            </w:p>
            <w:p>
              <w:pPr>
                <w:suppressLineNumbers/>
                <w:spacing w:line="276" w:lineRule="auto"/>
                <w:jc w:val="both"/>
                <w:rPr>
                  <w:rFonts w:eastAsia="Andale Sans UI"/>
                  <w:szCs w:val="24"/>
                  <w:lang w:bidi="en-US"/>
                </w:rPr>
              </w:pPr>
              <w:r>
                <w:rPr>
                  <w:rFonts w:eastAsia="Andale Sans UI"/>
                  <w:szCs w:val="24"/>
                  <w:lang w:bidi="en-US"/>
                </w:rPr>
                <w:t>Lietuvos Respublikos odontologų rūmams</w:t>
              </w:r>
            </w:p>
            <w:p>
              <w:pPr>
                <w:suppressLineNumbers/>
                <w:spacing w:line="276" w:lineRule="auto"/>
                <w:jc w:val="both"/>
                <w:rPr>
                  <w:rFonts w:eastAsia="Andale Sans UI"/>
                  <w:szCs w:val="24"/>
                  <w:lang w:bidi="en-US"/>
                </w:rPr>
              </w:pPr>
              <w:r>
                <w:rPr>
                  <w:rFonts w:eastAsia="Andale Sans UI"/>
                  <w:szCs w:val="24"/>
                  <w:lang w:bidi="en-US"/>
                </w:rPr>
                <w:t>Lietuvos pramoninkų konfederacijai</w:t>
              </w:r>
            </w:p>
            <w:p>
              <w:pPr>
                <w:suppressLineNumbers/>
                <w:spacing w:line="276" w:lineRule="auto"/>
                <w:jc w:val="both"/>
                <w:rPr>
                  <w:rFonts w:eastAsia="Andale Sans UI"/>
                  <w:bCs/>
                  <w:szCs w:val="24"/>
                  <w:lang w:bidi="en-US"/>
                </w:rPr>
              </w:pPr>
              <w:r>
                <w:rPr>
                  <w:rFonts w:eastAsia="Andale Sans UI"/>
                  <w:bCs/>
                  <w:szCs w:val="24"/>
                  <w:lang w:bidi="en-US"/>
                </w:rPr>
                <w:t xml:space="preserve">Medienos perdirbimo asociacijai </w:t>
              </w:r>
            </w:p>
            <w:p>
              <w:pPr>
                <w:suppressLineNumbers/>
                <w:spacing w:line="276" w:lineRule="auto"/>
                <w:jc w:val="both"/>
                <w:rPr>
                  <w:rFonts w:eastAsia="Andale Sans UI"/>
                  <w:bCs/>
                  <w:szCs w:val="24"/>
                  <w:lang w:bidi="en-US"/>
                </w:rPr>
              </w:pPr>
              <w:r>
                <w:rPr>
                  <w:rFonts w:eastAsia="Andale Sans UI"/>
                  <w:bCs/>
                  <w:szCs w:val="24"/>
                  <w:lang w:bidi="en-US"/>
                </w:rPr>
                <w:t xml:space="preserve">Organizacijų ir žmonių sambūriui „Girių spiečius“  </w:t>
              </w:r>
            </w:p>
            <w:p>
              <w:pPr>
                <w:suppressLineNumbers/>
                <w:spacing w:line="276" w:lineRule="auto"/>
                <w:jc w:val="both"/>
                <w:rPr>
                  <w:rFonts w:eastAsia="Andale Sans UI"/>
                  <w:bCs/>
                  <w:szCs w:val="24"/>
                  <w:lang w:bidi="en-US"/>
                </w:rPr>
              </w:pPr>
              <w:r>
                <w:rPr>
                  <w:rFonts w:eastAsia="Andale Sans UI"/>
                  <w:bCs/>
                  <w:szCs w:val="24"/>
                  <w:lang w:bidi="en-US"/>
                </w:rPr>
                <w:t xml:space="preserve">Privačių miškų savininkų asociacijai </w:t>
              </w:r>
            </w:p>
            <w:p>
              <w:pPr>
                <w:suppressLineNumbers/>
                <w:spacing w:line="276" w:lineRule="auto"/>
                <w:jc w:val="both"/>
                <w:rPr>
                  <w:rFonts w:eastAsia="Andale Sans UI"/>
                  <w:bCs/>
                  <w:szCs w:val="24"/>
                  <w:lang w:bidi="en-US"/>
                </w:rPr>
              </w:pPr>
              <w:r>
                <w:rPr>
                  <w:rFonts w:eastAsia="Andale Sans UI"/>
                  <w:bCs/>
                  <w:szCs w:val="24"/>
                  <w:lang w:bidi="en-US"/>
                </w:rPr>
                <w:t xml:space="preserve">Vakarų Lietuvos medienos perdirbėjų ir eksportuotojų asociacijai </w:t>
              </w:r>
            </w:p>
            <w:p>
              <w:pPr>
                <w:suppressLineNumbers/>
                <w:spacing w:line="276" w:lineRule="auto"/>
                <w:jc w:val="both"/>
                <w:rPr>
                  <w:rFonts w:eastAsia="Andale Sans UI"/>
                  <w:bCs/>
                  <w:szCs w:val="24"/>
                  <w:lang w:bidi="en-US"/>
                </w:rPr>
              </w:pPr>
              <w:r>
                <w:rPr>
                  <w:rFonts w:eastAsia="Andale Sans UI"/>
                  <w:bCs/>
                  <w:szCs w:val="24"/>
                  <w:lang w:bidi="en-US"/>
                </w:rPr>
                <w:t xml:space="preserve">Vytauto Didžiojo universitetui </w:t>
              </w:r>
            </w:p>
            <w:p>
              <w:pPr>
                <w:suppressLineNumbers/>
                <w:spacing w:line="276" w:lineRule="auto"/>
                <w:jc w:val="both"/>
                <w:rPr>
                  <w:rFonts w:eastAsia="Andale Sans UI"/>
                  <w:bCs/>
                  <w:szCs w:val="24"/>
                  <w:lang w:bidi="en-US"/>
                </w:rPr>
              </w:pPr>
              <w:r>
                <w:rPr>
                  <w:rFonts w:eastAsia="Andale Sans UI"/>
                  <w:bCs/>
                  <w:szCs w:val="24"/>
                  <w:lang w:bidi="en-US"/>
                </w:rPr>
                <w:t xml:space="preserve">VšĮ „Girių inspekcija“ </w:t>
              </w:r>
            </w:p>
            <w:p>
              <w:pPr>
                <w:suppressLineNumbers/>
                <w:spacing w:line="276" w:lineRule="auto"/>
                <w:jc w:val="both"/>
                <w:rPr>
                  <w:rFonts w:eastAsia="Andale Sans UI"/>
                  <w:bCs/>
                  <w:szCs w:val="24"/>
                  <w:lang w:bidi="en-US"/>
                </w:rPr>
              </w:pPr>
              <w:r>
                <w:rPr>
                  <w:rFonts w:eastAsia="Andale Sans UI"/>
                  <w:bCs/>
                  <w:szCs w:val="24"/>
                  <w:lang w:bidi="en-US"/>
                </w:rPr>
                <w:t xml:space="preserve">VšĮ „Sengirės fondas“ </w:t>
              </w:r>
            </w:p>
            <w:p>
              <w:pPr>
                <w:suppressLineNumbers/>
                <w:spacing w:line="276" w:lineRule="auto"/>
                <w:jc w:val="both"/>
                <w:rPr>
                  <w:rFonts w:eastAsia="Andale Sans UI"/>
                  <w:bCs/>
                  <w:szCs w:val="24"/>
                  <w:lang w:bidi="en-US"/>
                </w:rPr>
              </w:pPr>
              <w:r>
                <w:rPr>
                  <w:rFonts w:eastAsia="Andale Sans UI"/>
                  <w:bCs/>
                  <w:szCs w:val="24"/>
                  <w:lang w:bidi="en-US"/>
                </w:rPr>
                <w:t>VšĮ „Forest 4.0“</w:t>
              </w:r>
            </w:p>
            <w:p>
              <w:pPr>
                <w:spacing w:line="276" w:lineRule="auto"/>
                <w:jc w:val="center"/>
                <w:rPr>
                  <w:rFonts w:eastAsia="Andale Sans UI" w:cs="Tahoma"/>
                  <w:szCs w:val="24"/>
                  <w:lang w:val="pt-BR" w:eastAsia="lt-LT" w:bidi="en-US"/>
                </w:rPr>
              </w:pPr>
            </w:p>
          </w:sdtContent>
        </w:sdt>
      </w:sdtContent>
    </w:sdt>
    <w:sectPr>
      <w:footnotePr>
        <w:pos w:val="beneathText"/>
        <w:numRestart w:val="eachPage"/>
      </w:footnotePr>
      <w:endnotePr>
        <w:numFmt w:val="decimal"/>
      </w:endnotePr>
      <w:pgSz w:w="11905" w:h="16837"/>
      <w:pgMar w:top="1021" w:right="567" w:bottom="1021" w:left="1588" w:header="567" w:footer="232"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Arial"/>
    <w:charset w:val="BA"/>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type="continuationNotice" w:id="1">
    <w:p/>
  </w:footnote>
  <w:footnote w:id="2">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1" w:tgtFrame="_blank" w:history="1">
        <w:r>
          <w:rPr>
            <w:rFonts w:eastAsia="Andale Sans UI"/>
            <w:sz w:val="20"/>
          </w:rPr>
          <w:t>Devynioliktosios Lietuvos Respublikos Vyriausybės programa</w:t>
        </w:r>
      </w:hyperlink>
      <w:r>
        <w:rPr>
          <w:rFonts w:eastAsia="Andale Sans UI"/>
          <w:sz w:val="20"/>
        </w:rPr>
        <w:t>, kuriai pritarta Lietuvos Respublikos Seimo 2024 m. gruodžio 12 d. nutarimu Nr. XV-54 „Dėl Devynioliktosios Lietuvos Respublikos Vyriausybės programos“.</w:t>
      </w:r>
    </w:p>
  </w:footnote>
  <w:footnote w:id="3">
    <w:p>
      <w:pPr>
        <w:tabs>
          <w:tab w:val="left" w:pos="2127"/>
        </w:tabs>
        <w:jc w:val="both"/>
        <w:rPr>
          <w:color w:val="000000"/>
          <w:sz w:val="20"/>
          <w:lang w:eastAsia="lt-LT" w:bidi="en-US"/>
        </w:rPr>
      </w:pPr>
      <w:r>
        <w:rPr>
          <w:rFonts w:eastAsia="Andale Sans UI"/>
          <w:sz w:val="20"/>
          <w:vertAlign w:val="superscript"/>
          <w:lang w:bidi="en-US"/>
        </w:rPr>
        <w:footnoteRef/>
      </w:r>
      <w:r>
        <w:rPr>
          <w:rFonts w:eastAsia="Andale Sans UI"/>
          <w:sz w:val="20"/>
          <w:lang w:bidi="en-US"/>
        </w:rPr>
        <w:t xml:space="preserve"> </w:t>
      </w:r>
      <w:hyperlink r:id="rId2" w:history="1">
        <w:r>
          <w:rPr>
            <w:rFonts w:eastAsia="Andale Sans UI"/>
            <w:sz w:val="20"/>
            <w:lang w:bidi="en-US"/>
          </w:rPr>
          <w:t>Europos Sąjungos reikalų koordinavimo taisyklių</w:t>
        </w:r>
      </w:hyperlink>
      <w:r>
        <w:rPr>
          <w:rFonts w:eastAsia="Andale Sans UI"/>
          <w:sz w:val="20"/>
          <w:lang w:bidi="en-US"/>
        </w:rPr>
        <w:t>, patvirtintų Lietuvos Respublikos Vyriausybės 2004 m. sausio 9 d. nutarimu Nr. 21 „Dėl Europos Sąjungos reikalų koordinavimo“, 7 priedas.</w:t>
      </w:r>
    </w:p>
  </w:footnote>
  <w:footnote w:id="4">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3" w:history="1">
        <w:r>
          <w:rPr>
            <w:sz w:val="20"/>
            <w:lang w:eastAsia="lt-LT"/>
          </w:rPr>
          <w:t>Informacijos apie techninius reglamentus ir atitikties įvertinimo procedūras teikimo taisyklės</w:t>
        </w:r>
      </w:hyperlink>
      <w:r>
        <w:rPr>
          <w:sz w:val="20"/>
          <w:lang w:eastAsia="lt-LT"/>
        </w:rPr>
        <w:t>, patvirtintos Lietuvos Respublikos Vyriausybės 1999 m. gegužės 20 d. nutarimu Nr. 617 „Dėl Informacijos apie techninius reglamentus ir atitikties įvertinimo procedūras teikimo taisyklių patvirtinimo“.</w:t>
      </w:r>
    </w:p>
  </w:footnote>
  <w:footnote w:id="5">
    <w:p>
      <w:pPr>
        <w:jc w:val="both"/>
        <w:rPr>
          <w:sz w:val="20"/>
          <w:lang w:eastAsia="lt-LT"/>
        </w:rPr>
      </w:pPr>
      <w:r>
        <w:rPr>
          <w:rFonts w:eastAsia="Andale Sans UI"/>
          <w:sz w:val="20"/>
          <w:vertAlign w:val="superscript"/>
        </w:rPr>
        <w:footnoteRef/>
        <w:t xml:space="preserve"> </w:t>
      </w:r>
      <w:hyperlink r:id="rId4" w:history="1">
        <w:r>
          <w:rPr>
            <w:sz w:val="20"/>
            <w:lang w:eastAsia="lt-LT"/>
          </w:rPr>
          <w:t>Lietuvos Respublikos paslaugų įstatymo ir Pranešimų ir informacijos apie nustatomus įsisteigimo arba nustatomus ar panaikinamus paslaugų teikimo laisvei taikomus reikalavimus teikimo tvarkos aprašas</w:t>
        </w:r>
      </w:hyperlink>
      <w:r>
        <w:rPr>
          <w:sz w:val="20"/>
          <w:lang w:eastAsia="lt-LT"/>
        </w:rPr>
        <w:t>, patvirtintas Lietuvos Respublikos Vyriausybės 2011 m. lapkričio 30 d. nutarimu Nr. 1389 „Dėl pranešimų ir informacijos apie nustatomus įsisteigimo arba nustatomus ar panaikinamus paslaugų teikimo laisvei taikomus reikalavimus teikimo“.</w:t>
      </w:r>
    </w:p>
  </w:footnote>
  <w:footnote w:id="6">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5" w:history="1">
        <w:r>
          <w:rPr>
            <w:sz w:val="20"/>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4 punktas.</w:t>
      </w:r>
    </w:p>
  </w:footnote>
  <w:footnote w:id="7">
    <w:p>
      <w:pPr>
        <w:rPr>
          <w:rFonts w:eastAsia="Andale Sans UI"/>
          <w:sz w:val="20"/>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 PAGE   \* MERGEFORMAT </w:instrText>
    </w:r>
    <w:r>
      <w:rPr>
        <w:rFonts w:eastAsia="Andale Sans UI" w:cs="Tahoma"/>
        <w:szCs w:val="24"/>
        <w:lang w:bidi="en-US"/>
      </w:rPr>
      <w:fldChar w:fldCharType="separate"/>
    </w:r>
    <w:r>
      <w:rPr>
        <w:rFonts w:eastAsia="Andale Sans UI" w:cs="Tahoma"/>
        <w:szCs w:val="24"/>
        <w:lang w:bidi="en-US"/>
      </w:rPr>
      <w:t>14</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intelligence2.xml><?xml version="1.0" encoding="utf-8"?>
<int2:intelligence xmlns:int2="http://schemas.microsoft.com/office/intelligence/2020/intelligence" xmlns:oel="http://schemas.microsoft.com/office/2019/extlst">
  <int2:observations>
    <int2:textHash int2:hashCode="GpfTBBkLQH6QNc" int2:id="ozkkdXp5">
      <int2:state int2:value="Rejected" int2:type="AugLoop_Text_Critique"/>
    </int2:textHash>
    <int2:textHash int2:hashCode="LlW3uZ88Bb8w/B" int2:id="q3nsHmpY">
      <int2:state int2:value="Rejected" int2:type="AugLoop_Text_Critique"/>
    </int2:textHash>
    <int2:textHash int2:hashCode="4371f01AVPv+ho" int2:id="vi4ByduV">
      <int2:state int2:value="Rejected" int2:type="AugLoop_Text_Critique"/>
    </int2:textHash>
  </int2:observations>
  <int2:intelligenceSettings/>
  <int2:onDemandWorkflows/>
</int2:intelligence>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 w:id="1"/>
  </w:footnotePr>
  <w:endnotePr>
    <w:numFmt w:val="decimal"/>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D5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6D19E266-225C-4BA2-A6CD-CC1BB20F42B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9660794">
      <w:bodyDiv w:val="1"/>
      <w:marLeft w:val="0"/>
      <w:marRight w:val="0"/>
      <w:marTop w:val="0"/>
      <w:marBottom w:val="0"/>
      <w:divBdr>
        <w:top w:val="none" w:sz="0" w:space="0" w:color="auto"/>
        <w:left w:val="none" w:sz="0" w:space="0" w:color="auto"/>
        <w:bottom w:val="none" w:sz="0" w:space="0" w:color="auto"/>
        <w:right w:val="none" w:sz="0" w:space="0" w:color="auto"/>
      </w:divBdr>
    </w:div>
    <w:div w:id="190072157">
      <w:bodyDiv w:val="1"/>
      <w:marLeft w:val="0"/>
      <w:marRight w:val="0"/>
      <w:marTop w:val="0"/>
      <w:marBottom w:val="0"/>
      <w:divBdr>
        <w:top w:val="none" w:sz="0" w:space="0" w:color="auto"/>
        <w:left w:val="none" w:sz="0" w:space="0" w:color="auto"/>
        <w:bottom w:val="none" w:sz="0" w:space="0" w:color="auto"/>
        <w:right w:val="none" w:sz="0" w:space="0" w:color="auto"/>
      </w:divBdr>
      <w:divsChild>
        <w:div w:id="209076245">
          <w:marLeft w:val="0"/>
          <w:marRight w:val="0"/>
          <w:marTop w:val="0"/>
          <w:marBottom w:val="0"/>
          <w:divBdr>
            <w:top w:val="none" w:sz="0" w:space="0" w:color="auto"/>
            <w:left w:val="none" w:sz="0" w:space="0" w:color="auto"/>
            <w:bottom w:val="none" w:sz="0" w:space="0" w:color="auto"/>
            <w:right w:val="none" w:sz="0" w:space="0" w:color="auto"/>
          </w:divBdr>
        </w:div>
        <w:div w:id="1879853662">
          <w:marLeft w:val="0"/>
          <w:marRight w:val="0"/>
          <w:marTop w:val="0"/>
          <w:marBottom w:val="0"/>
          <w:divBdr>
            <w:top w:val="none" w:sz="0" w:space="0" w:color="auto"/>
            <w:left w:val="none" w:sz="0" w:space="0" w:color="auto"/>
            <w:bottom w:val="none" w:sz="0" w:space="0" w:color="auto"/>
            <w:right w:val="none" w:sz="0" w:space="0" w:color="auto"/>
          </w:divBdr>
        </w:div>
      </w:divsChild>
    </w:div>
    <w:div w:id="235870612">
      <w:bodyDiv w:val="1"/>
      <w:marLeft w:val="0"/>
      <w:marRight w:val="0"/>
      <w:marTop w:val="0"/>
      <w:marBottom w:val="0"/>
      <w:divBdr>
        <w:top w:val="none" w:sz="0" w:space="0" w:color="auto"/>
        <w:left w:val="none" w:sz="0" w:space="0" w:color="auto"/>
        <w:bottom w:val="none" w:sz="0" w:space="0" w:color="auto"/>
        <w:right w:val="none" w:sz="0" w:space="0" w:color="auto"/>
      </w:divBdr>
      <w:divsChild>
        <w:div w:id="283776919">
          <w:marLeft w:val="0"/>
          <w:marRight w:val="0"/>
          <w:marTop w:val="0"/>
          <w:marBottom w:val="0"/>
          <w:divBdr>
            <w:top w:val="none" w:sz="0" w:space="0" w:color="auto"/>
            <w:left w:val="none" w:sz="0" w:space="0" w:color="auto"/>
            <w:bottom w:val="none" w:sz="0" w:space="0" w:color="auto"/>
            <w:right w:val="none" w:sz="0" w:space="0" w:color="auto"/>
          </w:divBdr>
        </w:div>
        <w:div w:id="1193421731">
          <w:marLeft w:val="0"/>
          <w:marRight w:val="0"/>
          <w:marTop w:val="0"/>
          <w:marBottom w:val="0"/>
          <w:divBdr>
            <w:top w:val="none" w:sz="0" w:space="0" w:color="auto"/>
            <w:left w:val="none" w:sz="0" w:space="0" w:color="auto"/>
            <w:bottom w:val="none" w:sz="0" w:space="0" w:color="auto"/>
            <w:right w:val="none" w:sz="0" w:space="0" w:color="auto"/>
          </w:divBdr>
        </w:div>
      </w:divsChild>
    </w:div>
    <w:div w:id="292102141">
      <w:bodyDiv w:val="1"/>
      <w:marLeft w:val="0"/>
      <w:marRight w:val="0"/>
      <w:marTop w:val="0"/>
      <w:marBottom w:val="0"/>
      <w:divBdr>
        <w:top w:val="none" w:sz="0" w:space="0" w:color="auto"/>
        <w:left w:val="none" w:sz="0" w:space="0" w:color="auto"/>
        <w:bottom w:val="none" w:sz="0" w:space="0" w:color="auto"/>
        <w:right w:val="none" w:sz="0" w:space="0" w:color="auto"/>
      </w:divBdr>
      <w:divsChild>
        <w:div w:id="5790510">
          <w:marLeft w:val="0"/>
          <w:marRight w:val="0"/>
          <w:marTop w:val="0"/>
          <w:marBottom w:val="0"/>
          <w:divBdr>
            <w:top w:val="none" w:sz="0" w:space="0" w:color="auto"/>
            <w:left w:val="none" w:sz="0" w:space="0" w:color="auto"/>
            <w:bottom w:val="none" w:sz="0" w:space="0" w:color="auto"/>
            <w:right w:val="none" w:sz="0" w:space="0" w:color="auto"/>
          </w:divBdr>
        </w:div>
        <w:div w:id="114106324">
          <w:marLeft w:val="0"/>
          <w:marRight w:val="0"/>
          <w:marTop w:val="0"/>
          <w:marBottom w:val="0"/>
          <w:divBdr>
            <w:top w:val="none" w:sz="0" w:space="0" w:color="auto"/>
            <w:left w:val="none" w:sz="0" w:space="0" w:color="auto"/>
            <w:bottom w:val="none" w:sz="0" w:space="0" w:color="auto"/>
            <w:right w:val="none" w:sz="0" w:space="0" w:color="auto"/>
          </w:divBdr>
        </w:div>
        <w:div w:id="123088849">
          <w:marLeft w:val="0"/>
          <w:marRight w:val="0"/>
          <w:marTop w:val="0"/>
          <w:marBottom w:val="0"/>
          <w:divBdr>
            <w:top w:val="none" w:sz="0" w:space="0" w:color="auto"/>
            <w:left w:val="none" w:sz="0" w:space="0" w:color="auto"/>
            <w:bottom w:val="none" w:sz="0" w:space="0" w:color="auto"/>
            <w:right w:val="none" w:sz="0" w:space="0" w:color="auto"/>
          </w:divBdr>
        </w:div>
        <w:div w:id="217665458">
          <w:marLeft w:val="0"/>
          <w:marRight w:val="0"/>
          <w:marTop w:val="0"/>
          <w:marBottom w:val="0"/>
          <w:divBdr>
            <w:top w:val="none" w:sz="0" w:space="0" w:color="auto"/>
            <w:left w:val="none" w:sz="0" w:space="0" w:color="auto"/>
            <w:bottom w:val="none" w:sz="0" w:space="0" w:color="auto"/>
            <w:right w:val="none" w:sz="0" w:space="0" w:color="auto"/>
          </w:divBdr>
        </w:div>
        <w:div w:id="221447633">
          <w:marLeft w:val="0"/>
          <w:marRight w:val="0"/>
          <w:marTop w:val="0"/>
          <w:marBottom w:val="0"/>
          <w:divBdr>
            <w:top w:val="none" w:sz="0" w:space="0" w:color="auto"/>
            <w:left w:val="none" w:sz="0" w:space="0" w:color="auto"/>
            <w:bottom w:val="none" w:sz="0" w:space="0" w:color="auto"/>
            <w:right w:val="none" w:sz="0" w:space="0" w:color="auto"/>
          </w:divBdr>
        </w:div>
        <w:div w:id="268388894">
          <w:marLeft w:val="0"/>
          <w:marRight w:val="0"/>
          <w:marTop w:val="0"/>
          <w:marBottom w:val="0"/>
          <w:divBdr>
            <w:top w:val="none" w:sz="0" w:space="0" w:color="auto"/>
            <w:left w:val="none" w:sz="0" w:space="0" w:color="auto"/>
            <w:bottom w:val="none" w:sz="0" w:space="0" w:color="auto"/>
            <w:right w:val="none" w:sz="0" w:space="0" w:color="auto"/>
          </w:divBdr>
        </w:div>
        <w:div w:id="466435110">
          <w:marLeft w:val="0"/>
          <w:marRight w:val="0"/>
          <w:marTop w:val="0"/>
          <w:marBottom w:val="0"/>
          <w:divBdr>
            <w:top w:val="none" w:sz="0" w:space="0" w:color="auto"/>
            <w:left w:val="none" w:sz="0" w:space="0" w:color="auto"/>
            <w:bottom w:val="none" w:sz="0" w:space="0" w:color="auto"/>
            <w:right w:val="none" w:sz="0" w:space="0" w:color="auto"/>
          </w:divBdr>
        </w:div>
        <w:div w:id="556236607">
          <w:marLeft w:val="0"/>
          <w:marRight w:val="0"/>
          <w:marTop w:val="0"/>
          <w:marBottom w:val="0"/>
          <w:divBdr>
            <w:top w:val="none" w:sz="0" w:space="0" w:color="auto"/>
            <w:left w:val="none" w:sz="0" w:space="0" w:color="auto"/>
            <w:bottom w:val="none" w:sz="0" w:space="0" w:color="auto"/>
            <w:right w:val="none" w:sz="0" w:space="0" w:color="auto"/>
          </w:divBdr>
        </w:div>
        <w:div w:id="567036048">
          <w:marLeft w:val="0"/>
          <w:marRight w:val="0"/>
          <w:marTop w:val="0"/>
          <w:marBottom w:val="0"/>
          <w:divBdr>
            <w:top w:val="none" w:sz="0" w:space="0" w:color="auto"/>
            <w:left w:val="none" w:sz="0" w:space="0" w:color="auto"/>
            <w:bottom w:val="none" w:sz="0" w:space="0" w:color="auto"/>
            <w:right w:val="none" w:sz="0" w:space="0" w:color="auto"/>
          </w:divBdr>
        </w:div>
        <w:div w:id="595551850">
          <w:marLeft w:val="0"/>
          <w:marRight w:val="0"/>
          <w:marTop w:val="0"/>
          <w:marBottom w:val="0"/>
          <w:divBdr>
            <w:top w:val="none" w:sz="0" w:space="0" w:color="auto"/>
            <w:left w:val="none" w:sz="0" w:space="0" w:color="auto"/>
            <w:bottom w:val="none" w:sz="0" w:space="0" w:color="auto"/>
            <w:right w:val="none" w:sz="0" w:space="0" w:color="auto"/>
          </w:divBdr>
        </w:div>
        <w:div w:id="655259140">
          <w:marLeft w:val="0"/>
          <w:marRight w:val="0"/>
          <w:marTop w:val="0"/>
          <w:marBottom w:val="0"/>
          <w:divBdr>
            <w:top w:val="none" w:sz="0" w:space="0" w:color="auto"/>
            <w:left w:val="none" w:sz="0" w:space="0" w:color="auto"/>
            <w:bottom w:val="none" w:sz="0" w:space="0" w:color="auto"/>
            <w:right w:val="none" w:sz="0" w:space="0" w:color="auto"/>
          </w:divBdr>
        </w:div>
        <w:div w:id="665867582">
          <w:marLeft w:val="0"/>
          <w:marRight w:val="0"/>
          <w:marTop w:val="0"/>
          <w:marBottom w:val="0"/>
          <w:divBdr>
            <w:top w:val="none" w:sz="0" w:space="0" w:color="auto"/>
            <w:left w:val="none" w:sz="0" w:space="0" w:color="auto"/>
            <w:bottom w:val="none" w:sz="0" w:space="0" w:color="auto"/>
            <w:right w:val="none" w:sz="0" w:space="0" w:color="auto"/>
          </w:divBdr>
        </w:div>
        <w:div w:id="697705473">
          <w:marLeft w:val="0"/>
          <w:marRight w:val="0"/>
          <w:marTop w:val="0"/>
          <w:marBottom w:val="0"/>
          <w:divBdr>
            <w:top w:val="none" w:sz="0" w:space="0" w:color="auto"/>
            <w:left w:val="none" w:sz="0" w:space="0" w:color="auto"/>
            <w:bottom w:val="none" w:sz="0" w:space="0" w:color="auto"/>
            <w:right w:val="none" w:sz="0" w:space="0" w:color="auto"/>
          </w:divBdr>
        </w:div>
        <w:div w:id="706686161">
          <w:marLeft w:val="0"/>
          <w:marRight w:val="0"/>
          <w:marTop w:val="0"/>
          <w:marBottom w:val="0"/>
          <w:divBdr>
            <w:top w:val="none" w:sz="0" w:space="0" w:color="auto"/>
            <w:left w:val="none" w:sz="0" w:space="0" w:color="auto"/>
            <w:bottom w:val="none" w:sz="0" w:space="0" w:color="auto"/>
            <w:right w:val="none" w:sz="0" w:space="0" w:color="auto"/>
          </w:divBdr>
        </w:div>
        <w:div w:id="781998775">
          <w:marLeft w:val="0"/>
          <w:marRight w:val="0"/>
          <w:marTop w:val="0"/>
          <w:marBottom w:val="0"/>
          <w:divBdr>
            <w:top w:val="none" w:sz="0" w:space="0" w:color="auto"/>
            <w:left w:val="none" w:sz="0" w:space="0" w:color="auto"/>
            <w:bottom w:val="none" w:sz="0" w:space="0" w:color="auto"/>
            <w:right w:val="none" w:sz="0" w:space="0" w:color="auto"/>
          </w:divBdr>
        </w:div>
        <w:div w:id="826626659">
          <w:marLeft w:val="0"/>
          <w:marRight w:val="0"/>
          <w:marTop w:val="0"/>
          <w:marBottom w:val="0"/>
          <w:divBdr>
            <w:top w:val="none" w:sz="0" w:space="0" w:color="auto"/>
            <w:left w:val="none" w:sz="0" w:space="0" w:color="auto"/>
            <w:bottom w:val="none" w:sz="0" w:space="0" w:color="auto"/>
            <w:right w:val="none" w:sz="0" w:space="0" w:color="auto"/>
          </w:divBdr>
        </w:div>
        <w:div w:id="837617657">
          <w:marLeft w:val="0"/>
          <w:marRight w:val="0"/>
          <w:marTop w:val="0"/>
          <w:marBottom w:val="0"/>
          <w:divBdr>
            <w:top w:val="none" w:sz="0" w:space="0" w:color="auto"/>
            <w:left w:val="none" w:sz="0" w:space="0" w:color="auto"/>
            <w:bottom w:val="none" w:sz="0" w:space="0" w:color="auto"/>
            <w:right w:val="none" w:sz="0" w:space="0" w:color="auto"/>
          </w:divBdr>
        </w:div>
        <w:div w:id="990601726">
          <w:marLeft w:val="0"/>
          <w:marRight w:val="0"/>
          <w:marTop w:val="0"/>
          <w:marBottom w:val="0"/>
          <w:divBdr>
            <w:top w:val="none" w:sz="0" w:space="0" w:color="auto"/>
            <w:left w:val="none" w:sz="0" w:space="0" w:color="auto"/>
            <w:bottom w:val="none" w:sz="0" w:space="0" w:color="auto"/>
            <w:right w:val="none" w:sz="0" w:space="0" w:color="auto"/>
          </w:divBdr>
        </w:div>
        <w:div w:id="1003321557">
          <w:marLeft w:val="0"/>
          <w:marRight w:val="0"/>
          <w:marTop w:val="0"/>
          <w:marBottom w:val="0"/>
          <w:divBdr>
            <w:top w:val="none" w:sz="0" w:space="0" w:color="auto"/>
            <w:left w:val="none" w:sz="0" w:space="0" w:color="auto"/>
            <w:bottom w:val="none" w:sz="0" w:space="0" w:color="auto"/>
            <w:right w:val="none" w:sz="0" w:space="0" w:color="auto"/>
          </w:divBdr>
        </w:div>
        <w:div w:id="1032196235">
          <w:marLeft w:val="0"/>
          <w:marRight w:val="0"/>
          <w:marTop w:val="0"/>
          <w:marBottom w:val="0"/>
          <w:divBdr>
            <w:top w:val="none" w:sz="0" w:space="0" w:color="auto"/>
            <w:left w:val="none" w:sz="0" w:space="0" w:color="auto"/>
            <w:bottom w:val="none" w:sz="0" w:space="0" w:color="auto"/>
            <w:right w:val="none" w:sz="0" w:space="0" w:color="auto"/>
          </w:divBdr>
        </w:div>
        <w:div w:id="1083722154">
          <w:marLeft w:val="0"/>
          <w:marRight w:val="0"/>
          <w:marTop w:val="0"/>
          <w:marBottom w:val="0"/>
          <w:divBdr>
            <w:top w:val="none" w:sz="0" w:space="0" w:color="auto"/>
            <w:left w:val="none" w:sz="0" w:space="0" w:color="auto"/>
            <w:bottom w:val="none" w:sz="0" w:space="0" w:color="auto"/>
            <w:right w:val="none" w:sz="0" w:space="0" w:color="auto"/>
          </w:divBdr>
        </w:div>
        <w:div w:id="1096436187">
          <w:marLeft w:val="0"/>
          <w:marRight w:val="0"/>
          <w:marTop w:val="0"/>
          <w:marBottom w:val="0"/>
          <w:divBdr>
            <w:top w:val="none" w:sz="0" w:space="0" w:color="auto"/>
            <w:left w:val="none" w:sz="0" w:space="0" w:color="auto"/>
            <w:bottom w:val="none" w:sz="0" w:space="0" w:color="auto"/>
            <w:right w:val="none" w:sz="0" w:space="0" w:color="auto"/>
          </w:divBdr>
        </w:div>
        <w:div w:id="1229996361">
          <w:marLeft w:val="0"/>
          <w:marRight w:val="0"/>
          <w:marTop w:val="0"/>
          <w:marBottom w:val="0"/>
          <w:divBdr>
            <w:top w:val="none" w:sz="0" w:space="0" w:color="auto"/>
            <w:left w:val="none" w:sz="0" w:space="0" w:color="auto"/>
            <w:bottom w:val="none" w:sz="0" w:space="0" w:color="auto"/>
            <w:right w:val="none" w:sz="0" w:space="0" w:color="auto"/>
          </w:divBdr>
        </w:div>
        <w:div w:id="1323461796">
          <w:marLeft w:val="0"/>
          <w:marRight w:val="0"/>
          <w:marTop w:val="0"/>
          <w:marBottom w:val="0"/>
          <w:divBdr>
            <w:top w:val="none" w:sz="0" w:space="0" w:color="auto"/>
            <w:left w:val="none" w:sz="0" w:space="0" w:color="auto"/>
            <w:bottom w:val="none" w:sz="0" w:space="0" w:color="auto"/>
            <w:right w:val="none" w:sz="0" w:space="0" w:color="auto"/>
          </w:divBdr>
        </w:div>
        <w:div w:id="1323896145">
          <w:marLeft w:val="0"/>
          <w:marRight w:val="0"/>
          <w:marTop w:val="0"/>
          <w:marBottom w:val="0"/>
          <w:divBdr>
            <w:top w:val="none" w:sz="0" w:space="0" w:color="auto"/>
            <w:left w:val="none" w:sz="0" w:space="0" w:color="auto"/>
            <w:bottom w:val="none" w:sz="0" w:space="0" w:color="auto"/>
            <w:right w:val="none" w:sz="0" w:space="0" w:color="auto"/>
          </w:divBdr>
        </w:div>
        <w:div w:id="1477843758">
          <w:marLeft w:val="0"/>
          <w:marRight w:val="0"/>
          <w:marTop w:val="0"/>
          <w:marBottom w:val="0"/>
          <w:divBdr>
            <w:top w:val="none" w:sz="0" w:space="0" w:color="auto"/>
            <w:left w:val="none" w:sz="0" w:space="0" w:color="auto"/>
            <w:bottom w:val="none" w:sz="0" w:space="0" w:color="auto"/>
            <w:right w:val="none" w:sz="0" w:space="0" w:color="auto"/>
          </w:divBdr>
        </w:div>
        <w:div w:id="1486167632">
          <w:marLeft w:val="0"/>
          <w:marRight w:val="0"/>
          <w:marTop w:val="0"/>
          <w:marBottom w:val="0"/>
          <w:divBdr>
            <w:top w:val="none" w:sz="0" w:space="0" w:color="auto"/>
            <w:left w:val="none" w:sz="0" w:space="0" w:color="auto"/>
            <w:bottom w:val="none" w:sz="0" w:space="0" w:color="auto"/>
            <w:right w:val="none" w:sz="0" w:space="0" w:color="auto"/>
          </w:divBdr>
        </w:div>
        <w:div w:id="1651787560">
          <w:marLeft w:val="0"/>
          <w:marRight w:val="0"/>
          <w:marTop w:val="0"/>
          <w:marBottom w:val="0"/>
          <w:divBdr>
            <w:top w:val="none" w:sz="0" w:space="0" w:color="auto"/>
            <w:left w:val="none" w:sz="0" w:space="0" w:color="auto"/>
            <w:bottom w:val="none" w:sz="0" w:space="0" w:color="auto"/>
            <w:right w:val="none" w:sz="0" w:space="0" w:color="auto"/>
          </w:divBdr>
        </w:div>
        <w:div w:id="1693385038">
          <w:marLeft w:val="0"/>
          <w:marRight w:val="0"/>
          <w:marTop w:val="0"/>
          <w:marBottom w:val="0"/>
          <w:divBdr>
            <w:top w:val="none" w:sz="0" w:space="0" w:color="auto"/>
            <w:left w:val="none" w:sz="0" w:space="0" w:color="auto"/>
            <w:bottom w:val="none" w:sz="0" w:space="0" w:color="auto"/>
            <w:right w:val="none" w:sz="0" w:space="0" w:color="auto"/>
          </w:divBdr>
        </w:div>
        <w:div w:id="1767115675">
          <w:marLeft w:val="0"/>
          <w:marRight w:val="0"/>
          <w:marTop w:val="0"/>
          <w:marBottom w:val="0"/>
          <w:divBdr>
            <w:top w:val="none" w:sz="0" w:space="0" w:color="auto"/>
            <w:left w:val="none" w:sz="0" w:space="0" w:color="auto"/>
            <w:bottom w:val="none" w:sz="0" w:space="0" w:color="auto"/>
            <w:right w:val="none" w:sz="0" w:space="0" w:color="auto"/>
          </w:divBdr>
        </w:div>
        <w:div w:id="1855652539">
          <w:marLeft w:val="0"/>
          <w:marRight w:val="0"/>
          <w:marTop w:val="0"/>
          <w:marBottom w:val="0"/>
          <w:divBdr>
            <w:top w:val="none" w:sz="0" w:space="0" w:color="auto"/>
            <w:left w:val="none" w:sz="0" w:space="0" w:color="auto"/>
            <w:bottom w:val="none" w:sz="0" w:space="0" w:color="auto"/>
            <w:right w:val="none" w:sz="0" w:space="0" w:color="auto"/>
          </w:divBdr>
        </w:div>
        <w:div w:id="1906139184">
          <w:marLeft w:val="0"/>
          <w:marRight w:val="0"/>
          <w:marTop w:val="0"/>
          <w:marBottom w:val="0"/>
          <w:divBdr>
            <w:top w:val="none" w:sz="0" w:space="0" w:color="auto"/>
            <w:left w:val="none" w:sz="0" w:space="0" w:color="auto"/>
            <w:bottom w:val="none" w:sz="0" w:space="0" w:color="auto"/>
            <w:right w:val="none" w:sz="0" w:space="0" w:color="auto"/>
          </w:divBdr>
        </w:div>
        <w:div w:id="1952978866">
          <w:marLeft w:val="0"/>
          <w:marRight w:val="0"/>
          <w:marTop w:val="0"/>
          <w:marBottom w:val="0"/>
          <w:divBdr>
            <w:top w:val="none" w:sz="0" w:space="0" w:color="auto"/>
            <w:left w:val="none" w:sz="0" w:space="0" w:color="auto"/>
            <w:bottom w:val="none" w:sz="0" w:space="0" w:color="auto"/>
            <w:right w:val="none" w:sz="0" w:space="0" w:color="auto"/>
          </w:divBdr>
        </w:div>
        <w:div w:id="2063601482">
          <w:marLeft w:val="0"/>
          <w:marRight w:val="0"/>
          <w:marTop w:val="0"/>
          <w:marBottom w:val="0"/>
          <w:divBdr>
            <w:top w:val="none" w:sz="0" w:space="0" w:color="auto"/>
            <w:left w:val="none" w:sz="0" w:space="0" w:color="auto"/>
            <w:bottom w:val="none" w:sz="0" w:space="0" w:color="auto"/>
            <w:right w:val="none" w:sz="0" w:space="0" w:color="auto"/>
          </w:divBdr>
        </w:div>
      </w:divsChild>
    </w:div>
    <w:div w:id="295911554">
      <w:bodyDiv w:val="1"/>
      <w:marLeft w:val="0"/>
      <w:marRight w:val="0"/>
      <w:marTop w:val="0"/>
      <w:marBottom w:val="0"/>
      <w:divBdr>
        <w:top w:val="none" w:sz="0" w:space="0" w:color="auto"/>
        <w:left w:val="none" w:sz="0" w:space="0" w:color="auto"/>
        <w:bottom w:val="none" w:sz="0" w:space="0" w:color="auto"/>
        <w:right w:val="none" w:sz="0" w:space="0" w:color="auto"/>
      </w:divBdr>
    </w:div>
    <w:div w:id="311954012">
      <w:bodyDiv w:val="1"/>
      <w:marLeft w:val="0"/>
      <w:marRight w:val="0"/>
      <w:marTop w:val="0"/>
      <w:marBottom w:val="0"/>
      <w:divBdr>
        <w:top w:val="none" w:sz="0" w:space="0" w:color="auto"/>
        <w:left w:val="none" w:sz="0" w:space="0" w:color="auto"/>
        <w:bottom w:val="none" w:sz="0" w:space="0" w:color="auto"/>
        <w:right w:val="none" w:sz="0" w:space="0" w:color="auto"/>
      </w:divBdr>
      <w:divsChild>
        <w:div w:id="619746">
          <w:marLeft w:val="0"/>
          <w:marRight w:val="0"/>
          <w:marTop w:val="0"/>
          <w:marBottom w:val="0"/>
          <w:divBdr>
            <w:top w:val="none" w:sz="0" w:space="0" w:color="auto"/>
            <w:left w:val="none" w:sz="0" w:space="0" w:color="auto"/>
            <w:bottom w:val="none" w:sz="0" w:space="0" w:color="auto"/>
            <w:right w:val="none" w:sz="0" w:space="0" w:color="auto"/>
          </w:divBdr>
        </w:div>
        <w:div w:id="29113118">
          <w:marLeft w:val="0"/>
          <w:marRight w:val="0"/>
          <w:marTop w:val="0"/>
          <w:marBottom w:val="0"/>
          <w:divBdr>
            <w:top w:val="none" w:sz="0" w:space="0" w:color="auto"/>
            <w:left w:val="none" w:sz="0" w:space="0" w:color="auto"/>
            <w:bottom w:val="none" w:sz="0" w:space="0" w:color="auto"/>
            <w:right w:val="none" w:sz="0" w:space="0" w:color="auto"/>
          </w:divBdr>
        </w:div>
        <w:div w:id="61677857">
          <w:marLeft w:val="0"/>
          <w:marRight w:val="0"/>
          <w:marTop w:val="0"/>
          <w:marBottom w:val="0"/>
          <w:divBdr>
            <w:top w:val="none" w:sz="0" w:space="0" w:color="auto"/>
            <w:left w:val="none" w:sz="0" w:space="0" w:color="auto"/>
            <w:bottom w:val="none" w:sz="0" w:space="0" w:color="auto"/>
            <w:right w:val="none" w:sz="0" w:space="0" w:color="auto"/>
          </w:divBdr>
        </w:div>
        <w:div w:id="232857050">
          <w:marLeft w:val="0"/>
          <w:marRight w:val="0"/>
          <w:marTop w:val="0"/>
          <w:marBottom w:val="0"/>
          <w:divBdr>
            <w:top w:val="none" w:sz="0" w:space="0" w:color="auto"/>
            <w:left w:val="none" w:sz="0" w:space="0" w:color="auto"/>
            <w:bottom w:val="none" w:sz="0" w:space="0" w:color="auto"/>
            <w:right w:val="none" w:sz="0" w:space="0" w:color="auto"/>
          </w:divBdr>
        </w:div>
        <w:div w:id="239171742">
          <w:marLeft w:val="0"/>
          <w:marRight w:val="0"/>
          <w:marTop w:val="0"/>
          <w:marBottom w:val="0"/>
          <w:divBdr>
            <w:top w:val="none" w:sz="0" w:space="0" w:color="auto"/>
            <w:left w:val="none" w:sz="0" w:space="0" w:color="auto"/>
            <w:bottom w:val="none" w:sz="0" w:space="0" w:color="auto"/>
            <w:right w:val="none" w:sz="0" w:space="0" w:color="auto"/>
          </w:divBdr>
        </w:div>
        <w:div w:id="298848908">
          <w:marLeft w:val="0"/>
          <w:marRight w:val="0"/>
          <w:marTop w:val="0"/>
          <w:marBottom w:val="0"/>
          <w:divBdr>
            <w:top w:val="none" w:sz="0" w:space="0" w:color="auto"/>
            <w:left w:val="none" w:sz="0" w:space="0" w:color="auto"/>
            <w:bottom w:val="none" w:sz="0" w:space="0" w:color="auto"/>
            <w:right w:val="none" w:sz="0" w:space="0" w:color="auto"/>
          </w:divBdr>
        </w:div>
        <w:div w:id="304356059">
          <w:marLeft w:val="0"/>
          <w:marRight w:val="0"/>
          <w:marTop w:val="0"/>
          <w:marBottom w:val="0"/>
          <w:divBdr>
            <w:top w:val="none" w:sz="0" w:space="0" w:color="auto"/>
            <w:left w:val="none" w:sz="0" w:space="0" w:color="auto"/>
            <w:bottom w:val="none" w:sz="0" w:space="0" w:color="auto"/>
            <w:right w:val="none" w:sz="0" w:space="0" w:color="auto"/>
          </w:divBdr>
        </w:div>
        <w:div w:id="326984062">
          <w:marLeft w:val="0"/>
          <w:marRight w:val="0"/>
          <w:marTop w:val="0"/>
          <w:marBottom w:val="0"/>
          <w:divBdr>
            <w:top w:val="none" w:sz="0" w:space="0" w:color="auto"/>
            <w:left w:val="none" w:sz="0" w:space="0" w:color="auto"/>
            <w:bottom w:val="none" w:sz="0" w:space="0" w:color="auto"/>
            <w:right w:val="none" w:sz="0" w:space="0" w:color="auto"/>
          </w:divBdr>
        </w:div>
        <w:div w:id="334379635">
          <w:marLeft w:val="0"/>
          <w:marRight w:val="0"/>
          <w:marTop w:val="0"/>
          <w:marBottom w:val="0"/>
          <w:divBdr>
            <w:top w:val="none" w:sz="0" w:space="0" w:color="auto"/>
            <w:left w:val="none" w:sz="0" w:space="0" w:color="auto"/>
            <w:bottom w:val="none" w:sz="0" w:space="0" w:color="auto"/>
            <w:right w:val="none" w:sz="0" w:space="0" w:color="auto"/>
          </w:divBdr>
        </w:div>
        <w:div w:id="341513808">
          <w:marLeft w:val="0"/>
          <w:marRight w:val="0"/>
          <w:marTop w:val="0"/>
          <w:marBottom w:val="0"/>
          <w:divBdr>
            <w:top w:val="none" w:sz="0" w:space="0" w:color="auto"/>
            <w:left w:val="none" w:sz="0" w:space="0" w:color="auto"/>
            <w:bottom w:val="none" w:sz="0" w:space="0" w:color="auto"/>
            <w:right w:val="none" w:sz="0" w:space="0" w:color="auto"/>
          </w:divBdr>
        </w:div>
        <w:div w:id="349796858">
          <w:marLeft w:val="0"/>
          <w:marRight w:val="0"/>
          <w:marTop w:val="0"/>
          <w:marBottom w:val="0"/>
          <w:divBdr>
            <w:top w:val="none" w:sz="0" w:space="0" w:color="auto"/>
            <w:left w:val="none" w:sz="0" w:space="0" w:color="auto"/>
            <w:bottom w:val="none" w:sz="0" w:space="0" w:color="auto"/>
            <w:right w:val="none" w:sz="0" w:space="0" w:color="auto"/>
          </w:divBdr>
        </w:div>
        <w:div w:id="352002548">
          <w:marLeft w:val="0"/>
          <w:marRight w:val="0"/>
          <w:marTop w:val="0"/>
          <w:marBottom w:val="0"/>
          <w:divBdr>
            <w:top w:val="none" w:sz="0" w:space="0" w:color="auto"/>
            <w:left w:val="none" w:sz="0" w:space="0" w:color="auto"/>
            <w:bottom w:val="none" w:sz="0" w:space="0" w:color="auto"/>
            <w:right w:val="none" w:sz="0" w:space="0" w:color="auto"/>
          </w:divBdr>
        </w:div>
        <w:div w:id="432937356">
          <w:marLeft w:val="0"/>
          <w:marRight w:val="0"/>
          <w:marTop w:val="0"/>
          <w:marBottom w:val="0"/>
          <w:divBdr>
            <w:top w:val="none" w:sz="0" w:space="0" w:color="auto"/>
            <w:left w:val="none" w:sz="0" w:space="0" w:color="auto"/>
            <w:bottom w:val="none" w:sz="0" w:space="0" w:color="auto"/>
            <w:right w:val="none" w:sz="0" w:space="0" w:color="auto"/>
          </w:divBdr>
        </w:div>
        <w:div w:id="455372197">
          <w:marLeft w:val="0"/>
          <w:marRight w:val="0"/>
          <w:marTop w:val="0"/>
          <w:marBottom w:val="0"/>
          <w:divBdr>
            <w:top w:val="none" w:sz="0" w:space="0" w:color="auto"/>
            <w:left w:val="none" w:sz="0" w:space="0" w:color="auto"/>
            <w:bottom w:val="none" w:sz="0" w:space="0" w:color="auto"/>
            <w:right w:val="none" w:sz="0" w:space="0" w:color="auto"/>
          </w:divBdr>
        </w:div>
        <w:div w:id="469370481">
          <w:marLeft w:val="0"/>
          <w:marRight w:val="0"/>
          <w:marTop w:val="0"/>
          <w:marBottom w:val="0"/>
          <w:divBdr>
            <w:top w:val="none" w:sz="0" w:space="0" w:color="auto"/>
            <w:left w:val="none" w:sz="0" w:space="0" w:color="auto"/>
            <w:bottom w:val="none" w:sz="0" w:space="0" w:color="auto"/>
            <w:right w:val="none" w:sz="0" w:space="0" w:color="auto"/>
          </w:divBdr>
        </w:div>
        <w:div w:id="495540485">
          <w:marLeft w:val="0"/>
          <w:marRight w:val="0"/>
          <w:marTop w:val="0"/>
          <w:marBottom w:val="0"/>
          <w:divBdr>
            <w:top w:val="none" w:sz="0" w:space="0" w:color="auto"/>
            <w:left w:val="none" w:sz="0" w:space="0" w:color="auto"/>
            <w:bottom w:val="none" w:sz="0" w:space="0" w:color="auto"/>
            <w:right w:val="none" w:sz="0" w:space="0" w:color="auto"/>
          </w:divBdr>
        </w:div>
        <w:div w:id="516041727">
          <w:marLeft w:val="0"/>
          <w:marRight w:val="0"/>
          <w:marTop w:val="0"/>
          <w:marBottom w:val="0"/>
          <w:divBdr>
            <w:top w:val="none" w:sz="0" w:space="0" w:color="auto"/>
            <w:left w:val="none" w:sz="0" w:space="0" w:color="auto"/>
            <w:bottom w:val="none" w:sz="0" w:space="0" w:color="auto"/>
            <w:right w:val="none" w:sz="0" w:space="0" w:color="auto"/>
          </w:divBdr>
        </w:div>
        <w:div w:id="527836287">
          <w:marLeft w:val="0"/>
          <w:marRight w:val="0"/>
          <w:marTop w:val="0"/>
          <w:marBottom w:val="0"/>
          <w:divBdr>
            <w:top w:val="none" w:sz="0" w:space="0" w:color="auto"/>
            <w:left w:val="none" w:sz="0" w:space="0" w:color="auto"/>
            <w:bottom w:val="none" w:sz="0" w:space="0" w:color="auto"/>
            <w:right w:val="none" w:sz="0" w:space="0" w:color="auto"/>
          </w:divBdr>
        </w:div>
        <w:div w:id="580724820">
          <w:marLeft w:val="0"/>
          <w:marRight w:val="0"/>
          <w:marTop w:val="0"/>
          <w:marBottom w:val="0"/>
          <w:divBdr>
            <w:top w:val="none" w:sz="0" w:space="0" w:color="auto"/>
            <w:left w:val="none" w:sz="0" w:space="0" w:color="auto"/>
            <w:bottom w:val="none" w:sz="0" w:space="0" w:color="auto"/>
            <w:right w:val="none" w:sz="0" w:space="0" w:color="auto"/>
          </w:divBdr>
        </w:div>
        <w:div w:id="618529031">
          <w:marLeft w:val="0"/>
          <w:marRight w:val="0"/>
          <w:marTop w:val="0"/>
          <w:marBottom w:val="0"/>
          <w:divBdr>
            <w:top w:val="none" w:sz="0" w:space="0" w:color="auto"/>
            <w:left w:val="none" w:sz="0" w:space="0" w:color="auto"/>
            <w:bottom w:val="none" w:sz="0" w:space="0" w:color="auto"/>
            <w:right w:val="none" w:sz="0" w:space="0" w:color="auto"/>
          </w:divBdr>
        </w:div>
        <w:div w:id="680164465">
          <w:marLeft w:val="0"/>
          <w:marRight w:val="0"/>
          <w:marTop w:val="0"/>
          <w:marBottom w:val="0"/>
          <w:divBdr>
            <w:top w:val="none" w:sz="0" w:space="0" w:color="auto"/>
            <w:left w:val="none" w:sz="0" w:space="0" w:color="auto"/>
            <w:bottom w:val="none" w:sz="0" w:space="0" w:color="auto"/>
            <w:right w:val="none" w:sz="0" w:space="0" w:color="auto"/>
          </w:divBdr>
        </w:div>
        <w:div w:id="699235734">
          <w:marLeft w:val="0"/>
          <w:marRight w:val="0"/>
          <w:marTop w:val="0"/>
          <w:marBottom w:val="0"/>
          <w:divBdr>
            <w:top w:val="none" w:sz="0" w:space="0" w:color="auto"/>
            <w:left w:val="none" w:sz="0" w:space="0" w:color="auto"/>
            <w:bottom w:val="none" w:sz="0" w:space="0" w:color="auto"/>
            <w:right w:val="none" w:sz="0" w:space="0" w:color="auto"/>
          </w:divBdr>
        </w:div>
        <w:div w:id="761486116">
          <w:marLeft w:val="0"/>
          <w:marRight w:val="0"/>
          <w:marTop w:val="0"/>
          <w:marBottom w:val="0"/>
          <w:divBdr>
            <w:top w:val="none" w:sz="0" w:space="0" w:color="auto"/>
            <w:left w:val="none" w:sz="0" w:space="0" w:color="auto"/>
            <w:bottom w:val="none" w:sz="0" w:space="0" w:color="auto"/>
            <w:right w:val="none" w:sz="0" w:space="0" w:color="auto"/>
          </w:divBdr>
        </w:div>
        <w:div w:id="852231087">
          <w:marLeft w:val="0"/>
          <w:marRight w:val="0"/>
          <w:marTop w:val="0"/>
          <w:marBottom w:val="0"/>
          <w:divBdr>
            <w:top w:val="none" w:sz="0" w:space="0" w:color="auto"/>
            <w:left w:val="none" w:sz="0" w:space="0" w:color="auto"/>
            <w:bottom w:val="none" w:sz="0" w:space="0" w:color="auto"/>
            <w:right w:val="none" w:sz="0" w:space="0" w:color="auto"/>
          </w:divBdr>
        </w:div>
        <w:div w:id="1055158652">
          <w:marLeft w:val="0"/>
          <w:marRight w:val="0"/>
          <w:marTop w:val="0"/>
          <w:marBottom w:val="0"/>
          <w:divBdr>
            <w:top w:val="none" w:sz="0" w:space="0" w:color="auto"/>
            <w:left w:val="none" w:sz="0" w:space="0" w:color="auto"/>
            <w:bottom w:val="none" w:sz="0" w:space="0" w:color="auto"/>
            <w:right w:val="none" w:sz="0" w:space="0" w:color="auto"/>
          </w:divBdr>
        </w:div>
        <w:div w:id="1073700417">
          <w:marLeft w:val="0"/>
          <w:marRight w:val="0"/>
          <w:marTop w:val="0"/>
          <w:marBottom w:val="0"/>
          <w:divBdr>
            <w:top w:val="none" w:sz="0" w:space="0" w:color="auto"/>
            <w:left w:val="none" w:sz="0" w:space="0" w:color="auto"/>
            <w:bottom w:val="none" w:sz="0" w:space="0" w:color="auto"/>
            <w:right w:val="none" w:sz="0" w:space="0" w:color="auto"/>
          </w:divBdr>
        </w:div>
        <w:div w:id="1074354640">
          <w:marLeft w:val="0"/>
          <w:marRight w:val="0"/>
          <w:marTop w:val="0"/>
          <w:marBottom w:val="0"/>
          <w:divBdr>
            <w:top w:val="none" w:sz="0" w:space="0" w:color="auto"/>
            <w:left w:val="none" w:sz="0" w:space="0" w:color="auto"/>
            <w:bottom w:val="none" w:sz="0" w:space="0" w:color="auto"/>
            <w:right w:val="none" w:sz="0" w:space="0" w:color="auto"/>
          </w:divBdr>
        </w:div>
        <w:div w:id="1085494815">
          <w:marLeft w:val="0"/>
          <w:marRight w:val="0"/>
          <w:marTop w:val="0"/>
          <w:marBottom w:val="0"/>
          <w:divBdr>
            <w:top w:val="none" w:sz="0" w:space="0" w:color="auto"/>
            <w:left w:val="none" w:sz="0" w:space="0" w:color="auto"/>
            <w:bottom w:val="none" w:sz="0" w:space="0" w:color="auto"/>
            <w:right w:val="none" w:sz="0" w:space="0" w:color="auto"/>
          </w:divBdr>
        </w:div>
        <w:div w:id="1092583381">
          <w:marLeft w:val="0"/>
          <w:marRight w:val="0"/>
          <w:marTop w:val="0"/>
          <w:marBottom w:val="0"/>
          <w:divBdr>
            <w:top w:val="none" w:sz="0" w:space="0" w:color="auto"/>
            <w:left w:val="none" w:sz="0" w:space="0" w:color="auto"/>
            <w:bottom w:val="none" w:sz="0" w:space="0" w:color="auto"/>
            <w:right w:val="none" w:sz="0" w:space="0" w:color="auto"/>
          </w:divBdr>
        </w:div>
        <w:div w:id="1100873780">
          <w:marLeft w:val="0"/>
          <w:marRight w:val="0"/>
          <w:marTop w:val="0"/>
          <w:marBottom w:val="0"/>
          <w:divBdr>
            <w:top w:val="none" w:sz="0" w:space="0" w:color="auto"/>
            <w:left w:val="none" w:sz="0" w:space="0" w:color="auto"/>
            <w:bottom w:val="none" w:sz="0" w:space="0" w:color="auto"/>
            <w:right w:val="none" w:sz="0" w:space="0" w:color="auto"/>
          </w:divBdr>
        </w:div>
        <w:div w:id="1120103138">
          <w:marLeft w:val="0"/>
          <w:marRight w:val="0"/>
          <w:marTop w:val="0"/>
          <w:marBottom w:val="0"/>
          <w:divBdr>
            <w:top w:val="none" w:sz="0" w:space="0" w:color="auto"/>
            <w:left w:val="none" w:sz="0" w:space="0" w:color="auto"/>
            <w:bottom w:val="none" w:sz="0" w:space="0" w:color="auto"/>
            <w:right w:val="none" w:sz="0" w:space="0" w:color="auto"/>
          </w:divBdr>
        </w:div>
        <w:div w:id="1248349363">
          <w:marLeft w:val="0"/>
          <w:marRight w:val="0"/>
          <w:marTop w:val="0"/>
          <w:marBottom w:val="0"/>
          <w:divBdr>
            <w:top w:val="none" w:sz="0" w:space="0" w:color="auto"/>
            <w:left w:val="none" w:sz="0" w:space="0" w:color="auto"/>
            <w:bottom w:val="none" w:sz="0" w:space="0" w:color="auto"/>
            <w:right w:val="none" w:sz="0" w:space="0" w:color="auto"/>
          </w:divBdr>
        </w:div>
        <w:div w:id="1256942300">
          <w:marLeft w:val="0"/>
          <w:marRight w:val="0"/>
          <w:marTop w:val="0"/>
          <w:marBottom w:val="0"/>
          <w:divBdr>
            <w:top w:val="none" w:sz="0" w:space="0" w:color="auto"/>
            <w:left w:val="none" w:sz="0" w:space="0" w:color="auto"/>
            <w:bottom w:val="none" w:sz="0" w:space="0" w:color="auto"/>
            <w:right w:val="none" w:sz="0" w:space="0" w:color="auto"/>
          </w:divBdr>
        </w:div>
        <w:div w:id="1280914096">
          <w:marLeft w:val="0"/>
          <w:marRight w:val="0"/>
          <w:marTop w:val="0"/>
          <w:marBottom w:val="0"/>
          <w:divBdr>
            <w:top w:val="none" w:sz="0" w:space="0" w:color="auto"/>
            <w:left w:val="none" w:sz="0" w:space="0" w:color="auto"/>
            <w:bottom w:val="none" w:sz="0" w:space="0" w:color="auto"/>
            <w:right w:val="none" w:sz="0" w:space="0" w:color="auto"/>
          </w:divBdr>
        </w:div>
        <w:div w:id="1319533311">
          <w:marLeft w:val="0"/>
          <w:marRight w:val="0"/>
          <w:marTop w:val="0"/>
          <w:marBottom w:val="0"/>
          <w:divBdr>
            <w:top w:val="none" w:sz="0" w:space="0" w:color="auto"/>
            <w:left w:val="none" w:sz="0" w:space="0" w:color="auto"/>
            <w:bottom w:val="none" w:sz="0" w:space="0" w:color="auto"/>
            <w:right w:val="none" w:sz="0" w:space="0" w:color="auto"/>
          </w:divBdr>
        </w:div>
        <w:div w:id="1437747247">
          <w:marLeft w:val="0"/>
          <w:marRight w:val="0"/>
          <w:marTop w:val="0"/>
          <w:marBottom w:val="0"/>
          <w:divBdr>
            <w:top w:val="none" w:sz="0" w:space="0" w:color="auto"/>
            <w:left w:val="none" w:sz="0" w:space="0" w:color="auto"/>
            <w:bottom w:val="none" w:sz="0" w:space="0" w:color="auto"/>
            <w:right w:val="none" w:sz="0" w:space="0" w:color="auto"/>
          </w:divBdr>
        </w:div>
        <w:div w:id="1560818905">
          <w:marLeft w:val="0"/>
          <w:marRight w:val="0"/>
          <w:marTop w:val="0"/>
          <w:marBottom w:val="0"/>
          <w:divBdr>
            <w:top w:val="none" w:sz="0" w:space="0" w:color="auto"/>
            <w:left w:val="none" w:sz="0" w:space="0" w:color="auto"/>
            <w:bottom w:val="none" w:sz="0" w:space="0" w:color="auto"/>
            <w:right w:val="none" w:sz="0" w:space="0" w:color="auto"/>
          </w:divBdr>
        </w:div>
        <w:div w:id="1590579802">
          <w:marLeft w:val="0"/>
          <w:marRight w:val="0"/>
          <w:marTop w:val="0"/>
          <w:marBottom w:val="0"/>
          <w:divBdr>
            <w:top w:val="none" w:sz="0" w:space="0" w:color="auto"/>
            <w:left w:val="none" w:sz="0" w:space="0" w:color="auto"/>
            <w:bottom w:val="none" w:sz="0" w:space="0" w:color="auto"/>
            <w:right w:val="none" w:sz="0" w:space="0" w:color="auto"/>
          </w:divBdr>
        </w:div>
        <w:div w:id="1598518792">
          <w:marLeft w:val="0"/>
          <w:marRight w:val="0"/>
          <w:marTop w:val="0"/>
          <w:marBottom w:val="0"/>
          <w:divBdr>
            <w:top w:val="none" w:sz="0" w:space="0" w:color="auto"/>
            <w:left w:val="none" w:sz="0" w:space="0" w:color="auto"/>
            <w:bottom w:val="none" w:sz="0" w:space="0" w:color="auto"/>
            <w:right w:val="none" w:sz="0" w:space="0" w:color="auto"/>
          </w:divBdr>
        </w:div>
        <w:div w:id="1701514079">
          <w:marLeft w:val="0"/>
          <w:marRight w:val="0"/>
          <w:marTop w:val="0"/>
          <w:marBottom w:val="0"/>
          <w:divBdr>
            <w:top w:val="none" w:sz="0" w:space="0" w:color="auto"/>
            <w:left w:val="none" w:sz="0" w:space="0" w:color="auto"/>
            <w:bottom w:val="none" w:sz="0" w:space="0" w:color="auto"/>
            <w:right w:val="none" w:sz="0" w:space="0" w:color="auto"/>
          </w:divBdr>
        </w:div>
        <w:div w:id="1711954437">
          <w:marLeft w:val="0"/>
          <w:marRight w:val="0"/>
          <w:marTop w:val="0"/>
          <w:marBottom w:val="0"/>
          <w:divBdr>
            <w:top w:val="none" w:sz="0" w:space="0" w:color="auto"/>
            <w:left w:val="none" w:sz="0" w:space="0" w:color="auto"/>
            <w:bottom w:val="none" w:sz="0" w:space="0" w:color="auto"/>
            <w:right w:val="none" w:sz="0" w:space="0" w:color="auto"/>
          </w:divBdr>
        </w:div>
        <w:div w:id="1717199454">
          <w:marLeft w:val="0"/>
          <w:marRight w:val="0"/>
          <w:marTop w:val="0"/>
          <w:marBottom w:val="0"/>
          <w:divBdr>
            <w:top w:val="none" w:sz="0" w:space="0" w:color="auto"/>
            <w:left w:val="none" w:sz="0" w:space="0" w:color="auto"/>
            <w:bottom w:val="none" w:sz="0" w:space="0" w:color="auto"/>
            <w:right w:val="none" w:sz="0" w:space="0" w:color="auto"/>
          </w:divBdr>
        </w:div>
        <w:div w:id="1721442605">
          <w:marLeft w:val="0"/>
          <w:marRight w:val="0"/>
          <w:marTop w:val="0"/>
          <w:marBottom w:val="0"/>
          <w:divBdr>
            <w:top w:val="none" w:sz="0" w:space="0" w:color="auto"/>
            <w:left w:val="none" w:sz="0" w:space="0" w:color="auto"/>
            <w:bottom w:val="none" w:sz="0" w:space="0" w:color="auto"/>
            <w:right w:val="none" w:sz="0" w:space="0" w:color="auto"/>
          </w:divBdr>
        </w:div>
        <w:div w:id="1730836477">
          <w:marLeft w:val="0"/>
          <w:marRight w:val="0"/>
          <w:marTop w:val="0"/>
          <w:marBottom w:val="0"/>
          <w:divBdr>
            <w:top w:val="none" w:sz="0" w:space="0" w:color="auto"/>
            <w:left w:val="none" w:sz="0" w:space="0" w:color="auto"/>
            <w:bottom w:val="none" w:sz="0" w:space="0" w:color="auto"/>
            <w:right w:val="none" w:sz="0" w:space="0" w:color="auto"/>
          </w:divBdr>
        </w:div>
        <w:div w:id="1800413843">
          <w:marLeft w:val="0"/>
          <w:marRight w:val="0"/>
          <w:marTop w:val="0"/>
          <w:marBottom w:val="0"/>
          <w:divBdr>
            <w:top w:val="none" w:sz="0" w:space="0" w:color="auto"/>
            <w:left w:val="none" w:sz="0" w:space="0" w:color="auto"/>
            <w:bottom w:val="none" w:sz="0" w:space="0" w:color="auto"/>
            <w:right w:val="none" w:sz="0" w:space="0" w:color="auto"/>
          </w:divBdr>
        </w:div>
        <w:div w:id="1887913486">
          <w:marLeft w:val="0"/>
          <w:marRight w:val="0"/>
          <w:marTop w:val="0"/>
          <w:marBottom w:val="0"/>
          <w:divBdr>
            <w:top w:val="none" w:sz="0" w:space="0" w:color="auto"/>
            <w:left w:val="none" w:sz="0" w:space="0" w:color="auto"/>
            <w:bottom w:val="none" w:sz="0" w:space="0" w:color="auto"/>
            <w:right w:val="none" w:sz="0" w:space="0" w:color="auto"/>
          </w:divBdr>
        </w:div>
        <w:div w:id="1888833051">
          <w:marLeft w:val="0"/>
          <w:marRight w:val="0"/>
          <w:marTop w:val="0"/>
          <w:marBottom w:val="0"/>
          <w:divBdr>
            <w:top w:val="none" w:sz="0" w:space="0" w:color="auto"/>
            <w:left w:val="none" w:sz="0" w:space="0" w:color="auto"/>
            <w:bottom w:val="none" w:sz="0" w:space="0" w:color="auto"/>
            <w:right w:val="none" w:sz="0" w:space="0" w:color="auto"/>
          </w:divBdr>
        </w:div>
        <w:div w:id="1954556227">
          <w:marLeft w:val="0"/>
          <w:marRight w:val="0"/>
          <w:marTop w:val="0"/>
          <w:marBottom w:val="0"/>
          <w:divBdr>
            <w:top w:val="none" w:sz="0" w:space="0" w:color="auto"/>
            <w:left w:val="none" w:sz="0" w:space="0" w:color="auto"/>
            <w:bottom w:val="none" w:sz="0" w:space="0" w:color="auto"/>
            <w:right w:val="none" w:sz="0" w:space="0" w:color="auto"/>
          </w:divBdr>
        </w:div>
        <w:div w:id="1966960185">
          <w:marLeft w:val="0"/>
          <w:marRight w:val="0"/>
          <w:marTop w:val="0"/>
          <w:marBottom w:val="0"/>
          <w:divBdr>
            <w:top w:val="none" w:sz="0" w:space="0" w:color="auto"/>
            <w:left w:val="none" w:sz="0" w:space="0" w:color="auto"/>
            <w:bottom w:val="none" w:sz="0" w:space="0" w:color="auto"/>
            <w:right w:val="none" w:sz="0" w:space="0" w:color="auto"/>
          </w:divBdr>
        </w:div>
        <w:div w:id="2002387615">
          <w:marLeft w:val="0"/>
          <w:marRight w:val="0"/>
          <w:marTop w:val="0"/>
          <w:marBottom w:val="0"/>
          <w:divBdr>
            <w:top w:val="none" w:sz="0" w:space="0" w:color="auto"/>
            <w:left w:val="none" w:sz="0" w:space="0" w:color="auto"/>
            <w:bottom w:val="none" w:sz="0" w:space="0" w:color="auto"/>
            <w:right w:val="none" w:sz="0" w:space="0" w:color="auto"/>
          </w:divBdr>
        </w:div>
        <w:div w:id="2132934775">
          <w:marLeft w:val="0"/>
          <w:marRight w:val="0"/>
          <w:marTop w:val="0"/>
          <w:marBottom w:val="0"/>
          <w:divBdr>
            <w:top w:val="none" w:sz="0" w:space="0" w:color="auto"/>
            <w:left w:val="none" w:sz="0" w:space="0" w:color="auto"/>
            <w:bottom w:val="none" w:sz="0" w:space="0" w:color="auto"/>
            <w:right w:val="none" w:sz="0" w:space="0" w:color="auto"/>
          </w:divBdr>
        </w:div>
        <w:div w:id="2132941443">
          <w:marLeft w:val="0"/>
          <w:marRight w:val="0"/>
          <w:marTop w:val="0"/>
          <w:marBottom w:val="0"/>
          <w:divBdr>
            <w:top w:val="none" w:sz="0" w:space="0" w:color="auto"/>
            <w:left w:val="none" w:sz="0" w:space="0" w:color="auto"/>
            <w:bottom w:val="none" w:sz="0" w:space="0" w:color="auto"/>
            <w:right w:val="none" w:sz="0" w:space="0" w:color="auto"/>
          </w:divBdr>
        </w:div>
      </w:divsChild>
    </w:div>
    <w:div w:id="480274677">
      <w:bodyDiv w:val="1"/>
      <w:marLeft w:val="0"/>
      <w:marRight w:val="0"/>
      <w:marTop w:val="0"/>
      <w:marBottom w:val="0"/>
      <w:divBdr>
        <w:top w:val="none" w:sz="0" w:space="0" w:color="auto"/>
        <w:left w:val="none" w:sz="0" w:space="0" w:color="auto"/>
        <w:bottom w:val="none" w:sz="0" w:space="0" w:color="auto"/>
        <w:right w:val="none" w:sz="0" w:space="0" w:color="auto"/>
      </w:divBdr>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505294614">
      <w:bodyDiv w:val="1"/>
      <w:marLeft w:val="0"/>
      <w:marRight w:val="0"/>
      <w:marTop w:val="0"/>
      <w:marBottom w:val="0"/>
      <w:divBdr>
        <w:top w:val="none" w:sz="0" w:space="0" w:color="auto"/>
        <w:left w:val="none" w:sz="0" w:space="0" w:color="auto"/>
        <w:bottom w:val="none" w:sz="0" w:space="0" w:color="auto"/>
        <w:right w:val="none" w:sz="0" w:space="0" w:color="auto"/>
      </w:divBdr>
      <w:divsChild>
        <w:div w:id="88545856">
          <w:marLeft w:val="0"/>
          <w:marRight w:val="0"/>
          <w:marTop w:val="0"/>
          <w:marBottom w:val="0"/>
          <w:divBdr>
            <w:top w:val="none" w:sz="0" w:space="0" w:color="auto"/>
            <w:left w:val="none" w:sz="0" w:space="0" w:color="auto"/>
            <w:bottom w:val="none" w:sz="0" w:space="0" w:color="auto"/>
            <w:right w:val="none" w:sz="0" w:space="0" w:color="auto"/>
          </w:divBdr>
        </w:div>
        <w:div w:id="193544025">
          <w:marLeft w:val="0"/>
          <w:marRight w:val="0"/>
          <w:marTop w:val="0"/>
          <w:marBottom w:val="0"/>
          <w:divBdr>
            <w:top w:val="none" w:sz="0" w:space="0" w:color="auto"/>
            <w:left w:val="none" w:sz="0" w:space="0" w:color="auto"/>
            <w:bottom w:val="none" w:sz="0" w:space="0" w:color="auto"/>
            <w:right w:val="none" w:sz="0" w:space="0" w:color="auto"/>
          </w:divBdr>
        </w:div>
        <w:div w:id="280694025">
          <w:marLeft w:val="0"/>
          <w:marRight w:val="0"/>
          <w:marTop w:val="0"/>
          <w:marBottom w:val="0"/>
          <w:divBdr>
            <w:top w:val="none" w:sz="0" w:space="0" w:color="auto"/>
            <w:left w:val="none" w:sz="0" w:space="0" w:color="auto"/>
            <w:bottom w:val="none" w:sz="0" w:space="0" w:color="auto"/>
            <w:right w:val="none" w:sz="0" w:space="0" w:color="auto"/>
          </w:divBdr>
        </w:div>
        <w:div w:id="287703854">
          <w:marLeft w:val="0"/>
          <w:marRight w:val="0"/>
          <w:marTop w:val="0"/>
          <w:marBottom w:val="0"/>
          <w:divBdr>
            <w:top w:val="none" w:sz="0" w:space="0" w:color="auto"/>
            <w:left w:val="none" w:sz="0" w:space="0" w:color="auto"/>
            <w:bottom w:val="none" w:sz="0" w:space="0" w:color="auto"/>
            <w:right w:val="none" w:sz="0" w:space="0" w:color="auto"/>
          </w:divBdr>
        </w:div>
        <w:div w:id="340203746">
          <w:marLeft w:val="0"/>
          <w:marRight w:val="0"/>
          <w:marTop w:val="0"/>
          <w:marBottom w:val="0"/>
          <w:divBdr>
            <w:top w:val="none" w:sz="0" w:space="0" w:color="auto"/>
            <w:left w:val="none" w:sz="0" w:space="0" w:color="auto"/>
            <w:bottom w:val="none" w:sz="0" w:space="0" w:color="auto"/>
            <w:right w:val="none" w:sz="0" w:space="0" w:color="auto"/>
          </w:divBdr>
        </w:div>
        <w:div w:id="373121338">
          <w:marLeft w:val="0"/>
          <w:marRight w:val="0"/>
          <w:marTop w:val="0"/>
          <w:marBottom w:val="0"/>
          <w:divBdr>
            <w:top w:val="none" w:sz="0" w:space="0" w:color="auto"/>
            <w:left w:val="none" w:sz="0" w:space="0" w:color="auto"/>
            <w:bottom w:val="none" w:sz="0" w:space="0" w:color="auto"/>
            <w:right w:val="none" w:sz="0" w:space="0" w:color="auto"/>
          </w:divBdr>
        </w:div>
        <w:div w:id="380980153">
          <w:marLeft w:val="0"/>
          <w:marRight w:val="0"/>
          <w:marTop w:val="0"/>
          <w:marBottom w:val="0"/>
          <w:divBdr>
            <w:top w:val="none" w:sz="0" w:space="0" w:color="auto"/>
            <w:left w:val="none" w:sz="0" w:space="0" w:color="auto"/>
            <w:bottom w:val="none" w:sz="0" w:space="0" w:color="auto"/>
            <w:right w:val="none" w:sz="0" w:space="0" w:color="auto"/>
          </w:divBdr>
        </w:div>
        <w:div w:id="397291464">
          <w:marLeft w:val="0"/>
          <w:marRight w:val="0"/>
          <w:marTop w:val="0"/>
          <w:marBottom w:val="0"/>
          <w:divBdr>
            <w:top w:val="none" w:sz="0" w:space="0" w:color="auto"/>
            <w:left w:val="none" w:sz="0" w:space="0" w:color="auto"/>
            <w:bottom w:val="none" w:sz="0" w:space="0" w:color="auto"/>
            <w:right w:val="none" w:sz="0" w:space="0" w:color="auto"/>
          </w:divBdr>
        </w:div>
        <w:div w:id="499732915">
          <w:marLeft w:val="0"/>
          <w:marRight w:val="0"/>
          <w:marTop w:val="0"/>
          <w:marBottom w:val="0"/>
          <w:divBdr>
            <w:top w:val="none" w:sz="0" w:space="0" w:color="auto"/>
            <w:left w:val="none" w:sz="0" w:space="0" w:color="auto"/>
            <w:bottom w:val="none" w:sz="0" w:space="0" w:color="auto"/>
            <w:right w:val="none" w:sz="0" w:space="0" w:color="auto"/>
          </w:divBdr>
        </w:div>
        <w:div w:id="516117569">
          <w:marLeft w:val="0"/>
          <w:marRight w:val="0"/>
          <w:marTop w:val="0"/>
          <w:marBottom w:val="0"/>
          <w:divBdr>
            <w:top w:val="none" w:sz="0" w:space="0" w:color="auto"/>
            <w:left w:val="none" w:sz="0" w:space="0" w:color="auto"/>
            <w:bottom w:val="none" w:sz="0" w:space="0" w:color="auto"/>
            <w:right w:val="none" w:sz="0" w:space="0" w:color="auto"/>
          </w:divBdr>
        </w:div>
        <w:div w:id="563950317">
          <w:marLeft w:val="0"/>
          <w:marRight w:val="0"/>
          <w:marTop w:val="0"/>
          <w:marBottom w:val="0"/>
          <w:divBdr>
            <w:top w:val="none" w:sz="0" w:space="0" w:color="auto"/>
            <w:left w:val="none" w:sz="0" w:space="0" w:color="auto"/>
            <w:bottom w:val="none" w:sz="0" w:space="0" w:color="auto"/>
            <w:right w:val="none" w:sz="0" w:space="0" w:color="auto"/>
          </w:divBdr>
        </w:div>
        <w:div w:id="653293689">
          <w:marLeft w:val="0"/>
          <w:marRight w:val="0"/>
          <w:marTop w:val="0"/>
          <w:marBottom w:val="0"/>
          <w:divBdr>
            <w:top w:val="none" w:sz="0" w:space="0" w:color="auto"/>
            <w:left w:val="none" w:sz="0" w:space="0" w:color="auto"/>
            <w:bottom w:val="none" w:sz="0" w:space="0" w:color="auto"/>
            <w:right w:val="none" w:sz="0" w:space="0" w:color="auto"/>
          </w:divBdr>
        </w:div>
        <w:div w:id="872690847">
          <w:marLeft w:val="0"/>
          <w:marRight w:val="0"/>
          <w:marTop w:val="0"/>
          <w:marBottom w:val="0"/>
          <w:divBdr>
            <w:top w:val="none" w:sz="0" w:space="0" w:color="auto"/>
            <w:left w:val="none" w:sz="0" w:space="0" w:color="auto"/>
            <w:bottom w:val="none" w:sz="0" w:space="0" w:color="auto"/>
            <w:right w:val="none" w:sz="0" w:space="0" w:color="auto"/>
          </w:divBdr>
        </w:div>
        <w:div w:id="925648384">
          <w:marLeft w:val="0"/>
          <w:marRight w:val="0"/>
          <w:marTop w:val="0"/>
          <w:marBottom w:val="0"/>
          <w:divBdr>
            <w:top w:val="none" w:sz="0" w:space="0" w:color="auto"/>
            <w:left w:val="none" w:sz="0" w:space="0" w:color="auto"/>
            <w:bottom w:val="none" w:sz="0" w:space="0" w:color="auto"/>
            <w:right w:val="none" w:sz="0" w:space="0" w:color="auto"/>
          </w:divBdr>
        </w:div>
        <w:div w:id="1127088899">
          <w:marLeft w:val="0"/>
          <w:marRight w:val="0"/>
          <w:marTop w:val="0"/>
          <w:marBottom w:val="0"/>
          <w:divBdr>
            <w:top w:val="none" w:sz="0" w:space="0" w:color="auto"/>
            <w:left w:val="none" w:sz="0" w:space="0" w:color="auto"/>
            <w:bottom w:val="none" w:sz="0" w:space="0" w:color="auto"/>
            <w:right w:val="none" w:sz="0" w:space="0" w:color="auto"/>
          </w:divBdr>
        </w:div>
        <w:div w:id="1145515420">
          <w:marLeft w:val="0"/>
          <w:marRight w:val="0"/>
          <w:marTop w:val="0"/>
          <w:marBottom w:val="0"/>
          <w:divBdr>
            <w:top w:val="none" w:sz="0" w:space="0" w:color="auto"/>
            <w:left w:val="none" w:sz="0" w:space="0" w:color="auto"/>
            <w:bottom w:val="none" w:sz="0" w:space="0" w:color="auto"/>
            <w:right w:val="none" w:sz="0" w:space="0" w:color="auto"/>
          </w:divBdr>
        </w:div>
        <w:div w:id="1164931790">
          <w:marLeft w:val="0"/>
          <w:marRight w:val="0"/>
          <w:marTop w:val="0"/>
          <w:marBottom w:val="0"/>
          <w:divBdr>
            <w:top w:val="none" w:sz="0" w:space="0" w:color="auto"/>
            <w:left w:val="none" w:sz="0" w:space="0" w:color="auto"/>
            <w:bottom w:val="none" w:sz="0" w:space="0" w:color="auto"/>
            <w:right w:val="none" w:sz="0" w:space="0" w:color="auto"/>
          </w:divBdr>
        </w:div>
        <w:div w:id="1250040403">
          <w:marLeft w:val="0"/>
          <w:marRight w:val="0"/>
          <w:marTop w:val="0"/>
          <w:marBottom w:val="0"/>
          <w:divBdr>
            <w:top w:val="none" w:sz="0" w:space="0" w:color="auto"/>
            <w:left w:val="none" w:sz="0" w:space="0" w:color="auto"/>
            <w:bottom w:val="none" w:sz="0" w:space="0" w:color="auto"/>
            <w:right w:val="none" w:sz="0" w:space="0" w:color="auto"/>
          </w:divBdr>
        </w:div>
        <w:div w:id="1332636588">
          <w:marLeft w:val="0"/>
          <w:marRight w:val="0"/>
          <w:marTop w:val="0"/>
          <w:marBottom w:val="0"/>
          <w:divBdr>
            <w:top w:val="none" w:sz="0" w:space="0" w:color="auto"/>
            <w:left w:val="none" w:sz="0" w:space="0" w:color="auto"/>
            <w:bottom w:val="none" w:sz="0" w:space="0" w:color="auto"/>
            <w:right w:val="none" w:sz="0" w:space="0" w:color="auto"/>
          </w:divBdr>
        </w:div>
        <w:div w:id="1379276865">
          <w:marLeft w:val="0"/>
          <w:marRight w:val="0"/>
          <w:marTop w:val="0"/>
          <w:marBottom w:val="0"/>
          <w:divBdr>
            <w:top w:val="none" w:sz="0" w:space="0" w:color="auto"/>
            <w:left w:val="none" w:sz="0" w:space="0" w:color="auto"/>
            <w:bottom w:val="none" w:sz="0" w:space="0" w:color="auto"/>
            <w:right w:val="none" w:sz="0" w:space="0" w:color="auto"/>
          </w:divBdr>
        </w:div>
        <w:div w:id="1391808883">
          <w:marLeft w:val="0"/>
          <w:marRight w:val="0"/>
          <w:marTop w:val="0"/>
          <w:marBottom w:val="0"/>
          <w:divBdr>
            <w:top w:val="none" w:sz="0" w:space="0" w:color="auto"/>
            <w:left w:val="none" w:sz="0" w:space="0" w:color="auto"/>
            <w:bottom w:val="none" w:sz="0" w:space="0" w:color="auto"/>
            <w:right w:val="none" w:sz="0" w:space="0" w:color="auto"/>
          </w:divBdr>
        </w:div>
        <w:div w:id="1442801915">
          <w:marLeft w:val="0"/>
          <w:marRight w:val="0"/>
          <w:marTop w:val="0"/>
          <w:marBottom w:val="0"/>
          <w:divBdr>
            <w:top w:val="none" w:sz="0" w:space="0" w:color="auto"/>
            <w:left w:val="none" w:sz="0" w:space="0" w:color="auto"/>
            <w:bottom w:val="none" w:sz="0" w:space="0" w:color="auto"/>
            <w:right w:val="none" w:sz="0" w:space="0" w:color="auto"/>
          </w:divBdr>
        </w:div>
        <w:div w:id="1489052963">
          <w:marLeft w:val="0"/>
          <w:marRight w:val="0"/>
          <w:marTop w:val="0"/>
          <w:marBottom w:val="0"/>
          <w:divBdr>
            <w:top w:val="none" w:sz="0" w:space="0" w:color="auto"/>
            <w:left w:val="none" w:sz="0" w:space="0" w:color="auto"/>
            <w:bottom w:val="none" w:sz="0" w:space="0" w:color="auto"/>
            <w:right w:val="none" w:sz="0" w:space="0" w:color="auto"/>
          </w:divBdr>
        </w:div>
        <w:div w:id="1663463943">
          <w:marLeft w:val="0"/>
          <w:marRight w:val="0"/>
          <w:marTop w:val="0"/>
          <w:marBottom w:val="0"/>
          <w:divBdr>
            <w:top w:val="none" w:sz="0" w:space="0" w:color="auto"/>
            <w:left w:val="none" w:sz="0" w:space="0" w:color="auto"/>
            <w:bottom w:val="none" w:sz="0" w:space="0" w:color="auto"/>
            <w:right w:val="none" w:sz="0" w:space="0" w:color="auto"/>
          </w:divBdr>
        </w:div>
        <w:div w:id="1690059960">
          <w:marLeft w:val="0"/>
          <w:marRight w:val="0"/>
          <w:marTop w:val="0"/>
          <w:marBottom w:val="0"/>
          <w:divBdr>
            <w:top w:val="none" w:sz="0" w:space="0" w:color="auto"/>
            <w:left w:val="none" w:sz="0" w:space="0" w:color="auto"/>
            <w:bottom w:val="none" w:sz="0" w:space="0" w:color="auto"/>
            <w:right w:val="none" w:sz="0" w:space="0" w:color="auto"/>
          </w:divBdr>
        </w:div>
        <w:div w:id="1692102141">
          <w:marLeft w:val="0"/>
          <w:marRight w:val="0"/>
          <w:marTop w:val="0"/>
          <w:marBottom w:val="0"/>
          <w:divBdr>
            <w:top w:val="none" w:sz="0" w:space="0" w:color="auto"/>
            <w:left w:val="none" w:sz="0" w:space="0" w:color="auto"/>
            <w:bottom w:val="none" w:sz="0" w:space="0" w:color="auto"/>
            <w:right w:val="none" w:sz="0" w:space="0" w:color="auto"/>
          </w:divBdr>
        </w:div>
        <w:div w:id="1874078110">
          <w:marLeft w:val="0"/>
          <w:marRight w:val="0"/>
          <w:marTop w:val="0"/>
          <w:marBottom w:val="0"/>
          <w:divBdr>
            <w:top w:val="none" w:sz="0" w:space="0" w:color="auto"/>
            <w:left w:val="none" w:sz="0" w:space="0" w:color="auto"/>
            <w:bottom w:val="none" w:sz="0" w:space="0" w:color="auto"/>
            <w:right w:val="none" w:sz="0" w:space="0" w:color="auto"/>
          </w:divBdr>
        </w:div>
        <w:div w:id="1908956872">
          <w:marLeft w:val="0"/>
          <w:marRight w:val="0"/>
          <w:marTop w:val="0"/>
          <w:marBottom w:val="0"/>
          <w:divBdr>
            <w:top w:val="none" w:sz="0" w:space="0" w:color="auto"/>
            <w:left w:val="none" w:sz="0" w:space="0" w:color="auto"/>
            <w:bottom w:val="none" w:sz="0" w:space="0" w:color="auto"/>
            <w:right w:val="none" w:sz="0" w:space="0" w:color="auto"/>
          </w:divBdr>
        </w:div>
        <w:div w:id="1983996163">
          <w:marLeft w:val="0"/>
          <w:marRight w:val="0"/>
          <w:marTop w:val="0"/>
          <w:marBottom w:val="0"/>
          <w:divBdr>
            <w:top w:val="none" w:sz="0" w:space="0" w:color="auto"/>
            <w:left w:val="none" w:sz="0" w:space="0" w:color="auto"/>
            <w:bottom w:val="none" w:sz="0" w:space="0" w:color="auto"/>
            <w:right w:val="none" w:sz="0" w:space="0" w:color="auto"/>
          </w:divBdr>
        </w:div>
        <w:div w:id="2010671011">
          <w:marLeft w:val="0"/>
          <w:marRight w:val="0"/>
          <w:marTop w:val="0"/>
          <w:marBottom w:val="0"/>
          <w:divBdr>
            <w:top w:val="none" w:sz="0" w:space="0" w:color="auto"/>
            <w:left w:val="none" w:sz="0" w:space="0" w:color="auto"/>
            <w:bottom w:val="none" w:sz="0" w:space="0" w:color="auto"/>
            <w:right w:val="none" w:sz="0" w:space="0" w:color="auto"/>
          </w:divBdr>
        </w:div>
        <w:div w:id="2052224954">
          <w:marLeft w:val="0"/>
          <w:marRight w:val="0"/>
          <w:marTop w:val="0"/>
          <w:marBottom w:val="0"/>
          <w:divBdr>
            <w:top w:val="none" w:sz="0" w:space="0" w:color="auto"/>
            <w:left w:val="none" w:sz="0" w:space="0" w:color="auto"/>
            <w:bottom w:val="none" w:sz="0" w:space="0" w:color="auto"/>
            <w:right w:val="none" w:sz="0" w:space="0" w:color="auto"/>
          </w:divBdr>
        </w:div>
      </w:divsChild>
    </w:div>
    <w:div w:id="567614685">
      <w:bodyDiv w:val="1"/>
      <w:marLeft w:val="0"/>
      <w:marRight w:val="0"/>
      <w:marTop w:val="0"/>
      <w:marBottom w:val="0"/>
      <w:divBdr>
        <w:top w:val="none" w:sz="0" w:space="0" w:color="auto"/>
        <w:left w:val="none" w:sz="0" w:space="0" w:color="auto"/>
        <w:bottom w:val="none" w:sz="0" w:space="0" w:color="auto"/>
        <w:right w:val="none" w:sz="0" w:space="0" w:color="auto"/>
      </w:divBdr>
    </w:div>
    <w:div w:id="630284239">
      <w:bodyDiv w:val="1"/>
      <w:marLeft w:val="0"/>
      <w:marRight w:val="0"/>
      <w:marTop w:val="0"/>
      <w:marBottom w:val="0"/>
      <w:divBdr>
        <w:top w:val="none" w:sz="0" w:space="0" w:color="auto"/>
        <w:left w:val="none" w:sz="0" w:space="0" w:color="auto"/>
        <w:bottom w:val="none" w:sz="0" w:space="0" w:color="auto"/>
        <w:right w:val="none" w:sz="0" w:space="0" w:color="auto"/>
      </w:divBdr>
    </w:div>
    <w:div w:id="750545553">
      <w:bodyDiv w:val="1"/>
      <w:marLeft w:val="0"/>
      <w:marRight w:val="0"/>
      <w:marTop w:val="0"/>
      <w:marBottom w:val="0"/>
      <w:divBdr>
        <w:top w:val="none" w:sz="0" w:space="0" w:color="auto"/>
        <w:left w:val="none" w:sz="0" w:space="0" w:color="auto"/>
        <w:bottom w:val="none" w:sz="0" w:space="0" w:color="auto"/>
        <w:right w:val="none" w:sz="0" w:space="0" w:color="auto"/>
      </w:divBdr>
      <w:divsChild>
        <w:div w:id="7491841">
          <w:marLeft w:val="0"/>
          <w:marRight w:val="0"/>
          <w:marTop w:val="0"/>
          <w:marBottom w:val="0"/>
          <w:divBdr>
            <w:top w:val="none" w:sz="0" w:space="0" w:color="auto"/>
            <w:left w:val="none" w:sz="0" w:space="0" w:color="auto"/>
            <w:bottom w:val="none" w:sz="0" w:space="0" w:color="auto"/>
            <w:right w:val="none" w:sz="0" w:space="0" w:color="auto"/>
          </w:divBdr>
        </w:div>
        <w:div w:id="1692101005">
          <w:marLeft w:val="0"/>
          <w:marRight w:val="0"/>
          <w:marTop w:val="0"/>
          <w:marBottom w:val="0"/>
          <w:divBdr>
            <w:top w:val="none" w:sz="0" w:space="0" w:color="auto"/>
            <w:left w:val="none" w:sz="0" w:space="0" w:color="auto"/>
            <w:bottom w:val="none" w:sz="0" w:space="0" w:color="auto"/>
            <w:right w:val="none" w:sz="0" w:space="0" w:color="auto"/>
          </w:divBdr>
        </w:div>
      </w:divsChild>
    </w:div>
    <w:div w:id="782111478">
      <w:bodyDiv w:val="1"/>
      <w:marLeft w:val="0"/>
      <w:marRight w:val="0"/>
      <w:marTop w:val="0"/>
      <w:marBottom w:val="0"/>
      <w:divBdr>
        <w:top w:val="none" w:sz="0" w:space="0" w:color="auto"/>
        <w:left w:val="none" w:sz="0" w:space="0" w:color="auto"/>
        <w:bottom w:val="none" w:sz="0" w:space="0" w:color="auto"/>
        <w:right w:val="none" w:sz="0" w:space="0" w:color="auto"/>
      </w:divBdr>
    </w:div>
    <w:div w:id="792796429">
      <w:bodyDiv w:val="1"/>
      <w:marLeft w:val="0"/>
      <w:marRight w:val="0"/>
      <w:marTop w:val="0"/>
      <w:marBottom w:val="0"/>
      <w:divBdr>
        <w:top w:val="none" w:sz="0" w:space="0" w:color="auto"/>
        <w:left w:val="none" w:sz="0" w:space="0" w:color="auto"/>
        <w:bottom w:val="none" w:sz="0" w:space="0" w:color="auto"/>
        <w:right w:val="none" w:sz="0" w:space="0" w:color="auto"/>
      </w:divBdr>
      <w:divsChild>
        <w:div w:id="556236158">
          <w:marLeft w:val="0"/>
          <w:marRight w:val="0"/>
          <w:marTop w:val="0"/>
          <w:marBottom w:val="0"/>
          <w:divBdr>
            <w:top w:val="none" w:sz="0" w:space="0" w:color="auto"/>
            <w:left w:val="none" w:sz="0" w:space="0" w:color="auto"/>
            <w:bottom w:val="none" w:sz="0" w:space="0" w:color="auto"/>
            <w:right w:val="none" w:sz="0" w:space="0" w:color="auto"/>
          </w:divBdr>
        </w:div>
        <w:div w:id="576135966">
          <w:marLeft w:val="0"/>
          <w:marRight w:val="0"/>
          <w:marTop w:val="0"/>
          <w:marBottom w:val="0"/>
          <w:divBdr>
            <w:top w:val="none" w:sz="0" w:space="0" w:color="auto"/>
            <w:left w:val="none" w:sz="0" w:space="0" w:color="auto"/>
            <w:bottom w:val="none" w:sz="0" w:space="0" w:color="auto"/>
            <w:right w:val="none" w:sz="0" w:space="0" w:color="auto"/>
          </w:divBdr>
        </w:div>
        <w:div w:id="774254276">
          <w:marLeft w:val="0"/>
          <w:marRight w:val="0"/>
          <w:marTop w:val="0"/>
          <w:marBottom w:val="0"/>
          <w:divBdr>
            <w:top w:val="none" w:sz="0" w:space="0" w:color="auto"/>
            <w:left w:val="none" w:sz="0" w:space="0" w:color="auto"/>
            <w:bottom w:val="none" w:sz="0" w:space="0" w:color="auto"/>
            <w:right w:val="none" w:sz="0" w:space="0" w:color="auto"/>
          </w:divBdr>
        </w:div>
        <w:div w:id="1176458753">
          <w:marLeft w:val="0"/>
          <w:marRight w:val="0"/>
          <w:marTop w:val="0"/>
          <w:marBottom w:val="0"/>
          <w:divBdr>
            <w:top w:val="none" w:sz="0" w:space="0" w:color="auto"/>
            <w:left w:val="none" w:sz="0" w:space="0" w:color="auto"/>
            <w:bottom w:val="none" w:sz="0" w:space="0" w:color="auto"/>
            <w:right w:val="none" w:sz="0" w:space="0" w:color="auto"/>
          </w:divBdr>
        </w:div>
        <w:div w:id="1420755764">
          <w:marLeft w:val="0"/>
          <w:marRight w:val="0"/>
          <w:marTop w:val="0"/>
          <w:marBottom w:val="0"/>
          <w:divBdr>
            <w:top w:val="none" w:sz="0" w:space="0" w:color="auto"/>
            <w:left w:val="none" w:sz="0" w:space="0" w:color="auto"/>
            <w:bottom w:val="none" w:sz="0" w:space="0" w:color="auto"/>
            <w:right w:val="none" w:sz="0" w:space="0" w:color="auto"/>
          </w:divBdr>
        </w:div>
        <w:div w:id="1628508178">
          <w:marLeft w:val="0"/>
          <w:marRight w:val="0"/>
          <w:marTop w:val="0"/>
          <w:marBottom w:val="0"/>
          <w:divBdr>
            <w:top w:val="none" w:sz="0" w:space="0" w:color="auto"/>
            <w:left w:val="none" w:sz="0" w:space="0" w:color="auto"/>
            <w:bottom w:val="none" w:sz="0" w:space="0" w:color="auto"/>
            <w:right w:val="none" w:sz="0" w:space="0" w:color="auto"/>
          </w:divBdr>
        </w:div>
        <w:div w:id="1729524625">
          <w:marLeft w:val="0"/>
          <w:marRight w:val="0"/>
          <w:marTop w:val="0"/>
          <w:marBottom w:val="0"/>
          <w:divBdr>
            <w:top w:val="none" w:sz="0" w:space="0" w:color="auto"/>
            <w:left w:val="none" w:sz="0" w:space="0" w:color="auto"/>
            <w:bottom w:val="none" w:sz="0" w:space="0" w:color="auto"/>
            <w:right w:val="none" w:sz="0" w:space="0" w:color="auto"/>
          </w:divBdr>
        </w:div>
        <w:div w:id="1999992824">
          <w:marLeft w:val="0"/>
          <w:marRight w:val="0"/>
          <w:marTop w:val="0"/>
          <w:marBottom w:val="0"/>
          <w:divBdr>
            <w:top w:val="none" w:sz="0" w:space="0" w:color="auto"/>
            <w:left w:val="none" w:sz="0" w:space="0" w:color="auto"/>
            <w:bottom w:val="none" w:sz="0" w:space="0" w:color="auto"/>
            <w:right w:val="none" w:sz="0" w:space="0" w:color="auto"/>
          </w:divBdr>
        </w:div>
        <w:div w:id="2143182743">
          <w:marLeft w:val="0"/>
          <w:marRight w:val="0"/>
          <w:marTop w:val="0"/>
          <w:marBottom w:val="0"/>
          <w:divBdr>
            <w:top w:val="none" w:sz="0" w:space="0" w:color="auto"/>
            <w:left w:val="none" w:sz="0" w:space="0" w:color="auto"/>
            <w:bottom w:val="none" w:sz="0" w:space="0" w:color="auto"/>
            <w:right w:val="none" w:sz="0" w:space="0" w:color="auto"/>
          </w:divBdr>
        </w:div>
      </w:divsChild>
    </w:div>
    <w:div w:id="834804227">
      <w:bodyDiv w:val="1"/>
      <w:marLeft w:val="0"/>
      <w:marRight w:val="0"/>
      <w:marTop w:val="0"/>
      <w:marBottom w:val="0"/>
      <w:divBdr>
        <w:top w:val="none" w:sz="0" w:space="0" w:color="auto"/>
        <w:left w:val="none" w:sz="0" w:space="0" w:color="auto"/>
        <w:bottom w:val="none" w:sz="0" w:space="0" w:color="auto"/>
        <w:right w:val="none" w:sz="0" w:space="0" w:color="auto"/>
      </w:divBdr>
    </w:div>
    <w:div w:id="837578917">
      <w:bodyDiv w:val="1"/>
      <w:marLeft w:val="0"/>
      <w:marRight w:val="0"/>
      <w:marTop w:val="0"/>
      <w:marBottom w:val="0"/>
      <w:divBdr>
        <w:top w:val="none" w:sz="0" w:space="0" w:color="auto"/>
        <w:left w:val="none" w:sz="0" w:space="0" w:color="auto"/>
        <w:bottom w:val="none" w:sz="0" w:space="0" w:color="auto"/>
        <w:right w:val="none" w:sz="0" w:space="0" w:color="auto"/>
      </w:divBdr>
      <w:divsChild>
        <w:div w:id="479469978">
          <w:marLeft w:val="0"/>
          <w:marRight w:val="0"/>
          <w:marTop w:val="0"/>
          <w:marBottom w:val="0"/>
          <w:divBdr>
            <w:top w:val="none" w:sz="0" w:space="0" w:color="auto"/>
            <w:left w:val="none" w:sz="0" w:space="0" w:color="auto"/>
            <w:bottom w:val="none" w:sz="0" w:space="0" w:color="auto"/>
            <w:right w:val="none" w:sz="0" w:space="0" w:color="auto"/>
          </w:divBdr>
        </w:div>
        <w:div w:id="720518576">
          <w:marLeft w:val="0"/>
          <w:marRight w:val="0"/>
          <w:marTop w:val="0"/>
          <w:marBottom w:val="0"/>
          <w:divBdr>
            <w:top w:val="none" w:sz="0" w:space="0" w:color="auto"/>
            <w:left w:val="none" w:sz="0" w:space="0" w:color="auto"/>
            <w:bottom w:val="none" w:sz="0" w:space="0" w:color="auto"/>
            <w:right w:val="none" w:sz="0" w:space="0" w:color="auto"/>
          </w:divBdr>
        </w:div>
      </w:divsChild>
    </w:div>
    <w:div w:id="855536473">
      <w:bodyDiv w:val="1"/>
      <w:marLeft w:val="0"/>
      <w:marRight w:val="0"/>
      <w:marTop w:val="0"/>
      <w:marBottom w:val="0"/>
      <w:divBdr>
        <w:top w:val="none" w:sz="0" w:space="0" w:color="auto"/>
        <w:left w:val="none" w:sz="0" w:space="0" w:color="auto"/>
        <w:bottom w:val="none" w:sz="0" w:space="0" w:color="auto"/>
        <w:right w:val="none" w:sz="0" w:space="0" w:color="auto"/>
      </w:divBdr>
      <w:divsChild>
        <w:div w:id="441345841">
          <w:marLeft w:val="0"/>
          <w:marRight w:val="0"/>
          <w:marTop w:val="0"/>
          <w:marBottom w:val="0"/>
          <w:divBdr>
            <w:top w:val="none" w:sz="0" w:space="0" w:color="auto"/>
            <w:left w:val="none" w:sz="0" w:space="0" w:color="auto"/>
            <w:bottom w:val="none" w:sz="0" w:space="0" w:color="auto"/>
            <w:right w:val="none" w:sz="0" w:space="0" w:color="auto"/>
          </w:divBdr>
        </w:div>
        <w:div w:id="1069613290">
          <w:marLeft w:val="0"/>
          <w:marRight w:val="0"/>
          <w:marTop w:val="0"/>
          <w:marBottom w:val="0"/>
          <w:divBdr>
            <w:top w:val="none" w:sz="0" w:space="0" w:color="auto"/>
            <w:left w:val="none" w:sz="0" w:space="0" w:color="auto"/>
            <w:bottom w:val="none" w:sz="0" w:space="0" w:color="auto"/>
            <w:right w:val="none" w:sz="0" w:space="0" w:color="auto"/>
          </w:divBdr>
        </w:div>
        <w:div w:id="1099445635">
          <w:marLeft w:val="0"/>
          <w:marRight w:val="0"/>
          <w:marTop w:val="0"/>
          <w:marBottom w:val="0"/>
          <w:divBdr>
            <w:top w:val="none" w:sz="0" w:space="0" w:color="auto"/>
            <w:left w:val="none" w:sz="0" w:space="0" w:color="auto"/>
            <w:bottom w:val="none" w:sz="0" w:space="0" w:color="auto"/>
            <w:right w:val="none" w:sz="0" w:space="0" w:color="auto"/>
          </w:divBdr>
        </w:div>
        <w:div w:id="1819566200">
          <w:marLeft w:val="0"/>
          <w:marRight w:val="0"/>
          <w:marTop w:val="0"/>
          <w:marBottom w:val="0"/>
          <w:divBdr>
            <w:top w:val="none" w:sz="0" w:space="0" w:color="auto"/>
            <w:left w:val="none" w:sz="0" w:space="0" w:color="auto"/>
            <w:bottom w:val="none" w:sz="0" w:space="0" w:color="auto"/>
            <w:right w:val="none" w:sz="0" w:space="0" w:color="auto"/>
          </w:divBdr>
        </w:div>
        <w:div w:id="2045059533">
          <w:marLeft w:val="0"/>
          <w:marRight w:val="0"/>
          <w:marTop w:val="0"/>
          <w:marBottom w:val="0"/>
          <w:divBdr>
            <w:top w:val="none" w:sz="0" w:space="0" w:color="auto"/>
            <w:left w:val="none" w:sz="0" w:space="0" w:color="auto"/>
            <w:bottom w:val="none" w:sz="0" w:space="0" w:color="auto"/>
            <w:right w:val="none" w:sz="0" w:space="0" w:color="auto"/>
          </w:divBdr>
        </w:div>
        <w:div w:id="2079205620">
          <w:marLeft w:val="0"/>
          <w:marRight w:val="0"/>
          <w:marTop w:val="0"/>
          <w:marBottom w:val="0"/>
          <w:divBdr>
            <w:top w:val="none" w:sz="0" w:space="0" w:color="auto"/>
            <w:left w:val="none" w:sz="0" w:space="0" w:color="auto"/>
            <w:bottom w:val="none" w:sz="0" w:space="0" w:color="auto"/>
            <w:right w:val="none" w:sz="0" w:space="0" w:color="auto"/>
          </w:divBdr>
        </w:div>
      </w:divsChild>
    </w:div>
    <w:div w:id="859930487">
      <w:bodyDiv w:val="1"/>
      <w:marLeft w:val="0"/>
      <w:marRight w:val="0"/>
      <w:marTop w:val="0"/>
      <w:marBottom w:val="0"/>
      <w:divBdr>
        <w:top w:val="none" w:sz="0" w:space="0" w:color="auto"/>
        <w:left w:val="none" w:sz="0" w:space="0" w:color="auto"/>
        <w:bottom w:val="none" w:sz="0" w:space="0" w:color="auto"/>
        <w:right w:val="none" w:sz="0" w:space="0" w:color="auto"/>
      </w:divBdr>
      <w:divsChild>
        <w:div w:id="19626638">
          <w:marLeft w:val="0"/>
          <w:marRight w:val="0"/>
          <w:marTop w:val="0"/>
          <w:marBottom w:val="0"/>
          <w:divBdr>
            <w:top w:val="none" w:sz="0" w:space="0" w:color="auto"/>
            <w:left w:val="none" w:sz="0" w:space="0" w:color="auto"/>
            <w:bottom w:val="none" w:sz="0" w:space="0" w:color="auto"/>
            <w:right w:val="none" w:sz="0" w:space="0" w:color="auto"/>
          </w:divBdr>
        </w:div>
        <w:div w:id="170602962">
          <w:marLeft w:val="0"/>
          <w:marRight w:val="0"/>
          <w:marTop w:val="0"/>
          <w:marBottom w:val="0"/>
          <w:divBdr>
            <w:top w:val="none" w:sz="0" w:space="0" w:color="auto"/>
            <w:left w:val="none" w:sz="0" w:space="0" w:color="auto"/>
            <w:bottom w:val="none" w:sz="0" w:space="0" w:color="auto"/>
            <w:right w:val="none" w:sz="0" w:space="0" w:color="auto"/>
          </w:divBdr>
        </w:div>
        <w:div w:id="273023762">
          <w:marLeft w:val="0"/>
          <w:marRight w:val="0"/>
          <w:marTop w:val="0"/>
          <w:marBottom w:val="0"/>
          <w:divBdr>
            <w:top w:val="none" w:sz="0" w:space="0" w:color="auto"/>
            <w:left w:val="none" w:sz="0" w:space="0" w:color="auto"/>
            <w:bottom w:val="none" w:sz="0" w:space="0" w:color="auto"/>
            <w:right w:val="none" w:sz="0" w:space="0" w:color="auto"/>
          </w:divBdr>
        </w:div>
        <w:div w:id="346251890">
          <w:marLeft w:val="0"/>
          <w:marRight w:val="0"/>
          <w:marTop w:val="0"/>
          <w:marBottom w:val="0"/>
          <w:divBdr>
            <w:top w:val="none" w:sz="0" w:space="0" w:color="auto"/>
            <w:left w:val="none" w:sz="0" w:space="0" w:color="auto"/>
            <w:bottom w:val="none" w:sz="0" w:space="0" w:color="auto"/>
            <w:right w:val="none" w:sz="0" w:space="0" w:color="auto"/>
          </w:divBdr>
        </w:div>
        <w:div w:id="400101073">
          <w:marLeft w:val="0"/>
          <w:marRight w:val="0"/>
          <w:marTop w:val="0"/>
          <w:marBottom w:val="0"/>
          <w:divBdr>
            <w:top w:val="none" w:sz="0" w:space="0" w:color="auto"/>
            <w:left w:val="none" w:sz="0" w:space="0" w:color="auto"/>
            <w:bottom w:val="none" w:sz="0" w:space="0" w:color="auto"/>
            <w:right w:val="none" w:sz="0" w:space="0" w:color="auto"/>
          </w:divBdr>
        </w:div>
        <w:div w:id="403768751">
          <w:marLeft w:val="0"/>
          <w:marRight w:val="0"/>
          <w:marTop w:val="0"/>
          <w:marBottom w:val="0"/>
          <w:divBdr>
            <w:top w:val="none" w:sz="0" w:space="0" w:color="auto"/>
            <w:left w:val="none" w:sz="0" w:space="0" w:color="auto"/>
            <w:bottom w:val="none" w:sz="0" w:space="0" w:color="auto"/>
            <w:right w:val="none" w:sz="0" w:space="0" w:color="auto"/>
          </w:divBdr>
        </w:div>
        <w:div w:id="408498625">
          <w:marLeft w:val="0"/>
          <w:marRight w:val="0"/>
          <w:marTop w:val="0"/>
          <w:marBottom w:val="0"/>
          <w:divBdr>
            <w:top w:val="none" w:sz="0" w:space="0" w:color="auto"/>
            <w:left w:val="none" w:sz="0" w:space="0" w:color="auto"/>
            <w:bottom w:val="none" w:sz="0" w:space="0" w:color="auto"/>
            <w:right w:val="none" w:sz="0" w:space="0" w:color="auto"/>
          </w:divBdr>
        </w:div>
        <w:div w:id="486357909">
          <w:marLeft w:val="0"/>
          <w:marRight w:val="0"/>
          <w:marTop w:val="0"/>
          <w:marBottom w:val="0"/>
          <w:divBdr>
            <w:top w:val="none" w:sz="0" w:space="0" w:color="auto"/>
            <w:left w:val="none" w:sz="0" w:space="0" w:color="auto"/>
            <w:bottom w:val="none" w:sz="0" w:space="0" w:color="auto"/>
            <w:right w:val="none" w:sz="0" w:space="0" w:color="auto"/>
          </w:divBdr>
        </w:div>
        <w:div w:id="710805726">
          <w:marLeft w:val="0"/>
          <w:marRight w:val="0"/>
          <w:marTop w:val="0"/>
          <w:marBottom w:val="0"/>
          <w:divBdr>
            <w:top w:val="none" w:sz="0" w:space="0" w:color="auto"/>
            <w:left w:val="none" w:sz="0" w:space="0" w:color="auto"/>
            <w:bottom w:val="none" w:sz="0" w:space="0" w:color="auto"/>
            <w:right w:val="none" w:sz="0" w:space="0" w:color="auto"/>
          </w:divBdr>
        </w:div>
        <w:div w:id="952706410">
          <w:marLeft w:val="0"/>
          <w:marRight w:val="0"/>
          <w:marTop w:val="0"/>
          <w:marBottom w:val="0"/>
          <w:divBdr>
            <w:top w:val="none" w:sz="0" w:space="0" w:color="auto"/>
            <w:left w:val="none" w:sz="0" w:space="0" w:color="auto"/>
            <w:bottom w:val="none" w:sz="0" w:space="0" w:color="auto"/>
            <w:right w:val="none" w:sz="0" w:space="0" w:color="auto"/>
          </w:divBdr>
        </w:div>
        <w:div w:id="956524086">
          <w:marLeft w:val="0"/>
          <w:marRight w:val="0"/>
          <w:marTop w:val="0"/>
          <w:marBottom w:val="0"/>
          <w:divBdr>
            <w:top w:val="none" w:sz="0" w:space="0" w:color="auto"/>
            <w:left w:val="none" w:sz="0" w:space="0" w:color="auto"/>
            <w:bottom w:val="none" w:sz="0" w:space="0" w:color="auto"/>
            <w:right w:val="none" w:sz="0" w:space="0" w:color="auto"/>
          </w:divBdr>
        </w:div>
        <w:div w:id="982194836">
          <w:marLeft w:val="0"/>
          <w:marRight w:val="0"/>
          <w:marTop w:val="0"/>
          <w:marBottom w:val="0"/>
          <w:divBdr>
            <w:top w:val="none" w:sz="0" w:space="0" w:color="auto"/>
            <w:left w:val="none" w:sz="0" w:space="0" w:color="auto"/>
            <w:bottom w:val="none" w:sz="0" w:space="0" w:color="auto"/>
            <w:right w:val="none" w:sz="0" w:space="0" w:color="auto"/>
          </w:divBdr>
        </w:div>
        <w:div w:id="992369600">
          <w:marLeft w:val="0"/>
          <w:marRight w:val="0"/>
          <w:marTop w:val="0"/>
          <w:marBottom w:val="0"/>
          <w:divBdr>
            <w:top w:val="none" w:sz="0" w:space="0" w:color="auto"/>
            <w:left w:val="none" w:sz="0" w:space="0" w:color="auto"/>
            <w:bottom w:val="none" w:sz="0" w:space="0" w:color="auto"/>
            <w:right w:val="none" w:sz="0" w:space="0" w:color="auto"/>
          </w:divBdr>
        </w:div>
        <w:div w:id="994067018">
          <w:marLeft w:val="0"/>
          <w:marRight w:val="0"/>
          <w:marTop w:val="0"/>
          <w:marBottom w:val="0"/>
          <w:divBdr>
            <w:top w:val="none" w:sz="0" w:space="0" w:color="auto"/>
            <w:left w:val="none" w:sz="0" w:space="0" w:color="auto"/>
            <w:bottom w:val="none" w:sz="0" w:space="0" w:color="auto"/>
            <w:right w:val="none" w:sz="0" w:space="0" w:color="auto"/>
          </w:divBdr>
        </w:div>
        <w:div w:id="1142651053">
          <w:marLeft w:val="0"/>
          <w:marRight w:val="0"/>
          <w:marTop w:val="0"/>
          <w:marBottom w:val="0"/>
          <w:divBdr>
            <w:top w:val="none" w:sz="0" w:space="0" w:color="auto"/>
            <w:left w:val="none" w:sz="0" w:space="0" w:color="auto"/>
            <w:bottom w:val="none" w:sz="0" w:space="0" w:color="auto"/>
            <w:right w:val="none" w:sz="0" w:space="0" w:color="auto"/>
          </w:divBdr>
        </w:div>
        <w:div w:id="1303467497">
          <w:marLeft w:val="0"/>
          <w:marRight w:val="0"/>
          <w:marTop w:val="0"/>
          <w:marBottom w:val="0"/>
          <w:divBdr>
            <w:top w:val="none" w:sz="0" w:space="0" w:color="auto"/>
            <w:left w:val="none" w:sz="0" w:space="0" w:color="auto"/>
            <w:bottom w:val="none" w:sz="0" w:space="0" w:color="auto"/>
            <w:right w:val="none" w:sz="0" w:space="0" w:color="auto"/>
          </w:divBdr>
        </w:div>
        <w:div w:id="1321302628">
          <w:marLeft w:val="0"/>
          <w:marRight w:val="0"/>
          <w:marTop w:val="0"/>
          <w:marBottom w:val="0"/>
          <w:divBdr>
            <w:top w:val="none" w:sz="0" w:space="0" w:color="auto"/>
            <w:left w:val="none" w:sz="0" w:space="0" w:color="auto"/>
            <w:bottom w:val="none" w:sz="0" w:space="0" w:color="auto"/>
            <w:right w:val="none" w:sz="0" w:space="0" w:color="auto"/>
          </w:divBdr>
        </w:div>
        <w:div w:id="1375499936">
          <w:marLeft w:val="0"/>
          <w:marRight w:val="0"/>
          <w:marTop w:val="0"/>
          <w:marBottom w:val="0"/>
          <w:divBdr>
            <w:top w:val="none" w:sz="0" w:space="0" w:color="auto"/>
            <w:left w:val="none" w:sz="0" w:space="0" w:color="auto"/>
            <w:bottom w:val="none" w:sz="0" w:space="0" w:color="auto"/>
            <w:right w:val="none" w:sz="0" w:space="0" w:color="auto"/>
          </w:divBdr>
        </w:div>
        <w:div w:id="1415282240">
          <w:marLeft w:val="0"/>
          <w:marRight w:val="0"/>
          <w:marTop w:val="0"/>
          <w:marBottom w:val="0"/>
          <w:divBdr>
            <w:top w:val="none" w:sz="0" w:space="0" w:color="auto"/>
            <w:left w:val="none" w:sz="0" w:space="0" w:color="auto"/>
            <w:bottom w:val="none" w:sz="0" w:space="0" w:color="auto"/>
            <w:right w:val="none" w:sz="0" w:space="0" w:color="auto"/>
          </w:divBdr>
        </w:div>
        <w:div w:id="1432043623">
          <w:marLeft w:val="0"/>
          <w:marRight w:val="0"/>
          <w:marTop w:val="0"/>
          <w:marBottom w:val="0"/>
          <w:divBdr>
            <w:top w:val="none" w:sz="0" w:space="0" w:color="auto"/>
            <w:left w:val="none" w:sz="0" w:space="0" w:color="auto"/>
            <w:bottom w:val="none" w:sz="0" w:space="0" w:color="auto"/>
            <w:right w:val="none" w:sz="0" w:space="0" w:color="auto"/>
          </w:divBdr>
        </w:div>
        <w:div w:id="1500536398">
          <w:marLeft w:val="0"/>
          <w:marRight w:val="0"/>
          <w:marTop w:val="0"/>
          <w:marBottom w:val="0"/>
          <w:divBdr>
            <w:top w:val="none" w:sz="0" w:space="0" w:color="auto"/>
            <w:left w:val="none" w:sz="0" w:space="0" w:color="auto"/>
            <w:bottom w:val="none" w:sz="0" w:space="0" w:color="auto"/>
            <w:right w:val="none" w:sz="0" w:space="0" w:color="auto"/>
          </w:divBdr>
        </w:div>
        <w:div w:id="1516072549">
          <w:marLeft w:val="0"/>
          <w:marRight w:val="0"/>
          <w:marTop w:val="0"/>
          <w:marBottom w:val="0"/>
          <w:divBdr>
            <w:top w:val="none" w:sz="0" w:space="0" w:color="auto"/>
            <w:left w:val="none" w:sz="0" w:space="0" w:color="auto"/>
            <w:bottom w:val="none" w:sz="0" w:space="0" w:color="auto"/>
            <w:right w:val="none" w:sz="0" w:space="0" w:color="auto"/>
          </w:divBdr>
        </w:div>
        <w:div w:id="1554461228">
          <w:marLeft w:val="0"/>
          <w:marRight w:val="0"/>
          <w:marTop w:val="0"/>
          <w:marBottom w:val="0"/>
          <w:divBdr>
            <w:top w:val="none" w:sz="0" w:space="0" w:color="auto"/>
            <w:left w:val="none" w:sz="0" w:space="0" w:color="auto"/>
            <w:bottom w:val="none" w:sz="0" w:space="0" w:color="auto"/>
            <w:right w:val="none" w:sz="0" w:space="0" w:color="auto"/>
          </w:divBdr>
        </w:div>
        <w:div w:id="1572734171">
          <w:marLeft w:val="0"/>
          <w:marRight w:val="0"/>
          <w:marTop w:val="0"/>
          <w:marBottom w:val="0"/>
          <w:divBdr>
            <w:top w:val="none" w:sz="0" w:space="0" w:color="auto"/>
            <w:left w:val="none" w:sz="0" w:space="0" w:color="auto"/>
            <w:bottom w:val="none" w:sz="0" w:space="0" w:color="auto"/>
            <w:right w:val="none" w:sz="0" w:space="0" w:color="auto"/>
          </w:divBdr>
        </w:div>
        <w:div w:id="1711688333">
          <w:marLeft w:val="0"/>
          <w:marRight w:val="0"/>
          <w:marTop w:val="0"/>
          <w:marBottom w:val="0"/>
          <w:divBdr>
            <w:top w:val="none" w:sz="0" w:space="0" w:color="auto"/>
            <w:left w:val="none" w:sz="0" w:space="0" w:color="auto"/>
            <w:bottom w:val="none" w:sz="0" w:space="0" w:color="auto"/>
            <w:right w:val="none" w:sz="0" w:space="0" w:color="auto"/>
          </w:divBdr>
        </w:div>
        <w:div w:id="1755399951">
          <w:marLeft w:val="0"/>
          <w:marRight w:val="0"/>
          <w:marTop w:val="0"/>
          <w:marBottom w:val="0"/>
          <w:divBdr>
            <w:top w:val="none" w:sz="0" w:space="0" w:color="auto"/>
            <w:left w:val="none" w:sz="0" w:space="0" w:color="auto"/>
            <w:bottom w:val="none" w:sz="0" w:space="0" w:color="auto"/>
            <w:right w:val="none" w:sz="0" w:space="0" w:color="auto"/>
          </w:divBdr>
        </w:div>
        <w:div w:id="1816290120">
          <w:marLeft w:val="0"/>
          <w:marRight w:val="0"/>
          <w:marTop w:val="0"/>
          <w:marBottom w:val="0"/>
          <w:divBdr>
            <w:top w:val="none" w:sz="0" w:space="0" w:color="auto"/>
            <w:left w:val="none" w:sz="0" w:space="0" w:color="auto"/>
            <w:bottom w:val="none" w:sz="0" w:space="0" w:color="auto"/>
            <w:right w:val="none" w:sz="0" w:space="0" w:color="auto"/>
          </w:divBdr>
        </w:div>
        <w:div w:id="1911499269">
          <w:marLeft w:val="0"/>
          <w:marRight w:val="0"/>
          <w:marTop w:val="0"/>
          <w:marBottom w:val="0"/>
          <w:divBdr>
            <w:top w:val="none" w:sz="0" w:space="0" w:color="auto"/>
            <w:left w:val="none" w:sz="0" w:space="0" w:color="auto"/>
            <w:bottom w:val="none" w:sz="0" w:space="0" w:color="auto"/>
            <w:right w:val="none" w:sz="0" w:space="0" w:color="auto"/>
          </w:divBdr>
        </w:div>
        <w:div w:id="1988851230">
          <w:marLeft w:val="0"/>
          <w:marRight w:val="0"/>
          <w:marTop w:val="0"/>
          <w:marBottom w:val="0"/>
          <w:divBdr>
            <w:top w:val="none" w:sz="0" w:space="0" w:color="auto"/>
            <w:left w:val="none" w:sz="0" w:space="0" w:color="auto"/>
            <w:bottom w:val="none" w:sz="0" w:space="0" w:color="auto"/>
            <w:right w:val="none" w:sz="0" w:space="0" w:color="auto"/>
          </w:divBdr>
        </w:div>
        <w:div w:id="2024162403">
          <w:marLeft w:val="0"/>
          <w:marRight w:val="0"/>
          <w:marTop w:val="0"/>
          <w:marBottom w:val="0"/>
          <w:divBdr>
            <w:top w:val="none" w:sz="0" w:space="0" w:color="auto"/>
            <w:left w:val="none" w:sz="0" w:space="0" w:color="auto"/>
            <w:bottom w:val="none" w:sz="0" w:space="0" w:color="auto"/>
            <w:right w:val="none" w:sz="0" w:space="0" w:color="auto"/>
          </w:divBdr>
        </w:div>
        <w:div w:id="2093548331">
          <w:marLeft w:val="0"/>
          <w:marRight w:val="0"/>
          <w:marTop w:val="0"/>
          <w:marBottom w:val="0"/>
          <w:divBdr>
            <w:top w:val="none" w:sz="0" w:space="0" w:color="auto"/>
            <w:left w:val="none" w:sz="0" w:space="0" w:color="auto"/>
            <w:bottom w:val="none" w:sz="0" w:space="0" w:color="auto"/>
            <w:right w:val="none" w:sz="0" w:space="0" w:color="auto"/>
          </w:divBdr>
        </w:div>
      </w:divsChild>
    </w:div>
    <w:div w:id="860824501">
      <w:bodyDiv w:val="1"/>
      <w:marLeft w:val="0"/>
      <w:marRight w:val="0"/>
      <w:marTop w:val="0"/>
      <w:marBottom w:val="0"/>
      <w:divBdr>
        <w:top w:val="none" w:sz="0" w:space="0" w:color="auto"/>
        <w:left w:val="none" w:sz="0" w:space="0" w:color="auto"/>
        <w:bottom w:val="none" w:sz="0" w:space="0" w:color="auto"/>
        <w:right w:val="none" w:sz="0" w:space="0" w:color="auto"/>
      </w:divBdr>
    </w:div>
    <w:div w:id="873931525">
      <w:bodyDiv w:val="1"/>
      <w:marLeft w:val="0"/>
      <w:marRight w:val="0"/>
      <w:marTop w:val="0"/>
      <w:marBottom w:val="0"/>
      <w:divBdr>
        <w:top w:val="none" w:sz="0" w:space="0" w:color="auto"/>
        <w:left w:val="none" w:sz="0" w:space="0" w:color="auto"/>
        <w:bottom w:val="none" w:sz="0" w:space="0" w:color="auto"/>
        <w:right w:val="none" w:sz="0" w:space="0" w:color="auto"/>
      </w:divBdr>
      <w:divsChild>
        <w:div w:id="100731382">
          <w:marLeft w:val="0"/>
          <w:marRight w:val="0"/>
          <w:marTop w:val="0"/>
          <w:marBottom w:val="0"/>
          <w:divBdr>
            <w:top w:val="none" w:sz="0" w:space="0" w:color="auto"/>
            <w:left w:val="none" w:sz="0" w:space="0" w:color="auto"/>
            <w:bottom w:val="none" w:sz="0" w:space="0" w:color="auto"/>
            <w:right w:val="none" w:sz="0" w:space="0" w:color="auto"/>
          </w:divBdr>
        </w:div>
        <w:div w:id="1798907780">
          <w:marLeft w:val="0"/>
          <w:marRight w:val="0"/>
          <w:marTop w:val="0"/>
          <w:marBottom w:val="0"/>
          <w:divBdr>
            <w:top w:val="none" w:sz="0" w:space="0" w:color="auto"/>
            <w:left w:val="none" w:sz="0" w:space="0" w:color="auto"/>
            <w:bottom w:val="none" w:sz="0" w:space="0" w:color="auto"/>
            <w:right w:val="none" w:sz="0" w:space="0" w:color="auto"/>
          </w:divBdr>
        </w:div>
      </w:divsChild>
    </w:div>
    <w:div w:id="902834620">
      <w:bodyDiv w:val="1"/>
      <w:marLeft w:val="0"/>
      <w:marRight w:val="0"/>
      <w:marTop w:val="0"/>
      <w:marBottom w:val="0"/>
      <w:divBdr>
        <w:top w:val="none" w:sz="0" w:space="0" w:color="auto"/>
        <w:left w:val="none" w:sz="0" w:space="0" w:color="auto"/>
        <w:bottom w:val="none" w:sz="0" w:space="0" w:color="auto"/>
        <w:right w:val="none" w:sz="0" w:space="0" w:color="auto"/>
      </w:divBdr>
      <w:divsChild>
        <w:div w:id="609975763">
          <w:marLeft w:val="0"/>
          <w:marRight w:val="0"/>
          <w:marTop w:val="0"/>
          <w:marBottom w:val="0"/>
          <w:divBdr>
            <w:top w:val="none" w:sz="0" w:space="0" w:color="auto"/>
            <w:left w:val="none" w:sz="0" w:space="0" w:color="auto"/>
            <w:bottom w:val="none" w:sz="0" w:space="0" w:color="auto"/>
            <w:right w:val="none" w:sz="0" w:space="0" w:color="auto"/>
          </w:divBdr>
        </w:div>
        <w:div w:id="1337686519">
          <w:marLeft w:val="0"/>
          <w:marRight w:val="0"/>
          <w:marTop w:val="0"/>
          <w:marBottom w:val="0"/>
          <w:divBdr>
            <w:top w:val="none" w:sz="0" w:space="0" w:color="auto"/>
            <w:left w:val="none" w:sz="0" w:space="0" w:color="auto"/>
            <w:bottom w:val="none" w:sz="0" w:space="0" w:color="auto"/>
            <w:right w:val="none" w:sz="0" w:space="0" w:color="auto"/>
          </w:divBdr>
        </w:div>
      </w:divsChild>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822156668">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1093864504">
          <w:marLeft w:val="0"/>
          <w:marRight w:val="0"/>
          <w:marTop w:val="0"/>
          <w:marBottom w:val="0"/>
          <w:divBdr>
            <w:top w:val="none" w:sz="0" w:space="0" w:color="auto"/>
            <w:left w:val="none" w:sz="0" w:space="0" w:color="auto"/>
            <w:bottom w:val="none" w:sz="0" w:space="0" w:color="auto"/>
            <w:right w:val="none" w:sz="0" w:space="0" w:color="auto"/>
          </w:divBdr>
        </w:div>
      </w:divsChild>
    </w:div>
    <w:div w:id="1040327560">
      <w:bodyDiv w:val="1"/>
      <w:marLeft w:val="0"/>
      <w:marRight w:val="0"/>
      <w:marTop w:val="0"/>
      <w:marBottom w:val="0"/>
      <w:divBdr>
        <w:top w:val="none" w:sz="0" w:space="0" w:color="auto"/>
        <w:left w:val="none" w:sz="0" w:space="0" w:color="auto"/>
        <w:bottom w:val="none" w:sz="0" w:space="0" w:color="auto"/>
        <w:right w:val="none" w:sz="0" w:space="0" w:color="auto"/>
      </w:divBdr>
    </w:div>
    <w:div w:id="1049647444">
      <w:bodyDiv w:val="1"/>
      <w:marLeft w:val="0"/>
      <w:marRight w:val="0"/>
      <w:marTop w:val="0"/>
      <w:marBottom w:val="0"/>
      <w:divBdr>
        <w:top w:val="none" w:sz="0" w:space="0" w:color="auto"/>
        <w:left w:val="none" w:sz="0" w:space="0" w:color="auto"/>
        <w:bottom w:val="none" w:sz="0" w:space="0" w:color="auto"/>
        <w:right w:val="none" w:sz="0" w:space="0" w:color="auto"/>
      </w:divBdr>
      <w:divsChild>
        <w:div w:id="330837767">
          <w:marLeft w:val="0"/>
          <w:marRight w:val="0"/>
          <w:marTop w:val="0"/>
          <w:marBottom w:val="0"/>
          <w:divBdr>
            <w:top w:val="none" w:sz="0" w:space="0" w:color="auto"/>
            <w:left w:val="none" w:sz="0" w:space="0" w:color="auto"/>
            <w:bottom w:val="none" w:sz="0" w:space="0" w:color="auto"/>
            <w:right w:val="none" w:sz="0" w:space="0" w:color="auto"/>
          </w:divBdr>
        </w:div>
        <w:div w:id="422533250">
          <w:marLeft w:val="0"/>
          <w:marRight w:val="0"/>
          <w:marTop w:val="0"/>
          <w:marBottom w:val="0"/>
          <w:divBdr>
            <w:top w:val="none" w:sz="0" w:space="0" w:color="auto"/>
            <w:left w:val="none" w:sz="0" w:space="0" w:color="auto"/>
            <w:bottom w:val="none" w:sz="0" w:space="0" w:color="auto"/>
            <w:right w:val="none" w:sz="0" w:space="0" w:color="auto"/>
          </w:divBdr>
        </w:div>
        <w:div w:id="683240633">
          <w:marLeft w:val="0"/>
          <w:marRight w:val="0"/>
          <w:marTop w:val="0"/>
          <w:marBottom w:val="0"/>
          <w:divBdr>
            <w:top w:val="none" w:sz="0" w:space="0" w:color="auto"/>
            <w:left w:val="none" w:sz="0" w:space="0" w:color="auto"/>
            <w:bottom w:val="none" w:sz="0" w:space="0" w:color="auto"/>
            <w:right w:val="none" w:sz="0" w:space="0" w:color="auto"/>
          </w:divBdr>
        </w:div>
        <w:div w:id="851922117">
          <w:marLeft w:val="0"/>
          <w:marRight w:val="0"/>
          <w:marTop w:val="0"/>
          <w:marBottom w:val="0"/>
          <w:divBdr>
            <w:top w:val="none" w:sz="0" w:space="0" w:color="auto"/>
            <w:left w:val="none" w:sz="0" w:space="0" w:color="auto"/>
            <w:bottom w:val="none" w:sz="0" w:space="0" w:color="auto"/>
            <w:right w:val="none" w:sz="0" w:space="0" w:color="auto"/>
          </w:divBdr>
        </w:div>
        <w:div w:id="859902925">
          <w:marLeft w:val="0"/>
          <w:marRight w:val="0"/>
          <w:marTop w:val="0"/>
          <w:marBottom w:val="0"/>
          <w:divBdr>
            <w:top w:val="none" w:sz="0" w:space="0" w:color="auto"/>
            <w:left w:val="none" w:sz="0" w:space="0" w:color="auto"/>
            <w:bottom w:val="none" w:sz="0" w:space="0" w:color="auto"/>
            <w:right w:val="none" w:sz="0" w:space="0" w:color="auto"/>
          </w:divBdr>
        </w:div>
        <w:div w:id="983463275">
          <w:marLeft w:val="0"/>
          <w:marRight w:val="0"/>
          <w:marTop w:val="0"/>
          <w:marBottom w:val="0"/>
          <w:divBdr>
            <w:top w:val="none" w:sz="0" w:space="0" w:color="auto"/>
            <w:left w:val="none" w:sz="0" w:space="0" w:color="auto"/>
            <w:bottom w:val="none" w:sz="0" w:space="0" w:color="auto"/>
            <w:right w:val="none" w:sz="0" w:space="0" w:color="auto"/>
          </w:divBdr>
        </w:div>
        <w:div w:id="1150442961">
          <w:marLeft w:val="0"/>
          <w:marRight w:val="0"/>
          <w:marTop w:val="0"/>
          <w:marBottom w:val="0"/>
          <w:divBdr>
            <w:top w:val="none" w:sz="0" w:space="0" w:color="auto"/>
            <w:left w:val="none" w:sz="0" w:space="0" w:color="auto"/>
            <w:bottom w:val="none" w:sz="0" w:space="0" w:color="auto"/>
            <w:right w:val="none" w:sz="0" w:space="0" w:color="auto"/>
          </w:divBdr>
        </w:div>
        <w:div w:id="1637032076">
          <w:marLeft w:val="0"/>
          <w:marRight w:val="0"/>
          <w:marTop w:val="0"/>
          <w:marBottom w:val="0"/>
          <w:divBdr>
            <w:top w:val="none" w:sz="0" w:space="0" w:color="auto"/>
            <w:left w:val="none" w:sz="0" w:space="0" w:color="auto"/>
            <w:bottom w:val="none" w:sz="0" w:space="0" w:color="auto"/>
            <w:right w:val="none" w:sz="0" w:space="0" w:color="auto"/>
          </w:divBdr>
        </w:div>
        <w:div w:id="1654330592">
          <w:marLeft w:val="0"/>
          <w:marRight w:val="0"/>
          <w:marTop w:val="0"/>
          <w:marBottom w:val="0"/>
          <w:divBdr>
            <w:top w:val="none" w:sz="0" w:space="0" w:color="auto"/>
            <w:left w:val="none" w:sz="0" w:space="0" w:color="auto"/>
            <w:bottom w:val="none" w:sz="0" w:space="0" w:color="auto"/>
            <w:right w:val="none" w:sz="0" w:space="0" w:color="auto"/>
          </w:divBdr>
        </w:div>
      </w:divsChild>
    </w:div>
    <w:div w:id="1059522884">
      <w:bodyDiv w:val="1"/>
      <w:marLeft w:val="0"/>
      <w:marRight w:val="0"/>
      <w:marTop w:val="0"/>
      <w:marBottom w:val="0"/>
      <w:divBdr>
        <w:top w:val="none" w:sz="0" w:space="0" w:color="auto"/>
        <w:left w:val="none" w:sz="0" w:space="0" w:color="auto"/>
        <w:bottom w:val="none" w:sz="0" w:space="0" w:color="auto"/>
        <w:right w:val="none" w:sz="0" w:space="0" w:color="auto"/>
      </w:divBdr>
      <w:divsChild>
        <w:div w:id="207181888">
          <w:marLeft w:val="0"/>
          <w:marRight w:val="0"/>
          <w:marTop w:val="0"/>
          <w:marBottom w:val="0"/>
          <w:divBdr>
            <w:top w:val="none" w:sz="0" w:space="0" w:color="auto"/>
            <w:left w:val="none" w:sz="0" w:space="0" w:color="auto"/>
            <w:bottom w:val="none" w:sz="0" w:space="0" w:color="auto"/>
            <w:right w:val="none" w:sz="0" w:space="0" w:color="auto"/>
          </w:divBdr>
        </w:div>
        <w:div w:id="1415005556">
          <w:marLeft w:val="0"/>
          <w:marRight w:val="0"/>
          <w:marTop w:val="0"/>
          <w:marBottom w:val="0"/>
          <w:divBdr>
            <w:top w:val="none" w:sz="0" w:space="0" w:color="auto"/>
            <w:left w:val="none" w:sz="0" w:space="0" w:color="auto"/>
            <w:bottom w:val="none" w:sz="0" w:space="0" w:color="auto"/>
            <w:right w:val="none" w:sz="0" w:space="0" w:color="auto"/>
          </w:divBdr>
        </w:div>
      </w:divsChild>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 w:id="1336346376">
          <w:marLeft w:val="0"/>
          <w:marRight w:val="0"/>
          <w:marTop w:val="0"/>
          <w:marBottom w:val="0"/>
          <w:divBdr>
            <w:top w:val="none" w:sz="0" w:space="0" w:color="auto"/>
            <w:left w:val="none" w:sz="0" w:space="0" w:color="auto"/>
            <w:bottom w:val="none" w:sz="0" w:space="0" w:color="auto"/>
            <w:right w:val="none" w:sz="0" w:space="0" w:color="auto"/>
          </w:divBdr>
        </w:div>
      </w:divsChild>
    </w:div>
    <w:div w:id="1324747520">
      <w:bodyDiv w:val="1"/>
      <w:marLeft w:val="0"/>
      <w:marRight w:val="0"/>
      <w:marTop w:val="0"/>
      <w:marBottom w:val="0"/>
      <w:divBdr>
        <w:top w:val="none" w:sz="0" w:space="0" w:color="auto"/>
        <w:left w:val="none" w:sz="0" w:space="0" w:color="auto"/>
        <w:bottom w:val="none" w:sz="0" w:space="0" w:color="auto"/>
        <w:right w:val="none" w:sz="0" w:space="0" w:color="auto"/>
      </w:divBdr>
      <w:divsChild>
        <w:div w:id="1829907054">
          <w:marLeft w:val="0"/>
          <w:marRight w:val="0"/>
          <w:marTop w:val="0"/>
          <w:marBottom w:val="0"/>
          <w:divBdr>
            <w:top w:val="none" w:sz="0" w:space="0" w:color="auto"/>
            <w:left w:val="none" w:sz="0" w:space="0" w:color="auto"/>
            <w:bottom w:val="none" w:sz="0" w:space="0" w:color="auto"/>
            <w:right w:val="none" w:sz="0" w:space="0" w:color="auto"/>
          </w:divBdr>
        </w:div>
        <w:div w:id="1939629596">
          <w:marLeft w:val="0"/>
          <w:marRight w:val="0"/>
          <w:marTop w:val="0"/>
          <w:marBottom w:val="0"/>
          <w:divBdr>
            <w:top w:val="none" w:sz="0" w:space="0" w:color="auto"/>
            <w:left w:val="none" w:sz="0" w:space="0" w:color="auto"/>
            <w:bottom w:val="none" w:sz="0" w:space="0" w:color="auto"/>
            <w:right w:val="none" w:sz="0" w:space="0" w:color="auto"/>
          </w:divBdr>
        </w:div>
      </w:divsChild>
    </w:div>
    <w:div w:id="1370373893">
      <w:bodyDiv w:val="1"/>
      <w:marLeft w:val="0"/>
      <w:marRight w:val="0"/>
      <w:marTop w:val="0"/>
      <w:marBottom w:val="0"/>
      <w:divBdr>
        <w:top w:val="none" w:sz="0" w:space="0" w:color="auto"/>
        <w:left w:val="none" w:sz="0" w:space="0" w:color="auto"/>
        <w:bottom w:val="none" w:sz="0" w:space="0" w:color="auto"/>
        <w:right w:val="none" w:sz="0" w:space="0" w:color="auto"/>
      </w:divBdr>
      <w:divsChild>
        <w:div w:id="136382717">
          <w:marLeft w:val="0"/>
          <w:marRight w:val="0"/>
          <w:marTop w:val="0"/>
          <w:marBottom w:val="0"/>
          <w:divBdr>
            <w:top w:val="none" w:sz="0" w:space="0" w:color="auto"/>
            <w:left w:val="none" w:sz="0" w:space="0" w:color="auto"/>
            <w:bottom w:val="none" w:sz="0" w:space="0" w:color="auto"/>
            <w:right w:val="none" w:sz="0" w:space="0" w:color="auto"/>
          </w:divBdr>
        </w:div>
        <w:div w:id="651180166">
          <w:marLeft w:val="0"/>
          <w:marRight w:val="0"/>
          <w:marTop w:val="0"/>
          <w:marBottom w:val="0"/>
          <w:divBdr>
            <w:top w:val="none" w:sz="0" w:space="0" w:color="auto"/>
            <w:left w:val="none" w:sz="0" w:space="0" w:color="auto"/>
            <w:bottom w:val="none" w:sz="0" w:space="0" w:color="auto"/>
            <w:right w:val="none" w:sz="0" w:space="0" w:color="auto"/>
          </w:divBdr>
        </w:div>
      </w:divsChild>
    </w:div>
    <w:div w:id="1413115219">
      <w:bodyDiv w:val="1"/>
      <w:marLeft w:val="0"/>
      <w:marRight w:val="0"/>
      <w:marTop w:val="0"/>
      <w:marBottom w:val="0"/>
      <w:divBdr>
        <w:top w:val="none" w:sz="0" w:space="0" w:color="auto"/>
        <w:left w:val="none" w:sz="0" w:space="0" w:color="auto"/>
        <w:bottom w:val="none" w:sz="0" w:space="0" w:color="auto"/>
        <w:right w:val="none" w:sz="0" w:space="0" w:color="auto"/>
      </w:divBdr>
      <w:divsChild>
        <w:div w:id="973103553">
          <w:marLeft w:val="0"/>
          <w:marRight w:val="0"/>
          <w:marTop w:val="0"/>
          <w:marBottom w:val="0"/>
          <w:divBdr>
            <w:top w:val="none" w:sz="0" w:space="0" w:color="auto"/>
            <w:left w:val="none" w:sz="0" w:space="0" w:color="auto"/>
            <w:bottom w:val="none" w:sz="0" w:space="0" w:color="auto"/>
            <w:right w:val="none" w:sz="0" w:space="0" w:color="auto"/>
          </w:divBdr>
        </w:div>
        <w:div w:id="1379628172">
          <w:marLeft w:val="0"/>
          <w:marRight w:val="0"/>
          <w:marTop w:val="0"/>
          <w:marBottom w:val="0"/>
          <w:divBdr>
            <w:top w:val="none" w:sz="0" w:space="0" w:color="auto"/>
            <w:left w:val="none" w:sz="0" w:space="0" w:color="auto"/>
            <w:bottom w:val="none" w:sz="0" w:space="0" w:color="auto"/>
            <w:right w:val="none" w:sz="0" w:space="0" w:color="auto"/>
          </w:divBdr>
        </w:div>
        <w:div w:id="1569420105">
          <w:marLeft w:val="0"/>
          <w:marRight w:val="0"/>
          <w:marTop w:val="0"/>
          <w:marBottom w:val="0"/>
          <w:divBdr>
            <w:top w:val="none" w:sz="0" w:space="0" w:color="auto"/>
            <w:left w:val="none" w:sz="0" w:space="0" w:color="auto"/>
            <w:bottom w:val="none" w:sz="0" w:space="0" w:color="auto"/>
            <w:right w:val="none" w:sz="0" w:space="0" w:color="auto"/>
          </w:divBdr>
        </w:div>
      </w:divsChild>
    </w:div>
    <w:div w:id="1424957354">
      <w:bodyDiv w:val="1"/>
      <w:marLeft w:val="0"/>
      <w:marRight w:val="0"/>
      <w:marTop w:val="0"/>
      <w:marBottom w:val="0"/>
      <w:divBdr>
        <w:top w:val="none" w:sz="0" w:space="0" w:color="auto"/>
        <w:left w:val="none" w:sz="0" w:space="0" w:color="auto"/>
        <w:bottom w:val="none" w:sz="0" w:space="0" w:color="auto"/>
        <w:right w:val="none" w:sz="0" w:space="0" w:color="auto"/>
      </w:divBdr>
      <w:divsChild>
        <w:div w:id="1286886621">
          <w:marLeft w:val="0"/>
          <w:marRight w:val="0"/>
          <w:marTop w:val="0"/>
          <w:marBottom w:val="0"/>
          <w:divBdr>
            <w:top w:val="none" w:sz="0" w:space="0" w:color="auto"/>
            <w:left w:val="none" w:sz="0" w:space="0" w:color="auto"/>
            <w:bottom w:val="none" w:sz="0" w:space="0" w:color="auto"/>
            <w:right w:val="none" w:sz="0" w:space="0" w:color="auto"/>
          </w:divBdr>
        </w:div>
        <w:div w:id="1859856275">
          <w:marLeft w:val="0"/>
          <w:marRight w:val="0"/>
          <w:marTop w:val="0"/>
          <w:marBottom w:val="0"/>
          <w:divBdr>
            <w:top w:val="none" w:sz="0" w:space="0" w:color="auto"/>
            <w:left w:val="none" w:sz="0" w:space="0" w:color="auto"/>
            <w:bottom w:val="none" w:sz="0" w:space="0" w:color="auto"/>
            <w:right w:val="none" w:sz="0" w:space="0" w:color="auto"/>
          </w:divBdr>
        </w:div>
      </w:divsChild>
    </w:div>
    <w:div w:id="1477988244">
      <w:bodyDiv w:val="1"/>
      <w:marLeft w:val="0"/>
      <w:marRight w:val="0"/>
      <w:marTop w:val="0"/>
      <w:marBottom w:val="0"/>
      <w:divBdr>
        <w:top w:val="none" w:sz="0" w:space="0" w:color="auto"/>
        <w:left w:val="none" w:sz="0" w:space="0" w:color="auto"/>
        <w:bottom w:val="none" w:sz="0" w:space="0" w:color="auto"/>
        <w:right w:val="none" w:sz="0" w:space="0" w:color="auto"/>
      </w:divBdr>
      <w:divsChild>
        <w:div w:id="1480801356">
          <w:marLeft w:val="0"/>
          <w:marRight w:val="0"/>
          <w:marTop w:val="0"/>
          <w:marBottom w:val="0"/>
          <w:divBdr>
            <w:top w:val="none" w:sz="0" w:space="0" w:color="auto"/>
            <w:left w:val="none" w:sz="0" w:space="0" w:color="auto"/>
            <w:bottom w:val="none" w:sz="0" w:space="0" w:color="auto"/>
            <w:right w:val="none" w:sz="0" w:space="0" w:color="auto"/>
          </w:divBdr>
        </w:div>
        <w:div w:id="1599171420">
          <w:marLeft w:val="0"/>
          <w:marRight w:val="0"/>
          <w:marTop w:val="0"/>
          <w:marBottom w:val="0"/>
          <w:divBdr>
            <w:top w:val="none" w:sz="0" w:space="0" w:color="auto"/>
            <w:left w:val="none" w:sz="0" w:space="0" w:color="auto"/>
            <w:bottom w:val="none" w:sz="0" w:space="0" w:color="auto"/>
            <w:right w:val="none" w:sz="0" w:space="0" w:color="auto"/>
          </w:divBdr>
        </w:div>
      </w:divsChild>
    </w:div>
    <w:div w:id="1554003691">
      <w:bodyDiv w:val="1"/>
      <w:marLeft w:val="0"/>
      <w:marRight w:val="0"/>
      <w:marTop w:val="0"/>
      <w:marBottom w:val="0"/>
      <w:divBdr>
        <w:top w:val="none" w:sz="0" w:space="0" w:color="auto"/>
        <w:left w:val="none" w:sz="0" w:space="0" w:color="auto"/>
        <w:bottom w:val="none" w:sz="0" w:space="0" w:color="auto"/>
        <w:right w:val="none" w:sz="0" w:space="0" w:color="auto"/>
      </w:divBdr>
      <w:divsChild>
        <w:div w:id="50690698">
          <w:marLeft w:val="0"/>
          <w:marRight w:val="0"/>
          <w:marTop w:val="0"/>
          <w:marBottom w:val="0"/>
          <w:divBdr>
            <w:top w:val="none" w:sz="0" w:space="0" w:color="auto"/>
            <w:left w:val="none" w:sz="0" w:space="0" w:color="auto"/>
            <w:bottom w:val="none" w:sz="0" w:space="0" w:color="auto"/>
            <w:right w:val="none" w:sz="0" w:space="0" w:color="auto"/>
          </w:divBdr>
        </w:div>
        <w:div w:id="962157797">
          <w:marLeft w:val="0"/>
          <w:marRight w:val="0"/>
          <w:marTop w:val="0"/>
          <w:marBottom w:val="0"/>
          <w:divBdr>
            <w:top w:val="none" w:sz="0" w:space="0" w:color="auto"/>
            <w:left w:val="none" w:sz="0" w:space="0" w:color="auto"/>
            <w:bottom w:val="none" w:sz="0" w:space="0" w:color="auto"/>
            <w:right w:val="none" w:sz="0" w:space="0" w:color="auto"/>
          </w:divBdr>
        </w:div>
      </w:divsChild>
    </w:div>
    <w:div w:id="1606498933">
      <w:bodyDiv w:val="1"/>
      <w:marLeft w:val="0"/>
      <w:marRight w:val="0"/>
      <w:marTop w:val="0"/>
      <w:marBottom w:val="0"/>
      <w:divBdr>
        <w:top w:val="none" w:sz="0" w:space="0" w:color="auto"/>
        <w:left w:val="none" w:sz="0" w:space="0" w:color="auto"/>
        <w:bottom w:val="none" w:sz="0" w:space="0" w:color="auto"/>
        <w:right w:val="none" w:sz="0" w:space="0" w:color="auto"/>
      </w:divBdr>
      <w:divsChild>
        <w:div w:id="1298073069">
          <w:marLeft w:val="0"/>
          <w:marRight w:val="0"/>
          <w:marTop w:val="0"/>
          <w:marBottom w:val="0"/>
          <w:divBdr>
            <w:top w:val="none" w:sz="0" w:space="0" w:color="auto"/>
            <w:left w:val="none" w:sz="0" w:space="0" w:color="auto"/>
            <w:bottom w:val="none" w:sz="0" w:space="0" w:color="auto"/>
            <w:right w:val="none" w:sz="0" w:space="0" w:color="auto"/>
          </w:divBdr>
        </w:div>
        <w:div w:id="1482381094">
          <w:marLeft w:val="0"/>
          <w:marRight w:val="0"/>
          <w:marTop w:val="0"/>
          <w:marBottom w:val="0"/>
          <w:divBdr>
            <w:top w:val="none" w:sz="0" w:space="0" w:color="auto"/>
            <w:left w:val="none" w:sz="0" w:space="0" w:color="auto"/>
            <w:bottom w:val="none" w:sz="0" w:space="0" w:color="auto"/>
            <w:right w:val="none" w:sz="0" w:space="0" w:color="auto"/>
          </w:divBdr>
        </w:div>
      </w:divsChild>
    </w:div>
    <w:div w:id="1647248293">
      <w:bodyDiv w:val="1"/>
      <w:marLeft w:val="0"/>
      <w:marRight w:val="0"/>
      <w:marTop w:val="0"/>
      <w:marBottom w:val="0"/>
      <w:divBdr>
        <w:top w:val="none" w:sz="0" w:space="0" w:color="auto"/>
        <w:left w:val="none" w:sz="0" w:space="0" w:color="auto"/>
        <w:bottom w:val="none" w:sz="0" w:space="0" w:color="auto"/>
        <w:right w:val="none" w:sz="0" w:space="0" w:color="auto"/>
      </w:divBdr>
    </w:div>
    <w:div w:id="1668749747">
      <w:bodyDiv w:val="1"/>
      <w:marLeft w:val="0"/>
      <w:marRight w:val="0"/>
      <w:marTop w:val="0"/>
      <w:marBottom w:val="0"/>
      <w:divBdr>
        <w:top w:val="none" w:sz="0" w:space="0" w:color="auto"/>
        <w:left w:val="none" w:sz="0" w:space="0" w:color="auto"/>
        <w:bottom w:val="none" w:sz="0" w:space="0" w:color="auto"/>
        <w:right w:val="none" w:sz="0" w:space="0" w:color="auto"/>
      </w:divBdr>
    </w:div>
    <w:div w:id="1670673518">
      <w:bodyDiv w:val="1"/>
      <w:marLeft w:val="0"/>
      <w:marRight w:val="0"/>
      <w:marTop w:val="0"/>
      <w:marBottom w:val="0"/>
      <w:divBdr>
        <w:top w:val="none" w:sz="0" w:space="0" w:color="auto"/>
        <w:left w:val="none" w:sz="0" w:space="0" w:color="auto"/>
        <w:bottom w:val="none" w:sz="0" w:space="0" w:color="auto"/>
        <w:right w:val="none" w:sz="0" w:space="0" w:color="auto"/>
      </w:divBdr>
    </w:div>
    <w:div w:id="1796751645">
      <w:bodyDiv w:val="1"/>
      <w:marLeft w:val="0"/>
      <w:marRight w:val="0"/>
      <w:marTop w:val="0"/>
      <w:marBottom w:val="0"/>
      <w:divBdr>
        <w:top w:val="none" w:sz="0" w:space="0" w:color="auto"/>
        <w:left w:val="none" w:sz="0" w:space="0" w:color="auto"/>
        <w:bottom w:val="none" w:sz="0" w:space="0" w:color="auto"/>
        <w:right w:val="none" w:sz="0" w:space="0" w:color="auto"/>
      </w:divBdr>
      <w:divsChild>
        <w:div w:id="268440347">
          <w:marLeft w:val="0"/>
          <w:marRight w:val="0"/>
          <w:marTop w:val="0"/>
          <w:marBottom w:val="0"/>
          <w:divBdr>
            <w:top w:val="none" w:sz="0" w:space="0" w:color="auto"/>
            <w:left w:val="none" w:sz="0" w:space="0" w:color="auto"/>
            <w:bottom w:val="none" w:sz="0" w:space="0" w:color="auto"/>
            <w:right w:val="none" w:sz="0" w:space="0" w:color="auto"/>
          </w:divBdr>
        </w:div>
        <w:div w:id="982782133">
          <w:marLeft w:val="0"/>
          <w:marRight w:val="0"/>
          <w:marTop w:val="0"/>
          <w:marBottom w:val="0"/>
          <w:divBdr>
            <w:top w:val="none" w:sz="0" w:space="0" w:color="auto"/>
            <w:left w:val="none" w:sz="0" w:space="0" w:color="auto"/>
            <w:bottom w:val="none" w:sz="0" w:space="0" w:color="auto"/>
            <w:right w:val="none" w:sz="0" w:space="0" w:color="auto"/>
          </w:divBdr>
          <w:divsChild>
            <w:div w:id="331221331">
              <w:marLeft w:val="-75"/>
              <w:marRight w:val="0"/>
              <w:marTop w:val="30"/>
              <w:marBottom w:val="30"/>
              <w:divBdr>
                <w:top w:val="none" w:sz="0" w:space="0" w:color="auto"/>
                <w:left w:val="none" w:sz="0" w:space="0" w:color="auto"/>
                <w:bottom w:val="none" w:sz="0" w:space="0" w:color="auto"/>
                <w:right w:val="none" w:sz="0" w:space="0" w:color="auto"/>
              </w:divBdr>
              <w:divsChild>
                <w:div w:id="18774967">
                  <w:marLeft w:val="0"/>
                  <w:marRight w:val="0"/>
                  <w:marTop w:val="0"/>
                  <w:marBottom w:val="0"/>
                  <w:divBdr>
                    <w:top w:val="none" w:sz="0" w:space="0" w:color="auto"/>
                    <w:left w:val="none" w:sz="0" w:space="0" w:color="auto"/>
                    <w:bottom w:val="none" w:sz="0" w:space="0" w:color="auto"/>
                    <w:right w:val="none" w:sz="0" w:space="0" w:color="auto"/>
                  </w:divBdr>
                  <w:divsChild>
                    <w:div w:id="1574777796">
                      <w:marLeft w:val="0"/>
                      <w:marRight w:val="0"/>
                      <w:marTop w:val="0"/>
                      <w:marBottom w:val="0"/>
                      <w:divBdr>
                        <w:top w:val="none" w:sz="0" w:space="0" w:color="auto"/>
                        <w:left w:val="none" w:sz="0" w:space="0" w:color="auto"/>
                        <w:bottom w:val="none" w:sz="0" w:space="0" w:color="auto"/>
                        <w:right w:val="none" w:sz="0" w:space="0" w:color="auto"/>
                      </w:divBdr>
                    </w:div>
                  </w:divsChild>
                </w:div>
                <w:div w:id="699668150">
                  <w:marLeft w:val="0"/>
                  <w:marRight w:val="0"/>
                  <w:marTop w:val="0"/>
                  <w:marBottom w:val="0"/>
                  <w:divBdr>
                    <w:top w:val="none" w:sz="0" w:space="0" w:color="auto"/>
                    <w:left w:val="none" w:sz="0" w:space="0" w:color="auto"/>
                    <w:bottom w:val="none" w:sz="0" w:space="0" w:color="auto"/>
                    <w:right w:val="none" w:sz="0" w:space="0" w:color="auto"/>
                  </w:divBdr>
                  <w:divsChild>
                    <w:div w:id="266960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8452803">
      <w:bodyDiv w:val="1"/>
      <w:marLeft w:val="0"/>
      <w:marRight w:val="0"/>
      <w:marTop w:val="0"/>
      <w:marBottom w:val="0"/>
      <w:divBdr>
        <w:top w:val="none" w:sz="0" w:space="0" w:color="auto"/>
        <w:left w:val="none" w:sz="0" w:space="0" w:color="auto"/>
        <w:bottom w:val="none" w:sz="0" w:space="0" w:color="auto"/>
        <w:right w:val="none" w:sz="0" w:space="0" w:color="auto"/>
      </w:divBdr>
      <w:divsChild>
        <w:div w:id="1180463728">
          <w:marLeft w:val="0"/>
          <w:marRight w:val="0"/>
          <w:marTop w:val="0"/>
          <w:marBottom w:val="0"/>
          <w:divBdr>
            <w:top w:val="none" w:sz="0" w:space="0" w:color="auto"/>
            <w:left w:val="none" w:sz="0" w:space="0" w:color="auto"/>
            <w:bottom w:val="none" w:sz="0" w:space="0" w:color="auto"/>
            <w:right w:val="none" w:sz="0" w:space="0" w:color="auto"/>
          </w:divBdr>
        </w:div>
        <w:div w:id="1436055439">
          <w:marLeft w:val="0"/>
          <w:marRight w:val="0"/>
          <w:marTop w:val="0"/>
          <w:marBottom w:val="0"/>
          <w:divBdr>
            <w:top w:val="none" w:sz="0" w:space="0" w:color="auto"/>
            <w:left w:val="none" w:sz="0" w:space="0" w:color="auto"/>
            <w:bottom w:val="none" w:sz="0" w:space="0" w:color="auto"/>
            <w:right w:val="none" w:sz="0" w:space="0" w:color="auto"/>
          </w:divBdr>
        </w:div>
      </w:divsChild>
    </w:div>
    <w:div w:id="1905676272">
      <w:bodyDiv w:val="1"/>
      <w:marLeft w:val="0"/>
      <w:marRight w:val="0"/>
      <w:marTop w:val="0"/>
      <w:marBottom w:val="0"/>
      <w:divBdr>
        <w:top w:val="none" w:sz="0" w:space="0" w:color="auto"/>
        <w:left w:val="none" w:sz="0" w:space="0" w:color="auto"/>
        <w:bottom w:val="none" w:sz="0" w:space="0" w:color="auto"/>
        <w:right w:val="none" w:sz="0" w:space="0" w:color="auto"/>
      </w:divBdr>
      <w:divsChild>
        <w:div w:id="713189196">
          <w:marLeft w:val="0"/>
          <w:marRight w:val="0"/>
          <w:marTop w:val="0"/>
          <w:marBottom w:val="0"/>
          <w:divBdr>
            <w:top w:val="none" w:sz="0" w:space="0" w:color="auto"/>
            <w:left w:val="none" w:sz="0" w:space="0" w:color="auto"/>
            <w:bottom w:val="none" w:sz="0" w:space="0" w:color="auto"/>
            <w:right w:val="none" w:sz="0" w:space="0" w:color="auto"/>
          </w:divBdr>
        </w:div>
        <w:div w:id="1677266167">
          <w:marLeft w:val="0"/>
          <w:marRight w:val="0"/>
          <w:marTop w:val="0"/>
          <w:marBottom w:val="0"/>
          <w:divBdr>
            <w:top w:val="none" w:sz="0" w:space="0" w:color="auto"/>
            <w:left w:val="none" w:sz="0" w:space="0" w:color="auto"/>
            <w:bottom w:val="none" w:sz="0" w:space="0" w:color="auto"/>
            <w:right w:val="none" w:sz="0" w:space="0" w:color="auto"/>
          </w:divBdr>
        </w:div>
        <w:div w:id="1954314121">
          <w:marLeft w:val="0"/>
          <w:marRight w:val="0"/>
          <w:marTop w:val="0"/>
          <w:marBottom w:val="0"/>
          <w:divBdr>
            <w:top w:val="none" w:sz="0" w:space="0" w:color="auto"/>
            <w:left w:val="none" w:sz="0" w:space="0" w:color="auto"/>
            <w:bottom w:val="none" w:sz="0" w:space="0" w:color="auto"/>
            <w:right w:val="none" w:sz="0" w:space="0" w:color="auto"/>
          </w:divBdr>
        </w:div>
      </w:divsChild>
    </w:div>
    <w:div w:id="1915771857">
      <w:bodyDiv w:val="1"/>
      <w:marLeft w:val="0"/>
      <w:marRight w:val="0"/>
      <w:marTop w:val="0"/>
      <w:marBottom w:val="0"/>
      <w:divBdr>
        <w:top w:val="none" w:sz="0" w:space="0" w:color="auto"/>
        <w:left w:val="none" w:sz="0" w:space="0" w:color="auto"/>
        <w:bottom w:val="none" w:sz="0" w:space="0" w:color="auto"/>
        <w:right w:val="none" w:sz="0" w:space="0" w:color="auto"/>
      </w:divBdr>
      <w:divsChild>
        <w:div w:id="246767093">
          <w:marLeft w:val="0"/>
          <w:marRight w:val="0"/>
          <w:marTop w:val="0"/>
          <w:marBottom w:val="0"/>
          <w:divBdr>
            <w:top w:val="none" w:sz="0" w:space="0" w:color="auto"/>
            <w:left w:val="none" w:sz="0" w:space="0" w:color="auto"/>
            <w:bottom w:val="none" w:sz="0" w:space="0" w:color="auto"/>
            <w:right w:val="none" w:sz="0" w:space="0" w:color="auto"/>
          </w:divBdr>
        </w:div>
        <w:div w:id="338511148">
          <w:marLeft w:val="0"/>
          <w:marRight w:val="0"/>
          <w:marTop w:val="0"/>
          <w:marBottom w:val="0"/>
          <w:divBdr>
            <w:top w:val="none" w:sz="0" w:space="0" w:color="auto"/>
            <w:left w:val="none" w:sz="0" w:space="0" w:color="auto"/>
            <w:bottom w:val="none" w:sz="0" w:space="0" w:color="auto"/>
            <w:right w:val="none" w:sz="0" w:space="0" w:color="auto"/>
          </w:divBdr>
        </w:div>
        <w:div w:id="392310007">
          <w:marLeft w:val="0"/>
          <w:marRight w:val="0"/>
          <w:marTop w:val="0"/>
          <w:marBottom w:val="0"/>
          <w:divBdr>
            <w:top w:val="none" w:sz="0" w:space="0" w:color="auto"/>
            <w:left w:val="none" w:sz="0" w:space="0" w:color="auto"/>
            <w:bottom w:val="none" w:sz="0" w:space="0" w:color="auto"/>
            <w:right w:val="none" w:sz="0" w:space="0" w:color="auto"/>
          </w:divBdr>
        </w:div>
        <w:div w:id="420218633">
          <w:marLeft w:val="0"/>
          <w:marRight w:val="0"/>
          <w:marTop w:val="0"/>
          <w:marBottom w:val="0"/>
          <w:divBdr>
            <w:top w:val="none" w:sz="0" w:space="0" w:color="auto"/>
            <w:left w:val="none" w:sz="0" w:space="0" w:color="auto"/>
            <w:bottom w:val="none" w:sz="0" w:space="0" w:color="auto"/>
            <w:right w:val="none" w:sz="0" w:space="0" w:color="auto"/>
          </w:divBdr>
        </w:div>
        <w:div w:id="1448044445">
          <w:marLeft w:val="0"/>
          <w:marRight w:val="0"/>
          <w:marTop w:val="0"/>
          <w:marBottom w:val="0"/>
          <w:divBdr>
            <w:top w:val="none" w:sz="0" w:space="0" w:color="auto"/>
            <w:left w:val="none" w:sz="0" w:space="0" w:color="auto"/>
            <w:bottom w:val="none" w:sz="0" w:space="0" w:color="auto"/>
            <w:right w:val="none" w:sz="0" w:space="0" w:color="auto"/>
          </w:divBdr>
        </w:div>
        <w:div w:id="2085451197">
          <w:marLeft w:val="0"/>
          <w:marRight w:val="0"/>
          <w:marTop w:val="0"/>
          <w:marBottom w:val="0"/>
          <w:divBdr>
            <w:top w:val="none" w:sz="0" w:space="0" w:color="auto"/>
            <w:left w:val="none" w:sz="0" w:space="0" w:color="auto"/>
            <w:bottom w:val="none" w:sz="0" w:space="0" w:color="auto"/>
            <w:right w:val="none" w:sz="0" w:space="0" w:color="auto"/>
          </w:divBdr>
        </w:div>
      </w:divsChild>
    </w:div>
    <w:div w:id="1927036450">
      <w:bodyDiv w:val="1"/>
      <w:marLeft w:val="0"/>
      <w:marRight w:val="0"/>
      <w:marTop w:val="0"/>
      <w:marBottom w:val="0"/>
      <w:divBdr>
        <w:top w:val="none" w:sz="0" w:space="0" w:color="auto"/>
        <w:left w:val="none" w:sz="0" w:space="0" w:color="auto"/>
        <w:bottom w:val="none" w:sz="0" w:space="0" w:color="auto"/>
        <w:right w:val="none" w:sz="0" w:space="0" w:color="auto"/>
      </w:divBdr>
      <w:divsChild>
        <w:div w:id="631983933">
          <w:marLeft w:val="0"/>
          <w:marRight w:val="0"/>
          <w:marTop w:val="0"/>
          <w:marBottom w:val="0"/>
          <w:divBdr>
            <w:top w:val="none" w:sz="0" w:space="0" w:color="auto"/>
            <w:left w:val="none" w:sz="0" w:space="0" w:color="auto"/>
            <w:bottom w:val="none" w:sz="0" w:space="0" w:color="auto"/>
            <w:right w:val="none" w:sz="0" w:space="0" w:color="auto"/>
          </w:divBdr>
          <w:divsChild>
            <w:div w:id="1787577013">
              <w:marLeft w:val="-75"/>
              <w:marRight w:val="0"/>
              <w:marTop w:val="30"/>
              <w:marBottom w:val="30"/>
              <w:divBdr>
                <w:top w:val="none" w:sz="0" w:space="0" w:color="auto"/>
                <w:left w:val="none" w:sz="0" w:space="0" w:color="auto"/>
                <w:bottom w:val="none" w:sz="0" w:space="0" w:color="auto"/>
                <w:right w:val="none" w:sz="0" w:space="0" w:color="auto"/>
              </w:divBdr>
              <w:divsChild>
                <w:div w:id="992568908">
                  <w:marLeft w:val="0"/>
                  <w:marRight w:val="0"/>
                  <w:marTop w:val="0"/>
                  <w:marBottom w:val="0"/>
                  <w:divBdr>
                    <w:top w:val="none" w:sz="0" w:space="0" w:color="auto"/>
                    <w:left w:val="none" w:sz="0" w:space="0" w:color="auto"/>
                    <w:bottom w:val="none" w:sz="0" w:space="0" w:color="auto"/>
                    <w:right w:val="none" w:sz="0" w:space="0" w:color="auto"/>
                  </w:divBdr>
                  <w:divsChild>
                    <w:div w:id="909928233">
                      <w:marLeft w:val="0"/>
                      <w:marRight w:val="0"/>
                      <w:marTop w:val="0"/>
                      <w:marBottom w:val="0"/>
                      <w:divBdr>
                        <w:top w:val="none" w:sz="0" w:space="0" w:color="auto"/>
                        <w:left w:val="none" w:sz="0" w:space="0" w:color="auto"/>
                        <w:bottom w:val="none" w:sz="0" w:space="0" w:color="auto"/>
                        <w:right w:val="none" w:sz="0" w:space="0" w:color="auto"/>
                      </w:divBdr>
                    </w:div>
                  </w:divsChild>
                </w:div>
                <w:div w:id="1299190079">
                  <w:marLeft w:val="0"/>
                  <w:marRight w:val="0"/>
                  <w:marTop w:val="0"/>
                  <w:marBottom w:val="0"/>
                  <w:divBdr>
                    <w:top w:val="none" w:sz="0" w:space="0" w:color="auto"/>
                    <w:left w:val="none" w:sz="0" w:space="0" w:color="auto"/>
                    <w:bottom w:val="none" w:sz="0" w:space="0" w:color="auto"/>
                    <w:right w:val="none" w:sz="0" w:space="0" w:color="auto"/>
                  </w:divBdr>
                  <w:divsChild>
                    <w:div w:id="303124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8928290">
          <w:marLeft w:val="0"/>
          <w:marRight w:val="0"/>
          <w:marTop w:val="0"/>
          <w:marBottom w:val="0"/>
          <w:divBdr>
            <w:top w:val="none" w:sz="0" w:space="0" w:color="auto"/>
            <w:left w:val="none" w:sz="0" w:space="0" w:color="auto"/>
            <w:bottom w:val="none" w:sz="0" w:space="0" w:color="auto"/>
            <w:right w:val="none" w:sz="0" w:space="0" w:color="auto"/>
          </w:divBdr>
        </w:div>
      </w:divsChild>
    </w:div>
    <w:div w:id="1940989030">
      <w:bodyDiv w:val="1"/>
      <w:marLeft w:val="0"/>
      <w:marRight w:val="0"/>
      <w:marTop w:val="0"/>
      <w:marBottom w:val="0"/>
      <w:divBdr>
        <w:top w:val="none" w:sz="0" w:space="0" w:color="auto"/>
        <w:left w:val="none" w:sz="0" w:space="0" w:color="auto"/>
        <w:bottom w:val="none" w:sz="0" w:space="0" w:color="auto"/>
        <w:right w:val="none" w:sz="0" w:space="0" w:color="auto"/>
      </w:divBdr>
      <w:divsChild>
        <w:div w:id="1130628623">
          <w:marLeft w:val="0"/>
          <w:marRight w:val="0"/>
          <w:marTop w:val="0"/>
          <w:marBottom w:val="0"/>
          <w:divBdr>
            <w:top w:val="none" w:sz="0" w:space="0" w:color="auto"/>
            <w:left w:val="none" w:sz="0" w:space="0" w:color="auto"/>
            <w:bottom w:val="none" w:sz="0" w:space="0" w:color="auto"/>
            <w:right w:val="none" w:sz="0" w:space="0" w:color="auto"/>
          </w:divBdr>
        </w:div>
        <w:div w:id="1330206945">
          <w:marLeft w:val="0"/>
          <w:marRight w:val="0"/>
          <w:marTop w:val="0"/>
          <w:marBottom w:val="0"/>
          <w:divBdr>
            <w:top w:val="none" w:sz="0" w:space="0" w:color="auto"/>
            <w:left w:val="none" w:sz="0" w:space="0" w:color="auto"/>
            <w:bottom w:val="none" w:sz="0" w:space="0" w:color="auto"/>
            <w:right w:val="none" w:sz="0" w:space="0" w:color="auto"/>
          </w:divBdr>
        </w:div>
      </w:divsChild>
    </w:div>
    <w:div w:id="1955865571">
      <w:bodyDiv w:val="1"/>
      <w:marLeft w:val="0"/>
      <w:marRight w:val="0"/>
      <w:marTop w:val="0"/>
      <w:marBottom w:val="0"/>
      <w:divBdr>
        <w:top w:val="none" w:sz="0" w:space="0" w:color="auto"/>
        <w:left w:val="none" w:sz="0" w:space="0" w:color="auto"/>
        <w:bottom w:val="none" w:sz="0" w:space="0" w:color="auto"/>
        <w:right w:val="none" w:sz="0" w:space="0" w:color="auto"/>
      </w:divBdr>
    </w:div>
    <w:div w:id="2046635626">
      <w:bodyDiv w:val="1"/>
      <w:marLeft w:val="0"/>
      <w:marRight w:val="0"/>
      <w:marTop w:val="0"/>
      <w:marBottom w:val="0"/>
      <w:divBdr>
        <w:top w:val="none" w:sz="0" w:space="0" w:color="auto"/>
        <w:left w:val="none" w:sz="0" w:space="0" w:color="auto"/>
        <w:bottom w:val="none" w:sz="0" w:space="0" w:color="auto"/>
        <w:right w:val="none" w:sz="0" w:space="0" w:color="auto"/>
      </w:divBdr>
      <w:divsChild>
        <w:div w:id="108277563">
          <w:marLeft w:val="0"/>
          <w:marRight w:val="0"/>
          <w:marTop w:val="0"/>
          <w:marBottom w:val="0"/>
          <w:divBdr>
            <w:top w:val="none" w:sz="0" w:space="0" w:color="auto"/>
            <w:left w:val="none" w:sz="0" w:space="0" w:color="auto"/>
            <w:bottom w:val="none" w:sz="0" w:space="0" w:color="auto"/>
            <w:right w:val="none" w:sz="0" w:space="0" w:color="auto"/>
          </w:divBdr>
        </w:div>
        <w:div w:id="2146314519">
          <w:marLeft w:val="0"/>
          <w:marRight w:val="0"/>
          <w:marTop w:val="0"/>
          <w:marBottom w:val="0"/>
          <w:divBdr>
            <w:top w:val="none" w:sz="0" w:space="0" w:color="auto"/>
            <w:left w:val="none" w:sz="0" w:space="0" w:color="auto"/>
            <w:bottom w:val="none" w:sz="0" w:space="0" w:color="auto"/>
            <w:right w:val="none" w:sz="0" w:space="0" w:color="auto"/>
          </w:divBdr>
        </w:div>
      </w:divsChild>
    </w:div>
    <w:div w:id="2098281880">
      <w:bodyDiv w:val="1"/>
      <w:marLeft w:val="0"/>
      <w:marRight w:val="0"/>
      <w:marTop w:val="0"/>
      <w:marBottom w:val="0"/>
      <w:divBdr>
        <w:top w:val="none" w:sz="0" w:space="0" w:color="auto"/>
        <w:left w:val="none" w:sz="0" w:space="0" w:color="auto"/>
        <w:bottom w:val="none" w:sz="0" w:space="0" w:color="auto"/>
        <w:right w:val="none" w:sz="0" w:space="0" w:color="auto"/>
      </w:divBdr>
      <w:divsChild>
        <w:div w:id="94987581">
          <w:marLeft w:val="0"/>
          <w:marRight w:val="0"/>
          <w:marTop w:val="0"/>
          <w:marBottom w:val="0"/>
          <w:divBdr>
            <w:top w:val="none" w:sz="0" w:space="0" w:color="auto"/>
            <w:left w:val="none" w:sz="0" w:space="0" w:color="auto"/>
            <w:bottom w:val="none" w:sz="0" w:space="0" w:color="auto"/>
            <w:right w:val="none" w:sz="0" w:space="0" w:color="auto"/>
          </w:divBdr>
        </w:div>
        <w:div w:id="109010120">
          <w:marLeft w:val="0"/>
          <w:marRight w:val="0"/>
          <w:marTop w:val="0"/>
          <w:marBottom w:val="0"/>
          <w:divBdr>
            <w:top w:val="none" w:sz="0" w:space="0" w:color="auto"/>
            <w:left w:val="none" w:sz="0" w:space="0" w:color="auto"/>
            <w:bottom w:val="none" w:sz="0" w:space="0" w:color="auto"/>
            <w:right w:val="none" w:sz="0" w:space="0" w:color="auto"/>
          </w:divBdr>
        </w:div>
        <w:div w:id="138499724">
          <w:marLeft w:val="0"/>
          <w:marRight w:val="0"/>
          <w:marTop w:val="0"/>
          <w:marBottom w:val="0"/>
          <w:divBdr>
            <w:top w:val="none" w:sz="0" w:space="0" w:color="auto"/>
            <w:left w:val="none" w:sz="0" w:space="0" w:color="auto"/>
            <w:bottom w:val="none" w:sz="0" w:space="0" w:color="auto"/>
            <w:right w:val="none" w:sz="0" w:space="0" w:color="auto"/>
          </w:divBdr>
        </w:div>
        <w:div w:id="163131157">
          <w:marLeft w:val="0"/>
          <w:marRight w:val="0"/>
          <w:marTop w:val="0"/>
          <w:marBottom w:val="0"/>
          <w:divBdr>
            <w:top w:val="none" w:sz="0" w:space="0" w:color="auto"/>
            <w:left w:val="none" w:sz="0" w:space="0" w:color="auto"/>
            <w:bottom w:val="none" w:sz="0" w:space="0" w:color="auto"/>
            <w:right w:val="none" w:sz="0" w:space="0" w:color="auto"/>
          </w:divBdr>
        </w:div>
        <w:div w:id="179899906">
          <w:marLeft w:val="0"/>
          <w:marRight w:val="0"/>
          <w:marTop w:val="0"/>
          <w:marBottom w:val="0"/>
          <w:divBdr>
            <w:top w:val="none" w:sz="0" w:space="0" w:color="auto"/>
            <w:left w:val="none" w:sz="0" w:space="0" w:color="auto"/>
            <w:bottom w:val="none" w:sz="0" w:space="0" w:color="auto"/>
            <w:right w:val="none" w:sz="0" w:space="0" w:color="auto"/>
          </w:divBdr>
        </w:div>
        <w:div w:id="188375452">
          <w:marLeft w:val="0"/>
          <w:marRight w:val="0"/>
          <w:marTop w:val="0"/>
          <w:marBottom w:val="0"/>
          <w:divBdr>
            <w:top w:val="none" w:sz="0" w:space="0" w:color="auto"/>
            <w:left w:val="none" w:sz="0" w:space="0" w:color="auto"/>
            <w:bottom w:val="none" w:sz="0" w:space="0" w:color="auto"/>
            <w:right w:val="none" w:sz="0" w:space="0" w:color="auto"/>
          </w:divBdr>
        </w:div>
        <w:div w:id="192306566">
          <w:marLeft w:val="0"/>
          <w:marRight w:val="0"/>
          <w:marTop w:val="0"/>
          <w:marBottom w:val="0"/>
          <w:divBdr>
            <w:top w:val="none" w:sz="0" w:space="0" w:color="auto"/>
            <w:left w:val="none" w:sz="0" w:space="0" w:color="auto"/>
            <w:bottom w:val="none" w:sz="0" w:space="0" w:color="auto"/>
            <w:right w:val="none" w:sz="0" w:space="0" w:color="auto"/>
          </w:divBdr>
        </w:div>
        <w:div w:id="266431761">
          <w:marLeft w:val="0"/>
          <w:marRight w:val="0"/>
          <w:marTop w:val="0"/>
          <w:marBottom w:val="0"/>
          <w:divBdr>
            <w:top w:val="none" w:sz="0" w:space="0" w:color="auto"/>
            <w:left w:val="none" w:sz="0" w:space="0" w:color="auto"/>
            <w:bottom w:val="none" w:sz="0" w:space="0" w:color="auto"/>
            <w:right w:val="none" w:sz="0" w:space="0" w:color="auto"/>
          </w:divBdr>
        </w:div>
        <w:div w:id="331299473">
          <w:marLeft w:val="0"/>
          <w:marRight w:val="0"/>
          <w:marTop w:val="0"/>
          <w:marBottom w:val="0"/>
          <w:divBdr>
            <w:top w:val="none" w:sz="0" w:space="0" w:color="auto"/>
            <w:left w:val="none" w:sz="0" w:space="0" w:color="auto"/>
            <w:bottom w:val="none" w:sz="0" w:space="0" w:color="auto"/>
            <w:right w:val="none" w:sz="0" w:space="0" w:color="auto"/>
          </w:divBdr>
        </w:div>
        <w:div w:id="338048225">
          <w:marLeft w:val="0"/>
          <w:marRight w:val="0"/>
          <w:marTop w:val="0"/>
          <w:marBottom w:val="0"/>
          <w:divBdr>
            <w:top w:val="none" w:sz="0" w:space="0" w:color="auto"/>
            <w:left w:val="none" w:sz="0" w:space="0" w:color="auto"/>
            <w:bottom w:val="none" w:sz="0" w:space="0" w:color="auto"/>
            <w:right w:val="none" w:sz="0" w:space="0" w:color="auto"/>
          </w:divBdr>
        </w:div>
        <w:div w:id="380129912">
          <w:marLeft w:val="0"/>
          <w:marRight w:val="0"/>
          <w:marTop w:val="0"/>
          <w:marBottom w:val="0"/>
          <w:divBdr>
            <w:top w:val="none" w:sz="0" w:space="0" w:color="auto"/>
            <w:left w:val="none" w:sz="0" w:space="0" w:color="auto"/>
            <w:bottom w:val="none" w:sz="0" w:space="0" w:color="auto"/>
            <w:right w:val="none" w:sz="0" w:space="0" w:color="auto"/>
          </w:divBdr>
        </w:div>
        <w:div w:id="435029534">
          <w:marLeft w:val="0"/>
          <w:marRight w:val="0"/>
          <w:marTop w:val="0"/>
          <w:marBottom w:val="0"/>
          <w:divBdr>
            <w:top w:val="none" w:sz="0" w:space="0" w:color="auto"/>
            <w:left w:val="none" w:sz="0" w:space="0" w:color="auto"/>
            <w:bottom w:val="none" w:sz="0" w:space="0" w:color="auto"/>
            <w:right w:val="none" w:sz="0" w:space="0" w:color="auto"/>
          </w:divBdr>
        </w:div>
        <w:div w:id="487136136">
          <w:marLeft w:val="0"/>
          <w:marRight w:val="0"/>
          <w:marTop w:val="0"/>
          <w:marBottom w:val="0"/>
          <w:divBdr>
            <w:top w:val="none" w:sz="0" w:space="0" w:color="auto"/>
            <w:left w:val="none" w:sz="0" w:space="0" w:color="auto"/>
            <w:bottom w:val="none" w:sz="0" w:space="0" w:color="auto"/>
            <w:right w:val="none" w:sz="0" w:space="0" w:color="auto"/>
          </w:divBdr>
        </w:div>
        <w:div w:id="526529355">
          <w:marLeft w:val="0"/>
          <w:marRight w:val="0"/>
          <w:marTop w:val="0"/>
          <w:marBottom w:val="0"/>
          <w:divBdr>
            <w:top w:val="none" w:sz="0" w:space="0" w:color="auto"/>
            <w:left w:val="none" w:sz="0" w:space="0" w:color="auto"/>
            <w:bottom w:val="none" w:sz="0" w:space="0" w:color="auto"/>
            <w:right w:val="none" w:sz="0" w:space="0" w:color="auto"/>
          </w:divBdr>
        </w:div>
        <w:div w:id="545528236">
          <w:marLeft w:val="0"/>
          <w:marRight w:val="0"/>
          <w:marTop w:val="0"/>
          <w:marBottom w:val="0"/>
          <w:divBdr>
            <w:top w:val="none" w:sz="0" w:space="0" w:color="auto"/>
            <w:left w:val="none" w:sz="0" w:space="0" w:color="auto"/>
            <w:bottom w:val="none" w:sz="0" w:space="0" w:color="auto"/>
            <w:right w:val="none" w:sz="0" w:space="0" w:color="auto"/>
          </w:divBdr>
        </w:div>
        <w:div w:id="586890598">
          <w:marLeft w:val="0"/>
          <w:marRight w:val="0"/>
          <w:marTop w:val="0"/>
          <w:marBottom w:val="0"/>
          <w:divBdr>
            <w:top w:val="none" w:sz="0" w:space="0" w:color="auto"/>
            <w:left w:val="none" w:sz="0" w:space="0" w:color="auto"/>
            <w:bottom w:val="none" w:sz="0" w:space="0" w:color="auto"/>
            <w:right w:val="none" w:sz="0" w:space="0" w:color="auto"/>
          </w:divBdr>
        </w:div>
        <w:div w:id="618872936">
          <w:marLeft w:val="0"/>
          <w:marRight w:val="0"/>
          <w:marTop w:val="0"/>
          <w:marBottom w:val="0"/>
          <w:divBdr>
            <w:top w:val="none" w:sz="0" w:space="0" w:color="auto"/>
            <w:left w:val="none" w:sz="0" w:space="0" w:color="auto"/>
            <w:bottom w:val="none" w:sz="0" w:space="0" w:color="auto"/>
            <w:right w:val="none" w:sz="0" w:space="0" w:color="auto"/>
          </w:divBdr>
        </w:div>
        <w:div w:id="622662984">
          <w:marLeft w:val="0"/>
          <w:marRight w:val="0"/>
          <w:marTop w:val="0"/>
          <w:marBottom w:val="0"/>
          <w:divBdr>
            <w:top w:val="none" w:sz="0" w:space="0" w:color="auto"/>
            <w:left w:val="none" w:sz="0" w:space="0" w:color="auto"/>
            <w:bottom w:val="none" w:sz="0" w:space="0" w:color="auto"/>
            <w:right w:val="none" w:sz="0" w:space="0" w:color="auto"/>
          </w:divBdr>
        </w:div>
        <w:div w:id="647588273">
          <w:marLeft w:val="0"/>
          <w:marRight w:val="0"/>
          <w:marTop w:val="0"/>
          <w:marBottom w:val="0"/>
          <w:divBdr>
            <w:top w:val="none" w:sz="0" w:space="0" w:color="auto"/>
            <w:left w:val="none" w:sz="0" w:space="0" w:color="auto"/>
            <w:bottom w:val="none" w:sz="0" w:space="0" w:color="auto"/>
            <w:right w:val="none" w:sz="0" w:space="0" w:color="auto"/>
          </w:divBdr>
        </w:div>
        <w:div w:id="657001642">
          <w:marLeft w:val="0"/>
          <w:marRight w:val="0"/>
          <w:marTop w:val="0"/>
          <w:marBottom w:val="0"/>
          <w:divBdr>
            <w:top w:val="none" w:sz="0" w:space="0" w:color="auto"/>
            <w:left w:val="none" w:sz="0" w:space="0" w:color="auto"/>
            <w:bottom w:val="none" w:sz="0" w:space="0" w:color="auto"/>
            <w:right w:val="none" w:sz="0" w:space="0" w:color="auto"/>
          </w:divBdr>
        </w:div>
        <w:div w:id="734275830">
          <w:marLeft w:val="0"/>
          <w:marRight w:val="0"/>
          <w:marTop w:val="0"/>
          <w:marBottom w:val="0"/>
          <w:divBdr>
            <w:top w:val="none" w:sz="0" w:space="0" w:color="auto"/>
            <w:left w:val="none" w:sz="0" w:space="0" w:color="auto"/>
            <w:bottom w:val="none" w:sz="0" w:space="0" w:color="auto"/>
            <w:right w:val="none" w:sz="0" w:space="0" w:color="auto"/>
          </w:divBdr>
        </w:div>
        <w:div w:id="875234045">
          <w:marLeft w:val="0"/>
          <w:marRight w:val="0"/>
          <w:marTop w:val="0"/>
          <w:marBottom w:val="0"/>
          <w:divBdr>
            <w:top w:val="none" w:sz="0" w:space="0" w:color="auto"/>
            <w:left w:val="none" w:sz="0" w:space="0" w:color="auto"/>
            <w:bottom w:val="none" w:sz="0" w:space="0" w:color="auto"/>
            <w:right w:val="none" w:sz="0" w:space="0" w:color="auto"/>
          </w:divBdr>
        </w:div>
        <w:div w:id="1105072927">
          <w:marLeft w:val="0"/>
          <w:marRight w:val="0"/>
          <w:marTop w:val="0"/>
          <w:marBottom w:val="0"/>
          <w:divBdr>
            <w:top w:val="none" w:sz="0" w:space="0" w:color="auto"/>
            <w:left w:val="none" w:sz="0" w:space="0" w:color="auto"/>
            <w:bottom w:val="none" w:sz="0" w:space="0" w:color="auto"/>
            <w:right w:val="none" w:sz="0" w:space="0" w:color="auto"/>
          </w:divBdr>
        </w:div>
        <w:div w:id="1128234533">
          <w:marLeft w:val="0"/>
          <w:marRight w:val="0"/>
          <w:marTop w:val="0"/>
          <w:marBottom w:val="0"/>
          <w:divBdr>
            <w:top w:val="none" w:sz="0" w:space="0" w:color="auto"/>
            <w:left w:val="none" w:sz="0" w:space="0" w:color="auto"/>
            <w:bottom w:val="none" w:sz="0" w:space="0" w:color="auto"/>
            <w:right w:val="none" w:sz="0" w:space="0" w:color="auto"/>
          </w:divBdr>
        </w:div>
        <w:div w:id="1146244874">
          <w:marLeft w:val="0"/>
          <w:marRight w:val="0"/>
          <w:marTop w:val="0"/>
          <w:marBottom w:val="0"/>
          <w:divBdr>
            <w:top w:val="none" w:sz="0" w:space="0" w:color="auto"/>
            <w:left w:val="none" w:sz="0" w:space="0" w:color="auto"/>
            <w:bottom w:val="none" w:sz="0" w:space="0" w:color="auto"/>
            <w:right w:val="none" w:sz="0" w:space="0" w:color="auto"/>
          </w:divBdr>
        </w:div>
        <w:div w:id="1158425193">
          <w:marLeft w:val="0"/>
          <w:marRight w:val="0"/>
          <w:marTop w:val="0"/>
          <w:marBottom w:val="0"/>
          <w:divBdr>
            <w:top w:val="none" w:sz="0" w:space="0" w:color="auto"/>
            <w:left w:val="none" w:sz="0" w:space="0" w:color="auto"/>
            <w:bottom w:val="none" w:sz="0" w:space="0" w:color="auto"/>
            <w:right w:val="none" w:sz="0" w:space="0" w:color="auto"/>
          </w:divBdr>
        </w:div>
        <w:div w:id="1183515312">
          <w:marLeft w:val="0"/>
          <w:marRight w:val="0"/>
          <w:marTop w:val="0"/>
          <w:marBottom w:val="0"/>
          <w:divBdr>
            <w:top w:val="none" w:sz="0" w:space="0" w:color="auto"/>
            <w:left w:val="none" w:sz="0" w:space="0" w:color="auto"/>
            <w:bottom w:val="none" w:sz="0" w:space="0" w:color="auto"/>
            <w:right w:val="none" w:sz="0" w:space="0" w:color="auto"/>
          </w:divBdr>
        </w:div>
        <w:div w:id="1202207014">
          <w:marLeft w:val="0"/>
          <w:marRight w:val="0"/>
          <w:marTop w:val="0"/>
          <w:marBottom w:val="0"/>
          <w:divBdr>
            <w:top w:val="none" w:sz="0" w:space="0" w:color="auto"/>
            <w:left w:val="none" w:sz="0" w:space="0" w:color="auto"/>
            <w:bottom w:val="none" w:sz="0" w:space="0" w:color="auto"/>
            <w:right w:val="none" w:sz="0" w:space="0" w:color="auto"/>
          </w:divBdr>
        </w:div>
        <w:div w:id="1220940781">
          <w:marLeft w:val="0"/>
          <w:marRight w:val="0"/>
          <w:marTop w:val="0"/>
          <w:marBottom w:val="0"/>
          <w:divBdr>
            <w:top w:val="none" w:sz="0" w:space="0" w:color="auto"/>
            <w:left w:val="none" w:sz="0" w:space="0" w:color="auto"/>
            <w:bottom w:val="none" w:sz="0" w:space="0" w:color="auto"/>
            <w:right w:val="none" w:sz="0" w:space="0" w:color="auto"/>
          </w:divBdr>
        </w:div>
        <w:div w:id="1316184388">
          <w:marLeft w:val="0"/>
          <w:marRight w:val="0"/>
          <w:marTop w:val="0"/>
          <w:marBottom w:val="0"/>
          <w:divBdr>
            <w:top w:val="none" w:sz="0" w:space="0" w:color="auto"/>
            <w:left w:val="none" w:sz="0" w:space="0" w:color="auto"/>
            <w:bottom w:val="none" w:sz="0" w:space="0" w:color="auto"/>
            <w:right w:val="none" w:sz="0" w:space="0" w:color="auto"/>
          </w:divBdr>
        </w:div>
        <w:div w:id="1354576346">
          <w:marLeft w:val="0"/>
          <w:marRight w:val="0"/>
          <w:marTop w:val="0"/>
          <w:marBottom w:val="0"/>
          <w:divBdr>
            <w:top w:val="none" w:sz="0" w:space="0" w:color="auto"/>
            <w:left w:val="none" w:sz="0" w:space="0" w:color="auto"/>
            <w:bottom w:val="none" w:sz="0" w:space="0" w:color="auto"/>
            <w:right w:val="none" w:sz="0" w:space="0" w:color="auto"/>
          </w:divBdr>
        </w:div>
        <w:div w:id="1413818220">
          <w:marLeft w:val="0"/>
          <w:marRight w:val="0"/>
          <w:marTop w:val="0"/>
          <w:marBottom w:val="0"/>
          <w:divBdr>
            <w:top w:val="none" w:sz="0" w:space="0" w:color="auto"/>
            <w:left w:val="none" w:sz="0" w:space="0" w:color="auto"/>
            <w:bottom w:val="none" w:sz="0" w:space="0" w:color="auto"/>
            <w:right w:val="none" w:sz="0" w:space="0" w:color="auto"/>
          </w:divBdr>
        </w:div>
        <w:div w:id="1421217107">
          <w:marLeft w:val="0"/>
          <w:marRight w:val="0"/>
          <w:marTop w:val="0"/>
          <w:marBottom w:val="0"/>
          <w:divBdr>
            <w:top w:val="none" w:sz="0" w:space="0" w:color="auto"/>
            <w:left w:val="none" w:sz="0" w:space="0" w:color="auto"/>
            <w:bottom w:val="none" w:sz="0" w:space="0" w:color="auto"/>
            <w:right w:val="none" w:sz="0" w:space="0" w:color="auto"/>
          </w:divBdr>
        </w:div>
        <w:div w:id="1436973112">
          <w:marLeft w:val="0"/>
          <w:marRight w:val="0"/>
          <w:marTop w:val="0"/>
          <w:marBottom w:val="0"/>
          <w:divBdr>
            <w:top w:val="none" w:sz="0" w:space="0" w:color="auto"/>
            <w:left w:val="none" w:sz="0" w:space="0" w:color="auto"/>
            <w:bottom w:val="none" w:sz="0" w:space="0" w:color="auto"/>
            <w:right w:val="none" w:sz="0" w:space="0" w:color="auto"/>
          </w:divBdr>
        </w:div>
        <w:div w:id="1448430109">
          <w:marLeft w:val="0"/>
          <w:marRight w:val="0"/>
          <w:marTop w:val="0"/>
          <w:marBottom w:val="0"/>
          <w:divBdr>
            <w:top w:val="none" w:sz="0" w:space="0" w:color="auto"/>
            <w:left w:val="none" w:sz="0" w:space="0" w:color="auto"/>
            <w:bottom w:val="none" w:sz="0" w:space="0" w:color="auto"/>
            <w:right w:val="none" w:sz="0" w:space="0" w:color="auto"/>
          </w:divBdr>
        </w:div>
        <w:div w:id="1483888301">
          <w:marLeft w:val="0"/>
          <w:marRight w:val="0"/>
          <w:marTop w:val="0"/>
          <w:marBottom w:val="0"/>
          <w:divBdr>
            <w:top w:val="none" w:sz="0" w:space="0" w:color="auto"/>
            <w:left w:val="none" w:sz="0" w:space="0" w:color="auto"/>
            <w:bottom w:val="none" w:sz="0" w:space="0" w:color="auto"/>
            <w:right w:val="none" w:sz="0" w:space="0" w:color="auto"/>
          </w:divBdr>
        </w:div>
        <w:div w:id="1491557196">
          <w:marLeft w:val="0"/>
          <w:marRight w:val="0"/>
          <w:marTop w:val="0"/>
          <w:marBottom w:val="0"/>
          <w:divBdr>
            <w:top w:val="none" w:sz="0" w:space="0" w:color="auto"/>
            <w:left w:val="none" w:sz="0" w:space="0" w:color="auto"/>
            <w:bottom w:val="none" w:sz="0" w:space="0" w:color="auto"/>
            <w:right w:val="none" w:sz="0" w:space="0" w:color="auto"/>
          </w:divBdr>
        </w:div>
        <w:div w:id="1493525561">
          <w:marLeft w:val="0"/>
          <w:marRight w:val="0"/>
          <w:marTop w:val="0"/>
          <w:marBottom w:val="0"/>
          <w:divBdr>
            <w:top w:val="none" w:sz="0" w:space="0" w:color="auto"/>
            <w:left w:val="none" w:sz="0" w:space="0" w:color="auto"/>
            <w:bottom w:val="none" w:sz="0" w:space="0" w:color="auto"/>
            <w:right w:val="none" w:sz="0" w:space="0" w:color="auto"/>
          </w:divBdr>
        </w:div>
        <w:div w:id="1712152331">
          <w:marLeft w:val="0"/>
          <w:marRight w:val="0"/>
          <w:marTop w:val="0"/>
          <w:marBottom w:val="0"/>
          <w:divBdr>
            <w:top w:val="none" w:sz="0" w:space="0" w:color="auto"/>
            <w:left w:val="none" w:sz="0" w:space="0" w:color="auto"/>
            <w:bottom w:val="none" w:sz="0" w:space="0" w:color="auto"/>
            <w:right w:val="none" w:sz="0" w:space="0" w:color="auto"/>
          </w:divBdr>
        </w:div>
        <w:div w:id="1753038519">
          <w:marLeft w:val="0"/>
          <w:marRight w:val="0"/>
          <w:marTop w:val="0"/>
          <w:marBottom w:val="0"/>
          <w:divBdr>
            <w:top w:val="none" w:sz="0" w:space="0" w:color="auto"/>
            <w:left w:val="none" w:sz="0" w:space="0" w:color="auto"/>
            <w:bottom w:val="none" w:sz="0" w:space="0" w:color="auto"/>
            <w:right w:val="none" w:sz="0" w:space="0" w:color="auto"/>
          </w:divBdr>
        </w:div>
        <w:div w:id="1753508112">
          <w:marLeft w:val="0"/>
          <w:marRight w:val="0"/>
          <w:marTop w:val="0"/>
          <w:marBottom w:val="0"/>
          <w:divBdr>
            <w:top w:val="none" w:sz="0" w:space="0" w:color="auto"/>
            <w:left w:val="none" w:sz="0" w:space="0" w:color="auto"/>
            <w:bottom w:val="none" w:sz="0" w:space="0" w:color="auto"/>
            <w:right w:val="none" w:sz="0" w:space="0" w:color="auto"/>
          </w:divBdr>
        </w:div>
        <w:div w:id="1757558378">
          <w:marLeft w:val="0"/>
          <w:marRight w:val="0"/>
          <w:marTop w:val="0"/>
          <w:marBottom w:val="0"/>
          <w:divBdr>
            <w:top w:val="none" w:sz="0" w:space="0" w:color="auto"/>
            <w:left w:val="none" w:sz="0" w:space="0" w:color="auto"/>
            <w:bottom w:val="none" w:sz="0" w:space="0" w:color="auto"/>
            <w:right w:val="none" w:sz="0" w:space="0" w:color="auto"/>
          </w:divBdr>
        </w:div>
        <w:div w:id="1774397439">
          <w:marLeft w:val="0"/>
          <w:marRight w:val="0"/>
          <w:marTop w:val="0"/>
          <w:marBottom w:val="0"/>
          <w:divBdr>
            <w:top w:val="none" w:sz="0" w:space="0" w:color="auto"/>
            <w:left w:val="none" w:sz="0" w:space="0" w:color="auto"/>
            <w:bottom w:val="none" w:sz="0" w:space="0" w:color="auto"/>
            <w:right w:val="none" w:sz="0" w:space="0" w:color="auto"/>
          </w:divBdr>
        </w:div>
        <w:div w:id="1832139907">
          <w:marLeft w:val="0"/>
          <w:marRight w:val="0"/>
          <w:marTop w:val="0"/>
          <w:marBottom w:val="0"/>
          <w:divBdr>
            <w:top w:val="none" w:sz="0" w:space="0" w:color="auto"/>
            <w:left w:val="none" w:sz="0" w:space="0" w:color="auto"/>
            <w:bottom w:val="none" w:sz="0" w:space="0" w:color="auto"/>
            <w:right w:val="none" w:sz="0" w:space="0" w:color="auto"/>
          </w:divBdr>
        </w:div>
        <w:div w:id="1841312812">
          <w:marLeft w:val="0"/>
          <w:marRight w:val="0"/>
          <w:marTop w:val="0"/>
          <w:marBottom w:val="0"/>
          <w:divBdr>
            <w:top w:val="none" w:sz="0" w:space="0" w:color="auto"/>
            <w:left w:val="none" w:sz="0" w:space="0" w:color="auto"/>
            <w:bottom w:val="none" w:sz="0" w:space="0" w:color="auto"/>
            <w:right w:val="none" w:sz="0" w:space="0" w:color="auto"/>
          </w:divBdr>
        </w:div>
        <w:div w:id="1856532203">
          <w:marLeft w:val="0"/>
          <w:marRight w:val="0"/>
          <w:marTop w:val="0"/>
          <w:marBottom w:val="0"/>
          <w:divBdr>
            <w:top w:val="none" w:sz="0" w:space="0" w:color="auto"/>
            <w:left w:val="none" w:sz="0" w:space="0" w:color="auto"/>
            <w:bottom w:val="none" w:sz="0" w:space="0" w:color="auto"/>
            <w:right w:val="none" w:sz="0" w:space="0" w:color="auto"/>
          </w:divBdr>
        </w:div>
        <w:div w:id="1930582969">
          <w:marLeft w:val="0"/>
          <w:marRight w:val="0"/>
          <w:marTop w:val="0"/>
          <w:marBottom w:val="0"/>
          <w:divBdr>
            <w:top w:val="none" w:sz="0" w:space="0" w:color="auto"/>
            <w:left w:val="none" w:sz="0" w:space="0" w:color="auto"/>
            <w:bottom w:val="none" w:sz="0" w:space="0" w:color="auto"/>
            <w:right w:val="none" w:sz="0" w:space="0" w:color="auto"/>
          </w:divBdr>
        </w:div>
        <w:div w:id="1931235510">
          <w:marLeft w:val="0"/>
          <w:marRight w:val="0"/>
          <w:marTop w:val="0"/>
          <w:marBottom w:val="0"/>
          <w:divBdr>
            <w:top w:val="none" w:sz="0" w:space="0" w:color="auto"/>
            <w:left w:val="none" w:sz="0" w:space="0" w:color="auto"/>
            <w:bottom w:val="none" w:sz="0" w:space="0" w:color="auto"/>
            <w:right w:val="none" w:sz="0" w:space="0" w:color="auto"/>
          </w:divBdr>
        </w:div>
        <w:div w:id="1959532805">
          <w:marLeft w:val="0"/>
          <w:marRight w:val="0"/>
          <w:marTop w:val="0"/>
          <w:marBottom w:val="0"/>
          <w:divBdr>
            <w:top w:val="none" w:sz="0" w:space="0" w:color="auto"/>
            <w:left w:val="none" w:sz="0" w:space="0" w:color="auto"/>
            <w:bottom w:val="none" w:sz="0" w:space="0" w:color="auto"/>
            <w:right w:val="none" w:sz="0" w:space="0" w:color="auto"/>
          </w:divBdr>
        </w:div>
        <w:div w:id="1976641694">
          <w:marLeft w:val="0"/>
          <w:marRight w:val="0"/>
          <w:marTop w:val="0"/>
          <w:marBottom w:val="0"/>
          <w:divBdr>
            <w:top w:val="none" w:sz="0" w:space="0" w:color="auto"/>
            <w:left w:val="none" w:sz="0" w:space="0" w:color="auto"/>
            <w:bottom w:val="none" w:sz="0" w:space="0" w:color="auto"/>
            <w:right w:val="none" w:sz="0" w:space="0" w:color="auto"/>
          </w:divBdr>
        </w:div>
        <w:div w:id="2022392046">
          <w:marLeft w:val="0"/>
          <w:marRight w:val="0"/>
          <w:marTop w:val="0"/>
          <w:marBottom w:val="0"/>
          <w:divBdr>
            <w:top w:val="none" w:sz="0" w:space="0" w:color="auto"/>
            <w:left w:val="none" w:sz="0" w:space="0" w:color="auto"/>
            <w:bottom w:val="none" w:sz="0" w:space="0" w:color="auto"/>
            <w:right w:val="none" w:sz="0" w:space="0" w:color="auto"/>
          </w:divBdr>
        </w:div>
        <w:div w:id="2089381012">
          <w:marLeft w:val="0"/>
          <w:marRight w:val="0"/>
          <w:marTop w:val="0"/>
          <w:marBottom w:val="0"/>
          <w:divBdr>
            <w:top w:val="none" w:sz="0" w:space="0" w:color="auto"/>
            <w:left w:val="none" w:sz="0" w:space="0" w:color="auto"/>
            <w:bottom w:val="none" w:sz="0" w:space="0" w:color="auto"/>
            <w:right w:val="none" w:sz="0" w:space="0" w:color="auto"/>
          </w:divBdr>
        </w:div>
      </w:divsChild>
    </w:div>
    <w:div w:id="2120444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40" Type="http://schemas.openxmlformats.org/officeDocument/2006/relationships/header" Target="header1.xml"/>
  <Relationship Id="rId41" Type="http://schemas.openxmlformats.org/officeDocument/2006/relationships/header" Target="header2.xml"/>
  <Relationship Id="rId42" Type="http://schemas.openxmlformats.org/officeDocument/2006/relationships/footer" Target="footer1.xml"/>
  <Relationship Id="rId43" Type="http://schemas.openxmlformats.org/officeDocument/2006/relationships/footer" Target="footer2.xml"/>
  <Relationship Id="rId44" Type="http://schemas.openxmlformats.org/officeDocument/2006/relationships/header" Target="header3.xml"/>
  <Relationship Id="rId45" Type="http://schemas.openxmlformats.org/officeDocument/2006/relationships/footer" Target="footer3.xml"/>
  <Relationship Id="rId46" Type="http://schemas.openxmlformats.org/officeDocument/2006/relationships/fontTable" Target="fontTable.xml"/>
  <Relationship Id="rId47" Type="http://schemas.openxmlformats.org/officeDocument/2006/relationships/theme" Target="theme/theme1.xml"/>
  <Relationship Id="rId49" Type="http://schemas.microsoft.com/office/2020/10/relationships/intelligence" Target="intelligence2.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0b418dc0b89811ef88c08519262548c4"/>
  <Relationship Id="rId2" Type="http://schemas.openxmlformats.org/officeDocument/2006/relationships/hyperlink" TargetMode="External" Target="https://www.e-tar.lt/portal/lt/legalAct/TAR.DB68BCA9E3A0/asr"/>
  <Relationship Id="rId3" Type="http://schemas.openxmlformats.org/officeDocument/2006/relationships/hyperlink" TargetMode="External" Target="https://www.e-tar.lt/portal/lt/legalAct/TAR.EDD5FD371B32/asr"/>
  <Relationship Id="rId4" Type="http://schemas.openxmlformats.org/officeDocument/2006/relationships/hyperlink" TargetMode="External" Target="https://www.e-tar.lt/portal/lt/legalAct/TAR.DCD24028BD0E"/>
  <Relationship Id="rId5" Type="http://schemas.openxmlformats.org/officeDocument/2006/relationships/hyperlink" TargetMode="External" Target="https://www.e-tar.lt/portal/lt/legalAct/TAR.814F485EB18B/asr"/>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8" ma:contentTypeDescription="Create a new document." ma:contentTypeScope="" ma:versionID="eeb721f4efddd2f5ae96ea1bf450421d">
  <xsd:schema xmlns:xsd="http://www.w3.org/2001/XMLSchema" xmlns:xs="http://www.w3.org/2001/XMLSchema" xmlns:p="http://schemas.microsoft.com/office/2006/metadata/properties" xmlns:ns2="19cf09c5-daa1-4028-a0ff-74a0be4ec5cc" xmlns:ns3="f5aad5d0-9c26-490e-8743-a6c7ceabd501" targetNamespace="http://schemas.microsoft.com/office/2006/metadata/properties" ma:root="true" ma:fieldsID="d02cc487d103c2f8f08ac2b497f33df8" ns2:_="" ns3:_="">
    <xsd:import namespace="19cf09c5-daa1-4028-a0ff-74a0be4ec5cc"/>
    <xsd:import namespace="f5aad5d0-9c26-490e-8743-a6c7ceabd50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lcf76f155ced4ddcb4097134ff3c332f" minOccurs="0"/>
                <xsd:element ref="ns2:TaxCatchAll" minOccurs="0"/>
                <xsd:element ref="ns3:_Flow_SignoffStatus" minOccurs="0"/>
                <xsd:element ref="ns3:MediaServiceDateTaken" minOccurs="0"/>
                <xsd:element ref="ns3:MediaLengthInSeconds"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80311e4-4963-4d7c-9e39-8ca237d581ef}"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_Flow_SignoffStatus" ma:index="21" nillable="true" ma:displayName="Sign-off status" ma:internalName="Sign_x002d_off_x0020_status">
      <xsd:simpleType>
        <xsd:restriction base="dms:Text"/>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Loreta Bražinskienė</DisplayName>
        <AccountId>203</AccountId>
        <AccountType/>
      </UserInfo>
    </SharedWithUsers>
    <TaxCatchAll xmlns="19cf09c5-daa1-4028-a0ff-74a0be4ec5cc" xsi:nil="true"/>
    <_Flow_SignoffStatus xmlns="f5aad5d0-9c26-490e-8743-a6c7ceabd501" xsi:nil="true"/>
    <lcf76f155ced4ddcb4097134ff3c332f xmlns="f5aad5d0-9c26-490e-8743-a6c7ceabd501">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03bbc802f5cb460db4de97aead1de641" PartId="b37563fe793c431caf380141e6dd3f5d"/>
  <Part Type="pastraipa" DocPartId="80810f140c0a47c1a22976f84999ac57" PartId="16153794537448c988d0c481bac45b1e">
    <Part Type="punktas" Nr="1" Abbr="1 p." DocPartId="a2a0dc4d53424ffc8109311e66d58d92" PartId="5b35ad10c11f44489cb259d40b16e884"/>
    <Part Type="punktas" Nr="2" Abbr="2 p." DocPartId="9a369fa37f2842e0bc08cd154d756730" PartId="e128319178474fa89fc09d288817bcbe"/>
    <Part Type="punktas" Nr="3" Abbr="3 p." DocPartId="94849e258294466884506ecec8308d13" PartId="c20521bc9b6f4625a3b46005ba83e2f0"/>
    <Part Type="punktas" Nr="4" Abbr="4 p." DocPartId="48511293453a46b683f6a2673e198b4c" PartId="bfda8f225fde47b99e83cb961b53bfc8"/>
    <Part Type="punktas" Nr="5" Abbr="5 p." DocPartId="e80fe6bf000d4922a0f0fe46a13417b4" PartId="5ce05192916946568c2d2246af63769a"/>
    <Part Type="punktas" Nr="6" Abbr="6 p." DocPartId="f075326742ae4abe9c7bf0151b003f06" PartId="c204aee6686849bab166465f5c2fa552"/>
    <Part Type="punktas" Nr="7" Abbr="7 p." DocPartId="ed6b23beb7e8495b920a40cf7f1f15bf" PartId="0a1c0cf437414edf8bd33dbfc052f02a"/>
    <Part Type="punktas" Nr="8" Abbr="8 p." DocPartId="3e6ec76c5b434d5d92f20695b34cb45d" PartId="23186f3ba8a146ec987a75633c2b9ca0"/>
    <Part Type="punktas" Nr="9" Abbr="9 p." DocPartId="e656797f95c943d1b0833fe8498928c8" PartId="d0dcef14f79b41ef83c9d962ab7b5d23"/>
    <Part Type="punktas" Nr="10" Abbr="10 p." DocPartId="610c8883b3e640e7a66f42f04421bac6" PartId="125699b367604aa7a935b8f44fc4fcba"/>
    <Part Type="punktas" Nr="11" Abbr="11 p." DocPartId="669f6c3a391c49faa798ea8884380572" PartId="4cfc1e50b408466797b4f32556f58ff4"/>
    <Part Type="punktas" Nr="12" Abbr="12 p." DocPartId="2c3487b8ca014a5e907e97c86ffa3508" PartId="f7f3e4e64ad140eebd4ab014d57c8710"/>
    <Part Type="punktas" Nr="13" Abbr="13 p." DocPartId="5559daba9af744e98aa3ed474d70ae2b" PartId="da2890128f6346e08d62034cb54e75f6"/>
    <Part Type="punktas" Nr="14" Abbr="14 p." DocPartId="ef4d6970fb954b39a0c1e8bb4879a9b7" PartId="b6545559e0d0489b845d022f08614f37"/>
    <Part Type="punktas" Nr="15" Abbr="15 p." DocPartId="fe54fbfe97da4e19b470bafc240cd61d" PartId="362d234a7993422fad7a431d66f3ff9f"/>
    <Part Type="punktas" Nr="1" Abbr="1 p." Notes="Numeris ne iš eilės. Trūksta dalių? [DocDalys]" DocPartId="074d1891aa1a4f0e88acab4ad3b25d1f" PartId="da2b28a2d4b747bbb41f767fdf58e9b6"/>
    <Part Type="punktas" Nr="2" Abbr="2 p." DocPartId="a833415aa36a47c5bb85e6effcb4361d" PartId="2372ad754492494691776af9359cbf61"/>
    <Part Type="punktas" Nr="3" Abbr="3 p." DocPartId="788085bc8bdf4f608d6d58358cc3a0d5" PartId="d7a585f276b34663921aba542419bd6e"/>
    <Part Type="punktas" Nr="4" Abbr="4 p." DocPartId="1205f2cf0c3b4a03b0b6eb3a30992f42" PartId="33d81f77d83e46f39b6bb889731a3c01"/>
    <Part Type="punktas" Nr="5" Abbr="5 p." DocPartId="a8881b0e276348ffab2142ce18e99343" PartId="378d9b7676244d73a1d2dc31b1df11c8"/>
    <Part Type="punktas" Nr="6" Abbr="6 p." DocPartId="8675c831c312469cb01efe5f1334cbc2" PartId="5cedfbf2b32842079defce730ffc2c54"/>
    <Part Type="punktas" Nr="7" Abbr="7 p." DocPartId="2ff366aef9924ebaa9270930ec4222e0" PartId="c9d5eee9e57d4afdaac5a9a555a9a386"/>
    <Part Type="punktas" Nr="8" Abbr="8 p." DocPartId="e09b0d2f9f004ca5a20a5182c0f72b75" PartId="669dd4f942bd4c239525b0a2880f9b97"/>
    <Part Type="signatura" DocPartId="794f42d2bf9e49f28c6e9f83a6620094" PartId="bc1f65d67b5c4feda4a4c49bfd7ae4ff"/>
  </Part>
</Parts>
</file>

<file path=customXml/itemProps1.xml><?xml version="1.0" encoding="utf-8"?>
<ds:datastoreItem xmlns:ds="http://schemas.openxmlformats.org/officeDocument/2006/customXml" ds:itemID="{D3C17D78-40B3-408C-8D1D-F8A2EC062C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cf09c5-daa1-4028-a0ff-74a0be4ec5cc"/>
    <ds:schemaRef ds:uri="f5aad5d0-9c26-490e-8743-a6c7ceabd5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3.xml><?xml version="1.0" encoding="utf-8"?>
<ds:datastoreItem xmlns:ds="http://schemas.openxmlformats.org/officeDocument/2006/customXml" ds:itemID="{2ECC1323-9F72-4681-9895-5BB6B34E3FBB}">
  <ds:schemaRefs>
    <ds:schemaRef ds:uri="http://schemas.microsoft.com/office/2006/metadata/properties"/>
    <ds:schemaRef ds:uri="http://schemas.microsoft.com/office/infopath/2007/PartnerControls"/>
    <ds:schemaRef ds:uri="19cf09c5-daa1-4028-a0ff-74a0be4ec5cc"/>
    <ds:schemaRef ds:uri="f5aad5d0-9c26-490e-8743-a6c7ceabd501"/>
  </ds:schemaRefs>
</ds:datastoreItem>
</file>

<file path=customXml/itemProps4.xml><?xml version="1.0" encoding="utf-8"?>
<ds:datastoreItem xmlns:ds="http://schemas.openxmlformats.org/officeDocument/2006/customXml" ds:itemID="{D0D19A56-9F2D-4A47-9055-63C115572D21}">
  <ds:schemaRefs>
    <ds:schemaRef ds:uri="http://schemas.openxmlformats.org/officeDocument/2006/bibliography"/>
  </ds:schemaRefs>
</ds:datastoreItem>
</file>

<file path=customXml/itemProps5.xml><?xml version="1.0" encoding="utf-8"?>
<ds:datastoreItem xmlns:ds="http://schemas.openxmlformats.org/officeDocument/2006/customXml" ds:itemID="{1DFF2EA0-16DD-4F06-8B27-570147D0692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6399</Words>
  <Characters>45184</Characters>
  <Application>Microsoft Office Word</Application>
  <DocSecurity>4</DocSecurity>
  <Lines>695</Lines>
  <Paragraphs>203</Paragraphs>
  <ScaleCrop>false</ScaleCrop>
  <Company/>
  <LinksUpToDate>false</LinksUpToDate>
  <CharactersWithSpaces>51380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2025-06-10T10:23:00Z</dcterms:created>
  <dc:creator>Daiva Pockevičiūtė</dc:creator>
  <lastModifiedBy>adlibuser</lastModifiedBy>
  <dcterms:modified xsi:type="dcterms:W3CDTF">2025-06-10T10:23:00Z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y fmtid="{D5CDD505-2E9C-101B-9397-08002B2CF9AE}" pid="4" name="Order">
    <vt:r8>946800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