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fc88d79891f415dbbebbb11cd55b245"/>
        <w:lock w:val="sdtLocked"/>
        <w:richText/>
      </w:sdtPr>
      <w:sdtContent>
        <w:p>
          <w:pPr>
            <w:tabs>
              <w:tab w:val="left" w:pos="6804"/>
            </w:tabs>
            <w:rPr>
              <w:lang w:eastAsia="lt-LT"/>
            </w:rPr>
          </w:pPr>
        </w:p>
        <w:p>
          <w:pPr>
            <w:suppressAutoHyphens/>
            <w:jc w:val="center"/>
            <w:textAlignment w:val="baseline"/>
            <w:rPr>
              <w:b/>
              <w:szCs w:val="24"/>
              <w:lang w:eastAsia="lt-LT"/>
            </w:rPr>
          </w:pPr>
        </w:p>
        <w:p>
          <w:pPr>
            <w:suppressAutoHyphens/>
            <w:jc w:val="center"/>
            <w:textAlignment w:val="baseline"/>
            <w:rPr>
              <w:b/>
              <w:szCs w:val="24"/>
              <w:lang w:eastAsia="lt-LT"/>
            </w:rPr>
          </w:pPr>
          <w:r>
            <w:rPr>
              <w:b/>
              <w:szCs w:val="24"/>
              <w:lang w:eastAsia="lt-LT"/>
            </w:rPr>
            <w:t>TEISĖS AKTŲ PROJEKTŲ ANTIKORUPCINIO VERTINIMO PAŽYMA</w:t>
          </w:r>
        </w:p>
        <w:p>
          <w:pPr>
            <w:suppressAutoHyphens/>
            <w:textAlignment w:val="baseline"/>
            <w:rPr>
              <w:szCs w:val="24"/>
              <w:lang w:eastAsia="lt-LT"/>
            </w:rPr>
          </w:pPr>
        </w:p>
        <w:p>
          <w:pPr>
            <w:jc w:val="center"/>
            <w:rPr>
              <w:szCs w:val="24"/>
              <w:lang w:eastAsia="lt-LT"/>
            </w:rPr>
          </w:pPr>
          <w:r>
            <w:rPr>
              <w:szCs w:val="24"/>
              <w:lang w:eastAsia="lt-LT"/>
            </w:rPr>
            <w:t>Teisės akto projekto pavadinimas: Dėl Šiaulių miesto savivaldybės tarybos vietinės reikšmės kelių (gatvių) sąrašo patvirtinimo:</w:t>
          </w:r>
        </w:p>
        <w:sdt>
          <w:sdtPr>
            <w:alias w:val="preambule"/>
            <w:tag w:val="part_824d6817b50c454295e0eaa717d3906e"/>
            <w:lock w:val="sdtLocked"/>
            <w:richText/>
          </w:sdtPr>
          <w:sdtContent>
            <w:p>
              <w:pPr>
                <w:suppressAutoHyphens/>
                <w:jc w:val="both"/>
                <w:textAlignment w:val="baseline"/>
                <w:rPr>
                  <w:szCs w:val="24"/>
                  <w:lang w:eastAsia="lt-LT"/>
                </w:rPr>
              </w:pPr>
              <w:r>
                <w:rPr>
                  <w:szCs w:val="24"/>
                  <w:lang w:eastAsia="lt-LT"/>
                </w:rPr>
                <w:t>Teisės akto projekto tiesioginis rengėjas: Miesto ūkio ir aplinkos skyriaus Infrastruktūros poskyrio vedėja Daiva Mačernė.</w:t>
              </w:r>
            </w:p>
          </w:sdtContent>
        </w:sdt>
        <w:sdt>
          <w:sdtPr>
            <w:alias w:val="pastraipa"/>
            <w:tag w:val="part_b03257eb9ff648fd868963ae8aeaad94"/>
            <w:lock w:val="sdtLocked"/>
            <w:richText/>
          </w:sdtPr>
          <w:sdtContent>
            <w:p>
              <w:pPr>
                <w:suppressAutoHyphens/>
                <w:textAlignment w:val="baseline"/>
                <w:rPr>
                  <w:color w:val="000000"/>
                </w:rPr>
              </w:pPr>
              <w:r>
                <w:rPr>
                  <w:color w:val="000000"/>
                </w:rPr>
                <w:t>Teisės akto projekto antikorupcinis vertinimas atliktas (</w:t>
              </w:r>
              <w:r>
                <w:rPr>
                  <w:i/>
                  <w:color w:val="000000"/>
                </w:rPr>
                <w:t>pažymėti reikiamą atsakymą</w:t>
              </w:r>
              <w:r>
                <w:rPr>
                  <w:color w:val="000000"/>
                </w:rPr>
                <w:t>):</w:t>
              </w:r>
            </w:p>
            <w:p>
              <w:pPr>
                <w:suppressAutoHyphens/>
                <w:ind w:firstLine="1296"/>
                <w:textAlignment w:val="baseline"/>
                <w:rPr>
                  <w:szCs w:val="24"/>
                  <w:lang w:eastAsia="lt-LT"/>
                </w:rPr>
              </w:pPr>
              <w:r>
                <w:rPr>
                  <w:szCs w:val="24"/>
                  <w:lang w:eastAsia="lt-LT"/>
                </w:rPr>
                <w:t xml:space="preserve">□ </w:t>
              </w:r>
              <w:r>
                <w:rPr>
                  <w:szCs w:val="24"/>
                  <w:u w:val="single"/>
                  <w:lang w:eastAsia="lt-LT"/>
                </w:rPr>
                <w:t xml:space="preserve">suderinus teisės akto projektą viešojo administravimo subjekte ir su </w:t>
              </w:r>
              <w:r>
                <w:rPr>
                  <w:szCs w:val="24"/>
                  <w:u w:val="single"/>
                </w:rPr>
                <w:t>pavaldžiomis įstaigomis;</w:t>
              </w:r>
            </w:p>
            <w:p>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pPr>
                <w:suppressAutoHyphens/>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sdtContent>
        </w:sdt>
        <w:sdt>
          <w:sdtPr>
            <w:alias w:val="skirsnis"/>
            <w:tag w:val="part_7e468c184cb049dbbbf9b32c9225e6af"/>
            <w:lock w:val="sdtLocked"/>
            <w:richText/>
          </w:sdtPr>
          <w:sdtContent>
            <w:p>
              <w:pPr>
                <w:suppressAutoHyphens/>
                <w:overflowPunct w:val="0"/>
                <w:ind w:left="283"/>
                <w:jc w:val="center"/>
                <w:textAlignment w:val="baseline"/>
                <w:rPr>
                  <w:lang w:eastAsia="zh-CN"/>
                </w:rPr>
              </w:pPr>
              <w:sdt>
                <w:sdtPr>
                  <w:alias w:val="Pavadinimas"/>
                  <w:tag w:val="title_7e468c184cb049dbbbf9b32c9225e6af"/>
                  <w:lock w:val="sdtLocked"/>
                  <w:richText/>
                </w:sdtPr>
                <w:sdtContent>
                  <w:r>
                    <w:rPr>
                      <w:lang w:eastAsia="zh-CN"/>
                    </w:rPr>
                    <w:t>__________</w:t>
                  </w:r>
                  <w:r>
                    <w:rPr>
                      <w:color w:val="000000"/>
                      <w:szCs w:val="24"/>
                      <w:lang w:eastAsia="zh-CN"/>
                    </w:rPr>
                    <w:t xml:space="preserve"> </w:t>
                  </w:r>
                  <w:r>
                    <w:rPr>
                      <w:b/>
                      <w:bCs/>
                      <w:color w:val="000000"/>
                      <w:szCs w:val="24"/>
                      <w:lang w:eastAsia="zh-CN"/>
                    </w:rPr>
                    <w:t xml:space="preserve">DĖL </w:t>
                  </w:r>
                  <w:r>
                    <w:rPr>
                      <w:b/>
                      <w:bCs/>
                      <w:iCs/>
                      <w:color w:val="000000"/>
                      <w:szCs w:val="24"/>
                      <w:lang w:eastAsia="zh-CN"/>
                    </w:rPr>
                    <w:t xml:space="preserve">ŠIAULIŲ MIESTO SAVIVALDYBĖS VIETINĖS REIKŠMĖS KELIŲ (GATVIŲ) SĄRAŠO </w:t>
                  </w:r>
                  <w:r>
                    <w:rPr>
                      <w:b/>
                      <w:szCs w:val="24"/>
                      <w:lang w:eastAsia="zh-CN"/>
                    </w:rPr>
                    <w:t>PATVIRTINIMO</w:t>
                  </w:r>
                </w:sdtContent>
              </w:sdt>
            </w:p>
            <w:p>
              <w:pPr>
                <w:rPr>
                  <w:sz w:val="10"/>
                  <w:szCs w:val="10"/>
                </w:rPr>
              </w:pPr>
            </w:p>
            <w:p>
              <w:pPr>
                <w:suppressAutoHyphens/>
                <w:jc w:val="both"/>
                <w:textAlignment w:val="baseline"/>
              </w:pPr>
              <w:r>
                <w:t>_______________________________________________________________________________________________________________</w:t>
              </w:r>
            </w:p>
            <w:p>
              <w:pPr>
                <w:suppressAutoHyphens/>
                <w:jc w:val="both"/>
                <w:textAlignment w:val="baseline"/>
              </w:pPr>
              <w:r>
                <w:rPr>
                  <w:szCs w:val="24"/>
                  <w:lang w:eastAsia="lt-LT"/>
                </w:rPr>
                <w:t>_________________________________________________________________________________________________________________________</w:t>
              </w:r>
            </w:p>
            <w:p>
              <w:pPr>
                <w:suppressAutoHyphens/>
                <w:jc w:val="both"/>
                <w:textAlignment w:val="baseline"/>
                <w:rPr>
                  <w:szCs w:val="24"/>
                  <w:lang w:eastAsia="lt-LT"/>
                </w:rPr>
              </w:pPr>
            </w:p>
            <w:tbl>
              <w:tblPr>
                <w:tblW w:w="15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15"/>
                <w:gridCol w:w="2119"/>
                <w:gridCol w:w="2697"/>
                <w:gridCol w:w="863"/>
              </w:tblGrid>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pPr>
                      <w:suppressAutoHyphens/>
                      <w:jc w:val="center"/>
                      <w:textAlignment w:val="baseline"/>
                    </w:pPr>
                    <w:r>
                      <w:rPr>
                        <w:szCs w:val="24"/>
                        <w:lang w:eastAsia="lt-LT"/>
                      </w:rPr>
                      <w:t>(</w:t>
                    </w:r>
                    <w:r>
                      <w:rPr>
                        <w:i/>
                        <w:szCs w:val="24"/>
                        <w:lang w:eastAsia="lt-LT"/>
                      </w:rPr>
                      <w:t>pildo teisės akto projekto antikorupcinį vertinimą atliekantis asmuo)</w:t>
                    </w: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suppressAutoHyphens/>
                      <w:jc w:val="center"/>
                      <w:textAlignment w:val="baseline"/>
                      <w:rPr>
                        <w:szCs w:val="24"/>
                        <w:lang w:eastAsia="lt-LT"/>
                      </w:rPr>
                    </w:pPr>
                  </w:p>
                  <w:p>
                    <w:pPr>
                      <w:suppressAutoHyphens/>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pPr>
                      <w:suppressAutoHyphens/>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suppressAutoHyphens/>
                      <w:jc w:val="center"/>
                      <w:textAlignment w:val="baseline"/>
                      <w:rPr>
                        <w:szCs w:val="24"/>
                        <w:lang w:eastAsia="lt-LT"/>
                      </w:rPr>
                    </w:pPr>
                    <w:r>
                      <w:rPr>
                        <w:szCs w:val="24"/>
                        <w:lang w:eastAsia="lt-LT"/>
                      </w:rPr>
                      <w:t>Išvada dėl teisės akto projekto pakeitimų arba argumentų, kodėl neatsižvelgta į pastabą</w:t>
                    </w:r>
                  </w:p>
                  <w:p>
                    <w:pPr>
                      <w:suppressAutoHyphens/>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 tenkina</w:t>
                    </w:r>
                  </w:p>
                  <w:p>
                    <w:pPr>
                      <w:keepNext/>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jc w:val="both"/>
                      <w:textAlignment w:val="baseline"/>
                      <w:rPr>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pPr>
                      <w:suppressAutoHyphens/>
                      <w:ind w:left="33"/>
                      <w:textAlignment w:val="baseline"/>
                      <w:rPr>
                        <w:szCs w:val="24"/>
                      </w:rPr>
                    </w:pPr>
                    <w:r>
                      <w:rPr>
                        <w:szCs w:val="24"/>
                      </w:rPr>
                      <w:t>9.1. konkretus narių skaičius, užtikrinantis kolegialaus sprendimus priimančio subjekto veiklos objektyvumą</w:t>
                    </w:r>
                  </w:p>
                  <w:p>
                    <w:pPr>
                      <w:suppressAutoHyphens/>
                      <w:ind w:left="33"/>
                      <w:textAlignment w:val="baseline"/>
                      <w:rPr>
                        <w:szCs w:val="24"/>
                      </w:rPr>
                    </w:pPr>
                    <w:r>
                      <w:rPr>
                        <w:szCs w:val="24"/>
                      </w:rPr>
                      <w:t>9.2. jeigu narius skiria keli subjektai, proporcinga kiekvieno subjekto skiriamų narių dalis, užtikrinanti tinkamą atstovavimą valstybės interesams ir kolegialaus sprendimus priimančio subjekto veiklos objektyvumą ir skaidrumą</w:t>
                    </w:r>
                  </w:p>
                  <w:p>
                    <w:pPr>
                      <w:suppressAutoHyphens/>
                      <w:textAlignment w:val="baseline"/>
                    </w:pPr>
                    <w:r>
                      <w:rPr>
                        <w:szCs w:val="24"/>
                        <w:lang w:eastAsia="lt-LT"/>
                      </w:rPr>
                      <w:t>9.3</w:t>
                    </w:r>
                    <w:r>
                      <w:rPr>
                        <w:spacing w:val="-4"/>
                        <w:szCs w:val="24"/>
                        <w:lang w:eastAsia="lt-LT"/>
                      </w:rPr>
                      <w:t>. narių skyrimo mechanizmas</w:t>
                    </w:r>
                  </w:p>
                  <w:p>
                    <w:pPr>
                      <w:suppressAutoHyphens/>
                      <w:textAlignment w:val="baseline"/>
                      <w:rPr>
                        <w:szCs w:val="24"/>
                        <w:lang w:eastAsia="lt-LT"/>
                      </w:rPr>
                    </w:pPr>
                    <w:r>
                      <w:rPr>
                        <w:szCs w:val="24"/>
                        <w:lang w:eastAsia="lt-LT"/>
                      </w:rPr>
                      <w:t>9.4. narių rotacija ir kadencijų skaičius ir trukmė</w:t>
                    </w:r>
                  </w:p>
                  <w:p>
                    <w:pPr>
                      <w:suppressAutoHyphens/>
                      <w:textAlignment w:val="baseline"/>
                      <w:rPr>
                        <w:szCs w:val="24"/>
                      </w:rPr>
                    </w:pPr>
                    <w:r>
                      <w:rPr>
                        <w:szCs w:val="24"/>
                      </w:rPr>
                      <w:t>9.5. veiklos pobūdis laiko atžvilgiu</w:t>
                    </w:r>
                  </w:p>
                  <w:p>
                    <w:pPr>
                      <w:suppressAutoHyphens/>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i/>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 tenkina</w:t>
                    </w:r>
                  </w:p>
                  <w:p>
                    <w:pPr>
                      <w:keepNext/>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b/>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keepNext/>
                      <w:suppressAutoHyphens/>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keepNext/>
                      <w:suppressAutoHyphens/>
                      <w:textAlignment w:val="baseline"/>
                      <w:rPr>
                        <w:szCs w:val="24"/>
                        <w:lang w:eastAsia="lt-LT"/>
                      </w:rPr>
                    </w:pPr>
                    <w:r>
                      <w:rPr>
                        <w:szCs w:val="24"/>
                        <w:lang w:eastAsia="lt-LT"/>
                      </w:rPr>
                      <w:t>□ tenkina</w:t>
                    </w:r>
                  </w:p>
                  <w:p>
                    <w:pPr>
                      <w:keepNext/>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t xml:space="preserve">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After w:val="1"/>
                  <w:wAfter w:w="863"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widowControl w:val="0"/>
                      <w:suppressAutoHyphens/>
                      <w:ind w:right="-15"/>
                      <w:jc w:val="both"/>
                      <w:rPr>
                        <w:color w:val="000000"/>
                        <w:szCs w:val="24"/>
                        <w:lang w:eastAsia="lt-LT"/>
                      </w:rPr>
                    </w:pPr>
                  </w:p>
                </w:tc>
                <w:tc>
                  <w:tcPr>
                    <w:tcW w:w="383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suppressAutoHyphens/>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suppressAutoHyphens/>
                      <w:textAlignment w:val="baseline"/>
                      <w:rPr>
                        <w:szCs w:val="24"/>
                        <w:lang w:eastAsia="lt-LT"/>
                      </w:rPr>
                    </w:pPr>
                    <w:r>
                      <w:rPr>
                        <w:szCs w:val="24"/>
                        <w:lang w:eastAsia="lt-LT"/>
                      </w:rPr>
                      <w:t>□ tenkina</w:t>
                    </w:r>
                  </w:p>
                  <w:p>
                    <w:pPr>
                      <w:suppressAutoHyphens/>
                      <w:textAlignment w:val="baseline"/>
                      <w:rPr>
                        <w:szCs w:val="24"/>
                        <w:lang w:eastAsia="lt-LT"/>
                      </w:rPr>
                    </w:pPr>
                    <w:r>
                      <w:rPr>
                        <w:szCs w:val="24"/>
                        <w:lang w:eastAsia="lt-LT"/>
                      </w:rPr>
                      <w:t>□ netenkina</w:t>
                    </w:r>
                  </w:p>
                </w:tc>
              </w:tr>
              <w:tr>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p>
                </w:tc>
                <w:tc>
                  <w:tcPr>
                    <w:tcW w:w="2443"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p>
                    <w:pPr>
                      <w:suppressAutoHyphens/>
                      <w:textAlignment w:val="baseline"/>
                      <w:rPr>
                        <w:szCs w:val="24"/>
                        <w:lang w:eastAsia="lt-LT"/>
                      </w:rPr>
                    </w:pPr>
                    <w:r>
                      <w:rPr>
                        <w:szCs w:val="24"/>
                        <w:lang w:eastAsia="lt-LT"/>
                      </w:rPr>
                      <w:t>Teisės akto projekto vertintojas:</w:t>
                    </w:r>
                  </w:p>
                  <w:p>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r>
              <w:tr>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pPr>
                      <w:suppressAutoHyphens/>
                      <w:textAlignment w:val="baseline"/>
                      <w:rPr>
                        <w:szCs w:val="24"/>
                        <w:lang w:eastAsia="lt-LT"/>
                      </w:rPr>
                    </w:pPr>
                    <w:r>
                      <w:rPr>
                        <w:szCs w:val="24"/>
                        <w:lang w:eastAsia="lt-LT"/>
                      </w:rPr>
                      <w:t>Miesto ūkio ir aplinkos skyriaus Infrastruktūros poskyrio vedėja</w:t>
                    </w:r>
                  </w:p>
                  <w:p>
                    <w:pPr>
                      <w:suppressAutoHyphens/>
                      <w:ind w:left="-11" w:firstLine="11"/>
                      <w:textAlignment w:val="baseline"/>
                      <w:rPr>
                        <w:szCs w:val="24"/>
                        <w:lang w:eastAsia="lt-LT"/>
                      </w:rPr>
                    </w:pPr>
                    <w:r>
                      <w:rPr>
                        <w:szCs w:val="24"/>
                        <w:lang w:eastAsia="lt-LT"/>
                      </w:rPr>
                      <w:t>Daiva Mačernė</w:t>
                    </w:r>
                  </w:p>
                </w:tc>
                <w:tc>
                  <w:tcPr>
                    <w:tcW w:w="2443" w:type="dxa"/>
                    <w:gridSpan w:val="2"/>
                    <w:tcBorders>
                      <w:top w:val="nil"/>
                      <w:left w:val="nil"/>
                      <w:bottom w:val="nil"/>
                      <w:right w:val="nil"/>
                    </w:tcBorders>
                    <w:tcMar>
                      <w:top w:w="0" w:type="dxa"/>
                      <w:left w:w="108" w:type="dxa"/>
                      <w:bottom w:w="0" w:type="dxa"/>
                      <w:right w:w="108" w:type="dxa"/>
                    </w:tcMar>
                  </w:tcPr>
                  <w:p>
                    <w:pPr>
                      <w:suppressAutoHyphens/>
                      <w:ind w:right="-688"/>
                      <w:textAlignment w:val="baseline"/>
                    </w:pPr>
                  </w:p>
                  <w:p>
                    <w:pPr>
                      <w:suppressAutoHyphens/>
                      <w:ind w:right="-688"/>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pPr>
                      <w:suppressAutoHyphens/>
                      <w:ind w:left="-11" w:firstLine="11"/>
                      <w:textAlignment w:val="baseline"/>
                    </w:pPr>
                    <w:r>
                      <w:t xml:space="preserve">Už korupcijai  atsparios aplinkos</w:t>
                    </w:r>
                  </w:p>
                  <w:p>
                    <w:pPr>
                      <w:suppressAutoHyphens/>
                      <w:ind w:left="-11" w:firstLine="73"/>
                      <w:textAlignment w:val="baseline"/>
                    </w:pPr>
                    <w:r>
                      <w:t xml:space="preserve">kūrimą atsakingas asmuo </w:t>
                    </w:r>
                  </w:p>
                  <w:p>
                    <w:pPr>
                      <w:suppressAutoHyphens/>
                      <w:ind w:left="-11" w:firstLine="73"/>
                      <w:textAlignment w:val="baseline"/>
                      <w:rPr>
                        <w:szCs w:val="24"/>
                        <w:lang w:eastAsia="lt-LT"/>
                      </w:rPr>
                    </w:pPr>
                  </w:p>
                </w:tc>
              </w:tr>
              <w:tr>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highlight w:val="yellow"/>
                        <w:lang w:eastAsia="lt-LT"/>
                      </w:rPr>
                    </w:pPr>
                  </w:p>
                </w:tc>
                <w:tc>
                  <w:tcPr>
                    <w:tcW w:w="2443"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pPr>
                      <w:suppressAutoHyphens/>
                      <w:ind w:left="-11" w:firstLine="11"/>
                      <w:textAlignment w:val="baseline"/>
                      <w:rPr>
                        <w:szCs w:val="24"/>
                        <w:lang w:eastAsia="lt-LT"/>
                      </w:rPr>
                    </w:pPr>
                  </w:p>
                </w:tc>
              </w:tr>
              <w:tr>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pPr>
                      <w:suppressAutoHyphens/>
                      <w:ind w:left="-11" w:firstLine="11"/>
                      <w:textAlignment w:val="baseline"/>
                      <w:rPr>
                        <w:szCs w:val="24"/>
                        <w:lang w:eastAsia="lt-LT"/>
                      </w:rPr>
                    </w:pPr>
                    <w:r>
                      <w:rPr>
                        <w:szCs w:val="24"/>
                        <w:lang w:eastAsia="lt-LT"/>
                      </w:rPr>
                      <w:t xml:space="preserve">(parašas)                                          </w:t>
                    </w:r>
                  </w:p>
                  <w:p>
                    <w:pPr>
                      <w:suppressAutoHyphens/>
                      <w:ind w:left="-11" w:firstLine="11"/>
                      <w:textAlignment w:val="baseline"/>
                      <w:rPr>
                        <w:szCs w:val="24"/>
                        <w:lang w:eastAsia="lt-LT"/>
                      </w:rPr>
                    </w:pPr>
                  </w:p>
                  <w:p>
                    <w:pPr>
                      <w:suppressAutoHyphens/>
                      <w:ind w:left="-11" w:firstLine="11"/>
                      <w:textAlignment w:val="baseline"/>
                      <w:rPr>
                        <w:szCs w:val="24"/>
                        <w:lang w:eastAsia="lt-LT"/>
                      </w:rPr>
                    </w:pPr>
                  </w:p>
                </w:tc>
                <w:tc>
                  <w:tcPr>
                    <w:tcW w:w="2443" w:type="dxa"/>
                    <w:gridSpan w:val="2"/>
                    <w:tcBorders>
                      <w:top w:val="nil"/>
                      <w:left w:val="nil"/>
                      <w:bottom w:val="nil"/>
                      <w:right w:val="nil"/>
                    </w:tcBorders>
                    <w:tcMar>
                      <w:top w:w="0" w:type="dxa"/>
                      <w:left w:w="108" w:type="dxa"/>
                      <w:bottom w:w="0" w:type="dxa"/>
                      <w:right w:w="108" w:type="dxa"/>
                    </w:tcMar>
                  </w:tcPr>
                  <w:p>
                    <w:pPr>
                      <w:suppressAutoHyphens/>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pPr>
                      <w:suppressAutoHyphens/>
                      <w:ind w:left="-11" w:firstLine="64"/>
                      <w:textAlignment w:val="baseline"/>
                      <w:rPr>
                        <w:szCs w:val="24"/>
                        <w:lang w:eastAsia="lt-LT"/>
                      </w:rPr>
                    </w:pPr>
                    <w:r>
                      <w:rPr>
                        <w:szCs w:val="24"/>
                        <w:lang w:eastAsia="lt-LT"/>
                      </w:rPr>
                      <w:t xml:space="preserve">(parašas)                                                </w:t>
                    </w:r>
                  </w:p>
                  <w:p>
                    <w:pPr>
                      <w:suppressAutoHyphens/>
                      <w:ind w:left="-11" w:firstLine="64"/>
                      <w:textAlignment w:val="baseline"/>
                      <w:rPr>
                        <w:szCs w:val="24"/>
                        <w:lang w:eastAsia="lt-LT"/>
                      </w:rPr>
                    </w:pPr>
                  </w:p>
                  <w:p>
                    <w:pPr>
                      <w:suppressAutoHyphens/>
                      <w:ind w:left="-11" w:firstLine="64"/>
                      <w:textAlignment w:val="baseline"/>
                      <w:rPr>
                        <w:szCs w:val="24"/>
                        <w:lang w:eastAsia="lt-LT"/>
                      </w:rPr>
                    </w:pPr>
                  </w:p>
                </w:tc>
              </w:tr>
            </w:tbl>
            <w:p/>
          </w:sdtContent>
        </w:sdt>
        <w:sdt>
          <w:sdtPr>
            <w:alias w:val="signatura"/>
            <w:tag w:val="part_7fdf8b71c1314e22bf038908c4c1ec46"/>
            <w:lock w:val="sdtLocked"/>
            <w:richText/>
          </w:sdtPr>
          <w:sdtContent>
            <w:p>
              <w:pPr>
                <w:tabs>
                  <w:tab w:val="left" w:pos="6237"/>
                </w:tabs>
                <w:suppressAutoHyphens/>
                <w:jc w:val="center"/>
                <w:textAlignment w:val="baseline"/>
              </w:pPr>
              <w:r>
                <w:rPr>
                  <w:color w:val="000000"/>
                  <w:szCs w:val="24"/>
                  <w:lang w:eastAsia="lt-LT"/>
                </w:rPr>
                <w:t>___________________________</w:t>
              </w:r>
            </w:p>
            <w:p>
              <w:pPr>
                <w:tabs>
                  <w:tab w:val="center" w:pos="-7800"/>
                  <w:tab w:val="left" w:pos="6237"/>
                  <w:tab w:val="right" w:pos="8306"/>
                </w:tabs>
              </w:pPr>
            </w:p>
            <w:p>
              <w:pPr>
                <w:jc w:val="both"/>
                <w:rPr>
                  <w:b/>
                  <w:sz w:val="20"/>
                </w:rPr>
              </w:pPr>
            </w:p>
            <w:p>
              <w:pPr>
                <w:rPr>
                  <w:b/>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6838" w:h="11906" w:orient="landscape" w:code="9"/>
      <w:pgMar w:top="1134" w:right="567" w:bottom="1134" w:left="1134"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153"/>
        <w:tab w:val="right" w:pos="8306"/>
      </w:tabs>
      <w:jc w:val="center"/>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389F"/>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57452B6-4AF8-4BA0-8A26-A440A87DA7C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b408abf531b46ab993530a3ee7eeb72" PartId="1fc88d79891f415dbbebbb11cd55b245">
    <Part Type="preambule" DocPartId="cf7e9380269b4e25a53f7d908235a505" PartId="824d6817b50c454295e0eaa717d3906e"/>
    <Part Type="pastraipa" DocPartId="f800b3b7a64e4bb098621c02940962dd" PartId="b03257eb9ff648fd868963ae8aeaad94"/>
    <Part Type="skirsnis" Title="__________ DĖL ŠIAULIŲ MIESTO SAVIVALDYBĖS VIETINĖS REIKŠMĖS KELIŲ (GATVIŲ) SĄRAŠO PATVIRTINIMO" DocPartId="91450f54f7d44112ab61e6f3db0dc7f1" PartId="7e468c184cb049dbbbf9b32c9225e6af"/>
    <Part Type="signatura" DocPartId="717cb6e1a0404f0198f68d50185109ba" PartId="7fdf8b71c1314e22bf038908c4c1ec46"/>
  </Part>
</Parts>
</file>

<file path=customXml/itemProps1.xml><?xml version="1.0" encoding="utf-8"?>
<ds:datastoreItem xmlns:ds="http://schemas.openxmlformats.org/officeDocument/2006/customXml" ds:itemID="{7F5D8D28-0A35-4AE1-B44A-47FF7138D93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761</Words>
  <Characters>5621</Characters>
  <Application>Microsoft Office Word</Application>
  <DocSecurity>4</DocSecurity>
  <Lines>312</Lines>
  <Paragraphs>125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6257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2023-06-18T15:09:00Z</dcterms:created>
  <dc:creator>Danutė Mažulienė</dc:creator>
  <lastModifiedBy>adlibuser</lastModifiedBy>
  <dcterms:modified xsi:type="dcterms:W3CDTF">2023-06-18T15:09:00Z</dcterms:modified>
  <revision>2</revision>
</coreProperties>
</file>