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5e1af1e8b2f84b3baa05252c90c1155c"/>
        <w:lock w:val="sdtLocked"/>
        <w:richText/>
      </w:sdtPr>
      <w:sdtContent>
        <w:p w14:paraId="666C990E" w14:textId="77777777">
          <w:pPr>
            <w:widowControl w:val="0"/>
            <w:tabs>
              <w:tab w:val="center" w:pos="4153"/>
              <w:tab w:val="right" w:pos="8306"/>
            </w:tabs>
            <w:suppressAutoHyphens/>
            <w:jc w:val="center"/>
            <w:rPr>
              <w:rFonts w:eastAsia="HG Mincho Light J"/>
              <w:color w:val="000000"/>
              <w:lang w:eastAsia="ar-SA"/>
            </w:rPr>
          </w:pPr>
        </w:p>
        <w:p w14:paraId="6F38ABE3" w14:textId="77777777">
          <w:pPr>
            <w:widowControl w:val="0"/>
            <w:tabs>
              <w:tab w:val="center" w:pos="4153"/>
              <w:tab w:val="right" w:pos="8306"/>
            </w:tabs>
            <w:suppressAutoHyphens/>
            <w:jc w:val="center"/>
            <w:rPr>
              <w:rFonts w:eastAsia="HG Mincho Light J"/>
              <w:color w:val="000000"/>
              <w:lang w:eastAsia="ar-SA"/>
            </w:rPr>
          </w:pPr>
        </w:p>
        <w:p w14:paraId="6C2722B1" w14:textId="77777777">
          <w:pPr>
            <w:widowControl w:val="0"/>
            <w:tabs>
              <w:tab w:val="left" w:pos="804"/>
            </w:tabs>
            <w:suppressAutoHyphens/>
            <w:rPr>
              <w:rFonts w:eastAsia="HG Mincho Light J"/>
              <w:color w:val="000000"/>
              <w:lang w:eastAsia="ar-SA"/>
            </w:rPr>
          </w:pPr>
        </w:p>
        <w:p w14:paraId="13460BFB" w14:textId="1A5968AB">
          <w:pPr>
            <w:widowControl w:val="0"/>
            <w:tabs>
              <w:tab w:val="left" w:pos="0"/>
              <w:tab w:val="center" w:pos="4153"/>
              <w:tab w:val="right" w:pos="8306"/>
            </w:tabs>
            <w:suppressAutoHyphens/>
            <w:jc w:val="center"/>
            <w:rPr>
              <w:rFonts w:eastAsia="HG Mincho Light J"/>
              <w:b/>
              <w:color w:val="000000"/>
              <w:shd w:val="clear" w:color="auto" w:fill="FFFFFF"/>
              <w:lang w:eastAsia="ar-SA"/>
            </w:rPr>
          </w:pPr>
          <w:r>
            <w:rPr>
              <w:rFonts w:eastAsia="HG Mincho Light J"/>
              <w:b/>
              <w:color w:val="000000"/>
              <w:shd w:val="clear" w:color="auto" w:fill="FFFFFF"/>
              <w:lang w:eastAsia="ar-SA"/>
            </w:rPr>
            <w:t>ŠIAULIŲ MIESTO SAVIVALDYBĖS ADMINISTRACIJOS</w:t>
          </w:r>
        </w:p>
        <w:sdt>
          <w:sdtPr>
            <w:alias w:val="skyrius"/>
            <w:tag w:val="part_cbad675c3acb43a1907b7a72eb22abc2"/>
            <w:lock w:val="sdtLocked"/>
            <w:richText/>
          </w:sdtPr>
          <w:sdtContent>
            <w:p w14:paraId="01465AC1" w14:textId="77777777">
              <w:pPr>
                <w:widowControl w:val="0"/>
                <w:tabs>
                  <w:tab w:val="left" w:pos="0"/>
                  <w:tab w:val="center" w:pos="4153"/>
                  <w:tab w:val="right" w:pos="8306"/>
                </w:tabs>
                <w:suppressAutoHyphens/>
                <w:jc w:val="center"/>
                <w:rPr>
                  <w:rFonts w:eastAsia="HG Mincho Light J"/>
                  <w:b/>
                  <w:color w:val="000000"/>
                  <w:shd w:val="clear" w:color="auto" w:fill="FFFFFF"/>
                  <w:lang w:eastAsia="ar-SA"/>
                </w:rPr>
              </w:pPr>
              <w:r>
                <w:rPr>
                  <w:rFonts w:eastAsia="HG Mincho Light J"/>
                  <w:b/>
                  <w:color w:val="000000"/>
                  <w:shd w:val="clear" w:color="auto" w:fill="FFFFFF"/>
                  <w:lang w:eastAsia="ar-SA"/>
                </w:rPr>
                <w:t>CIVILINĖS SAUGOS IR TEISĖTVARKOS SKYRIUS</w:t>
              </w:r>
            </w:p>
            <w:p w14:paraId="031444EE" w14:textId="77777777">
              <w:pPr>
                <w:jc w:val="center"/>
                <w:rPr>
                  <w:b/>
                  <w:szCs w:val="24"/>
                </w:rPr>
              </w:pPr>
            </w:p>
            <w:sdt>
              <w:sdtPr>
                <w:alias w:val="Pavadinimas"/>
                <w:tag w:val="title_cbad675c3acb43a1907b7a72eb22abc2"/>
                <w:lock w:val="sdtLocked"/>
                <w:richText/>
              </w:sdtPr>
              <w:sdtContent>
                <w:p w14:paraId="3BA51563" w14:textId="6150E514">
                  <w:pPr>
                    <w:jc w:val="center"/>
                    <w:rPr>
                      <w:b/>
                      <w:szCs w:val="24"/>
                    </w:rPr>
                  </w:pPr>
                  <w:r>
                    <w:rPr>
                      <w:b/>
                      <w:szCs w:val="24"/>
                    </w:rPr>
                    <w:t>SPRENDIMO „</w:t>
                  </w:r>
                  <w:r>
                    <w:rPr>
                      <w:b/>
                      <w:caps/>
                      <w:szCs w:val="24"/>
                    </w:rPr>
                    <w:t>dĖL</w:t>
                  </w:r>
                  <w:r>
                    <w:rPr>
                      <w:b/>
                      <w:szCs w:val="24"/>
                    </w:rPr>
                    <w:t xml:space="preserve"> ŠIAULIŲ MIESTO SAVIVALDYBĖS NUSIKALTIMŲ PREVENCIJOS 2026–2028 METŲ PROGRAMOS PATVIRTINIMO“</w:t>
                  </w:r>
                  <w:r>
                    <w:rPr>
                      <w:b/>
                      <w:bCs/>
                      <w:iCs/>
                      <w:szCs w:val="24"/>
                      <w:lang w:eastAsia="lt-LT"/>
                    </w:rPr>
                    <w:t xml:space="preserve"> P</w:t>
                  </w:r>
                  <w:r>
                    <w:rPr>
                      <w:b/>
                      <w:szCs w:val="24"/>
                    </w:rPr>
                    <w:t>ROJEKTO</w:t>
                  </w:r>
                </w:p>
                <w:p w14:paraId="47323B69" w14:textId="77777777">
                  <w:pPr>
                    <w:keepNext/>
                    <w:widowControl w:val="0"/>
                    <w:tabs>
                      <w:tab w:val="left" w:pos="0"/>
                    </w:tabs>
                    <w:suppressAutoHyphens/>
                    <w:jc w:val="center"/>
                    <w:outlineLvl w:val="2"/>
                    <w:rPr>
                      <w:rFonts w:eastAsia="HG Mincho Light J"/>
                      <w:b/>
                      <w:szCs w:val="24"/>
                      <w:lang w:eastAsia="ar-SA"/>
                    </w:rPr>
                  </w:pPr>
                  <w:r>
                    <w:rPr>
                      <w:rFonts w:eastAsia="HG Mincho Light J"/>
                      <w:b/>
                      <w:szCs w:val="24"/>
                      <w:lang w:eastAsia="ar-SA"/>
                    </w:rPr>
                    <w:t>AIŠKINAMASIS RAŠTAS</w:t>
                  </w:r>
                </w:p>
              </w:sdtContent>
            </w:sdt>
            <w:p w14:paraId="58C9EC67" w14:textId="77777777"/>
            <w:p w14:paraId="6D1DFE76" w14:textId="0538C3CF">
              <w:pPr>
                <w:widowControl w:val="0"/>
                <w:suppressAutoHyphens/>
                <w:jc w:val="center"/>
                <w:rPr>
                  <w:rFonts w:eastAsia="HG Mincho Light J"/>
                  <w:color w:val="000000"/>
                  <w:szCs w:val="24"/>
                  <w:lang w:eastAsia="ar-SA"/>
                </w:rPr>
              </w:pPr>
              <w:r>
                <w:rPr>
                  <w:rFonts w:eastAsia="HG Mincho Light J"/>
                  <w:szCs w:val="24"/>
                  <w:lang w:eastAsia="ar-SA"/>
                </w:rPr>
                <w:t>2025 m. lapkričio 13 d.</w:t>
              </w:r>
            </w:p>
            <w:p w14:paraId="32B7F479" w14:textId="77777777">
              <w:pPr>
                <w:keepNext/>
                <w:widowControl w:val="0"/>
                <w:tabs>
                  <w:tab w:val="left" w:pos="720"/>
                </w:tabs>
                <w:suppressAutoHyphens/>
                <w:jc w:val="center"/>
                <w:outlineLvl w:val="1"/>
                <w:rPr>
                  <w:rFonts w:eastAsia="HG Mincho Light J"/>
                  <w:bCs/>
                  <w:szCs w:val="24"/>
                  <w:lang w:eastAsia="ar-SA"/>
                </w:rPr>
              </w:pPr>
              <w:r>
                <w:rPr>
                  <w:rFonts w:eastAsia="HG Mincho Light J"/>
                  <w:bCs/>
                  <w:szCs w:val="24"/>
                  <w:lang w:eastAsia="ar-SA"/>
                </w:rPr>
                <w:t>Šiauliai</w:t>
              </w:r>
            </w:p>
            <w:p w14:paraId="562A8652" w14:textId="77777777">
              <w:pPr>
                <w:widowControl w:val="0"/>
                <w:suppressAutoHyphens/>
                <w:rPr>
                  <w:rFonts w:eastAsia="HG Mincho Light J"/>
                  <w:b/>
                  <w:szCs w:val="24"/>
                  <w:lang w:eastAsia="ar-SA"/>
                </w:rPr>
              </w:pPr>
            </w:p>
            <w:sdt>
              <w:sdtPr>
                <w:alias w:val="poskyris"/>
                <w:tag w:val="part_1c291b6f21bc495189182c5a2399b147"/>
                <w:lock w:val="sdtLocked"/>
                <w:richText/>
              </w:sdtPr>
              <w:sdtContent>
                <w:p w14:paraId="386FD2C1" w14:textId="77777777">
                  <w:pPr>
                    <w:widowControl w:val="0"/>
                    <w:suppressAutoHyphens/>
                    <w:ind w:firstLine="851"/>
                    <w:rPr>
                      <w:rFonts w:eastAsia="HG Mincho Light J"/>
                      <w:b/>
                      <w:szCs w:val="24"/>
                      <w:lang w:eastAsia="ar-SA"/>
                    </w:rPr>
                  </w:pPr>
                  <w:sdt>
                    <w:sdtPr>
                      <w:alias w:val="Pavadinimas"/>
                      <w:tag w:val="title_1c291b6f21bc495189182c5a2399b147"/>
                      <w:lock w:val="sdtLocked"/>
                      <w:richText/>
                    </w:sdtPr>
                    <w:sdtContent>
                      <w:r>
                        <w:rPr>
                          <w:rFonts w:eastAsia="HG Mincho Light J"/>
                          <w:b/>
                          <w:szCs w:val="24"/>
                          <w:lang w:eastAsia="ar-SA"/>
                        </w:rPr>
                        <w:t xml:space="preserve">Parengto sprendimo projekto tikslai ir uždaviniai. </w:t>
                      </w:r>
                    </w:sdtContent>
                  </w:sdt>
                </w:p>
                <w:p w14:paraId="34F4FD39" w14:textId="3057A61F">
                  <w:pPr>
                    <w:suppressAutoHyphens/>
                    <w:ind w:firstLine="851"/>
                    <w:jc w:val="both"/>
                    <w:rPr>
                      <w:rFonts w:eastAsia="Arial"/>
                      <w:szCs w:val="24"/>
                      <w:lang w:eastAsia="ar-SA"/>
                    </w:rPr>
                  </w:pPr>
                  <w:r>
                    <w:rPr>
                      <w:rFonts w:eastAsia="Arial" w:cs="Calibri"/>
                      <w:szCs w:val="24"/>
                      <w:lang w:eastAsia="ar-SA"/>
                    </w:rPr>
                    <w:t xml:space="preserve">Sprendimo projekto tikslas – </w:t>
                  </w:r>
                  <w:r>
                    <w:rPr>
                      <w:rFonts w:eastAsia="Arial"/>
                      <w:szCs w:val="24"/>
                      <w:lang w:eastAsia="ar-SA"/>
                    </w:rPr>
                    <w:t>vykdyti kryptingą nusikaltimų prevencijos politiką Šiaulių mieste, kompleksiškai ir nuosekliai plėtoti savivaldybės veiklą, skirtą gyventojų viešajam saugumui stiprinti:</w:t>
                  </w:r>
                  <w:r>
                    <w:rPr>
                      <w:color w:val="000000"/>
                      <w:szCs w:val="24"/>
                      <w:lang w:eastAsia="lt-LT"/>
                    </w:rPr>
                    <w:t xml:space="preserve"> </w:t>
                  </w:r>
                  <w:r>
                    <w:rPr>
                      <w:rFonts w:eastAsia="Arial" w:cs="Calibri"/>
                      <w:szCs w:val="24"/>
                      <w:lang w:eastAsia="ar-SA"/>
                    </w:rPr>
                    <w:t xml:space="preserve">saugūs namai, saugi aplinka, saugus darbas ir mokykla. </w:t>
                  </w:r>
                  <w:r>
                    <w:rPr>
                      <w:rFonts w:cs="Calibri"/>
                      <w:color w:val="000000"/>
                      <w:szCs w:val="24"/>
                      <w:lang w:eastAsia="ar-SA"/>
                    </w:rPr>
                    <w:t xml:space="preserve">Šiaulių miesto savivaldybė (toliau – </w:t>
                  </w:r>
                  <w:r>
                    <w:rPr>
                      <w:rFonts w:eastAsia="Arial" w:cs="Calibri"/>
                      <w:color w:val="000000"/>
                      <w:szCs w:val="24"/>
                      <w:lang w:eastAsia="ar-SA"/>
                    </w:rPr>
                    <w:t>Savivaldybė), įgyvendindama savarankišką savivaldybių funkciją dalyvauti ir bendradarbiauti užtikrinant viešąją tvarką, kuriant ir įgyvendinant nusikaltimų prevencijos priemones, finansuoja tikslinių projektų vykdytojų šviečiamąsias priemones nusikaltimų prevencijos tema.</w:t>
                  </w:r>
                </w:p>
                <w:p w14:paraId="35A335A5" w14:textId="412C9095">
                  <w:pPr>
                    <w:suppressAutoHyphens/>
                    <w:ind w:firstLine="851"/>
                    <w:jc w:val="both"/>
                    <w:rPr>
                      <w:color w:val="000000"/>
                      <w:spacing w:val="-2"/>
                      <w:szCs w:val="24"/>
                      <w:lang w:eastAsia="lt-LT"/>
                    </w:rPr>
                  </w:pPr>
                  <w:r>
                    <w:rPr>
                      <w:rFonts w:eastAsia="Arial"/>
                      <w:szCs w:val="24"/>
                      <w:lang w:eastAsia="ar-SA"/>
                    </w:rPr>
                    <w:t xml:space="preserve">Uždavinys – </w:t>
                  </w:r>
                  <w:r>
                    <w:rPr>
                      <w:color w:val="000000"/>
                      <w:szCs w:val="24"/>
                      <w:lang w:eastAsia="lt-LT"/>
                    </w:rPr>
                    <w:t xml:space="preserve">įgyvendinti </w:t>
                  </w:r>
                  <w:r>
                    <w:rPr>
                      <w:color w:val="000000"/>
                      <w:spacing w:val="-2"/>
                      <w:szCs w:val="24"/>
                      <w:lang w:eastAsia="lt-LT"/>
                    </w:rPr>
                    <w:t>priemones nusikaltimų prevencijos ir kontrolės srityje:</w:t>
                  </w:r>
                  <w:r>
                    <w:rPr>
                      <w:color w:val="000000"/>
                      <w:szCs w:val="24"/>
                      <w:lang w:eastAsia="lt-LT"/>
                    </w:rPr>
                    <w:t xml:space="preserve"> žmogaus, visuomenės ir valstybės teisėtų interesų apsauga nuo nusikalstamų veikų, teisėsaugos institucijų ir kitų valstybės įstaigų pajėgumo ir gebėjimo užtikrinti viešąjį saugumą stiprinimas, </w:t>
                  </w:r>
                  <w:r>
                    <w:rPr>
                      <w:rFonts w:eastAsia="Arial"/>
                      <w:color w:val="000000"/>
                      <w:szCs w:val="24"/>
                      <w:lang w:eastAsia="ar-SA"/>
                    </w:rPr>
                    <w:t>glaudžių valstybės ir savivaldybės institucijų ir įstaigų bendradarbiavimo plėtojimas, viešojo ir privataus sektoriaus partnerystė ir aktyvi visuomenė</w:t>
                  </w:r>
                  <w:r>
                    <w:rPr>
                      <w:color w:val="000000"/>
                      <w:spacing w:val="-2"/>
                      <w:szCs w:val="24"/>
                      <w:lang w:eastAsia="lt-LT"/>
                    </w:rPr>
                    <w:t>.</w:t>
                  </w:r>
                </w:p>
                <w:p w14:paraId="514DCEC9" w14:textId="77777777">
                  <w:pPr>
                    <w:widowControl w:val="0"/>
                    <w:suppressAutoHyphens/>
                    <w:ind w:firstLine="851"/>
                    <w:rPr>
                      <w:rFonts w:eastAsia="HG Mincho Light J"/>
                      <w:szCs w:val="24"/>
                      <w:lang w:eastAsia="ar-SA"/>
                    </w:rPr>
                  </w:pPr>
                  <w:r>
                    <w:rPr>
                      <w:rFonts w:eastAsia="HG Mincho Light J"/>
                      <w:b/>
                      <w:szCs w:val="24"/>
                      <w:lang w:eastAsia="ar-SA"/>
                    </w:rPr>
                    <w:t>Dabartinis sprendimo projekte aptariamų klausimų reguliavimas</w:t>
                  </w:r>
                  <w:r>
                    <w:rPr>
                      <w:rFonts w:eastAsia="HG Mincho Light J"/>
                      <w:szCs w:val="24"/>
                      <w:lang w:eastAsia="ar-SA"/>
                    </w:rPr>
                    <w:t xml:space="preserve">. </w:t>
                  </w:r>
                </w:p>
                <w:p w14:paraId="75215C8B" w14:textId="39E81CEB">
                  <w:pPr>
                    <w:widowControl w:val="0"/>
                    <w:tabs>
                      <w:tab w:val="left" w:pos="709"/>
                    </w:tabs>
                    <w:suppressAutoHyphens/>
                    <w:ind w:firstLine="851"/>
                    <w:jc w:val="both"/>
                    <w:rPr>
                      <w:color w:val="000000"/>
                      <w:lang w:eastAsia="ar-SA"/>
                    </w:rPr>
                  </w:pPr>
                  <w:r>
                    <w:rPr>
                      <w:color w:val="000000"/>
                      <w:lang w:eastAsia="ar-SA"/>
                    </w:rPr>
                    <w:t>Šiuo metu galioja Savivaldybės nusikaltimų prevencijos 2023–2025 metų programa (toliau – Programa), patvirtinta Savivaldybės tarybos 2022 m. gruodžio 1 d. sprendimu Nr. T-411 „Dėl Šiaulių miesto savivaldybės nusikaltimų prevencijos 2023–2025 metų programos patvirtinimo“ su vėlesniais pakeitimais.</w:t>
                  </w:r>
                </w:p>
              </w:sdtContent>
            </w:sdt>
            <w:sdt>
              <w:sdtPr>
                <w:alias w:val="poskyris"/>
                <w:tag w:val="part_51b9cb2fb7ba4ffeb8957ff67c41ff64"/>
                <w:lock w:val="sdtLocked"/>
                <w:richText/>
              </w:sdtPr>
              <w:sdtContent>
                <w:p w14:paraId="553F2EA7" w14:textId="45923E72">
                  <w:pPr>
                    <w:widowControl w:val="0"/>
                    <w:tabs>
                      <w:tab w:val="left" w:pos="855"/>
                    </w:tabs>
                    <w:suppressAutoHyphens/>
                    <w:ind w:firstLine="851"/>
                    <w:rPr>
                      <w:rFonts w:eastAsia="HG Mincho Light J"/>
                      <w:b/>
                      <w:szCs w:val="24"/>
                      <w:lang w:eastAsia="ar-SA"/>
                    </w:rPr>
                  </w:pPr>
                  <w:sdt>
                    <w:sdtPr>
                      <w:alias w:val="Pavadinimas"/>
                      <w:tag w:val="title_51b9cb2fb7ba4ffeb8957ff67c41ff64"/>
                      <w:lock w:val="sdtLocked"/>
                      <w:richText/>
                    </w:sdtPr>
                    <w:sdtContent>
                      <w:r>
                        <w:rPr>
                          <w:rFonts w:eastAsia="HG Mincho Light J"/>
                          <w:b/>
                          <w:szCs w:val="24"/>
                          <w:shd w:val="clear" w:color="auto" w:fill="FFFFFF"/>
                          <w:lang w:eastAsia="ar-SA"/>
                        </w:rPr>
                        <w:t>Sprendimo projekte numatytos naujos teisinio reglamentavimo nuostatos</w:t>
                      </w:r>
                      <w:r>
                        <w:rPr>
                          <w:rFonts w:eastAsia="HG Mincho Light J"/>
                          <w:b/>
                          <w:szCs w:val="24"/>
                          <w:lang w:eastAsia="ar-SA"/>
                        </w:rPr>
                        <w:t>.</w:t>
                      </w:r>
                    </w:sdtContent>
                  </w:sdt>
                </w:p>
                <w:p w14:paraId="73ED9348" w14:textId="6979BF32">
                  <w:pPr>
                    <w:widowControl w:val="0"/>
                    <w:tabs>
                      <w:tab w:val="left" w:pos="855"/>
                    </w:tabs>
                    <w:suppressAutoHyphens/>
                    <w:ind w:firstLine="851"/>
                    <w:jc w:val="both"/>
                    <w:rPr>
                      <w:rFonts w:eastAsia="HG Mincho Light J"/>
                      <w:szCs w:val="24"/>
                      <w:shd w:val="clear" w:color="auto" w:fill="FFFFFF"/>
                      <w:lang w:eastAsia="ar-SA"/>
                    </w:rPr>
                  </w:pPr>
                  <w:r>
                    <w:rPr>
                      <w:rFonts w:eastAsia="HG Mincho Light J"/>
                      <w:szCs w:val="24"/>
                      <w:shd w:val="clear" w:color="auto" w:fill="FFFFFF"/>
                      <w:lang w:eastAsia="ar-SA"/>
                    </w:rPr>
                    <w:t xml:space="preserve">Savivaldybės taryba šiuo sprendimu patvirtina Šiaulių miesto savivaldybės nusikaltimų prevencijos 2026–2028 metų programą (toliau – programa). Šia programa privalės vadovautis Savivaldybės mero potvarkiu sudaryta darbo grupė, tvirtindama kalendorinių metų nusikalstamumo prevencijos ir kontrolės veiklos planus, numatydama prioritetines saugumo įgyvendinimo priemones. Programoje aptariamos nusikalstamumo tendencijos, priežastys ir sąlygos. Nustatomi įgyvendinimo kriterijai, priemonių finansavimas, priemonių įgyvendinimo administravimas, ataskaitų teikimas. </w:t>
                  </w:r>
                </w:p>
                <w:p w14:paraId="1C192CC9" w14:textId="3E4AA337">
                  <w:pPr>
                    <w:widowControl w:val="0"/>
                    <w:tabs>
                      <w:tab w:val="left" w:pos="855"/>
                    </w:tabs>
                    <w:suppressAutoHyphens/>
                    <w:ind w:firstLine="851"/>
                    <w:jc w:val="both"/>
                    <w:rPr>
                      <w:rFonts w:eastAsia="HG Mincho Light J"/>
                      <w:szCs w:val="24"/>
                      <w:shd w:val="clear" w:color="auto" w:fill="FFFFFF"/>
                      <w:lang w:eastAsia="ar-SA"/>
                    </w:rPr>
                  </w:pPr>
                  <w:r>
                    <w:rPr>
                      <w:rFonts w:eastAsia="HG Mincho Light J"/>
                      <w:color w:val="000000"/>
                      <w:lang w:eastAsia="ar-SA"/>
                    </w:rPr>
                    <w:t>2025 m. spalio 17 d. Šiaulių miesto savivaldybės gyventojų saugumo stiprinimo ir saugios savivaldybės plėtros komisijos posėdyje (protokolas (informacinė pažyma) Nr. VM-363) pristatytos 2022-2024 m. Savivaldybės nusikaltimų tendencijos, pristatytas 2026–2028 m. Šiaulių miesto savivaldybės nusikaltimų prevencijos priemonių plano projektas, kuriam pritarta su redakcinio pobūdžio pataisymais.</w:t>
                  </w:r>
                </w:p>
              </w:sdtContent>
            </w:sdt>
            <w:sdt>
              <w:sdtPr>
                <w:alias w:val="poskyris"/>
                <w:tag w:val="part_fecf86b74f9142679a5661fc059d4b7f"/>
                <w:lock w:val="sdtLocked"/>
                <w:richText/>
              </w:sdtPr>
              <w:sdtContent>
                <w:p w14:paraId="7C383075" w14:textId="77777777">
                  <w:pPr>
                    <w:widowControl w:val="0"/>
                    <w:tabs>
                      <w:tab w:val="left" w:pos="855"/>
                    </w:tabs>
                    <w:suppressAutoHyphens/>
                    <w:ind w:firstLine="851"/>
                    <w:rPr>
                      <w:rFonts w:eastAsia="HG Mincho Light J"/>
                      <w:b/>
                      <w:szCs w:val="24"/>
                      <w:shd w:val="clear" w:color="auto" w:fill="FFFFFF"/>
                      <w:lang w:eastAsia="ar-SA"/>
                    </w:rPr>
                  </w:pPr>
                  <w:sdt>
                    <w:sdtPr>
                      <w:alias w:val="Pavadinimas"/>
                      <w:tag w:val="title_fecf86b74f9142679a5661fc059d4b7f"/>
                      <w:lock w:val="sdtLocked"/>
                      <w:richText/>
                    </w:sdtPr>
                    <w:sdtContent>
                      <w:r>
                        <w:rPr>
                          <w:rFonts w:eastAsia="HG Mincho Light J"/>
                          <w:b/>
                          <w:szCs w:val="24"/>
                          <w:shd w:val="clear" w:color="auto" w:fill="FFFFFF"/>
                          <w:lang w:eastAsia="ar-SA"/>
                        </w:rPr>
                        <w:t>Priėmus sprendimą, galimos pasekmės (teigiamos, neigiamos).</w:t>
                      </w:r>
                    </w:sdtContent>
                  </w:sdt>
                </w:p>
                <w:p w14:paraId="12A7E9B9" w14:textId="77777777">
                  <w:pPr>
                    <w:suppressAutoHyphens/>
                    <w:ind w:firstLine="851"/>
                    <w:jc w:val="both"/>
                    <w:rPr>
                      <w:rFonts w:eastAsia="Arial"/>
                      <w:szCs w:val="24"/>
                      <w:lang w:eastAsia="ar-SA"/>
                    </w:rPr>
                  </w:pPr>
                  <w:r>
                    <w:rPr>
                      <w:rFonts w:eastAsia="Arial"/>
                      <w:szCs w:val="24"/>
                      <w:lang w:eastAsia="ar-SA"/>
                    </w:rPr>
                    <w:t xml:space="preserve">Priėmus sprendimą numatomos teigiamos pasekmės: </w:t>
                  </w:r>
                </w:p>
                <w:p w14:paraId="4EBE235E" w14:textId="77777777">
                  <w:pPr>
                    <w:suppressAutoHyphens/>
                    <w:ind w:firstLine="851"/>
                    <w:jc w:val="both"/>
                    <w:rPr>
                      <w:rFonts w:eastAsia="Arial" w:cs="Calibri"/>
                      <w:szCs w:val="24"/>
                      <w:lang w:eastAsia="lt-LT"/>
                    </w:rPr>
                  </w:pPr>
                  <w:r>
                    <w:rPr>
                      <w:rFonts w:eastAsia="Arial" w:cs="Calibri"/>
                      <w:szCs w:val="24"/>
                      <w:lang w:eastAsia="lt-LT"/>
                    </w:rPr>
                    <w:t>- sudarytos sąlygos kompleksiškai planuoti ir koordinuoti nusikaltimų prevencijos priemones, susijusias su gyventojų saugumo stiprinimu ir saugios savivaldybės aplinkos kūrimu;</w:t>
                  </w:r>
                </w:p>
                <w:p w14:paraId="6F5F99B9" w14:textId="77777777">
                  <w:pPr>
                    <w:suppressAutoHyphens/>
                    <w:ind w:firstLine="851"/>
                    <w:jc w:val="both"/>
                    <w:rPr>
                      <w:rFonts w:eastAsia="Arial" w:cs="Calibri"/>
                      <w:color w:val="000000"/>
                      <w:szCs w:val="24"/>
                      <w:lang w:eastAsia="lt-LT"/>
                    </w:rPr>
                  </w:pPr>
                  <w:r>
                    <w:rPr>
                      <w:rFonts w:eastAsia="Arial" w:cs="Calibri"/>
                      <w:szCs w:val="24"/>
                      <w:lang w:eastAsia="lt-LT"/>
                    </w:rPr>
                    <w:t xml:space="preserve">-  </w:t>
                  </w:r>
                  <w:r>
                    <w:rPr>
                      <w:rFonts w:eastAsia="Arial" w:cs="Calibri"/>
                      <w:color w:val="000000"/>
                      <w:szCs w:val="24"/>
                      <w:lang w:eastAsia="lt-LT"/>
                    </w:rPr>
                    <w:t>plėtojamas institucijų, įstaigų, nevyriausybinių organizacijų, bendruomenių ir visuomenės bendradarbiavimas;</w:t>
                  </w:r>
                </w:p>
                <w:p w14:paraId="41994079" w14:textId="77777777">
                  <w:pPr>
                    <w:suppressAutoHyphens/>
                    <w:ind w:firstLine="851"/>
                    <w:jc w:val="both"/>
                    <w:rPr>
                      <w:rFonts w:eastAsia="Arial" w:cs="Calibri"/>
                      <w:color w:val="000000"/>
                      <w:szCs w:val="24"/>
                      <w:lang w:eastAsia="lt-LT"/>
                    </w:rPr>
                  </w:pPr>
                  <w:r>
                    <w:rPr>
                      <w:rFonts w:eastAsia="Arial" w:cs="Calibri"/>
                      <w:color w:val="000000"/>
                      <w:szCs w:val="24"/>
                      <w:lang w:eastAsia="lt-LT"/>
                    </w:rPr>
                    <w:t xml:space="preserve">-  </w:t>
                  </w:r>
                  <w:r>
                    <w:rPr>
                      <w:rFonts w:eastAsia="Arial"/>
                      <w:szCs w:val="24"/>
                      <w:lang w:eastAsia="ar-SA"/>
                    </w:rPr>
                    <w:t xml:space="preserve">numatyti problemų sprendimo būdai ir taikomos prevencinės priemonės šiose srityse: </w:t>
                  </w:r>
                  <w:r>
                    <w:rPr>
                      <w:rFonts w:eastAsia="Arial" w:cs="Calibri"/>
                      <w:color w:val="000000"/>
                      <w:szCs w:val="24"/>
                      <w:lang w:eastAsia="ar-SA"/>
                    </w:rPr>
                    <w:t>vaikų ir jaunimo nusikalstamumo;</w:t>
                  </w:r>
                  <w:r>
                    <w:rPr>
                      <w:rFonts w:eastAsia="Arial"/>
                      <w:szCs w:val="24"/>
                      <w:lang w:eastAsia="ar-SA"/>
                    </w:rPr>
                    <w:t xml:space="preserve"> </w:t>
                  </w:r>
                  <w:r>
                    <w:rPr>
                      <w:rFonts w:eastAsia="Arial" w:cs="Calibri"/>
                      <w:bCs/>
                      <w:color w:val="000000"/>
                      <w:szCs w:val="24"/>
                      <w:lang w:eastAsia="lt-LT"/>
                    </w:rPr>
                    <w:t>smurtinių nusikaltimų;</w:t>
                  </w:r>
                  <w:r>
                    <w:rPr>
                      <w:rFonts w:eastAsia="Arial"/>
                      <w:szCs w:val="24"/>
                      <w:lang w:eastAsia="ar-SA"/>
                    </w:rPr>
                    <w:t xml:space="preserve"> </w:t>
                  </w:r>
                  <w:r>
                    <w:rPr>
                      <w:rFonts w:eastAsia="Arial" w:cs="Calibri"/>
                      <w:bCs/>
                      <w:color w:val="000000"/>
                      <w:szCs w:val="24"/>
                      <w:lang w:eastAsia="lt-LT"/>
                    </w:rPr>
                    <w:t>turtinių nusikaltimų;</w:t>
                  </w:r>
                  <w:r>
                    <w:rPr>
                      <w:rFonts w:eastAsia="Arial"/>
                      <w:szCs w:val="24"/>
                      <w:lang w:eastAsia="ar-SA"/>
                    </w:rPr>
                    <w:t xml:space="preserve"> </w:t>
                  </w:r>
                  <w:r>
                    <w:rPr>
                      <w:rFonts w:eastAsia="Arial" w:cs="Calibri"/>
                      <w:color w:val="000000"/>
                      <w:szCs w:val="24"/>
                      <w:lang w:eastAsia="lt-LT"/>
                    </w:rPr>
                    <w:t>nusikaltimų, daromų viešosiose vietose.</w:t>
                  </w:r>
                </w:p>
                <w:p w14:paraId="272F2D32" w14:textId="77777777">
                  <w:pPr>
                    <w:widowControl w:val="0"/>
                    <w:suppressAutoHyphens/>
                    <w:ind w:firstLine="851"/>
                    <w:jc w:val="both"/>
                    <w:rPr>
                      <w:rFonts w:eastAsia="HG Mincho Light J"/>
                      <w:color w:val="000000"/>
                      <w:szCs w:val="24"/>
                      <w:lang w:eastAsia="ar-SA"/>
                    </w:rPr>
                  </w:pPr>
                  <w:r>
                    <w:rPr>
                      <w:rFonts w:eastAsia="HG Mincho Light J"/>
                      <w:color w:val="000000"/>
                      <w:szCs w:val="24"/>
                      <w:lang w:eastAsia="ar-SA"/>
                    </w:rPr>
                    <w:t>Neigiamų pasekmių nenumatyta, Programa atitiks teisės aktus.</w:t>
                  </w:r>
                </w:p>
                <w:p w14:paraId="74479285" w14:textId="2CA45BB3">
                  <w:pPr>
                    <w:widowControl w:val="0"/>
                    <w:tabs>
                      <w:tab w:val="left" w:pos="855"/>
                    </w:tabs>
                    <w:suppressAutoHyphens/>
                    <w:ind w:firstLine="851"/>
                    <w:rPr>
                      <w:rFonts w:eastAsia="HG Mincho Light J"/>
                      <w:szCs w:val="24"/>
                      <w:shd w:val="clear" w:color="auto" w:fill="FFFFFF"/>
                      <w:lang w:eastAsia="ar-SA"/>
                    </w:rPr>
                  </w:pPr>
                  <w:r>
                    <w:rPr>
                      <w:rFonts w:eastAsia="HG Mincho Light J"/>
                      <w:b/>
                      <w:szCs w:val="24"/>
                      <w:shd w:val="clear" w:color="auto" w:fill="FFFFFF"/>
                      <w:lang w:eastAsia="ar-SA"/>
                    </w:rPr>
                    <w:t>Priėmus sprendimą, keičiami ar pripažįstami negaliojančiais teisės aktai</w:t>
                  </w:r>
                  <w:r>
                    <w:rPr>
                      <w:rFonts w:eastAsia="HG Mincho Light J"/>
                      <w:b/>
                      <w:szCs w:val="24"/>
                      <w:lang w:eastAsia="ar-SA"/>
                    </w:rPr>
                    <w:t xml:space="preserve">. </w:t>
                  </w:r>
                  <w:r>
                    <w:rPr>
                      <w:rFonts w:eastAsia="HG Mincho Light J"/>
                      <w:szCs w:val="24"/>
                      <w:shd w:val="clear" w:color="auto" w:fill="FFFFFF"/>
                      <w:lang w:eastAsia="ar-SA"/>
                    </w:rPr>
                    <w:t>Nėra.</w:t>
                  </w:r>
                </w:p>
                <w:p w14:paraId="78CCEFD3" w14:textId="3D794E9A">
                  <w:pPr>
                    <w:widowControl w:val="0"/>
                    <w:tabs>
                      <w:tab w:val="left" w:pos="855"/>
                    </w:tabs>
                    <w:suppressAutoHyphens/>
                    <w:ind w:firstLine="851"/>
                    <w:rPr>
                      <w:rFonts w:eastAsia="HG Mincho Light J"/>
                      <w:i/>
                      <w:szCs w:val="24"/>
                      <w:shd w:val="clear" w:color="auto" w:fill="FFFFFF"/>
                      <w:lang w:eastAsia="ar-SA"/>
                    </w:rPr>
                  </w:pPr>
                  <w:r>
                    <w:rPr>
                      <w:rFonts w:eastAsia="HG Mincho Light J"/>
                      <w:b/>
                      <w:szCs w:val="24"/>
                      <w:shd w:val="clear" w:color="auto" w:fill="FFFFFF"/>
                      <w:lang w:eastAsia="ar-SA"/>
                    </w:rPr>
                    <w:t>Sprendimui įgyvendinti reikalingi priimti papildomi teisės aktai.</w:t>
                  </w:r>
                  <w:r>
                    <w:rPr>
                      <w:rFonts w:eastAsia="HG Mincho Light J"/>
                      <w:szCs w:val="24"/>
                      <w:shd w:val="clear" w:color="auto" w:fill="FFFFFF"/>
                      <w:lang w:eastAsia="ar-SA"/>
                    </w:rPr>
                    <w:tab/>
                  </w:r>
                  <w:r>
                    <w:rPr>
                      <w:rFonts w:eastAsia="HG Mincho Light J"/>
                      <w:szCs w:val="24"/>
                      <w:lang w:eastAsia="ar-SA"/>
                    </w:rPr>
                    <w:t>Nereikalingi.</w:t>
                  </w:r>
                </w:p>
                <w:p w14:paraId="404C2EEA" w14:textId="2AA4B6EB">
                  <w:pPr>
                    <w:widowControl w:val="0"/>
                    <w:tabs>
                      <w:tab w:val="left" w:pos="709"/>
                    </w:tabs>
                    <w:suppressAutoHyphens/>
                    <w:ind w:firstLine="851"/>
                    <w:jc w:val="both"/>
                    <w:rPr>
                      <w:rFonts w:eastAsia="HG Mincho Light J"/>
                      <w:color w:val="000000"/>
                      <w:shd w:val="clear" w:color="auto" w:fill="FFFFFF"/>
                      <w:lang w:eastAsia="ar-SA"/>
                    </w:rPr>
                  </w:pPr>
                  <w:r>
                    <w:rPr>
                      <w:rFonts w:eastAsia="HG Mincho Light J"/>
                      <w:color w:val="000000"/>
                      <w:szCs w:val="24"/>
                      <w:shd w:val="clear" w:color="auto" w:fill="FFFFFF"/>
                      <w:lang w:eastAsia="ar-SA"/>
                    </w:rPr>
                    <w:t>Programos įgyvendinimui Savivaldybės mero sprendimu patvirtinti</w:t>
                  </w:r>
                  <w:r>
                    <w:rPr>
                      <w:rFonts w:eastAsia="HG Mincho Light J"/>
                      <w:color w:val="000000"/>
                      <w:lang w:eastAsia="ar-SA"/>
                    </w:rPr>
                    <w:t xml:space="preserve"> lėšas </w:t>
                  </w:r>
                  <w:r>
                    <w:rPr>
                      <w:rFonts w:eastAsia="HG Mincho Light J"/>
                      <w:color w:val="000000"/>
                      <w:szCs w:val="24"/>
                      <w:lang w:eastAsia="lt-LT"/>
                    </w:rPr>
                    <w:t xml:space="preserve">numatytoms konkrečioms Programos priemonėms kalendoriniais metais įgyvendinti pagal Planą (Programos priedas). </w:t>
                  </w:r>
                </w:p>
              </w:sdtContent>
            </w:sdt>
            <w:sdt>
              <w:sdtPr>
                <w:alias w:val="poskyris"/>
                <w:tag w:val="part_551b206d63b442d98e982170668a3721"/>
                <w:lock w:val="sdtLocked"/>
                <w:richText/>
              </w:sdtPr>
              <w:sdtContent>
                <w:p w14:paraId="69196710" w14:textId="027F95F1">
                  <w:pPr>
                    <w:widowControl w:val="0"/>
                    <w:tabs>
                      <w:tab w:val="left" w:pos="855"/>
                    </w:tabs>
                    <w:suppressAutoHyphens/>
                    <w:ind w:firstLine="851"/>
                    <w:rPr>
                      <w:rFonts w:eastAsia="HG Mincho Light J"/>
                      <w:b/>
                      <w:szCs w:val="24"/>
                      <w:shd w:val="clear" w:color="auto" w:fill="FFFFFF"/>
                      <w:lang w:eastAsia="ar-SA"/>
                    </w:rPr>
                  </w:pPr>
                  <w:sdt>
                    <w:sdtPr>
                      <w:alias w:val="Pavadinimas"/>
                      <w:tag w:val="title_551b206d63b442d98e982170668a3721"/>
                      <w:lock w:val="sdtLocked"/>
                      <w:richText/>
                    </w:sdtPr>
                    <w:sdtContent>
                      <w:r>
                        <w:rPr>
                          <w:rFonts w:eastAsia="HG Mincho Light J"/>
                          <w:b/>
                          <w:szCs w:val="24"/>
                          <w:shd w:val="clear" w:color="auto" w:fill="FFFFFF"/>
                          <w:lang w:eastAsia="ar-SA"/>
                        </w:rPr>
                        <w:t xml:space="preserve">Sprendimui įgyvendinti reikalingos lėšos. </w:t>
                      </w:r>
                    </w:sdtContent>
                  </w:sdt>
                </w:p>
                <w:p w14:paraId="0E93C2EE" w14:textId="56CA08FA">
                  <w:pPr>
                    <w:widowControl w:val="0"/>
                    <w:tabs>
                      <w:tab w:val="left" w:pos="855"/>
                    </w:tabs>
                    <w:suppressAutoHyphens/>
                    <w:ind w:firstLine="851"/>
                    <w:jc w:val="both"/>
                    <w:rPr>
                      <w:rFonts w:eastAsia="HG Mincho Light J"/>
                      <w:lang w:eastAsia="ar-SA"/>
                    </w:rPr>
                  </w:pPr>
                  <w:r>
                    <w:rPr>
                      <w:rFonts w:eastAsia="HG Mincho Light J"/>
                      <w:lang w:eastAsia="ar-SA"/>
                    </w:rPr>
                    <w:t>Savivaldybės nusikaltimų prevencijos 2026–2028 m. programai įgyvendinti</w:t>
                  </w:r>
                  <w:r>
                    <w:rPr>
                      <w:rFonts w:eastAsia="HG Mincho Light J"/>
                      <w:b/>
                      <w:szCs w:val="24"/>
                      <w:shd w:val="clear" w:color="auto" w:fill="FFFFFF"/>
                      <w:lang w:eastAsia="ar-SA"/>
                    </w:rPr>
                    <w:t xml:space="preserve"> </w:t>
                  </w:r>
                  <w:r>
                    <w:rPr>
                      <w:rFonts w:eastAsia="HG Mincho Light J"/>
                      <w:bCs/>
                      <w:szCs w:val="24"/>
                      <w:lang w:eastAsia="ar-SA"/>
                    </w:rPr>
                    <w:t xml:space="preserve">reikalingos lėšos (asignavimai) kasmet skiriamos iš Savivaldybės biudžeto,  Savivaldybės tarybos sprendimu tvirtinant Šiaulių miesto savivaldybės einamųjų metų biudžeto eilutės Nr. 01-02-05-01 „Įgyvendinti Šiaulių miesto savivaldybės nusikaltimų prevencijos programą“ lėšų sumą.  </w:t>
                  </w:r>
                  <w:r>
                    <w:rPr>
                      <w:rFonts w:eastAsia="HG Mincho Light J"/>
                      <w:lang w:eastAsia="ar-SA"/>
                    </w:rPr>
                    <w:t xml:space="preserve">Einamųjų metų numatomas vidutinis poreikis – 44,6 tūkst. Eur. </w:t>
                  </w:r>
                </w:p>
              </w:sdtContent>
            </w:sdt>
            <w:sdt>
              <w:sdtPr>
                <w:alias w:val="poskyris"/>
                <w:tag w:val="part_6220e5ef189f4c3499124ec9394cf423"/>
                <w:lock w:val="sdtLocked"/>
                <w:richText/>
              </w:sdtPr>
              <w:sdtContent>
                <w:p w14:paraId="6099FA7E" w14:textId="77777777">
                  <w:pPr>
                    <w:widowControl w:val="0"/>
                    <w:suppressAutoHyphens/>
                    <w:ind w:firstLine="851"/>
                    <w:jc w:val="both"/>
                    <w:rPr>
                      <w:rFonts w:eastAsia="HG Mincho Light J"/>
                      <w:b/>
                      <w:color w:val="000000"/>
                      <w:szCs w:val="24"/>
                      <w:shd w:val="clear" w:color="auto" w:fill="FFFFFF"/>
                      <w:lang w:eastAsia="ar-SA"/>
                    </w:rPr>
                  </w:pPr>
                  <w:sdt>
                    <w:sdtPr>
                      <w:alias w:val="Pavadinimas"/>
                      <w:tag w:val="title_6220e5ef189f4c3499124ec9394cf423"/>
                      <w:lock w:val="sdtLocked"/>
                      <w:richText/>
                    </w:sdtPr>
                    <w:sdtContent>
                      <w:r>
                        <w:rPr>
                          <w:rFonts w:eastAsia="HG Mincho Light J"/>
                          <w:b/>
                          <w:color w:val="000000"/>
                          <w:szCs w:val="24"/>
                          <w:shd w:val="clear" w:color="auto" w:fill="FFFFFF"/>
                          <w:lang w:eastAsia="ar-SA"/>
                        </w:rPr>
                        <w:t>Sprendimo projekto antikorupcinis vertinimas:</w:t>
                      </w:r>
                    </w:sdtContent>
                  </w:sdt>
                </w:p>
                <w:p w14:paraId="0CC05EAC" w14:textId="73B79A7B">
                  <w:pPr>
                    <w:tabs>
                      <w:tab w:val="left" w:pos="705"/>
                    </w:tabs>
                    <w:suppressAutoHyphens/>
                    <w:ind w:firstLine="851"/>
                    <w:jc w:val="both"/>
                    <w:rPr>
                      <w:rFonts w:eastAsia="HG Mincho Light J"/>
                      <w:b/>
                      <w:color w:val="000000"/>
                      <w:szCs w:val="24"/>
                      <w:shd w:val="clear" w:color="auto" w:fill="FFFFFF"/>
                      <w:lang w:eastAsia="ar-SA"/>
                    </w:rPr>
                  </w:pPr>
                  <w:r>
                    <w:rPr>
                      <w:rFonts w:eastAsia="HG Mincho Light J"/>
                      <w:color w:val="000000"/>
                      <w:shd w:val="clear" w:color="auto" w:fill="FFFFFF"/>
                      <w:lang w:eastAsia="ar-SA"/>
                    </w:rPr>
                    <w:t>Vertinimas nereikalingas, nes tai nėra norminis teisės aktas</w:t>
                  </w:r>
                  <w:r>
                    <w:rPr>
                      <w:rFonts w:eastAsia="HG Mincho Light J"/>
                      <w:i/>
                      <w:color w:val="000000"/>
                      <w:shd w:val="clear" w:color="auto" w:fill="FFFFFF"/>
                      <w:lang w:eastAsia="ar-SA"/>
                    </w:rPr>
                    <w:t>.</w:t>
                  </w:r>
                  <w:r>
                    <w:rPr>
                      <w:rFonts w:eastAsia="HG Mincho Light J"/>
                      <w:b/>
                      <w:color w:val="000000"/>
                      <w:szCs w:val="24"/>
                      <w:shd w:val="clear" w:color="auto" w:fill="FFFFFF"/>
                      <w:lang w:eastAsia="ar-SA"/>
                    </w:rPr>
                    <w:t xml:space="preserve"> </w:t>
                  </w:r>
                </w:p>
                <w:p w14:paraId="7379D991" w14:textId="3A4B2C41">
                  <w:pPr>
                    <w:tabs>
                      <w:tab w:val="left" w:pos="705"/>
                    </w:tabs>
                    <w:suppressAutoHyphens/>
                    <w:ind w:firstLine="851"/>
                    <w:jc w:val="both"/>
                    <w:rPr>
                      <w:rFonts w:eastAsia="HG Mincho Light J"/>
                      <w:szCs w:val="24"/>
                      <w:shd w:val="clear" w:color="auto" w:fill="FFFFFF"/>
                      <w:lang w:eastAsia="ar-SA"/>
                    </w:rPr>
                  </w:pPr>
                  <w:r>
                    <w:rPr>
                      <w:rFonts w:eastAsia="Arial Unicode MS" w:cs="Tahoma"/>
                      <w:b/>
                      <w:kern w:val="1"/>
                      <w:szCs w:val="24"/>
                      <w:lang w:eastAsia="hi-IN" w:bidi="hi-IN"/>
                    </w:rPr>
                    <w:t xml:space="preserve">Sprendimo projektą parengė: </w:t>
                  </w:r>
                  <w:r>
                    <w:rPr>
                      <w:rFonts w:eastAsia="HG Mincho Light J"/>
                      <w:szCs w:val="24"/>
                      <w:shd w:val="clear" w:color="auto" w:fill="FFFFFF"/>
                      <w:lang w:eastAsia="ar-SA"/>
                    </w:rPr>
                    <w:t>Savivaldybės administracijos Civilinės saugos ir teisėtvarkos skyriaus vyr. specialistas Rimantas Musejukas.</w:t>
                  </w:r>
                </w:p>
              </w:sdtContent>
            </w:sdt>
            <w:sdt>
              <w:sdtPr>
                <w:alias w:val="poskyris"/>
                <w:tag w:val="part_797494d0b87843b8850ada4aca0c1b0f"/>
                <w:lock w:val="sdtLocked"/>
                <w:richText/>
              </w:sdtPr>
              <w:sdtContent>
                <w:p w14:paraId="08F9DF35" w14:textId="77777777">
                  <w:pPr>
                    <w:widowControl w:val="0"/>
                    <w:tabs>
                      <w:tab w:val="left" w:pos="855"/>
                    </w:tabs>
                    <w:suppressAutoHyphens/>
                    <w:ind w:firstLine="851"/>
                    <w:jc w:val="both"/>
                    <w:rPr>
                      <w:rFonts w:eastAsia="HG Mincho Light J"/>
                      <w:color w:val="000000"/>
                      <w:szCs w:val="24"/>
                      <w:shd w:val="clear" w:color="auto" w:fill="FFFFFF"/>
                      <w:lang w:eastAsia="ar-SA"/>
                    </w:rPr>
                  </w:pPr>
                  <w:sdt>
                    <w:sdtPr>
                      <w:alias w:val="Pavadinimas"/>
                      <w:tag w:val="title_797494d0b87843b8850ada4aca0c1b0f"/>
                      <w:lock w:val="sdtLocked"/>
                      <w:richText/>
                    </w:sdtPr>
                    <w:sdtContent>
                      <w:r>
                        <w:rPr>
                          <w:rFonts w:eastAsia="HG Mincho Light J"/>
                          <w:b/>
                          <w:color w:val="000000"/>
                          <w:szCs w:val="24"/>
                          <w:shd w:val="clear" w:color="auto" w:fill="FFFFFF"/>
                          <w:lang w:eastAsia="ar-SA"/>
                        </w:rPr>
                        <w:t>N</w:t>
                      </w:r>
                      <w:r>
                        <w:rPr>
                          <w:rFonts w:eastAsia="HG Mincho Light J"/>
                          <w:b/>
                          <w:color w:val="000000"/>
                          <w:szCs w:val="24"/>
                          <w:lang w:eastAsia="ar-SA"/>
                        </w:rPr>
                        <w:t>umatomo teisinio reguliavimo poveikio vertinimo rezultatai:</w:t>
                      </w:r>
                    </w:sdtContent>
                  </w:sdt>
                </w:p>
                <w:p w14:paraId="74F4B6F0" w14:textId="77777777">
                  <w:pPr>
                    <w:widowControl w:val="0"/>
                    <w:suppressAutoHyphens/>
                    <w:ind w:firstLine="851"/>
                    <w:jc w:val="both"/>
                    <w:rPr>
                      <w:rFonts w:eastAsia="HG Mincho Light J"/>
                      <w:color w:val="000000"/>
                      <w:szCs w:val="24"/>
                      <w:lang w:eastAsia="ar-SA"/>
                    </w:rPr>
                  </w:pPr>
                  <w:r>
                    <w:rPr>
                      <w:rFonts w:eastAsia="HG Mincho Light J"/>
                      <w:color w:val="000000"/>
                      <w:szCs w:val="24"/>
                      <w:lang w:eastAsia="ar-SA"/>
                    </w:rPr>
                    <w:t>Numatomo teisinio reguliavimo poveikio vertinimas neatliekamas, nes sprendimo projektu nėra numatoma reglamentuoti iki tol nereglamentuotus santykius.</w:t>
                  </w:r>
                </w:p>
                <w:p w14:paraId="0A520E43" w14:textId="77777777">
                  <w:pPr>
                    <w:tabs>
                      <w:tab w:val="left" w:pos="705"/>
                    </w:tabs>
                    <w:suppressAutoHyphens/>
                    <w:jc w:val="both"/>
                    <w:rPr>
                      <w:rFonts w:eastAsia="Arial Unicode MS" w:cs="Tahoma"/>
                      <w:b/>
                      <w:kern w:val="1"/>
                      <w:szCs w:val="24"/>
                      <w:lang w:eastAsia="hi-IN" w:bidi="hi-IN"/>
                    </w:rPr>
                  </w:pPr>
                </w:p>
                <w:p w14:paraId="249C8A8F" w14:textId="77777777">
                  <w:pPr>
                    <w:widowControl w:val="0"/>
                    <w:tabs>
                      <w:tab w:val="left" w:pos="855"/>
                    </w:tabs>
                    <w:suppressAutoHyphens/>
                    <w:rPr>
                      <w:rFonts w:eastAsia="HG Mincho Light J"/>
                      <w:b/>
                      <w:szCs w:val="24"/>
                      <w:lang w:eastAsia="ar-SA"/>
                    </w:rPr>
                  </w:pPr>
                </w:p>
                <w:p w14:paraId="5352434C" w14:textId="77777777">
                  <w:pPr>
                    <w:widowControl w:val="0"/>
                    <w:tabs>
                      <w:tab w:val="right" w:pos="9638"/>
                    </w:tabs>
                    <w:suppressAutoHyphens/>
                    <w:ind w:right="-1"/>
                    <w:rPr>
                      <w:rFonts w:eastAsia="Lucida Sans Unicode"/>
                      <w:szCs w:val="24"/>
                    </w:rPr>
                  </w:pPr>
                </w:p>
              </w:sdtContent>
            </w:sdt>
          </w:sdtContent>
        </w:sdt>
        <w:sdt>
          <w:sdtPr>
            <w:alias w:val="signatura"/>
            <w:tag w:val="part_d6f6a9f5bbeb4726bf430abc07e9087a"/>
            <w:lock w:val="sdtLocked"/>
            <w:richText/>
          </w:sdtPr>
          <w:sdtContent>
            <w:p w14:paraId="15EC949A" w14:textId="77777777">
              <w:pPr>
                <w:widowControl w:val="0"/>
                <w:tabs>
                  <w:tab w:val="right" w:pos="9638"/>
                </w:tabs>
                <w:suppressAutoHyphens/>
                <w:ind w:right="-1"/>
                <w:rPr>
                  <w:rFonts w:eastAsia="Lucida Sans Unicode"/>
                  <w:szCs w:val="24"/>
                </w:rPr>
              </w:pPr>
              <w:r>
                <w:rPr>
                  <w:rFonts w:eastAsia="Lucida Sans Unicode"/>
                  <w:szCs w:val="24"/>
                </w:rPr>
                <w:t>Vedėjas</w:t>
                <w:tab/>
                <w:t>Linas Gadliauskas</w:t>
              </w:r>
            </w:p>
          </w:sdtContent>
        </w:sdt>
      </w:sdtContent>
    </w:sdt>
    <w:sectPr>
      <w:headerReference w:type="even" r:id="rId6"/>
      <w:headerReference w:type="default" r:id="rId7"/>
      <w:footerReference w:type="even" r:id="rId8"/>
      <w:footerReference w:type="default" r:id="rId9"/>
      <w:headerReference w:type="first" r:id="rId10"/>
      <w:footerReference w:type="first" r:id="rId11"/>
      <w:footnotePr>
        <w:pos w:val="beneathText"/>
      </w:footnotePr>
      <w:pgSz w:w="11905" w:h="16837" w:code="9"/>
      <w:pgMar w:top="1701" w:right="567" w:bottom="1134" w:left="1701" w:header="0"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2D7B46" w14:textId="77777777">
      <w:pPr>
        <w:widowControl w:val="0"/>
        <w:suppressAutoHyphens/>
        <w:rPr>
          <w:rFonts w:eastAsia="HG Mincho Light J"/>
          <w:color w:val="000000"/>
          <w:lang w:eastAsia="ar-SA"/>
        </w:rPr>
      </w:pPr>
      <w:r>
        <w:rPr>
          <w:rFonts w:eastAsia="HG Mincho Light J"/>
          <w:color w:val="000000"/>
          <w:lang w:eastAsia="ar-SA"/>
        </w:rPr>
        <w:separator/>
      </w:r>
    </w:p>
  </w:endnote>
  <w:endnote w:type="continuationSeparator" w:id="0">
    <w:p w14:paraId="59CE9F76" w14:textId="77777777">
      <w:pPr>
        <w:widowControl w:val="0"/>
        <w:suppressAutoHyphens/>
        <w:rPr>
          <w:rFonts w:eastAsia="HG Mincho Light J"/>
          <w:color w:val="000000"/>
          <w:lang w:eastAsia="ar-SA"/>
        </w:rPr>
      </w:pPr>
      <w:r>
        <w:rPr>
          <w:rFonts w:eastAsia="HG Mincho Light J"/>
          <w:color w:val="000000"/>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21002A87" w:usb1="090F0000" w:usb2="00000010" w:usb3="00000000" w:csb0="003F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FB6CFD" w14:textId="77777777">
    <w:pPr>
      <w:widowControl w:val="0"/>
      <w:tabs>
        <w:tab w:val="center" w:pos="4819"/>
        <w:tab w:val="right" w:pos="9638"/>
      </w:tabs>
      <w:suppressAutoHyphens/>
      <w:rPr>
        <w:rFonts w:eastAsia="HG Mincho Light J"/>
        <w:color w:val="000000"/>
        <w:lang w:val="x-none"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82EA88" w14:textId="77777777">
    <w:pPr>
      <w:widowControl w:val="0"/>
      <w:tabs>
        <w:tab w:val="center" w:pos="4819"/>
        <w:tab w:val="right" w:pos="9638"/>
      </w:tabs>
      <w:suppressAutoHyphens/>
      <w:rPr>
        <w:rFonts w:eastAsia="HG Mincho Light J"/>
        <w:color w:val="000000"/>
        <w:lang w:val="x-none"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BAEED" w14:textId="77777777">
    <w:pPr>
      <w:widowControl w:val="0"/>
      <w:tabs>
        <w:tab w:val="center" w:pos="4819"/>
        <w:tab w:val="right" w:pos="9638"/>
      </w:tabs>
      <w:suppressAutoHyphens/>
      <w:rPr>
        <w:rFonts w:eastAsia="HG Mincho Light J"/>
        <w:color w:val="000000"/>
        <w:lang w:val="x-none"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B7F662" w14:textId="77777777">
      <w:pPr>
        <w:widowControl w:val="0"/>
        <w:suppressAutoHyphens/>
        <w:rPr>
          <w:rFonts w:eastAsia="HG Mincho Light J"/>
          <w:color w:val="000000"/>
          <w:lang w:eastAsia="ar-SA"/>
        </w:rPr>
      </w:pPr>
      <w:r>
        <w:rPr>
          <w:rFonts w:eastAsia="HG Mincho Light J"/>
          <w:color w:val="000000"/>
          <w:lang w:eastAsia="ar-SA"/>
        </w:rPr>
        <w:separator/>
      </w:r>
    </w:p>
  </w:footnote>
  <w:footnote w:type="continuationSeparator" w:id="0">
    <w:p w14:paraId="49E1DE79" w14:textId="77777777">
      <w:pPr>
        <w:widowControl w:val="0"/>
        <w:suppressAutoHyphens/>
        <w:rPr>
          <w:rFonts w:eastAsia="HG Mincho Light J"/>
          <w:color w:val="000000"/>
          <w:lang w:eastAsia="ar-SA"/>
        </w:rPr>
      </w:pPr>
      <w:r>
        <w:rPr>
          <w:rFonts w:eastAsia="HG Mincho Light J"/>
          <w:color w:val="000000"/>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89C07C" w14:textId="77777777">
    <w:pPr>
      <w:widowControl w:val="0"/>
      <w:tabs>
        <w:tab w:val="center" w:pos="4153"/>
        <w:tab w:val="right" w:pos="8306"/>
      </w:tabs>
      <w:suppressAutoHyphens/>
      <w:rPr>
        <w:rFonts w:eastAsia="HG Mincho Light J"/>
        <w:color w:val="000000"/>
        <w:lang w:val="x-none"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1AC3AF" w14:textId="77777777">
    <w:pPr>
      <w:widowControl w:val="0"/>
      <w:tabs>
        <w:tab w:val="center" w:pos="4153"/>
        <w:tab w:val="right" w:pos="8306"/>
      </w:tabs>
      <w:suppressAutoHyphens/>
      <w:jc w:val="center"/>
      <w:rPr>
        <w:rFonts w:eastAsia="HG Mincho Light J"/>
        <w:color w:val="000000"/>
        <w:lang w:eastAsia="ar-SA"/>
      </w:rPr>
    </w:pPr>
  </w:p>
  <w:p w14:paraId="01D1D344" w14:textId="77777777">
    <w:pPr>
      <w:widowControl w:val="0"/>
      <w:tabs>
        <w:tab w:val="center" w:pos="4153"/>
        <w:tab w:val="right" w:pos="8306"/>
      </w:tabs>
      <w:suppressAutoHyphens/>
      <w:jc w:val="center"/>
      <w:rPr>
        <w:rFonts w:eastAsia="HG Mincho Light J"/>
        <w:color w:val="000000"/>
        <w:lang w:eastAsia="ar-SA"/>
      </w:rPr>
    </w:pPr>
    <w:r>
      <w:rPr>
        <w:rFonts w:eastAsia="HG Mincho Light J"/>
        <w:color w:val="000000"/>
        <w:lang w:eastAsia="ar-SA"/>
      </w:rPr>
      <w:t>2</w:t>
    </w:r>
  </w:p>
  <w:p w14:paraId="69A27E24" w14:textId="77777777">
    <w:pPr>
      <w:widowControl w:val="0"/>
      <w:tabs>
        <w:tab w:val="center" w:pos="4153"/>
        <w:tab w:val="right" w:pos="8306"/>
      </w:tabs>
      <w:suppressAutoHyphens/>
      <w:jc w:val="center"/>
      <w:rPr>
        <w:rFonts w:eastAsia="HG Mincho Light J"/>
        <w:color w:val="000000"/>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E60B7B" w14:textId="77777777">
    <w:pPr>
      <w:widowControl w:val="0"/>
      <w:tabs>
        <w:tab w:val="center" w:pos="4153"/>
        <w:tab w:val="right" w:pos="8306"/>
      </w:tabs>
      <w:suppressAutoHyphens/>
      <w:rPr>
        <w:rFonts w:eastAsia="HG Mincho Light J"/>
        <w:color w:val="000000"/>
        <w:lang w:val="x-none"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5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6F8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6F5AF4"/>
  <w15:chartTrackingRefBased/>
  <w15:docId w15:val="{B560A128-9BFA-420E-BB0A-BB515598F34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86114982fa401f9a1ae0f65789fd5f" PartId="5e1af1e8b2f84b3baa05252c90c1155c">
    <Part Type="skyrius" Nr="999" Title="SPRENDIMO „DĖL ŠIAULIŲ MIESTO SAVIVALDYBĖS NUSIKALTIMŲ PREVENCIJOS 2026–2028 METŲ PROGRAMOS PATVIRTINIMO“ PROJEKTO AIŠKINAMASIS RAŠTAS" DocPartId="be90f4dc37cd4d428c0546cd133daddc" PartId="cbad675c3acb43a1907b7a72eb22abc2">
      <Part Type="poskyris" Title="Parengto sprendimo projekto tikslai ir uždaviniai." DocPartId="520380b8ba154ff49551e1ea66baa90e" PartId="1c291b6f21bc495189182c5a2399b147"/>
      <Part Type="poskyris" Title="Sprendimo projekte numatytos naujos teisinio reglamentavimo nuostatos." DocPartId="7290dd222ba342eaa2e5ff62ef846058" PartId="51b9cb2fb7ba4ffeb8957ff67c41ff64"/>
      <Part Type="poskyris" Title="Priėmus sprendimą, galimos pasekmės (teigiamos, neigiamos)." DocPartId="5b66391a482d44a9b22709c5f95eefea" PartId="fecf86b74f9142679a5661fc059d4b7f"/>
      <Part Type="poskyris" Title="Sprendimui įgyvendinti reikalingos lėšos." DocPartId="c1b5d4c26e1e48a09cdc9b70b1cec846" PartId="551b206d63b442d98e982170668a3721"/>
      <Part Type="poskyris" Title="Sprendimo projekto antikorupcinis vertinimas:" DocPartId="955cbfc209764a7eb3338c3fbc4be4e2" PartId="6220e5ef189f4c3499124ec9394cf423"/>
      <Part Type="poskyris" Title="Numatomo teisinio reguliavimo poveikio vertinimo rezultatai:" DocPartId="1164f6942a174caab26cca3861b0ef15" PartId="797494d0b87843b8850ada4aca0c1b0f"/>
    </Part>
    <Part Type="signatura" DocPartId="dfb486a024ee4e23b8b6e233a6e7a4be" PartId="d6f6a9f5bbeb4726bf430abc07e9087a"/>
  </Part>
</Parts>
</file>

<file path=customXml/itemProps1.xml><?xml version="1.0" encoding="utf-8"?>
<ds:datastoreItem xmlns:ds="http://schemas.openxmlformats.org/officeDocument/2006/customXml" ds:itemID="{A037CB55-9399-4BAF-9B2F-3AA6F1ABAD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505</Words>
  <Characters>4133</Characters>
  <Application>Microsoft Office Word</Application>
  <DocSecurity>4</DocSecurity>
  <Lines>72</Lines>
  <Paragraphs>34</Paragraphs>
  <ScaleCrop>false</ScaleCrop>
  <HeadingPairs>
    <vt:vector size="6" baseType="variant">
      <vt:variant>
        <vt:lpstr>Pavadinimas</vt:lpstr>
      </vt:variant>
      <vt:variant>
        <vt:i4>1</vt:i4>
      </vt:variant>
      <vt:variant>
        <vt:lpstr>Antraštės</vt:lpstr>
      </vt:variant>
      <vt:variant>
        <vt:i4>2</vt:i4>
      </vt:variant>
      <vt:variant>
        <vt:lpstr>Title</vt:lpstr>
      </vt:variant>
      <vt:variant>
        <vt:i4>1</vt:i4>
      </vt:variant>
    </vt:vector>
  </HeadingPairs>
  <TitlesOfParts>
    <vt:vector size="4" baseType="lpstr">
      <vt:lpstr>PATVIRTINTA</vt:lpstr>
      <vt:lpstr>        AIŠKINAMASIS RAŠTAS</vt:lpstr>
      <vt:lpstr>    Šiauliai</vt:lpstr>
      <vt:lpstr>PATVIRTINTA</vt:lpstr>
    </vt:vector>
  </TitlesOfParts>
  <Company/>
  <LinksUpToDate>false</LinksUpToDate>
  <CharactersWithSpaces>4604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2025-11-18T09:25:00Z</dcterms:created>
  <dc:creator>kristina</dc:creator>
  <lastModifiedBy>adlibuser</lastModifiedBy>
  <lastPrinted>2016-08-23T06:21:00Z</lastPrinted>
  <dcterms:modified xsi:type="dcterms:W3CDTF">2025-11-18T09:25:00Z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D7123106-0C90-4FB3-BD9F-C208FABB10F6</vt:lpwstr>
  </property>
</Properties>
</file>