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5040ff3c69b431d8698db17a2ff421b"/>
        <w:lock w:val="sdtLocked"/>
        <w:richText/>
      </w:sdtPr>
      <w:sdtContent>
        <w:p>
          <w:pPr>
            <w:tabs>
              <w:tab w:val="center" w:pos="4320"/>
              <w:tab w:val="right" w:pos="8640"/>
            </w:tabs>
            <w:rPr>
              <w:lang w:val="x-none" w:eastAsia="x-none"/>
            </w:rPr>
          </w:pPr>
        </w:p>
        <w:p>
          <w:pPr>
            <w:jc w:val="center"/>
            <w:rPr>
              <w:b/>
              <w:szCs w:val="24"/>
            </w:rPr>
          </w:pPr>
          <w:r>
            <w:rPr>
              <w:b/>
              <w:szCs w:val="24"/>
            </w:rPr>
            <w:t>ŠIAULIŲ MIESTO SAVIVALDYBĖS ADMINISTRACIJOS</w:t>
          </w:r>
        </w:p>
        <w:sdt>
          <w:sdtPr>
            <w:alias w:val="skyrius"/>
            <w:tag w:val="part_d6040f632221422fbef144be0fc3826c"/>
            <w:lock w:val="sdtLocked"/>
            <w:richText/>
          </w:sdtPr>
          <w:sdtContent>
            <w:p>
              <w:pPr>
                <w:jc w:val="center"/>
                <w:rPr>
                  <w:b/>
                  <w:szCs w:val="24"/>
                </w:rPr>
              </w:pPr>
              <w:r>
                <w:rPr>
                  <w:b/>
                  <w:szCs w:val="24"/>
                </w:rPr>
                <w:t>EKONOMIKOS SKYRIUS</w:t>
              </w:r>
            </w:p>
            <w:p>
              <w:pPr>
                <w:jc w:val="center"/>
                <w:rPr>
                  <w:szCs w:val="24"/>
                </w:rPr>
              </w:pPr>
            </w:p>
            <w:sdt>
              <w:sdtPr>
                <w:alias w:val="Pavadinimas"/>
                <w:tag w:val="title_d6040f632221422fbef144be0fc3826c"/>
                <w:lock w:val="sdtLocked"/>
                <w:richText/>
              </w:sdtPr>
              <w:sdtContent>
                <w:p>
                  <w:pPr>
                    <w:jc w:val="center"/>
                    <w:rPr>
                      <w:b/>
                      <w:szCs w:val="24"/>
                      <w:lang w:val="en-GB"/>
                    </w:rPr>
                  </w:pPr>
                  <w:r>
                    <w:rPr>
                      <w:b/>
                      <w:szCs w:val="24"/>
                    </w:rPr>
                    <w:t>SPRENDIMO „</w:t>
                  </w:r>
                  <w:r>
                    <w:rPr>
                      <w:b/>
                      <w:szCs w:val="24"/>
                      <w:lang w:val="en-GB"/>
                    </w:rPr>
                    <w:t>DĖL ŠIAULIŲ MIESTO SAVIVALDYBĖS 2023 M. KOVO 2 D. SPRENDIMO NR. T-67 „DĖL ELEKTRONINIO BILIETO SU NUOLAIDA, SKIRTO VAŽIUOTI VIETINIO (MIESTO) REGULIARAUS SUSISIEKIMO AUTOBUSŲ MARŠRUTAIS ŠIAULIŲ MIESTO SAVIVALDYBĖJE, ĮSIGIJIMO IR NAUDOJIMO TVARKOS APRAŠO PATVIRTINIMO“ PAKEITIMO</w:t>
                  </w:r>
                  <w:r>
                    <w:rPr>
                      <w:b/>
                      <w:szCs w:val="24"/>
                    </w:rPr>
                    <w:t>“ PROJEKTO</w:t>
                  </w:r>
                </w:p>
                <w:p>
                  <w:pPr>
                    <w:jc w:val="center"/>
                    <w:rPr>
                      <w:b/>
                      <w:szCs w:val="24"/>
                    </w:rPr>
                  </w:pPr>
                  <w:r>
                    <w:rPr>
                      <w:b/>
                      <w:szCs w:val="24"/>
                    </w:rPr>
                    <w:t>AIŠKINAMASIS RAŠTAS</w:t>
                  </w:r>
                </w:p>
              </w:sdtContent>
            </w:sdt>
            <w:p>
              <w:pPr>
                <w:jc w:val="center"/>
                <w:rPr>
                  <w:szCs w:val="24"/>
                </w:rPr>
              </w:pPr>
            </w:p>
            <w:p>
              <w:pPr>
                <w:jc w:val="center"/>
                <w:rPr>
                  <w:szCs w:val="24"/>
                </w:rPr>
              </w:pPr>
              <w:r>
                <w:rPr>
                  <w:szCs w:val="24"/>
                </w:rPr>
                <w:t>2025 m. spalio 9 d.</w:t>
              </w:r>
            </w:p>
            <w:p>
              <w:pPr>
                <w:jc w:val="center"/>
                <w:rPr>
                  <w:szCs w:val="24"/>
                </w:rPr>
              </w:pPr>
              <w:r>
                <w:rPr>
                  <w:szCs w:val="24"/>
                </w:rPr>
                <w:t>Šiauliai</w:t>
              </w:r>
            </w:p>
            <w:p>
              <w:pPr>
                <w:rPr>
                  <w:szCs w:val="24"/>
                </w:rPr>
              </w:pPr>
            </w:p>
            <w:p>
              <w:pPr>
                <w:rPr>
                  <w:szCs w:val="24"/>
                </w:rPr>
              </w:pPr>
            </w:p>
            <w:sdt>
              <w:sdtPr>
                <w:alias w:val="poskyris"/>
                <w:tag w:val="part_6187dadafde84a27b87bf3334962143f"/>
                <w:lock w:val="sdtLocked"/>
                <w:richText/>
              </w:sdtPr>
              <w:sdtContent>
                <w:p>
                  <w:pPr>
                    <w:tabs>
                      <w:tab w:val="left" w:pos="855"/>
                    </w:tabs>
                    <w:ind w:firstLine="680"/>
                    <w:jc w:val="both"/>
                    <w:rPr>
                      <w:szCs w:val="24"/>
                      <w:shd w:val="clear" w:color="auto" w:fill="FFFFFF"/>
                    </w:rPr>
                  </w:pPr>
                  <w:sdt>
                    <w:sdtPr>
                      <w:alias w:val="Pavadinimas"/>
                      <w:tag w:val="title_6187dadafde84a27b87bf3334962143f"/>
                      <w:lock w:val="sdtLocked"/>
                      <w:richText/>
                    </w:sdtPr>
                    <w:sdtContent>
                      <w:r>
                        <w:rPr>
                          <w:b/>
                          <w:szCs w:val="24"/>
                          <w:shd w:val="clear" w:color="auto" w:fill="FFFFFF"/>
                        </w:rPr>
                        <w:t>Parengto sprendimo projekto tikslai ir uždaviniai</w:t>
                      </w:r>
                      <w:r>
                        <w:rPr>
                          <w:b/>
                          <w:szCs w:val="24"/>
                        </w:rPr>
                        <w:t>.</w:t>
                      </w:r>
                    </w:sdtContent>
                  </w:sdt>
                </w:p>
                <w:p>
                  <w:pPr>
                    <w:tabs>
                      <w:tab w:val="left" w:pos="855"/>
                    </w:tabs>
                    <w:ind w:firstLine="680"/>
                    <w:jc w:val="both"/>
                    <w:rPr>
                      <w:color w:val="000000"/>
                      <w:szCs w:val="24"/>
                    </w:rPr>
                  </w:pPr>
                  <w:r>
                    <w:rPr>
                      <w:color w:val="000000"/>
                      <w:szCs w:val="24"/>
                    </w:rPr>
                    <w:t>Parengto sprendimo projekto tikslai:</w:t>
                  </w:r>
                </w:p>
                <w:sdt>
                  <w:sdtPr>
                    <w:alias w:val="1 p."/>
                    <w:tag w:val="part_8fda41462af54b7d92df0d5c420d9a2d"/>
                    <w:lock w:val="sdtLocked"/>
                    <w:richText/>
                  </w:sdtPr>
                  <w:sdtContent>
                    <w:p>
                      <w:pPr>
                        <w:tabs>
                          <w:tab w:val="left" w:pos="855"/>
                          <w:tab w:val="left" w:pos="1134"/>
                        </w:tabs>
                        <w:ind w:firstLine="680"/>
                        <w:jc w:val="both"/>
                        <w:rPr>
                          <w:color w:val="000000"/>
                          <w:szCs w:val="24"/>
                        </w:rPr>
                      </w:pPr>
                      <w:sdt>
                        <w:sdtPr>
                          <w:alias w:val="Numeris"/>
                          <w:tag w:val="nr_8fda41462af54b7d92df0d5c420d9a2d"/>
                          <w:lock w:val="sdtLocked"/>
                          <w:richText/>
                        </w:sdtPr>
                        <w:sdtContent>
                          <w:r>
                            <w:rPr>
                              <w:color w:val="000000"/>
                              <w:szCs w:val="24"/>
                            </w:rPr>
                            <w:t>1</w:t>
                          </w:r>
                        </w:sdtContent>
                      </w:sdt>
                      <w:r>
                        <w:rPr>
                          <w:color w:val="000000"/>
                          <w:szCs w:val="24"/>
                        </w:rPr>
                        <w:t>.</w:t>
                        <w:tab/>
                        <w:t>pakeisti:</w:t>
                      </w:r>
                    </w:p>
                    <w:sdt>
                      <w:sdtPr>
                        <w:alias w:val="1.1 pp."/>
                        <w:tag w:val="part_763754f8134e4dfc89488abf93c1dfb2"/>
                        <w:lock w:val="sdtLocked"/>
                        <w:richText/>
                      </w:sdtPr>
                      <w:sdtContent>
                        <w:p>
                          <w:pPr>
                            <w:tabs>
                              <w:tab w:val="left" w:pos="1276"/>
                            </w:tabs>
                            <w:ind w:firstLine="624"/>
                            <w:jc w:val="both"/>
                            <w:rPr>
                              <w:color w:val="000000"/>
                              <w:szCs w:val="24"/>
                            </w:rPr>
                          </w:pPr>
                          <w:sdt>
                            <w:sdtPr>
                              <w:alias w:val="Numeris"/>
                              <w:tag w:val="nr_763754f8134e4dfc89488abf93c1dfb2"/>
                              <w:lock w:val="sdtLocked"/>
                              <w:richText/>
                            </w:sdtPr>
                            <w:sdtContent>
                              <w:r>
                                <w:rPr>
                                  <w:color w:val="000000"/>
                                  <w:szCs w:val="24"/>
                                </w:rPr>
                                <w:t>1.1</w:t>
                              </w:r>
                            </w:sdtContent>
                          </w:sdt>
                          <w:r>
                            <w:rPr>
                              <w:color w:val="000000"/>
                              <w:szCs w:val="24"/>
                            </w:rPr>
                            <w:t>.</w:t>
                            <w:tab/>
                            <w:t>Šiaulių miesto savivaldybės tarybos 2023 m. kovo 2 d. sprendimo Nr. T-67 „Dėl elektroninio bilieto su nuolaida, skirto važiuoti vietinio (miesto) reguliaraus susisiekimo autobusų maršrutais Šiaulių miesto savivaldybėje, įsigijimo ir naudojimo tvarkos aprašo patvirtinimo“ preambulę ir ją išdėstyti taip:</w:t>
                          </w:r>
                        </w:p>
                        <w:sdt>
                          <w:sdtPr>
                            <w:alias w:val="citata"/>
                            <w:tag w:val="part_bf209955e9a240509682eb05e023a4f8"/>
                            <w:lock w:val="sdtLocked"/>
                            <w:richText/>
                          </w:sdtPr>
                          <w:sdtContent>
                            <w:sdt>
                              <w:sdtPr>
                                <w:alias w:val="pastraipa"/>
                                <w:tag w:val="part_c4079720612c4ba58f133b2f58c2c058"/>
                                <w:lock w:val="sdtLocked"/>
                                <w:richText/>
                              </w:sdtPr>
                              <w:sdtContent>
                                <w:p>
                                  <w:pPr>
                                    <w:ind w:firstLine="624"/>
                                    <w:jc w:val="both"/>
                                    <w:rPr>
                                      <w:color w:val="000000"/>
                                      <w:szCs w:val="24"/>
                                    </w:rPr>
                                  </w:pPr>
                                  <w:r>
                                    <w:rPr>
                                      <w:color w:val="000000"/>
                                      <w:szCs w:val="24"/>
                                    </w:rPr>
                                    <w:t xml:space="preserve">„Vadovaudamasi Lietuvos Respublikos vietos savivaldos įstatymo 15 straipsnio 2 dalies 29 punktu, Lietuvos Respublikos kelių transporto kodekso 16 straipsnio 2 dalimi, Lietuvos Respublikos viešojo keleivinio transporto lengvatų įstatymo 4 straipsnio 2 dalimi, Šiaulių miesto savivaldybės taryba </w:t>
                                  </w:r>
                                  <w:r>
                                    <w:rPr>
                                      <w:color w:val="000000"/>
                                      <w:spacing w:val="40"/>
                                      <w:szCs w:val="24"/>
                                    </w:rPr>
                                    <w:t>nusprendžia</w:t>
                                  </w:r>
                                  <w:r>
                                    <w:rPr>
                                      <w:color w:val="000000"/>
                                      <w:szCs w:val="24"/>
                                    </w:rPr>
                                    <w:t>:“.</w:t>
                                  </w:r>
                                </w:p>
                              </w:sdtContent>
                            </w:sdt>
                          </w:sdtContent>
                        </w:sdt>
                      </w:sdtContent>
                    </w:sdt>
                    <w:sdt>
                      <w:sdtPr>
                        <w:alias w:val="1.2 pp."/>
                        <w:tag w:val="part_7fd4899c1f464aacaddc7ec3d282dd9a"/>
                        <w:lock w:val="sdtLocked"/>
                        <w:richText/>
                      </w:sdtPr>
                      <w:sdtContent>
                        <w:p>
                          <w:pPr>
                            <w:tabs>
                              <w:tab w:val="left" w:pos="855"/>
                              <w:tab w:val="left" w:pos="1276"/>
                            </w:tabs>
                            <w:ind w:firstLine="680"/>
                            <w:jc w:val="both"/>
                            <w:rPr>
                              <w:color w:val="000000"/>
                              <w:szCs w:val="24"/>
                            </w:rPr>
                          </w:pPr>
                          <w:sdt>
                            <w:sdtPr>
                              <w:alias w:val="Numeris"/>
                              <w:tag w:val="nr_7fd4899c1f464aacaddc7ec3d282dd9a"/>
                              <w:lock w:val="sdtLocked"/>
                              <w:richText/>
                            </w:sdtPr>
                            <w:sdtContent>
                              <w:r>
                                <w:rPr>
                                  <w:color w:val="000000"/>
                                  <w:szCs w:val="24"/>
                                </w:rPr>
                                <w:t>1.2</w:t>
                              </w:r>
                            </w:sdtContent>
                          </w:sdt>
                          <w:r>
                            <w:rPr>
                              <w:color w:val="000000"/>
                              <w:szCs w:val="24"/>
                            </w:rPr>
                            <w:t>.</w:t>
                            <w:tab/>
                            <w:t xml:space="preserve">Elektroninio bilieto su nuolaida, skirto važiuoti vietinio (miesto) reguliaraus susisiekimo autobusų maršrutais Šiaulių miesto savivaldybėje, įsigijimo ir naudojimo tvarkos aprašą, patvirtintą Šiaulių miesto savivaldybės tarybos 2023 m. kovo 2 d. sprendimo Nr. T-67 „Dėl elektroninio bilieto su nuolaida, skirto važiuoti vietinio (miesto) reguliaraus susisiekimo autobusų maršrutais Šiaulių miesto savivaldybėje, įsigijimo ir naudojimo tvarkos aprašo patvirtinimo“ 1 punktu, (toliau – Aprašas) pakoreguojant teisės akto pavadinimą ir nurodant, kad </w:t>
                          </w:r>
                          <w:r>
                            <w:rPr>
                              <w:rFonts w:eastAsia="HG Mincho Light J"/>
                              <w:bCs/>
                              <w:color w:val="000000"/>
                              <w:szCs w:val="24"/>
                              <w:lang w:eastAsia="ar-SA"/>
                            </w:rPr>
                            <w:t>už vieną keleivio važiavimą vežėjui mokama</w:t>
                          </w:r>
                          <w:r>
                            <w:rPr>
                              <w:bCs/>
                              <w:color w:val="000000"/>
                              <w:szCs w:val="24"/>
                              <w:lang w:eastAsia="ar-SA"/>
                            </w:rPr>
                            <w:t xml:space="preserve"> </w:t>
                          </w:r>
                          <w:r>
                            <w:rPr>
                              <w:rFonts w:eastAsia="HG Mincho Light J"/>
                              <w:bCs/>
                              <w:color w:val="000000"/>
                              <w:szCs w:val="24"/>
                              <w:lang w:eastAsia="ar-SA"/>
                            </w:rPr>
                            <w:t>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w:t>
                          </w:r>
                          <w:r>
                            <w:rPr>
                              <w:color w:val="000000"/>
                              <w:szCs w:val="24"/>
                            </w:rPr>
                            <w:t>.</w:t>
                          </w:r>
                        </w:p>
                      </w:sdtContent>
                    </w:sdt>
                  </w:sdtContent>
                </w:sdt>
                <w:sdt>
                  <w:sdtPr>
                    <w:alias w:val="2 p."/>
                    <w:tag w:val="part_6135f7d420264626b07bc1a31438b442"/>
                    <w:lock w:val="sdtLocked"/>
                    <w:richText/>
                  </w:sdtPr>
                  <w:sdtContent>
                    <w:p>
                      <w:pPr>
                        <w:tabs>
                          <w:tab w:val="left" w:pos="855"/>
                          <w:tab w:val="left" w:pos="1134"/>
                        </w:tabs>
                        <w:ind w:firstLine="680"/>
                        <w:jc w:val="both"/>
                        <w:rPr>
                          <w:color w:val="000000"/>
                          <w:szCs w:val="24"/>
                        </w:rPr>
                      </w:pPr>
                      <w:sdt>
                        <w:sdtPr>
                          <w:alias w:val="Numeris"/>
                          <w:tag w:val="nr_6135f7d420264626b07bc1a31438b442"/>
                          <w:lock w:val="sdtLocked"/>
                          <w:richText/>
                        </w:sdtPr>
                        <w:sdtContent>
                          <w:r>
                            <w:rPr>
                              <w:color w:val="000000"/>
                              <w:szCs w:val="24"/>
                            </w:rPr>
                            <w:t>2</w:t>
                          </w:r>
                        </w:sdtContent>
                      </w:sdt>
                      <w:r>
                        <w:rPr>
                          <w:color w:val="000000"/>
                          <w:szCs w:val="24"/>
                        </w:rPr>
                        <w:t>.</w:t>
                        <w:tab/>
                        <w:t>nustatyti, kad šio sprendimo 2 punktas įsigalioja nuo 2026 m. sausio 1 d.</w:t>
                      </w:r>
                    </w:p>
                  </w:sdtContent>
                </w:sdt>
              </w:sdtContent>
            </w:sdt>
            <w:sdt>
              <w:sdtPr>
                <w:alias w:val="poskyris"/>
                <w:tag w:val="part_610b52b5fcb04a00abf05956a8f11198"/>
                <w:lock w:val="sdtLocked"/>
                <w:richText/>
              </w:sdtPr>
              <w:sdtContent>
                <w:p>
                  <w:pPr>
                    <w:tabs>
                      <w:tab w:val="left" w:pos="855"/>
                    </w:tabs>
                    <w:ind w:firstLine="680"/>
                    <w:jc w:val="both"/>
                    <w:rPr>
                      <w:b/>
                      <w:szCs w:val="24"/>
                      <w:shd w:val="clear" w:color="auto" w:fill="FFFFFF"/>
                    </w:rPr>
                  </w:pPr>
                  <w:sdt>
                    <w:sdtPr>
                      <w:alias w:val="Pavadinimas"/>
                      <w:tag w:val="title_610b52b5fcb04a00abf05956a8f11198"/>
                      <w:lock w:val="sdtLocked"/>
                      <w:richText/>
                    </w:sdtPr>
                    <w:sdtContent>
                      <w:r>
                        <w:rPr>
                          <w:b/>
                          <w:szCs w:val="24"/>
                          <w:shd w:val="clear" w:color="auto" w:fill="FFFFFF"/>
                        </w:rPr>
                        <w:t>Dabartinis sprendimo projekte aptariamų klausimų reguliavimas.</w:t>
                      </w:r>
                    </w:sdtContent>
                  </w:sdt>
                </w:p>
                <w:p>
                  <w:pPr>
                    <w:tabs>
                      <w:tab w:val="left" w:pos="855"/>
                    </w:tabs>
                    <w:ind w:firstLine="680"/>
                    <w:jc w:val="both"/>
                    <w:rPr>
                      <w:color w:val="000000"/>
                      <w:szCs w:val="24"/>
                    </w:rPr>
                  </w:pPr>
                  <w:r>
                    <w:rPr>
                      <w:color w:val="000000"/>
                      <w:szCs w:val="24"/>
                    </w:rPr>
                    <w:t>Elektroninio bilieto su nuolaida, skirto važiuoti vietinio (miesto) reguliaraus susisiekimo autobusų maršrutais Šiaulių miesto savivaldybėje, įsigijimo ir naudojimo tvarkos aprašas, patvirtintas Šiaulių miesto savivaldybės tarybos 2023 m. kovo 2 d. sprendimo Nr. T-67 „Dėl elektroninio bilieto su nuolaida, skirto važiuoti vietinio (miesto) reguliaraus susisiekimo autobusų maršrutais Šiaulių miesto savivaldybėje, įsigijimo ir naudojimo tvarkos aprašo patvirtinimo“ 1 punktu (toliau – Tvarkos aprašas) (galiojanti suvestinė redakcija nuo 2025-01-01).</w:t>
                  </w:r>
                </w:p>
              </w:sdtContent>
            </w:sdt>
            <w:sdt>
              <w:sdtPr>
                <w:alias w:val="poskyris"/>
                <w:tag w:val="part_cc0e51c682ae479ea438e80aef899cd1"/>
                <w:lock w:val="sdtLocked"/>
                <w:richText/>
              </w:sdtPr>
              <w:sdtContent>
                <w:p>
                  <w:pPr>
                    <w:tabs>
                      <w:tab w:val="left" w:pos="855"/>
                    </w:tabs>
                    <w:ind w:firstLine="680"/>
                    <w:jc w:val="both"/>
                    <w:rPr>
                      <w:szCs w:val="24"/>
                    </w:rPr>
                  </w:pPr>
                  <w:sdt>
                    <w:sdtPr>
                      <w:alias w:val="Pavadinimas"/>
                      <w:tag w:val="title_cc0e51c682ae479ea438e80aef899cd1"/>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 w:val="left" w:pos="1134"/>
                    </w:tabs>
                    <w:ind w:firstLine="680"/>
                    <w:jc w:val="both"/>
                    <w:rPr>
                      <w:bCs/>
                      <w:color w:val="000000"/>
                      <w:szCs w:val="24"/>
                    </w:rPr>
                  </w:pPr>
                  <w:r>
                    <w:rPr>
                      <w:bCs/>
                      <w:color w:val="000000"/>
                      <w:szCs w:val="24"/>
                    </w:rPr>
                    <w:t>Aprašo 8 punktas pakeičiamas ir išdėstomas nauja redakcija, patikslinant teisės akto pavadinimą.</w:t>
                  </w:r>
                </w:p>
                <w:p>
                  <w:pPr>
                    <w:tabs>
                      <w:tab w:val="left" w:pos="1134"/>
                    </w:tabs>
                    <w:ind w:firstLine="680"/>
                    <w:jc w:val="both"/>
                    <w:rPr>
                      <w:bCs/>
                      <w:color w:val="000000"/>
                      <w:szCs w:val="24"/>
                    </w:rPr>
                  </w:pPr>
                  <w:r>
                    <w:rPr>
                      <w:bCs/>
                      <w:color w:val="000000"/>
                      <w:szCs w:val="24"/>
                    </w:rPr>
                    <w:t xml:space="preserve">Aprašo 30.2, 30.3 papunkčiai ir 35 punktas pakeičiami ir išdėstomi nauja redakcija, atsisakant nurodyti konkrečią vieno vienkartinio bilieto, įsigyjamo Šiaulių miesto savivaldybės prekybos vietose, kainą, kadangi kiekvienais metais Šiaulių miesto savivaldybės administracija ir vežėjas </w:t>
                  </w:r>
                  <w:r>
                    <w:rPr>
                      <w:szCs w:val="24"/>
                    </w:rPr>
                    <w:t>peržiūri keleivių vežimo reguliariais reisais vietinio susisiekimo maršrutais tarifų dydžius, atsižvelgiant į vežimo sąnaudų ir gautų pajamų pokyčius</w:t>
                  </w:r>
                  <w:r>
                    <w:rPr>
                      <w:bCs/>
                      <w:color w:val="000000"/>
                      <w:szCs w:val="24"/>
                    </w:rPr>
                    <w:t xml:space="preserve">, ir nurodant, kad už vieną </w:t>
                  </w:r>
                  <w:r>
                    <w:rPr>
                      <w:rFonts w:eastAsia="HG Mincho Light J"/>
                      <w:bCs/>
                      <w:color w:val="000000"/>
                      <w:szCs w:val="24"/>
                      <w:lang w:eastAsia="ar-SA"/>
                    </w:rPr>
                    <w:t>keleivio važiavimą vežėjui mokama</w:t>
                  </w:r>
                  <w:r>
                    <w:rPr>
                      <w:bCs/>
                      <w:color w:val="000000"/>
                      <w:szCs w:val="24"/>
                      <w:lang w:eastAsia="ar-SA"/>
                    </w:rPr>
                    <w:t xml:space="preserve"> </w:t>
                  </w:r>
                  <w:r>
                    <w:rPr>
                      <w:rFonts w:eastAsia="HG Mincho Light J"/>
                      <w:bCs/>
                      <w:color w:val="000000"/>
                      <w:szCs w:val="24"/>
                      <w:lang w:eastAsia="ar-SA"/>
                    </w:rPr>
                    <w:t>nustatyta vieno vienkartinio bilieto, įsigyjamo Šiaulių miesto savivaldybės prekybos vietose, kaina, vadovaujantis galiojančiu Šiaulių miesto savivaldybės tarybos sprendimu dėl keleivių vežimo vietinio (miesto) reguliaraus susisiekimo autobusų maršrutais Šiaulių miesto savivaldybėje kainų nustatymo. Tokia apibendrinta formuluotė Apraše leidžia sumažinti susijusių teisės aktų koregavimų.</w:t>
                  </w:r>
                </w:p>
                <w:p>
                  <w:pPr>
                    <w:tabs>
                      <w:tab w:val="left" w:pos="855"/>
                    </w:tabs>
                    <w:ind w:firstLine="68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pPr>
                    <w:ind w:firstLine="680"/>
                    <w:jc w:val="both"/>
                    <w:rPr>
                      <w:color w:val="000000"/>
                      <w:szCs w:val="24"/>
                    </w:rPr>
                  </w:pPr>
                  <w:r>
                    <w:rPr>
                      <w:szCs w:val="24"/>
                      <w:shd w:val="clear" w:color="auto" w:fill="FFFFFF"/>
                    </w:rPr>
                    <w:t>Galimos t</w:t>
                  </w:r>
                  <w:r>
                    <w:rPr>
                      <w:color w:val="000000"/>
                      <w:szCs w:val="24"/>
                    </w:rPr>
                    <w:t>eigiamos pasekmės – patikslinto Aprašo punktai atitiks galiojančius teisės aktus.</w:t>
                  </w:r>
                </w:p>
                <w:p>
                  <w:pPr>
                    <w:ind w:firstLine="680"/>
                    <w:jc w:val="both"/>
                    <w:rPr>
                      <w:color w:val="000000"/>
                      <w:szCs w:val="24"/>
                    </w:rPr>
                  </w:pPr>
                  <w:r>
                    <w:rPr>
                      <w:color w:val="000000"/>
                      <w:szCs w:val="24"/>
                    </w:rPr>
                    <w:t>Galimos neigiamų pasekmių nenumatyta.</w:t>
                  </w:r>
                </w:p>
              </w:sdtContent>
            </w:sdt>
            <w:sdt>
              <w:sdtPr>
                <w:alias w:val="poskyris"/>
                <w:tag w:val="part_7046dfe77f06453aa2e15d69f41c0f10"/>
                <w:lock w:val="sdtLocked"/>
                <w:richText/>
              </w:sdtPr>
              <w:sdtContent>
                <w:p>
                  <w:pPr>
                    <w:tabs>
                      <w:tab w:val="left" w:pos="855"/>
                    </w:tabs>
                    <w:ind w:firstLine="680"/>
                    <w:jc w:val="both"/>
                    <w:rPr>
                      <w:szCs w:val="24"/>
                    </w:rPr>
                  </w:pPr>
                  <w:sdt>
                    <w:sdtPr>
                      <w:alias w:val="Pavadinimas"/>
                      <w:tag w:val="title_7046dfe77f06453aa2e15d69f41c0f10"/>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1200"/>
                    </w:tabs>
                    <w:ind w:firstLine="680"/>
                    <w:jc w:val="both"/>
                    <w:rPr>
                      <w:rFonts w:eastAsia="Lucida Sans Unicode" w:cs="Tahoma"/>
                      <w:color w:val="000000"/>
                      <w:szCs w:val="24"/>
                      <w:shd w:val="clear" w:color="auto" w:fill="FFFFFF"/>
                    </w:rPr>
                  </w:pPr>
                  <w:r>
                    <w:rPr>
                      <w:rFonts w:eastAsia="Lucida Sans Unicode" w:cs="Tahoma"/>
                      <w:color w:val="000000"/>
                      <w:szCs w:val="24"/>
                      <w:shd w:val="clear" w:color="auto" w:fill="FFFFFF"/>
                    </w:rPr>
                    <w:t>Priėmus sprendimą, keičiamų ar pripažįstamų negaliojančiais teisės aktais nėra.</w:t>
                  </w:r>
                </w:p>
              </w:sdtContent>
            </w:sdt>
            <w:sdt>
              <w:sdtPr>
                <w:alias w:val="poskyris"/>
                <w:tag w:val="part_a48601ef5ca74857839d6b4c1058b44e"/>
                <w:lock w:val="sdtLocked"/>
                <w:richText/>
              </w:sdtPr>
              <w:sdtContent>
                <w:p>
                  <w:pPr>
                    <w:tabs>
                      <w:tab w:val="left" w:pos="855"/>
                    </w:tabs>
                    <w:ind w:firstLine="680"/>
                    <w:jc w:val="both"/>
                    <w:rPr>
                      <w:szCs w:val="24"/>
                      <w:shd w:val="clear" w:color="auto" w:fill="FFFFFF"/>
                    </w:rPr>
                  </w:pPr>
                  <w:sdt>
                    <w:sdtPr>
                      <w:alias w:val="Pavadinimas"/>
                      <w:tag w:val="title_a48601ef5ca74857839d6b4c1058b44e"/>
                      <w:lock w:val="sdtLocked"/>
                      <w:richText/>
                    </w:sdtPr>
                    <w:sdtContent>
                      <w:r>
                        <w:rPr>
                          <w:b/>
                          <w:szCs w:val="24"/>
                          <w:shd w:val="clear" w:color="auto" w:fill="FFFFFF"/>
                        </w:rPr>
                        <w:t>Sprendimui įgyvendinti reikalingi priimti papildomi teisės aktai.</w:t>
                      </w:r>
                    </w:sdtContent>
                  </w:sdt>
                </w:p>
                <w:p>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34bf82db680b4ad39358397de445f170"/>
                <w:lock w:val="sdtLocked"/>
                <w:richText/>
              </w:sdtPr>
              <w:sdtContent>
                <w:p>
                  <w:pPr>
                    <w:tabs>
                      <w:tab w:val="left" w:pos="855"/>
                    </w:tabs>
                    <w:ind w:firstLine="680"/>
                    <w:jc w:val="both"/>
                    <w:rPr>
                      <w:szCs w:val="24"/>
                      <w:shd w:val="clear" w:color="auto" w:fill="FFFFFF"/>
                    </w:rPr>
                  </w:pPr>
                  <w:sdt>
                    <w:sdtPr>
                      <w:alias w:val="Pavadinimas"/>
                      <w:tag w:val="title_34bf82db680b4ad39358397de445f170"/>
                      <w:lock w:val="sdtLocked"/>
                      <w:richText/>
                    </w:sdtPr>
                    <w:sdtContent>
                      <w:r>
                        <w:rPr>
                          <w:b/>
                          <w:szCs w:val="24"/>
                          <w:shd w:val="clear" w:color="auto" w:fill="FFFFFF"/>
                        </w:rPr>
                        <w:t>Sprendimui įgyvendinti reikalingos lėšos.</w:t>
                      </w:r>
                    </w:sdtContent>
                  </w:sdt>
                </w:p>
                <w:p>
                  <w:pPr>
                    <w:tabs>
                      <w:tab w:val="left" w:pos="1200"/>
                    </w:tabs>
                    <w:ind w:firstLine="680"/>
                    <w:jc w:val="both"/>
                    <w:rPr>
                      <w:color w:val="000000"/>
                      <w:szCs w:val="24"/>
                    </w:rPr>
                  </w:pPr>
                  <w:r>
                    <w:rPr>
                      <w:color w:val="000000"/>
                      <w:szCs w:val="24"/>
                      <w:shd w:val="clear" w:color="auto" w:fill="FFFFFF"/>
                    </w:rPr>
                    <w:t xml:space="preserve">Sprendimui įgyvendinti lėšos reikalingos, kadangi </w:t>
                  </w:r>
                  <w:r>
                    <w:rPr>
                      <w:color w:val="000000"/>
                      <w:szCs w:val="24"/>
                    </w:rPr>
                    <w:t>vežėjo išlaidos (negautos pajamos), susijusios su lengvatų teikimu, kompensuojamos pagal su jais sudarytas sutartis iš Šiaulių miesto savivaldybės biudžeto</w:t>
                  </w:r>
                  <w:r>
                    <w:rPr>
                      <w:color w:val="000000"/>
                      <w:szCs w:val="24"/>
                      <w:shd w:val="clear" w:color="auto" w:fill="FFFFFF"/>
                    </w:rPr>
                    <w:t>. Prognozuojama, kad 2026 m. vežėjo išlaidos (negautos pajamos) sudarys 2 815,3 tūkst. Eur, t. y. 201,3 tūkst. Eur daugiau nei 2025 m.</w:t>
                  </w:r>
                </w:p>
                <w:p>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skyrius. Ekonomikos skyriaus vedėja – Aistė Petkuvienė. Tiesioginis rengėjas – vedėjo pavaduotoja, Laura Bračaitė-Štabokienė, tel. (0 41) 383 435. Projekto iniciatoriai: Ekonomikos skyrius.</w:t>
                  </w:r>
                </w:p>
                <w:p>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pPr>
                    <w:tabs>
                      <w:tab w:val="left" w:pos="855"/>
                    </w:tabs>
                    <w:ind w:firstLine="680"/>
                    <w:jc w:val="both"/>
                    <w:rPr>
                      <w:szCs w:val="24"/>
                      <w:shd w:val="clear" w:color="auto" w:fill="FFFFFF"/>
                    </w:rPr>
                  </w:pPr>
                  <w:r>
                    <w:rPr>
                      <w:szCs w:val="24"/>
                      <w:shd w:val="clear" w:color="auto" w:fill="FFFFFF"/>
                    </w:rPr>
                    <w:t>Neatlikta ir nenumatyta.</w:t>
                  </w:r>
                </w:p>
                <w:p>
                  <w:pPr>
                    <w:rPr>
                      <w:szCs w:val="24"/>
                    </w:rPr>
                  </w:pPr>
                </w:p>
                <w:p>
                  <w:pPr>
                    <w:rPr>
                      <w:szCs w:val="24"/>
                    </w:rPr>
                  </w:pPr>
                </w:p>
              </w:sdtContent>
            </w:sdt>
          </w:sdtContent>
        </w:sdt>
        <w:sdt>
          <w:sdtPr>
            <w:alias w:val="signatura"/>
            <w:tag w:val="part_2c2d9b79fb6d4956a01d1c49d5aa6926"/>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w:t>
                <w:tab/>
                <w:t>Aistė Petkuvienė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default"/>
    <w:sig w:usb0="00000000" w:usb1="00000000" w:usb2="00000000" w:usb3="00000000" w:csb0="00040001"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72b4560fab140df8441487e647a5565" PartId="45040ff3c69b431d8698db17a2ff421b">
    <Part Type="skyrius" Nr="999" Title="SPRENDIMO „DĖL ŠIAULIŲ MIESTO SAVIVALDYBĖS 2023 M. KOVO 2 D. SPRENDIMO NR. T-67 „DĖL ELEKTRONINIO BILIETO SU NUOLAIDA, SKIRTO VAŽIUOTI VIETINIO (MIESTO) REGULIARAUS SUSISIEKIMO AUTOBUSŲ MARŠRUTAIS ŠIAULIŲ MIESTO SAVIVALDYBĖJE, ĮSIGIJIMO IR NAUDOJIMO TVARKOS APRAŠO PATVIRTINIMO“ PAKEITIMO“ PROJEKTO AIŠKINAMASIS RAŠTAS" DocPartId="5bc140bd0fa74b0687cee605cfacb6b9" PartId="d6040f632221422fbef144be0fc3826c">
      <Part Type="poskyris" Title="Parengto sprendimo projekto tikslai ir uždaviniai." DocPartId="30f3338a0f86475080c07ddef2f0ae09" PartId="6187dadafde84a27b87bf3334962143f">
        <Part Type="punktas" Nr="1" Abbr="1 p." DocPartId="de49065f700c4612aad652a63769971f" PartId="8fda41462af54b7d92df0d5c420d9a2d">
          <Part Type="papunktis" Nr="1.1" Abbr="1.1 pp." DocPartId="287892292fd140279a33cea066286157" PartId="763754f8134e4dfc89488abf93c1dfb2">
            <Part Type="citata" DocPartId="6e285eb7768745c8b910552dadb3f803" PartId="bf209955e9a240509682eb05e023a4f8">
              <Part Type="pastraipa" DocPartId="19891d81b34243fdad5037eaeb452fdd" PartId="c4079720612c4ba58f133b2f58c2c058"/>
            </Part>
          </Part>
          <Part Type="papunktis" Nr="1.2" Abbr="1.2 pp." DocPartId="9dfae33611ab41868c7edbf91565bae5" PartId="7fd4899c1f464aacaddc7ec3d282dd9a"/>
        </Part>
        <Part Type="punktas" Nr="2" Abbr="2 p." DocPartId="8c1ebecd8afe48bf9d384c616157bb67" PartId="6135f7d420264626b07bc1a31438b442"/>
      </Part>
      <Part Type="poskyris" Title="Dabartinis sprendimo projekte aptariamų klausimų reguliavimas." DocPartId="7ff1fcee739d412181153e04ea218a42" PartId="610b52b5fcb04a00abf05956a8f11198"/>
      <Part Type="poskyris" Title="Sprendimo projekte numatytos naujos teisinio reglamentavimo nuostatos." DocPartId="58e3828b01b4443cb950fd80ea9bec80" PartId="cc0e51c682ae479ea438e80aef899cd1"/>
      <Part Type="poskyris" Title="Priėmus sprendimą, keičiami ar pripažįstami negaliojančiais teisės aktai." DocPartId="88155e78a100459f905293deb5f41b23" PartId="7046dfe77f06453aa2e15d69f41c0f10"/>
      <Part Type="poskyris" Title="Sprendimui įgyvendinti reikalingi priimti papildomi teisės aktai." DocPartId="9c315caba25946a7b4a47bff945a8187" PartId="a48601ef5ca74857839d6b4c1058b44e"/>
      <Part Type="poskyris" Title="Sprendimui įgyvendinti reikalingos lėšos." DocPartId="cd0204b4756d4502add9f2a0550c3b8d" PartId="34bf82db680b4ad39358397de445f170"/>
    </Part>
    <Part Type="signatura" DocPartId="95ac5dd36a3b42239415b44280eb21bb" PartId="2c2d9b79fb6d4956a01d1c49d5aa6926"/>
  </Part>
</Parts>
</file>

<file path=customXml/itemProps1.xml><?xml version="1.0" encoding="utf-8"?>
<ds:datastoreItem xmlns:ds="http://schemas.openxmlformats.org/officeDocument/2006/customXml" ds:itemID="{DABFCD72-DA6F-4E5F-850E-B6C2D98C85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629</Words>
  <Characters>4698</Characters>
  <Application>Microsoft Office Word</Application>
  <DocSecurity>4</DocSecurity>
  <Lines>82</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2025-10-15T06:42:00Z</dcterms:created>
  <dc:creator>Dovilė Žukauskienė</dc:creator>
  <lastModifiedBy>adlibuser</lastModifiedBy>
  <dcterms:modified xsi:type="dcterms:W3CDTF">2025-10-15T06:42:00Z</dcterms:modified>
  <revision>2</revision>
</coreProperties>
</file>