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10096d06faf486cb8264beb3ce908b0"/>
        <w:lock w:val="sdtLocked"/>
        <w:richText/>
      </w:sdtPr>
      <w:sdtContent>
        <w:p>
          <w:pPr>
            <w:tabs>
              <w:tab w:val="center" w:pos="4680"/>
              <w:tab w:val="right" w:pos="9360"/>
            </w:tabs>
            <w:rPr>
              <w:sz w:val="22"/>
              <w:szCs w:val="22"/>
              <w:lang w:eastAsia="lt-LT"/>
            </w:rPr>
          </w:pPr>
        </w:p>
        <w:p>
          <w:pPr>
            <w:suppressAutoHyphens/>
            <w:jc w:val="center"/>
            <w:textAlignment w:val="baseline"/>
            <w:rPr>
              <w:b/>
              <w:szCs w:val="24"/>
              <w:lang w:eastAsia="lt-LT"/>
            </w:rPr>
          </w:pPr>
          <w:r>
            <w:rPr>
              <w:b/>
              <w:szCs w:val="24"/>
              <w:lang w:eastAsia="lt-LT"/>
            </w:rPr>
            <w:t>TEISĖS AKTŲ PROJEKTŲ ANTIKORUPCINIO VERTINIMO PAŽYMA</w:t>
          </w:r>
        </w:p>
        <w:p>
          <w:pPr>
            <w:suppressAutoHyphens/>
            <w:textAlignment w:val="baseline"/>
            <w:rPr>
              <w:szCs w:val="24"/>
              <w:lang w:eastAsia="lt-LT"/>
            </w:rPr>
          </w:pPr>
        </w:p>
        <w:p>
          <w:pPr>
            <w:jc w:val="center"/>
            <w:rPr>
              <w:bCs/>
              <w:szCs w:val="24"/>
              <w:u w:val="single"/>
            </w:rPr>
          </w:pPr>
          <w:r>
            <w:rPr>
              <w:szCs w:val="24"/>
              <w:lang w:eastAsia="lt-LT"/>
            </w:rPr>
            <w:t xml:space="preserve">Teisės akto projekto pavadinimas </w:t>
          </w:r>
          <w:r>
            <w:rPr>
              <w:szCs w:val="24"/>
              <w:u w:val="single"/>
              <w:lang w:eastAsia="lt-LT"/>
            </w:rPr>
            <w:t xml:space="preserve">Sprendimo </w:t>
          </w:r>
          <w:r>
            <w:rPr>
              <w:u w:val="single"/>
            </w:rPr>
            <w:t>„</w:t>
          </w:r>
          <w:r>
            <w:rPr>
              <w:bCs/>
              <w:szCs w:val="24"/>
              <w:u w:val="single"/>
            </w:rPr>
            <w:t xml:space="preserve">Dėl Šiaulių miesto priešmokyklinio ugdymo grupių skaičiaus ir švietimo įstaigose įgyvendinamų </w:t>
          </w:r>
        </w:p>
        <w:sdt>
          <w:sdtPr>
            <w:alias w:val="preambule"/>
            <w:tag w:val="part_e10b8ee5048a473aafdbfb398e76fd19"/>
            <w:lock w:val="sdtLocked"/>
            <w:richText/>
          </w:sdtPr>
          <w:sdtContent>
            <w:p>
              <w:pPr>
                <w:rPr>
                  <w:bCs/>
                  <w:szCs w:val="24"/>
                </w:rPr>
              </w:pPr>
              <w:r>
                <w:rPr>
                  <w:bCs/>
                  <w:szCs w:val="24"/>
                  <w:u w:val="single"/>
                </w:rPr>
                <w:t>priešmokyklinio ugdymo organizavimo modelių 2024–2025 mokslo metais nustatymo</w:t>
              </w:r>
              <w:r>
                <w:rPr>
                  <w:color w:val="000000"/>
                  <w:szCs w:val="24"/>
                  <w:u w:val="single"/>
                  <w:lang w:eastAsia="ar-SA"/>
                </w:rPr>
                <w:t xml:space="preserve">“ </w:t>
              </w:r>
              <w:r>
                <w:rPr>
                  <w:u w:val="single"/>
                  <w:lang w:eastAsia="lt-LT"/>
                </w:rPr>
                <w:t>projektas.</w:t>
              </w:r>
            </w:p>
          </w:sdtContent>
        </w:sdt>
        <w:sdt>
          <w:sdtPr>
            <w:alias w:val="pastraipa"/>
            <w:tag w:val="part_1e2e87a10cd54da7b75379a2c7cf2d34"/>
            <w:lock w:val="sdtLocked"/>
            <w:richText/>
          </w:sdtPr>
          <w:sdtContent>
            <w:p>
              <w:pPr>
                <w:jc w:val="both"/>
                <w:rPr>
                  <w:szCs w:val="24"/>
                  <w:u w:val="single"/>
                </w:rPr>
              </w:pPr>
              <w:r>
                <w:rPr>
                  <w:szCs w:val="24"/>
                  <w:lang w:eastAsia="lt-LT"/>
                </w:rPr>
                <w:t xml:space="preserve">Teisės akto projekto tiesioginis rengėjas </w:t>
              </w:r>
              <w:r>
                <w:rPr>
                  <w:szCs w:val="24"/>
                  <w:u w:val="single"/>
                  <w:lang w:eastAsia="lt-LT"/>
                </w:rPr>
                <w:t xml:space="preserve">Edita Badaukienė, </w:t>
              </w:r>
              <w:r>
                <w:rPr>
                  <w:szCs w:val="24"/>
                  <w:u w:val="single"/>
                </w:rPr>
                <w:t>Švietimo skyriaus vyriausioji specialistė.</w:t>
              </w:r>
            </w:p>
            <w:p>
              <w:pPr>
                <w:suppressAutoHyphens/>
                <w:textAlignment w:val="baseline"/>
                <w:rPr>
                  <w:color w:val="000000"/>
                </w:rPr>
              </w:pPr>
              <w:r>
                <w:rPr>
                  <w:color w:val="000000"/>
                </w:rPr>
                <w:t>Teisės akto projekto antikorupcinis vertinimas atliktas (</w:t>
              </w:r>
              <w:r>
                <w:rPr>
                  <w:i/>
                  <w:color w:val="000000"/>
                </w:rPr>
                <w:t>pažymėti reikiamą atsakymą</w:t>
              </w:r>
              <w:r>
                <w:rPr>
                  <w:color w:val="000000"/>
                </w:rPr>
                <w:t>):</w:t>
              </w:r>
            </w:p>
            <w:p>
              <w:pPr>
                <w:suppressAutoHyphens/>
                <w:ind w:firstLine="1296"/>
                <w:jc w:val="both"/>
                <w:textAlignment w:val="baseline"/>
                <w:rPr>
                  <w:szCs w:val="24"/>
                  <w:lang w:eastAsia="lt-LT"/>
                </w:rPr>
              </w:pP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pPr>
                <w:suppressAutoHyphens/>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p>
            <w:p>
              <w:pPr>
                <w:suppressAutoHyphens/>
                <w:jc w:val="both"/>
                <w:textAlignment w:val="baseline"/>
              </w:pPr>
              <w:r>
                <w:t>_________________________________________________________________________________________________________________________</w:t>
              </w:r>
            </w:p>
            <w:p>
              <w:pPr>
                <w:suppressAutoHyphens/>
                <w:jc w:val="both"/>
                <w:textAlignment w:val="baseline"/>
              </w:pPr>
              <w:r>
                <w:rPr>
                  <w:szCs w:val="24"/>
                  <w:lang w:eastAsia="lt-LT"/>
                </w:rPr>
                <w:t>_________________________________________________________________________________________________________________________</w:t>
              </w:r>
            </w:p>
            <w:p>
              <w:pPr>
                <w:suppressAutoHyphens/>
                <w:jc w:val="both"/>
                <w:textAlignment w:val="baseline"/>
                <w:rPr>
                  <w:szCs w:val="24"/>
                  <w:lang w:eastAsia="lt-LT"/>
                </w:rPr>
              </w:pPr>
            </w:p>
          </w:sdtContent>
        </w:sdt>
        <w:sdt>
          <w:sdtPr>
            <w:alias w:val="lentele"/>
            <w:tag w:val="part_28abdb88c460452c8e53a33253841905"/>
            <w:lock w:val="sdtLocked"/>
            <w:richText/>
          </w:sdtPr>
          <w:sdtContent>
            <w:tbl>
              <w:tblPr>
                <w:tblW w:w="147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716"/>
                <w:gridCol w:w="3433"/>
                <w:gridCol w:w="4005"/>
                <w:gridCol w:w="3862"/>
                <w:gridCol w:w="2728"/>
              </w:tblGrid>
              <w:tr>
                <w:trPr>
                  <w:trHeight w:val="21"/>
                </w:trPr>
                <w:tc>
                  <w:tcPr>
                    <w:tcW w:w="7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szCs w:val="24"/>
                        <w:lang w:eastAsia="lt-LT"/>
                      </w:rPr>
                      <w:t>Eil. Nr.</w:t>
                    </w:r>
                  </w:p>
                </w:tc>
                <w:tc>
                  <w:tcPr>
                    <w:tcW w:w="34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szCs w:val="24"/>
                        <w:lang w:eastAsia="lt-LT"/>
                      </w:rPr>
                      <w:t>Kriterijus</w:t>
                    </w:r>
                  </w:p>
                </w:tc>
                <w:tc>
                  <w:tcPr>
                    <w:tcW w:w="40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uppressAutoHyphens/>
                      <w:jc w:val="center"/>
                      <w:textAlignment w:val="baseline"/>
                      <w:rPr>
                        <w:szCs w:val="24"/>
                        <w:lang w:eastAsia="lt-LT"/>
                      </w:rPr>
                    </w:pPr>
                  </w:p>
                  <w:p>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27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szCs w:val="24"/>
                        <w:lang w:eastAsia="lt-LT"/>
                      </w:rPr>
                      <w:t>Išvada dėl teisės akto projekto pakeitimų arba argumentų, kodėl neatsižvelgta į pastabą</w:t>
                    </w:r>
                  </w:p>
                  <w:p>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trPr>
                  <w:trHeight w:val="21"/>
                </w:trPr>
                <w:tc>
                  <w:tcPr>
                    <w:tcW w:w="7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w:t>
                    </w:r>
                  </w:p>
                </w:tc>
                <w:tc>
                  <w:tcPr>
                    <w:tcW w:w="34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40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3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27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trHeight w:val="21"/>
                </w:trPr>
                <w:tc>
                  <w:tcPr>
                    <w:tcW w:w="7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jc w:val="center"/>
                      <w:textAlignment w:val="baseline"/>
                      <w:rPr>
                        <w:szCs w:val="24"/>
                        <w:lang w:eastAsia="lt-LT"/>
                      </w:rPr>
                    </w:pPr>
                    <w:r>
                      <w:rPr>
                        <w:szCs w:val="24"/>
                        <w:lang w:eastAsia="lt-LT"/>
                      </w:rPr>
                      <w:t>2.</w:t>
                    </w:r>
                  </w:p>
                </w:tc>
                <w:tc>
                  <w:tcPr>
                    <w:tcW w:w="34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40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szCs w:val="24"/>
                        <w:lang w:eastAsia="lt-LT"/>
                      </w:rPr>
                    </w:pPr>
                  </w:p>
                </w:tc>
                <w:tc>
                  <w:tcPr>
                    <w:tcW w:w="3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szCs w:val="24"/>
                        <w:lang w:eastAsia="lt-LT"/>
                      </w:rPr>
                    </w:pPr>
                  </w:p>
                </w:tc>
                <w:tc>
                  <w:tcPr>
                    <w:tcW w:w="27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 tenkina</w:t>
                    </w:r>
                  </w:p>
                  <w:p>
                    <w:pPr>
                      <w:keepNext/>
                      <w:suppressAutoHyphens/>
                      <w:textAlignment w:val="baseline"/>
                      <w:rPr>
                        <w:szCs w:val="24"/>
                        <w:lang w:eastAsia="lt-LT"/>
                      </w:rPr>
                    </w:pPr>
                    <w:r>
                      <w:rPr>
                        <w:szCs w:val="24"/>
                        <w:lang w:eastAsia="lt-LT"/>
                      </w:rPr>
                      <w:t>□ netenkina</w:t>
                    </w:r>
                  </w:p>
                </w:tc>
              </w:tr>
              <w:tr>
                <w:trPr>
                  <w:trHeight w:val="21"/>
                </w:trPr>
                <w:tc>
                  <w:tcPr>
                    <w:tcW w:w="7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3.</w:t>
                    </w:r>
                  </w:p>
                </w:tc>
                <w:tc>
                  <w:tcPr>
                    <w:tcW w:w="34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40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ind w:firstLine="1296"/>
                      <w:textAlignment w:val="baseline"/>
                      <w:rPr>
                        <w:szCs w:val="24"/>
                        <w:lang w:eastAsia="lt-LT"/>
                      </w:rPr>
                    </w:pPr>
                  </w:p>
                </w:tc>
                <w:tc>
                  <w:tcPr>
                    <w:tcW w:w="3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7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trHeight w:val="21"/>
                </w:trPr>
                <w:tc>
                  <w:tcPr>
                    <w:tcW w:w="7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4.</w:t>
                    </w:r>
                  </w:p>
                </w:tc>
                <w:tc>
                  <w:tcPr>
                    <w:tcW w:w="34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40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7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trHeight w:val="21"/>
                </w:trPr>
                <w:tc>
                  <w:tcPr>
                    <w:tcW w:w="7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5.</w:t>
                    </w:r>
                  </w:p>
                </w:tc>
                <w:tc>
                  <w:tcPr>
                    <w:tcW w:w="34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nustatytas baigtinis sprendimų priėmimo kriterijų (atvejų) sąrašas</w:t>
                    </w:r>
                  </w:p>
                </w:tc>
                <w:tc>
                  <w:tcPr>
                    <w:tcW w:w="40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7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trHeight w:val="21"/>
                </w:trPr>
                <w:tc>
                  <w:tcPr>
                    <w:tcW w:w="7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6.</w:t>
                    </w:r>
                  </w:p>
                </w:tc>
                <w:tc>
                  <w:tcPr>
                    <w:tcW w:w="34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40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7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trHeight w:val="21"/>
                </w:trPr>
                <w:tc>
                  <w:tcPr>
                    <w:tcW w:w="7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7.</w:t>
                    </w:r>
                  </w:p>
                </w:tc>
                <w:tc>
                  <w:tcPr>
                    <w:tcW w:w="34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40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7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trHeight w:val="21"/>
                </w:trPr>
                <w:tc>
                  <w:tcPr>
                    <w:tcW w:w="7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pPr>
                    <w:r>
                      <w:t>8.</w:t>
                    </w:r>
                  </w:p>
                </w:tc>
                <w:tc>
                  <w:tcPr>
                    <w:tcW w:w="34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t xml:space="preserve">Teisės akto projekte nustatyti sprendimų dėl mažareikšmiškumo kriterijai ir priėmimo tvarka </w:t>
                    </w:r>
                  </w:p>
                </w:tc>
                <w:tc>
                  <w:tcPr>
                    <w:tcW w:w="40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3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27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trHeight w:val="21"/>
                </w:trPr>
                <w:tc>
                  <w:tcPr>
                    <w:tcW w:w="7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9.</w:t>
                    </w:r>
                  </w:p>
                </w:tc>
                <w:tc>
                  <w:tcPr>
                    <w:tcW w:w="34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pPr>
                      <w:suppressAutoHyphens/>
                      <w:ind w:left="33"/>
                      <w:textAlignment w:val="baseline"/>
                      <w:rPr>
                        <w:szCs w:val="24"/>
                      </w:rPr>
                    </w:pPr>
                    <w:r>
                      <w:rPr>
                        <w:szCs w:val="24"/>
                      </w:rPr>
                      <w:t>9.1. konkretus narių skaičius, užtikrinantis kolegialaus sprendimus priimančio subjekto veiklos objektyvumą;</w:t>
                    </w:r>
                  </w:p>
                  <w:p>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pPr>
                      <w:suppressAutoHyphens/>
                      <w:textAlignment w:val="baseline"/>
                    </w:pPr>
                    <w:r>
                      <w:rPr>
                        <w:szCs w:val="24"/>
                        <w:lang w:eastAsia="lt-LT"/>
                      </w:rPr>
                      <w:t>9.3</w:t>
                    </w:r>
                    <w:r>
                      <w:rPr>
                        <w:spacing w:val="-4"/>
                        <w:szCs w:val="24"/>
                        <w:lang w:eastAsia="lt-LT"/>
                      </w:rPr>
                      <w:t>. narių skyrimo mechanizmas;</w:t>
                    </w:r>
                  </w:p>
                  <w:p>
                    <w:pPr>
                      <w:suppressAutoHyphens/>
                      <w:textAlignment w:val="baseline"/>
                      <w:rPr>
                        <w:szCs w:val="24"/>
                        <w:lang w:eastAsia="lt-LT"/>
                      </w:rPr>
                    </w:pPr>
                    <w:r>
                      <w:rPr>
                        <w:szCs w:val="24"/>
                        <w:lang w:eastAsia="lt-LT"/>
                      </w:rPr>
                      <w:t>9.4. narių rotacija ir kadencijų skaičius ir trukmė;</w:t>
                    </w:r>
                  </w:p>
                  <w:p>
                    <w:pPr>
                      <w:suppressAutoHyphens/>
                      <w:textAlignment w:val="baseline"/>
                      <w:rPr>
                        <w:szCs w:val="24"/>
                      </w:rPr>
                    </w:pPr>
                    <w:r>
                      <w:rPr>
                        <w:szCs w:val="24"/>
                      </w:rPr>
                      <w:t>9.5. veiklos pobūdis laiko atžvilgiu;</w:t>
                    </w:r>
                  </w:p>
                  <w:p>
                    <w:pPr>
                      <w:suppressAutoHyphens/>
                      <w:textAlignment w:val="baseline"/>
                      <w:rPr>
                        <w:szCs w:val="24"/>
                        <w:lang w:eastAsia="lt-LT"/>
                      </w:rPr>
                    </w:pPr>
                    <w:r>
                      <w:rPr>
                        <w:szCs w:val="24"/>
                        <w:lang w:eastAsia="lt-LT"/>
                      </w:rPr>
                      <w:t>9.6. asmeninė narių atsakomybė.</w:t>
                    </w:r>
                  </w:p>
                </w:tc>
                <w:tc>
                  <w:tcPr>
                    <w:tcW w:w="40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i/>
                        <w:szCs w:val="24"/>
                        <w:lang w:eastAsia="lt-LT"/>
                      </w:rPr>
                    </w:pPr>
                  </w:p>
                </w:tc>
                <w:tc>
                  <w:tcPr>
                    <w:tcW w:w="3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7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trHeight w:val="21"/>
                </w:trPr>
                <w:tc>
                  <w:tcPr>
                    <w:tcW w:w="7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10.</w:t>
                    </w:r>
                  </w:p>
                </w:tc>
                <w:tc>
                  <w:tcPr>
                    <w:tcW w:w="34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40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7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trHeight w:val="21"/>
                </w:trPr>
                <w:tc>
                  <w:tcPr>
                    <w:tcW w:w="7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jc w:val="center"/>
                      <w:textAlignment w:val="baseline"/>
                      <w:rPr>
                        <w:szCs w:val="24"/>
                        <w:lang w:eastAsia="lt-LT"/>
                      </w:rPr>
                    </w:pPr>
                    <w:r>
                      <w:rPr>
                        <w:szCs w:val="24"/>
                        <w:lang w:eastAsia="lt-LT"/>
                      </w:rPr>
                      <w:t>11.</w:t>
                    </w:r>
                  </w:p>
                </w:tc>
                <w:tc>
                  <w:tcPr>
                    <w:tcW w:w="34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pPr>
                    <w:r>
                      <w:rPr>
                        <w:szCs w:val="24"/>
                        <w:lang w:eastAsia="lt-LT"/>
                      </w:rPr>
                      <w:t>Teisės akto projekte nustatytas baigtinis motyvuotų atvejų, kai nustatoma procedūra netaikoma, sąrašas</w:t>
                    </w:r>
                  </w:p>
                </w:tc>
                <w:tc>
                  <w:tcPr>
                    <w:tcW w:w="40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szCs w:val="24"/>
                        <w:lang w:eastAsia="lt-LT"/>
                      </w:rPr>
                    </w:pPr>
                  </w:p>
                </w:tc>
                <w:tc>
                  <w:tcPr>
                    <w:tcW w:w="3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szCs w:val="24"/>
                        <w:lang w:eastAsia="lt-LT"/>
                      </w:rPr>
                    </w:pPr>
                  </w:p>
                </w:tc>
                <w:tc>
                  <w:tcPr>
                    <w:tcW w:w="27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 tenkina</w:t>
                    </w:r>
                  </w:p>
                  <w:p>
                    <w:pPr>
                      <w:keepNext/>
                      <w:suppressAutoHyphens/>
                      <w:textAlignment w:val="baseline"/>
                      <w:rPr>
                        <w:szCs w:val="24"/>
                        <w:lang w:eastAsia="lt-LT"/>
                      </w:rPr>
                    </w:pPr>
                    <w:r>
                      <w:rPr>
                        <w:szCs w:val="24"/>
                        <w:lang w:eastAsia="lt-LT"/>
                      </w:rPr>
                      <w:t>□ netenkina</w:t>
                    </w:r>
                  </w:p>
                </w:tc>
              </w:tr>
              <w:tr>
                <w:trPr>
                  <w:trHeight w:val="21"/>
                </w:trPr>
                <w:tc>
                  <w:tcPr>
                    <w:tcW w:w="7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12.</w:t>
                    </w:r>
                  </w:p>
                </w:tc>
                <w:tc>
                  <w:tcPr>
                    <w:tcW w:w="34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rPr>
                        <w:szCs w:val="24"/>
                        <w:lang w:eastAsia="lt-LT"/>
                      </w:rPr>
                      <w:t>Teisės akto projektas nustato jo nuostatoms įgyvendinti numatytų procedūrų ir sprendimų priėmimo konkrečius terminus</w:t>
                    </w:r>
                  </w:p>
                </w:tc>
                <w:tc>
                  <w:tcPr>
                    <w:tcW w:w="40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7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trHeight w:val="21"/>
                </w:trPr>
                <w:tc>
                  <w:tcPr>
                    <w:tcW w:w="7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13.</w:t>
                    </w:r>
                  </w:p>
                </w:tc>
                <w:tc>
                  <w:tcPr>
                    <w:tcW w:w="34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projektas nustato motyvuotas terminų sustabdymo ir pratęsimo galimybes</w:t>
                    </w:r>
                  </w:p>
                </w:tc>
                <w:tc>
                  <w:tcPr>
                    <w:tcW w:w="40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7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trHeight w:val="21"/>
                </w:trPr>
                <w:tc>
                  <w:tcPr>
                    <w:tcW w:w="7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14.</w:t>
                    </w:r>
                  </w:p>
                </w:tc>
                <w:tc>
                  <w:tcPr>
                    <w:tcW w:w="34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40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3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27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trHeight w:val="21"/>
                </w:trPr>
                <w:tc>
                  <w:tcPr>
                    <w:tcW w:w="7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15.</w:t>
                    </w:r>
                  </w:p>
                </w:tc>
                <w:tc>
                  <w:tcPr>
                    <w:tcW w:w="34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40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7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trHeight w:val="21"/>
                </w:trPr>
                <w:tc>
                  <w:tcPr>
                    <w:tcW w:w="7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16.</w:t>
                    </w:r>
                  </w:p>
                </w:tc>
                <w:tc>
                  <w:tcPr>
                    <w:tcW w:w="34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40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7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trHeight w:val="21"/>
                </w:trPr>
                <w:tc>
                  <w:tcPr>
                    <w:tcW w:w="7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jc w:val="center"/>
                      <w:textAlignment w:val="baseline"/>
                      <w:rPr>
                        <w:szCs w:val="24"/>
                        <w:lang w:eastAsia="lt-LT"/>
                      </w:rPr>
                    </w:pPr>
                    <w:r>
                      <w:rPr>
                        <w:szCs w:val="24"/>
                        <w:lang w:eastAsia="lt-LT"/>
                      </w:rPr>
                      <w:t>17.</w:t>
                    </w:r>
                  </w:p>
                </w:tc>
                <w:tc>
                  <w:tcPr>
                    <w:tcW w:w="34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40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jc w:val="center"/>
                      <w:textAlignment w:val="baseline"/>
                      <w:rPr>
                        <w:b/>
                        <w:szCs w:val="24"/>
                        <w:lang w:eastAsia="lt-LT"/>
                      </w:rPr>
                    </w:pPr>
                  </w:p>
                </w:tc>
                <w:tc>
                  <w:tcPr>
                    <w:tcW w:w="3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b/>
                        <w:szCs w:val="24"/>
                        <w:lang w:eastAsia="lt-LT"/>
                      </w:rPr>
                    </w:pPr>
                  </w:p>
                </w:tc>
                <w:tc>
                  <w:tcPr>
                    <w:tcW w:w="27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 tenkina</w:t>
                    </w:r>
                  </w:p>
                  <w:p>
                    <w:pPr>
                      <w:keepNext/>
                      <w:suppressAutoHyphens/>
                      <w:textAlignment w:val="baseline"/>
                      <w:rPr>
                        <w:szCs w:val="24"/>
                        <w:lang w:eastAsia="lt-LT"/>
                      </w:rPr>
                    </w:pPr>
                    <w:r>
                      <w:rPr>
                        <w:szCs w:val="24"/>
                        <w:lang w:eastAsia="lt-LT"/>
                      </w:rPr>
                      <w:t>□ netenkina</w:t>
                    </w:r>
                  </w:p>
                </w:tc>
              </w:tr>
              <w:tr>
                <w:trPr>
                  <w:trHeight w:val="21"/>
                </w:trPr>
                <w:tc>
                  <w:tcPr>
                    <w:tcW w:w="7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18.</w:t>
                    </w:r>
                  </w:p>
                </w:tc>
                <w:tc>
                  <w:tcPr>
                    <w:tcW w:w="34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40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7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trHeight w:val="21"/>
                </w:trPr>
                <w:tc>
                  <w:tcPr>
                    <w:tcW w:w="7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19.</w:t>
                    </w:r>
                  </w:p>
                </w:tc>
                <w:tc>
                  <w:tcPr>
                    <w:tcW w:w="34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rPr>
                        <w:szCs w:val="24"/>
                        <w:lang w:eastAsia="lt-LT"/>
                      </w:rPr>
                      <w:t>Kiti svarbūs kriterijai</w:t>
                    </w:r>
                  </w:p>
                </w:tc>
                <w:tc>
                  <w:tcPr>
                    <w:tcW w:w="40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7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bl>
            <w:p/>
          </w:sdtContent>
        </w:sdt>
        <w:sdt>
          <w:sdtPr>
            <w:alias w:val="lentele"/>
            <w:tag w:val="part_6f9972ce73a7406cb366dd492d376d62"/>
            <w:lock w:val="sdtLocked"/>
            <w:richText/>
          </w:sdtPr>
          <w:sdtContent>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4254"/>
                <w:gridCol w:w="3826"/>
                <w:gridCol w:w="3969"/>
                <w:gridCol w:w="2521"/>
              </w:tblGrid>
              <w:tr>
                <w:trPr>
                  <w:trHeight w:val="880"/>
                </w:trPr>
                <w:tc>
                  <w:tcPr>
                    <w:tcW w:w="1460" w:type="pct"/>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r>
                      <w:rPr>
                        <w:szCs w:val="24"/>
                        <w:lang w:eastAsia="lt-LT"/>
                      </w:rPr>
                      <w:t>Teisės akto projekto tiesioginis rengėjas:</w:t>
                    </w:r>
                  </w:p>
                </w:tc>
                <w:tc>
                  <w:tcPr>
                    <w:tcW w:w="1313" w:type="pct"/>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p>
                </w:tc>
                <w:tc>
                  <w:tcPr>
                    <w:tcW w:w="1362" w:type="pct"/>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r>
                      <w:rPr>
                        <w:szCs w:val="24"/>
                        <w:lang w:eastAsia="lt-LT"/>
                      </w:rPr>
                      <w:t>Teisės akto projekto vertintojas:</w:t>
                    </w:r>
                  </w:p>
                </w:tc>
                <w:tc>
                  <w:tcPr>
                    <w:tcW w:w="865" w:type="pct"/>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r>
              <w:tr>
                <w:trPr>
                  <w:trHeight w:val="21"/>
                </w:trPr>
                <w:tc>
                  <w:tcPr>
                    <w:tcW w:w="1460" w:type="pct"/>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r>
                      <w:rPr>
                        <w:szCs w:val="24"/>
                        <w:lang w:eastAsia="lt-LT"/>
                      </w:rPr>
                      <w:t>Švietimo skyriaus vyriausioji specialistė Edita Badaukienė</w:t>
                    </w:r>
                  </w:p>
                </w:tc>
                <w:tc>
                  <w:tcPr>
                    <w:tcW w:w="1313" w:type="pct"/>
                    <w:tcBorders>
                      <w:top w:val="nil"/>
                      <w:left w:val="nil"/>
                      <w:bottom w:val="nil"/>
                      <w:right w:val="nil"/>
                    </w:tcBorders>
                    <w:tcMar>
                      <w:top w:w="0" w:type="dxa"/>
                      <w:left w:w="108" w:type="dxa"/>
                      <w:bottom w:w="0" w:type="dxa"/>
                      <w:right w:w="108" w:type="dxa"/>
                    </w:tcMar>
                    <w:hideMark/>
                  </w:tcPr>
                  <w:p>
                    <w:pPr>
                      <w:suppressAutoHyphens/>
                      <w:ind w:left="-11" w:firstLine="11"/>
                      <w:textAlignment w:val="baseline"/>
                      <w:rPr>
                        <w:szCs w:val="24"/>
                        <w:lang w:eastAsia="lt-LT"/>
                      </w:rPr>
                    </w:pPr>
                  </w:p>
                </w:tc>
                <w:tc>
                  <w:tcPr>
                    <w:tcW w:w="1362" w:type="pct"/>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r>
                      <w:rPr>
                        <w:szCs w:val="24"/>
                        <w:lang w:eastAsia="lt-LT"/>
                      </w:rPr>
                      <w:t xml:space="preserve">Už korupcijai atsparios aplinkos kūrimą atsakingas asmuo </w:t>
                    </w:r>
                  </w:p>
                  <w:p>
                    <w:pPr>
                      <w:suppressAutoHyphens/>
                      <w:textAlignment w:val="baseline"/>
                      <w:rPr>
                        <w:szCs w:val="24"/>
                        <w:lang w:eastAsia="lt-LT"/>
                      </w:rPr>
                    </w:pPr>
                    <w:r>
                      <w:rPr>
                        <w:color w:val="212529"/>
                        <w:szCs w:val="24"/>
                        <w:shd w:val="clear" w:color="auto" w:fill="F8F9FA"/>
                      </w:rPr>
                      <w:t>Jolita Naudžiūnaitė – Janišauskienė</w:t>
                    </w:r>
                  </w:p>
                </w:tc>
                <w:tc>
                  <w:tcPr>
                    <w:tcW w:w="865" w:type="pct"/>
                    <w:tcBorders>
                      <w:top w:val="nil"/>
                      <w:left w:val="nil"/>
                      <w:bottom w:val="nil"/>
                      <w:right w:val="nil"/>
                    </w:tcBorders>
                    <w:tcMar>
                      <w:top w:w="0" w:type="dxa"/>
                      <w:left w:w="108" w:type="dxa"/>
                      <w:bottom w:w="0" w:type="dxa"/>
                      <w:right w:w="108" w:type="dxa"/>
                    </w:tcMar>
                    <w:hideMark/>
                  </w:tcPr>
                  <w:p>
                    <w:pPr>
                      <w:suppressAutoHyphens/>
                      <w:ind w:left="-11" w:firstLine="11"/>
                      <w:textAlignment w:val="baseline"/>
                      <w:rPr>
                        <w:szCs w:val="24"/>
                        <w:lang w:eastAsia="lt-LT"/>
                      </w:rPr>
                    </w:pPr>
                  </w:p>
                </w:tc>
              </w:tr>
              <w:tr>
                <w:trPr>
                  <w:trHeight w:val="21"/>
                </w:trPr>
                <w:tc>
                  <w:tcPr>
                    <w:tcW w:w="1460" w:type="pct"/>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1313" w:type="pct"/>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1362" w:type="pct"/>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865" w:type="pct"/>
                    <w:tcBorders>
                      <w:top w:val="nil"/>
                      <w:left w:val="nil"/>
                      <w:bottom w:val="nil"/>
                      <w:right w:val="nil"/>
                    </w:tcBorders>
                    <w:tcMar>
                      <w:top w:w="0" w:type="dxa"/>
                      <w:left w:w="108" w:type="dxa"/>
                      <w:bottom w:w="0" w:type="dxa"/>
                      <w:right w:w="108" w:type="dxa"/>
                    </w:tcMar>
                  </w:tcPr>
                  <w:p>
                    <w:pPr>
                      <w:suppressAutoHyphens/>
                      <w:ind w:left="-11" w:firstLine="11"/>
                      <w:textAlignment w:val="baseline"/>
                      <w:rPr>
                        <w:szCs w:val="24"/>
                        <w:lang w:eastAsia="lt-LT"/>
                      </w:rPr>
                    </w:pPr>
                  </w:p>
                </w:tc>
              </w:tr>
              <w:tr>
                <w:trPr>
                  <w:trHeight w:val="524"/>
                </w:trPr>
                <w:tc>
                  <w:tcPr>
                    <w:tcW w:w="1460" w:type="pct"/>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r>
                      <w:rPr>
                        <w:szCs w:val="24"/>
                        <w:lang w:eastAsia="lt-LT"/>
                      </w:rPr>
                      <w:t>(parašas)</w:t>
                    </w:r>
                  </w:p>
                </w:tc>
                <w:tc>
                  <w:tcPr>
                    <w:tcW w:w="1313" w:type="pct"/>
                    <w:tcBorders>
                      <w:top w:val="nil"/>
                      <w:left w:val="nil"/>
                      <w:bottom w:val="nil"/>
                      <w:right w:val="nil"/>
                    </w:tcBorders>
                    <w:tcMar>
                      <w:top w:w="0" w:type="dxa"/>
                      <w:left w:w="108" w:type="dxa"/>
                      <w:bottom w:w="0" w:type="dxa"/>
                      <w:right w:w="108" w:type="dxa"/>
                    </w:tcMar>
                  </w:tcPr>
                  <w:p>
                    <w:pPr>
                      <w:suppressAutoHyphens/>
                      <w:ind w:left="-11" w:firstLine="11"/>
                      <w:textAlignment w:val="baseline"/>
                      <w:rPr>
                        <w:szCs w:val="24"/>
                        <w:lang w:eastAsia="lt-LT"/>
                      </w:rPr>
                    </w:pPr>
                  </w:p>
                </w:tc>
                <w:tc>
                  <w:tcPr>
                    <w:tcW w:w="1362" w:type="pct"/>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r>
                      <w:rPr>
                        <w:szCs w:val="24"/>
                        <w:lang w:eastAsia="lt-LT"/>
                      </w:rPr>
                      <w:t>(parašas)</w:t>
                    </w:r>
                  </w:p>
                </w:tc>
                <w:tc>
                  <w:tcPr>
                    <w:tcW w:w="865" w:type="pct"/>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r>
            </w:tbl>
            <w:p>
              <w:pPr>
                <w:widowControl w:val="0"/>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6838" w:h="11906" w:orient="landscape" w:code="9"/>
      <w:pgMar w:top="1701" w:right="1134" w:bottom="567" w:left="1134"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680"/>
        <w:tab w:val="right" w:pos="9360"/>
      </w:tabs>
      <w:rPr>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24B05411-2707-4FA8-985A-15DD76FA774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59758303">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5f4f921942140ed8d59b268b531e2b8" PartId="e10096d06faf486cb8264beb3ce908b0">
    <Part Type="preambule" DocPartId="52eef57c13824a37af044da55bcc79a3" PartId="e10b8ee5048a473aafdbfb398e76fd19"/>
    <Part Type="pastraipa" DocPartId="38a2bfad88d64953a2022ca9d5b7aa58" PartId="1e2e87a10cd54da7b75379a2c7cf2d34"/>
    <Part Type="lentele" DocPartId="405fe97b205644f7b3742bf92917500b" PartId="28abdb88c460452c8e53a33253841905"/>
    <Part Type="lentele" DocPartId="852a983028574873948eb20d3bc1adce" PartId="6f9972ce73a7406cb366dd492d376d62"/>
  </Part>
</Parts>
</file>

<file path=customXml/itemProps1.xml><?xml version="1.0" encoding="utf-8"?>
<ds:datastoreItem xmlns:ds="http://schemas.openxmlformats.org/officeDocument/2006/customXml" ds:itemID="{0852B70C-4111-4419-BA98-F280FA7C6811}">
  <ds:schemaRefs>
    <ds:schemaRef ds:uri="http://schemas.openxmlformats.org/officeDocument/2006/bibliography"/>
  </ds:schemaRefs>
</ds:datastoreItem>
</file>

<file path=customXml/itemProps2.xml><?xml version="1.0" encoding="utf-8"?>
<ds:datastoreItem xmlns:ds="http://schemas.openxmlformats.org/officeDocument/2006/customXml" ds:itemID="{CB1F61B6-F548-4DC5-97A7-F3FD191DAA8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757</Words>
  <Characters>5628</Characters>
  <Application>Microsoft Office Word</Application>
  <DocSecurity>4</DocSecurity>
  <Lines>296</Lines>
  <Paragraphs>122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6263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2024-01-10T07:54:00Z</dcterms:created>
  <dc:creator>lrvk</dc:creator>
  <lastModifiedBy>adlibuser</lastModifiedBy>
  <lastPrinted>2022-06-08T07:48:00Z</lastPrinted>
  <dcterms:modified xsi:type="dcterms:W3CDTF">2024-01-10T07:54:00Z</dcterms:modified>
  <revision>2</revision>
</coreProperties>
</file>