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ba1c10369214c2589f48d8218754ddf"/>
        <w:lock w:val="sdtLocked"/>
        <w:richText/>
      </w:sdtPr>
      <w:sdtContent>
        <w:p w14:paraId="6FC55C86" w14:textId="77777777">
          <w:pPr>
            <w:tabs>
              <w:tab w:val="center" w:pos="4819"/>
              <w:tab w:val="right" w:pos="9638"/>
            </w:tabs>
            <w:suppressAutoHyphens/>
            <w:rPr>
              <w:sz w:val="22"/>
              <w:szCs w:val="22"/>
            </w:rPr>
          </w:pPr>
        </w:p>
        <w:p w14:paraId="672A24BC" w14:textId="77777777">
          <w:pPr>
            <w:suppressAutoHyphens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ADMINISTRACIJOS</w:t>
          </w:r>
        </w:p>
        <w:sdt>
          <w:sdtPr>
            <w:alias w:val="skyrius"/>
            <w:tag w:val="part_c84c053cdd974b8b8da973838bb51f7d"/>
            <w:lock w:val="sdtLocked"/>
            <w:richText/>
          </w:sdtPr>
          <w:sdtContent>
            <w:p w14:paraId="56D03542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ŠVIETIMO SKYRIUS</w:t>
              </w:r>
            </w:p>
            <w:p w14:paraId="0C981393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</w:p>
            <w:sdt>
              <w:sdtPr>
                <w:alias w:val="Pavadinimas"/>
                <w:tag w:val="title_c84c053cdd974b8b8da973838bb51f7d"/>
                <w:lock w:val="sdtLocked"/>
                <w:richText/>
              </w:sdtPr>
              <w:sdtContent>
                <w:p w14:paraId="4133A5C6" w14:textId="77777777">
                  <w:pPr>
                    <w:suppressAutoHyphens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SPRENDIMO „DĖL PRIEŠMOKYKLINIO UGDYMO GRUPIŲ SKAIČIAUS IR</w:t>
                  </w:r>
                </w:p>
                <w:p w14:paraId="756B7FAF" w14:textId="77777777">
                  <w:pPr>
                    <w:suppressAutoHyphens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ĮGYVENDINAMŲ PRIEŠMOKYKLINIO UGDYMO ORGANIZAVIMO MODELIŲ</w:t>
                  </w:r>
                </w:p>
                <w:p w14:paraId="380E45D9" w14:textId="4A47287A">
                  <w:pPr>
                    <w:suppressAutoHyphens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NUSTATYMO ŠVIETIMO ĮSTAIGOSE 2024–2025 MOKSLO METAIS“</w:t>
                  </w:r>
                </w:p>
                <w:p w14:paraId="169A779E" w14:textId="77777777">
                  <w:pPr>
                    <w:suppressAutoHyphens/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PROJEKTO AIŠKINAMASIS RAŠTAS</w:t>
                  </w:r>
                </w:p>
              </w:sdtContent>
            </w:sdt>
            <w:p w14:paraId="3EEB9D73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</w:p>
            <w:p w14:paraId="70040F54" w14:textId="3856F7EC">
              <w:pPr>
                <w:suppressAutoHyphens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2024-01-09</w:t>
              </w:r>
            </w:p>
            <w:p w14:paraId="66CCFF73" w14:textId="77777777">
              <w:pPr>
                <w:suppressAutoHyphens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6170DB62" w14:textId="77777777">
              <w:pPr>
                <w:suppressAutoHyphens/>
                <w:jc w:val="center"/>
                <w:rPr>
                  <w:szCs w:val="24"/>
                </w:rPr>
              </w:pPr>
            </w:p>
            <w:sdt>
              <w:sdtPr>
                <w:alias w:val="poskyris"/>
                <w:tag w:val="part_871a699f8f474aed97415dc3cf035d0a"/>
                <w:lock w:val="sdtLocked"/>
                <w:richText/>
              </w:sdtPr>
              <w:sdtContent>
                <w:p w14:paraId="419D1B10" w14:textId="77777777">
                  <w:pPr>
                    <w:suppressAutoHyphens/>
                    <w:ind w:firstLine="851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871a699f8f474aed97415dc3cf035d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Parengto sprendimo projekto tikslai ir uždaviniai.</w:t>
                      </w:r>
                    </w:sdtContent>
                  </w:sdt>
                </w:p>
                <w:p w14:paraId="43241432" w14:textId="24107F99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Parengto sprendimo projekto tikslas – nustatyti priešmokyklinio ugdymo grupių skaičių ir įgyvendinamus priešmokyklinio ugdymo organizavimo modelius švietimo įstaigose 2023–2024 mokslo metais.</w:t>
                  </w:r>
                </w:p>
              </w:sdtContent>
            </w:sdt>
            <w:sdt>
              <w:sdtPr>
                <w:alias w:val="poskyris"/>
                <w:tag w:val="part_f552eb3139ef4ac59de4d00a8456f786"/>
                <w:lock w:val="sdtLocked"/>
                <w:richText/>
              </w:sdtPr>
              <w:sdtContent>
                <w:p w14:paraId="5A27A4C5" w14:textId="77777777">
                  <w:pPr>
                    <w:tabs>
                      <w:tab w:val="left" w:pos="851"/>
                    </w:tabs>
                    <w:suppressAutoHyphens/>
                    <w:ind w:firstLine="851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f552eb3139ef4ac59de4d00a8456f78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3DE8F4E8" w14:textId="48C46356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Priešmokyklinio ugdymo grupių skaičius ir ugdymo organizavimo modeliai nustatomi vadovaujantis Šiaulių miesto savivaldybės tarybos 2019 m. gruodžio 12 d. sprendimo Nr. T-459 „Dėl Vaikų registravimo ir priėmimo į Šiaulių miesto savivaldybės švietimo įstaigas, vykdančias ikimokyklinio ir (ar) priešmokyklinio ugdymo programas, tvarkos aprašo patvirtinimo“ 1 punktu,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16 punktu ir Priėmimo į Šiaulių miesto savivaldybės bendrojo ugdymo mokyklas tvarkos aprašo, patvirtinto Šiaulių miesto savivaldybės tarybos 2019 m. gruodžio 12 d. Nr. T-459 „Dėl Priėmimo į Šiaulių miesto savivaldybės bendrojo ugdymo mokyklas tvarkos aprašo patvirtinimo“ (Šiaulių miesto savivaldybės tarybos 2023 m. gruodžio 21 d. sprendimo Nr. T-472 redakcija) 1 punktu, 11 punktu bei Savivaldybės administracijos direktoriaus 2017 m. kovo 6 d. įsakymu Nr. A-307 „Dėl priešmokyklinio ugdymo organizavimo modelių patvirtinimo“. </w:t>
                  </w:r>
                </w:p>
              </w:sdtContent>
            </w:sdt>
            <w:sdt>
              <w:sdtPr>
                <w:alias w:val="poskyris"/>
                <w:tag w:val="part_8dee8f994d1a4291b23c4ccc03d6a144"/>
                <w:lock w:val="sdtLocked"/>
                <w:richText/>
              </w:sdtPr>
              <w:sdtContent>
                <w:p w14:paraId="2D082BDE" w14:textId="77777777">
                  <w:pPr>
                    <w:suppressAutoHyphens/>
                    <w:ind w:firstLine="851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8dee8f994d1a4291b23c4ccc03d6a1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Sprendimo projekte numatytos naujos teisinio reglamentavimo nuostatos.</w:t>
                      </w:r>
                    </w:sdtContent>
                  </w:sdt>
                </w:p>
                <w:p w14:paraId="2D87B758" w14:textId="77777777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Šiuo sprendimo projektu siūloma nustatyti priešmokyklinio ugdymo grupių (toliau – PUG)</w:t>
                  </w:r>
                </w:p>
                <w:p w14:paraId="4A9180B0" w14:textId="22FA0086">
                  <w:pPr>
                    <w:suppressAutoHyphens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skaičių ir ugdymo organizavimo modelius (t. y. darbo trukmę) Šiaulių miesto švietimo įstaigose 2024–2025 mokslo metais. Iš viso </w:t>
                  </w:r>
                  <w:r>
                    <w:rPr>
                      <w:color w:val="000000"/>
                      <w:szCs w:val="24"/>
                    </w:rPr>
                    <w:t>planuojamos 68 PUG</w:t>
                  </w:r>
                  <w:r>
                    <w:rPr>
                      <w:szCs w:val="24"/>
                    </w:rPr>
                    <w:t>:</w:t>
                  </w:r>
                  <w:r>
                    <w:rPr>
                      <w:b/>
                      <w:b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bendrojo ugdymo mokyklose </w:t>
                  </w:r>
                  <w:r>
                    <w:rPr>
                      <w:color w:val="000000"/>
                      <w:szCs w:val="24"/>
                    </w:rPr>
                    <w:t xml:space="preserve">– 27, </w:t>
                  </w:r>
                  <w:r>
                    <w:rPr>
                      <w:szCs w:val="24"/>
                    </w:rPr>
                    <w:t xml:space="preserve">ikimokyklinio </w:t>
                  </w:r>
                  <w:r>
                    <w:rPr>
                      <w:color w:val="000000"/>
                      <w:szCs w:val="24"/>
                    </w:rPr>
                    <w:t xml:space="preserve">ugdymo įstaigose – 38, specialiojo ugdymo mokyklose – 3. </w:t>
                  </w:r>
                </w:p>
                <w:p w14:paraId="4B02B1FC" w14:textId="628FFD4F">
                  <w:pPr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Nuo 2024-09-01 PUG nebus formuojamos 5 lopšeliuose-darželiuose („Auksinis raktelis“, „Eglutė“, „Gluosnis“, „Žilvitis“, Žiogelis“) ir „Rasos“ progimnazijos Ikimokyklinio ugdymo skyriuje. Po vieną grupę mažiau bus Centro pradinėje mokykloje, 2 lopšeliuose-darželiuose („Ąžuoliukas“, „Bitė“), Petro Avižonio ugdymo centre ir po vieną grupę daugiau „Rasos“ progimnazijoje ir lopšeliuose-darželiuose („Pupų pėdas“, „Pelėdžiukas“, „Salduvė“, „Sigutė“).</w:t>
                  </w:r>
                </w:p>
                <w:p w14:paraId="4172E66A" w14:textId="0BBD6CF9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PUG formavimo 2024–2025 mokslo metais perspektyvos ir galimybės aptartos su švietimo įstaigų vadovais, jie supažindinti su teikiamu sprendimo projektu.</w:t>
                  </w:r>
                </w:p>
              </w:sdtContent>
            </w:sdt>
            <w:sdt>
              <w:sdtPr>
                <w:alias w:val="poskyris"/>
                <w:tag w:val="part_88cb4f595b87474d81311cde96b5c70d"/>
                <w:lock w:val="sdtLocked"/>
                <w:richText/>
              </w:sdtPr>
              <w:sdtContent>
                <w:p w14:paraId="6FFE507D" w14:textId="77777777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88cb4f595b87474d81311cde96b5c70d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 xml:space="preserve">Priėmus sprendimą, galimos pasekmės </w:t>
                      </w:r>
                    </w:sdtContent>
                  </w:sdt>
                </w:p>
                <w:p w14:paraId="0A62BF67" w14:textId="34C86966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Pasekmės teigiamos, nes informacija dėl PUG bus pateikta viename dokumente ir mokykloms, ir ikimokyklinio ugdymo įstaigoms. Atsižvelgiant į tėvų pageidavimus ir bendrojo ugdymo mokyklų galimybes, bendrojo ugdymo mokyklose PUG bus sudarytos panašios sąlygos kaip ir lopšeliuose-darželiuose: vaikai užimti ir prižiūrimi iki 17.30 val. ar 18.00 val., maitinami 3–4 kartus, sudarytos sąlygos pamiegoti. </w:t>
                  </w:r>
                  <w:r>
                    <w:rPr>
                      <w:color w:val="000000"/>
                      <w:szCs w:val="24"/>
                    </w:rPr>
                    <w:t xml:space="preserve">Mokyklose, kuriose planuojamas PUG organizavimo III modelis, t. y. dirbs 10,5 val. per dieną, numatoma 24 iš 27 PUG. </w:t>
                  </w:r>
                </w:p>
                <w:p w14:paraId="09558CCA" w14:textId="45C85421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Neformuojant </w:t>
                  </w:r>
                  <w:r>
                    <w:rPr>
                      <w:color w:val="000000"/>
                      <w:szCs w:val="24"/>
                    </w:rPr>
                    <w:t>PUG 5 lopšeliuose-darželiuose ir „Rasos“ progimnazijos Ikimokyklinio ugdymo skyriuje, bei sumažinus po vieną PUG 3 lopšeliuose-darželiuose, atsiranda galimybė labiau tenkinti ikimokyklinio ugdymo poreikį 0–5 metų vaikams.</w:t>
                  </w:r>
                </w:p>
              </w:sdtContent>
            </w:sdt>
            <w:sdt>
              <w:sdtPr>
                <w:alias w:val="poskyris"/>
                <w:tag w:val="part_1b7764d445974e01a71760a1b8190526"/>
                <w:lock w:val="sdtLocked"/>
                <w:richText/>
              </w:sdtPr>
              <w:sdtContent>
                <w:p w14:paraId="3206E7F7" w14:textId="77777777">
                  <w:pPr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1b7764d445974e01a71760a1b81905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4DFDCC9D" w14:textId="77777777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Galiojantys Savivaldybės teisės aktai nebus keičiami.</w:t>
                  </w:r>
                </w:p>
              </w:sdtContent>
            </w:sdt>
            <w:sdt>
              <w:sdtPr>
                <w:alias w:val="poskyris"/>
                <w:tag w:val="part_5859afd2ec164d7f8dd0f866f64c3471"/>
                <w:lock w:val="sdtLocked"/>
                <w:richText/>
              </w:sdtPr>
              <w:sdtContent>
                <w:p w14:paraId="1C9F93BB" w14:textId="77777777">
                  <w:pPr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5859afd2ec164d7f8dd0f866f64c3471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F3279B" w14:textId="77777777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teisės aktų nereikės.</w:t>
                  </w:r>
                </w:p>
              </w:sdtContent>
            </w:sdt>
            <w:sdt>
              <w:sdtPr>
                <w:alias w:val="poskyris"/>
                <w:tag w:val="part_73e97a84e5f94e53b3e35fbe606672ee"/>
                <w:lock w:val="sdtLocked"/>
                <w:richText/>
              </w:sdtPr>
              <w:sdtContent>
                <w:p w14:paraId="7B432166" w14:textId="77777777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73e97a84e5f94e53b3e35fbe606672ee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Sprendimui įgyvendinti papildomų lėšų nereikės.</w:t>
                      </w:r>
                    </w:sdtContent>
                  </w:sdt>
                </w:p>
                <w:p w14:paraId="596539D1" w14:textId="77777777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Sprendimo projekto antikorupcinis vertinimas</w:t>
                  </w:r>
                  <w:r>
                    <w:rPr>
                      <w:i/>
                      <w:iCs/>
                      <w:szCs w:val="24"/>
                    </w:rPr>
                    <w:t>.</w:t>
                  </w:r>
                </w:p>
                <w:p w14:paraId="7ECFA6B6" w14:textId="6128BD25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Vadovaujantis Teisės aktų ar jų projektų antikorupcinio vertinimo metodika, parengta ir pridedama sprendimo projekto antikorupcinio vertinimo pažyma.</w:t>
                  </w:r>
                </w:p>
                <w:p w14:paraId="7F3B931E" w14:textId="51410236">
                  <w:pPr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 xml:space="preserve">Sprendimo projektą parengė </w:t>
                  </w:r>
                  <w:r>
                    <w:rPr>
                      <w:szCs w:val="24"/>
                    </w:rPr>
                    <w:t xml:space="preserve">Šiaulių miesto savivaldybės administracijos Švietimo </w:t>
                  </w:r>
                  <w:r>
                    <w:rPr>
                      <w:color w:val="000000"/>
                      <w:szCs w:val="24"/>
                    </w:rPr>
                    <w:t xml:space="preserve">skyrius. Tiesioginis rengėjas – Švietimo skyriaus vyr. specialistė Edita Badaukienė, tel. (8 41) 509 580. Projekto </w:t>
                  </w:r>
                  <w:r>
                    <w:rPr>
                      <w:szCs w:val="24"/>
                    </w:rPr>
                    <w:t>iniciatorius – Švietimo skyrius.</w:t>
                  </w:r>
                </w:p>
                <w:p w14:paraId="2B87E19B" w14:textId="77777777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16E6CCF4" w14:textId="77777777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2F5177B8" w14:textId="77777777">
                  <w:pPr>
                    <w:suppressAutoHyphens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7b70e32deb94fef9af8bd83cadef81d"/>
            <w:lock w:val="sdtLocked"/>
            <w:richText/>
          </w:sdtPr>
          <w:sdtContent>
            <w:p w14:paraId="636AA7D5" w14:textId="77777777">
              <w:pPr>
                <w:suppressAutoHyphens/>
                <w:spacing w:line="259" w:lineRule="auto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 xml:space="preserve">Skyriaus vedėja                                                                                                          Edita Minkuvienė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 w:charSpace="40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5C1732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4D2F5AB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2B3A3" w14:textId="77777777">
    <w:pPr>
      <w:tabs>
        <w:tab w:val="center" w:pos="4819"/>
        <w:tab w:val="right" w:pos="9638"/>
      </w:tabs>
      <w:suppressAutoHyphens/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151D6A" w14:textId="77777777">
    <w:pPr>
      <w:tabs>
        <w:tab w:val="center" w:pos="4819"/>
        <w:tab w:val="right" w:pos="9638"/>
      </w:tabs>
      <w:suppressAutoHyphens/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83D0D" w14:textId="77777777">
    <w:pPr>
      <w:tabs>
        <w:tab w:val="center" w:pos="4819"/>
        <w:tab w:val="right" w:pos="9638"/>
      </w:tabs>
      <w:suppressAutoHyphens/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45AEF5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2220EB86" w14:textId="77777777">
      <w:pPr>
        <w:suppressAutoHyphens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2E9324" w14:textId="77777777">
    <w:pPr>
      <w:tabs>
        <w:tab w:val="center" w:pos="4819"/>
        <w:tab w:val="right" w:pos="9638"/>
      </w:tabs>
      <w:suppressAutoHyphens/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3EB613" w14:textId="77777777">
    <w:pPr>
      <w:tabs>
        <w:tab w:val="center" w:pos="4819"/>
        <w:tab w:val="right" w:pos="9638"/>
      </w:tabs>
      <w:suppressAutoHyphens/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57DBE0A0" w14:textId="77777777">
    <w:pPr>
      <w:tabs>
        <w:tab w:val="center" w:pos="4819"/>
        <w:tab w:val="right" w:pos="9638"/>
      </w:tabs>
      <w:suppressAutoHyphens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D1A2A5" w14:textId="77777777">
    <w:pPr>
      <w:tabs>
        <w:tab w:val="center" w:pos="4819"/>
        <w:tab w:val="right" w:pos="9638"/>
      </w:tabs>
      <w:suppressAutoHyphens/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8860C"/>
  <w15:docId w15:val="{77BF6751-1EB4-4184-8BEB-D39FB7CACF2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8e0fd013b8e41959059386b1ab0d9dd" PartId="3ba1c10369214c2589f48d8218754ddf">
    <Part Type="skyrius" Nr="999" Title="SPRENDIMO „DĖL PRIEŠMOKYKLINIO UGDYMO GRUPIŲ SKAIČIAUS IR ĮGYVENDINAMŲ PRIEŠMOKYKLINIO UGDYMO ORGANIZAVIMO MODELIŲ NUSTATYMO ŠVIETIMO ĮSTAIGOSE 2024–2025 MOKSLO METAIS“ PROJEKTO AIŠKINAMASIS RAŠTAS" DocPartId="18324b3b8bd44201afff0f3cbe465ee7" PartId="c84c053cdd974b8b8da973838bb51f7d">
      <Part Type="poskyris" Title="Parengto sprendimo projekto tikslai ir uždaviniai." DocPartId="43a13ba3cc1d4fd883e5f6cf164d203a" PartId="871a699f8f474aed97415dc3cf035d0a"/>
      <Part Type="poskyris" Title="Dabartinis sprendimo projekte aptariamų klausimų reguliavimas." DocPartId="815f87a0cf5548b28c97617f36ff550a" PartId="f552eb3139ef4ac59de4d00a8456f786"/>
      <Part Type="poskyris" Title="Sprendimo projekte numatytos naujos teisinio reglamentavimo nuostatos." DocPartId="9a1ee00288074fb2a141659572e0240c" PartId="8dee8f994d1a4291b23c4ccc03d6a144"/>
      <Part Type="poskyris" Title="Priėmus sprendimą, galimos pasekmės" DocPartId="e4ec74375db447319d9fcdbc91b883e5" PartId="88cb4f595b87474d81311cde96b5c70d"/>
      <Part Type="poskyris" Title="Priėmus sprendimą, keičiami ar pripažįstami negaliojančiais teisės aktai." DocPartId="b0c20eda40ea4dfab184d7695b610441" PartId="1b7764d445974e01a71760a1b8190526"/>
      <Part Type="poskyris" Title="Sprendimui įgyvendinti reikalingi priimti papildomi teisės aktai." DocPartId="0445e9c121694636ab5a97d552c6b5a6" PartId="5859afd2ec164d7f8dd0f866f64c3471"/>
      <Part Type="poskyris" Title="Sprendimui įgyvendinti papildomų lėšų nereikės." DocPartId="3d358a5dfbcc48f7a0e309dbaa250007" PartId="73e97a84e5f94e53b3e35fbe606672ee"/>
    </Part>
    <Part Type="signatura" DocPartId="64f535eb57064b3c80fb82ba4d07a770" PartId="c7b70e32deb94fef9af8bd83cadef81d"/>
  </Part>
</Parts>
</file>

<file path=customXml/itemProps1.xml><?xml version="1.0" encoding="utf-8"?>
<ds:datastoreItem xmlns:ds="http://schemas.openxmlformats.org/officeDocument/2006/customXml" ds:itemID="{67634E0F-DAD3-499D-A8E3-15784CA55C1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C305CC4-4CCA-4F92-9950-AC338A7B3E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501</Words>
  <Characters>3643</Characters>
  <Application>Microsoft Office Word</Application>
  <DocSecurity>4</DocSecurity>
  <Lines>65</Lines>
  <Paragraphs>33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2024-01-09T15:09:00Z</dcterms:created>
  <dc:creator>Rasa</dc:creator>
  <dc:language>en-US</dc:language>
  <lastModifiedBy>adlibuser</lastModifiedBy>
  <lastPrinted>2019-04-04T10:53:00Z</lastPrinted>
  <dcterms:modified xsi:type="dcterms:W3CDTF">2024-01-09T15:09:00Z</dcterms:modified>
  <revision>2</revision>
</coreProperties>
</file>