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ind w:firstLine="8432"/>
        <w:rPr>
          <w:szCs w:val="24"/>
          <w:lang w:val="en-US"/>
        </w:rPr>
      </w:pPr>
      <w:r>
        <w:rPr>
          <w:szCs w:val="24"/>
          <w:lang w:val="en-US"/>
        </w:rPr>
        <w:t>IŠRAŠAS</w:t>
      </w:r>
    </w:p>
    <w:p>
      <w:pPr>
        <w:spacing w:line="360" w:lineRule="auto"/>
        <w:jc w:val="center"/>
        <w:rPr>
          <w:b/>
          <w:szCs w:val="24"/>
          <w:lang w:val="en-US"/>
        </w:rPr>
      </w:pPr>
      <w:r>
        <w:rPr>
          <w:b/>
          <w:szCs w:val="24"/>
          <w:lang w:val="en-US"/>
        </w:rPr>
        <w:t>PRIENŲ RAJONO SAVIVALDYBĖS ADMINISTRACIJOS</w:t>
      </w:r>
    </w:p>
    <w:p>
      <w:pPr>
        <w:rPr>
          <w:sz w:val="18"/>
          <w:szCs w:val="18"/>
        </w:rPr>
      </w:pPr>
    </w:p>
    <w:p>
      <w:pPr>
        <w:spacing w:line="360" w:lineRule="auto"/>
        <w:ind w:firstLine="1296"/>
        <w:jc w:val="center"/>
        <w:rPr>
          <w:b/>
          <w:szCs w:val="24"/>
          <w:lang w:val="en-US"/>
        </w:rPr>
      </w:pPr>
      <w:r>
        <w:rPr>
          <w:b/>
          <w:szCs w:val="24"/>
          <w:lang w:val="en-US"/>
        </w:rPr>
        <w:t>NAUJOSIOS ŪTOS SENIŪNIJA</w:t>
      </w:r>
    </w:p>
    <w:p>
      <w:pPr>
        <w:rPr>
          <w:sz w:val="18"/>
          <w:szCs w:val="18"/>
        </w:rPr>
      </w:pPr>
    </w:p>
    <w:p>
      <w:pPr>
        <w:spacing w:line="360" w:lineRule="auto"/>
        <w:jc w:val="center"/>
        <w:rPr>
          <w:b/>
          <w:caps/>
          <w:szCs w:val="24"/>
          <w:lang w:val="en-US"/>
        </w:rPr>
      </w:pPr>
      <w:r>
        <w:rPr>
          <w:b/>
          <w:caps/>
          <w:szCs w:val="24"/>
          <w:lang w:val="en-US"/>
        </w:rPr>
        <w:t xml:space="preserve">išplėstinės NUOTOLINĖS seniūnaičių sueigos </w:t>
      </w:r>
    </w:p>
    <w:p>
      <w:pPr>
        <w:rPr>
          <w:sz w:val="18"/>
          <w:szCs w:val="18"/>
        </w:rPr>
      </w:pPr>
    </w:p>
    <w:p>
      <w:pPr>
        <w:spacing w:line="360" w:lineRule="auto"/>
        <w:ind w:firstLine="62"/>
        <w:jc w:val="center"/>
        <w:rPr>
          <w:b/>
          <w:caps/>
          <w:szCs w:val="24"/>
          <w:lang w:val="en-US"/>
        </w:rPr>
      </w:pPr>
      <w:r>
        <w:rPr>
          <w:b/>
          <w:caps/>
          <w:szCs w:val="24"/>
          <w:lang w:val="en-US"/>
        </w:rPr>
        <w:t>PROTOKOLAS</w:t>
      </w:r>
    </w:p>
    <w:p>
      <w:pPr>
        <w:rPr>
          <w:sz w:val="18"/>
          <w:szCs w:val="18"/>
        </w:rPr>
      </w:pPr>
    </w:p>
    <w:p>
      <w:pPr>
        <w:spacing w:line="360" w:lineRule="auto"/>
        <w:jc w:val="center"/>
        <w:rPr>
          <w:sz w:val="22"/>
          <w:szCs w:val="22"/>
          <w:lang w:val="en-US" w:eastAsia="lt-LT"/>
        </w:rPr>
      </w:pPr>
      <w:r>
        <w:rPr>
          <w:sz w:val="22"/>
          <w:szCs w:val="22"/>
          <w:lang w:val="en-US" w:eastAsia="lt-LT"/>
        </w:rPr>
        <w:t>2021-04-15 Nr. (33.1.5)NS-NŪ-</w:t>
      </w:r>
    </w:p>
    <w:p>
      <w:pPr>
        <w:spacing w:line="360" w:lineRule="auto"/>
        <w:jc w:val="center"/>
        <w:rPr>
          <w:sz w:val="22"/>
          <w:szCs w:val="22"/>
          <w:lang w:val="en-US" w:eastAsia="lt-LT"/>
        </w:rPr>
      </w:pPr>
      <w:r>
        <w:rPr>
          <w:sz w:val="22"/>
          <w:szCs w:val="22"/>
          <w:lang w:val="en-US" w:eastAsia="lt-LT"/>
        </w:rPr>
        <w:t>Naujoji Ūta</w:t>
      </w:r>
    </w:p>
    <w:p>
      <w:pPr>
        <w:spacing w:line="360" w:lineRule="auto"/>
        <w:jc w:val="center"/>
        <w:rPr>
          <w:sz w:val="22"/>
          <w:szCs w:val="22"/>
          <w:lang w:val="en-US" w:eastAsia="lt-LT"/>
        </w:rPr>
      </w:pPr>
    </w:p>
    <w:p>
      <w:pPr>
        <w:spacing w:line="360" w:lineRule="auto"/>
        <w:ind w:firstLine="868"/>
        <w:jc w:val="both"/>
        <w:rPr>
          <w:szCs w:val="24"/>
          <w:lang w:val="en-US" w:eastAsia="lt-LT"/>
        </w:rPr>
      </w:pPr>
      <w:r>
        <w:rPr>
          <w:szCs w:val="24"/>
          <w:lang w:val="en-US" w:eastAsia="lt-LT"/>
        </w:rPr>
        <w:t>Dėl šalyje įvesto karantino sueiga buvo organizuoja 2021 m. balandžio 15 d. Svarstomo klausimo medžiaga dalyviams susipažinti buvo pateikta el. paštu, supažindinta telefonu.</w:t>
      </w:r>
    </w:p>
    <w:p>
      <w:pPr>
        <w:spacing w:line="360" w:lineRule="auto"/>
        <w:ind w:firstLine="851"/>
        <w:jc w:val="both"/>
        <w:rPr>
          <w:szCs w:val="24"/>
          <w:lang w:val="en-US" w:eastAsia="lt-LT"/>
        </w:rPr>
      </w:pPr>
      <w:r>
        <w:rPr>
          <w:szCs w:val="24"/>
          <w:lang w:val="en-US" w:eastAsia="lt-LT"/>
        </w:rPr>
        <w:t xml:space="preserve">Sueigą organizavo ir pirmininko pareigas atliko seniūno pavaduotoja, pavaduojanti seniūną         </w:t>
      </w:r>
    </w:p>
    <w:p>
      <w:pPr>
        <w:spacing w:line="360" w:lineRule="auto"/>
        <w:ind w:firstLine="851"/>
        <w:jc w:val="both"/>
        <w:rPr>
          <w:szCs w:val="24"/>
          <w:lang w:val="en-US" w:eastAsia="lt-LT"/>
        </w:rPr>
      </w:pPr>
      <w:r>
        <w:rPr>
          <w:szCs w:val="24"/>
          <w:lang w:val="en-US" w:eastAsia="lt-LT"/>
        </w:rPr>
        <w:t>Danutė Bacvinkaitė.</w:t>
      </w:r>
    </w:p>
    <w:p>
      <w:pPr>
        <w:spacing w:line="360" w:lineRule="auto"/>
        <w:ind w:firstLine="868"/>
        <w:jc w:val="both"/>
        <w:rPr>
          <w:szCs w:val="24"/>
          <w:lang w:val="en-US" w:eastAsia="lt-LT"/>
        </w:rPr>
      </w:pPr>
      <w:r>
        <w:rPr>
          <w:szCs w:val="24"/>
          <w:lang w:val="en-US" w:eastAsia="lt-LT"/>
        </w:rPr>
        <w:t>Sueigos sekretorė – specialistė dirbanti socialinį darbą Roma Navickienė.</w:t>
      </w:r>
    </w:p>
    <w:p>
      <w:pPr>
        <w:spacing w:line="360" w:lineRule="auto"/>
        <w:ind w:firstLine="868"/>
        <w:jc w:val="both"/>
        <w:rPr>
          <w:szCs w:val="24"/>
          <w:lang w:val="en-US"/>
        </w:rPr>
      </w:pPr>
      <w:r>
        <w:rPr>
          <w:szCs w:val="24"/>
          <w:lang w:val="en-US"/>
        </w:rPr>
        <w:t xml:space="preserve">Buvo apklausti dalyviai: Naujosios Ūtos seniūnaitijos seniūnaitė Elena Stadalienė, Pilotiškių seniūnaitijos seniūnaitis Gintautas Mykolaitis, Žemaitkiemio seniūnaitijos seniūnaitis Mindaugas Alaveckas, bendruomeninių organizacijų atstovas – asociacijos „Žemaitkiemio krašto bendruomenė“ pirmininkas Vaidas Kupstas. </w:t>
      </w:r>
    </w:p>
    <w:p>
      <w:pPr>
        <w:spacing w:line="360" w:lineRule="auto"/>
        <w:ind w:firstLine="62"/>
        <w:jc w:val="both"/>
        <w:rPr>
          <w:color w:val="000000"/>
          <w:szCs w:val="24"/>
          <w:lang w:val="en-US" w:eastAsia="lt-LT"/>
        </w:rPr>
      </w:pPr>
      <w:r>
        <w:rPr>
          <w:color w:val="000000"/>
          <w:szCs w:val="24"/>
          <w:lang w:val="en-US" w:eastAsia="lt-LT"/>
        </w:rPr>
        <w:t>DARBOTVARKĖ.</w:t>
      </w:r>
    </w:p>
    <w:p>
      <w:pPr>
        <w:spacing w:line="360" w:lineRule="auto"/>
        <w:ind w:left="660" w:firstLine="62"/>
        <w:jc w:val="both"/>
        <w:rPr>
          <w:color w:val="000000"/>
          <w:szCs w:val="24"/>
          <w:lang w:val="en-US" w:eastAsia="lt-LT"/>
        </w:rPr>
      </w:pPr>
      <w:r>
        <w:rPr>
          <w:color w:val="000000"/>
          <w:szCs w:val="24"/>
          <w:lang w:val="en-US" w:eastAsia="lt-LT"/>
        </w:rPr>
        <w:t>Dėl pritarimo (nepritarimo) parengtam sprendimo projektui</w:t>
      </w:r>
      <w:r>
        <w:rPr>
          <w:szCs w:val="24"/>
          <w:lang w:val="en-US" w:eastAsia="lt-LT"/>
        </w:rPr>
        <w:t xml:space="preserve"> „Dėl Prienų rajono savivaldybės smulkiojo ir vidutinio verslo  subjektų rėmimo tvarkos aprašo patvirtinimo“</w:t>
      </w:r>
      <w:r>
        <w:rPr>
          <w:color w:val="000000"/>
          <w:szCs w:val="24"/>
          <w:lang w:val="en-US" w:eastAsia="lt-LT"/>
        </w:rPr>
        <w:t>.</w:t>
      </w:r>
    </w:p>
    <w:p>
      <w:pPr>
        <w:spacing w:line="360" w:lineRule="auto"/>
        <w:ind w:left="660" w:firstLine="62"/>
        <w:jc w:val="both"/>
        <w:rPr>
          <w:color w:val="000000"/>
          <w:szCs w:val="24"/>
          <w:lang w:val="en-US" w:eastAsia="lt-LT"/>
        </w:rPr>
      </w:pPr>
      <w:r>
        <w:rPr>
          <w:color w:val="000000"/>
          <w:szCs w:val="24"/>
          <w:lang w:val="en-US" w:eastAsia="lt-LT"/>
        </w:rPr>
        <w:t>SVARSTYTA. Dėl pritarimo (nepritarimo) parengtam sprendimo projektui</w:t>
      </w:r>
      <w:r>
        <w:rPr>
          <w:szCs w:val="24"/>
          <w:lang w:val="en-US" w:eastAsia="lt-LT"/>
        </w:rPr>
        <w:t xml:space="preserve"> „Dėl Prienų rajono savivaldybės smulkiojo ir vidutinio verslo  subjektų rėmimo tvarkos aprašo patvirtinimo“</w:t>
      </w:r>
      <w:r>
        <w:rPr>
          <w:color w:val="000000"/>
          <w:szCs w:val="24"/>
          <w:lang w:val="en-US" w:eastAsia="lt-LT"/>
        </w:rPr>
        <w:t xml:space="preserve"> .</w:t>
      </w:r>
    </w:p>
    <w:p>
      <w:pPr>
        <w:spacing w:line="360" w:lineRule="auto"/>
        <w:ind w:left="660" w:firstLine="558"/>
        <w:rPr>
          <w:szCs w:val="24"/>
          <w:lang w:val="en-US" w:eastAsia="lt-LT"/>
        </w:rPr>
      </w:pPr>
      <w:r>
        <w:rPr>
          <w:color w:val="000000"/>
          <w:szCs w:val="24"/>
          <w:lang w:val="en-US" w:eastAsia="lt-LT"/>
        </w:rPr>
        <w:t>Seniūno pavaduotoja Danutė Bacvinkaitė seniūnaičių sueigos dalyvius supažindino su parengtu sprendimo projektu</w:t>
      </w:r>
      <w:r>
        <w:rPr>
          <w:szCs w:val="24"/>
          <w:lang w:val="en-US" w:eastAsia="lt-LT"/>
        </w:rPr>
        <w:t xml:space="preserve"> „Dėl Prienų rajono savivaldybės smulkiojo ir vidutinio verslo  subjektų rėmimo tvarkos aprašo patvirtinimo“.</w:t>
      </w:r>
    </w:p>
    <w:p>
      <w:pPr>
        <w:spacing w:line="360" w:lineRule="auto"/>
        <w:ind w:left="660" w:firstLine="682"/>
        <w:rPr>
          <w:szCs w:val="24"/>
          <w:lang w:val="en-US" w:eastAsia="lt-LT"/>
        </w:rPr>
      </w:pPr>
      <w:r>
        <w:rPr>
          <w:szCs w:val="24"/>
          <w:lang w:val="en-US" w:eastAsia="lt-LT"/>
        </w:rPr>
        <w:t xml:space="preserve">Seniūnaičių sueigos dalyvis Vaidas Kupstas pateikė pasiūlymą papildyti V skyriaus 21.1.; 21.4.; 21.6.; 21.7.; 21.13.;  21.14.; 21.15.; 21.21. punktus, juos papildant ir suformuluojant sekančiai:</w:t>
      </w:r>
    </w:p>
    <w:p>
      <w:pPr>
        <w:spacing w:line="360" w:lineRule="auto"/>
        <w:ind w:right="428" w:firstLine="1196"/>
        <w:jc w:val="both"/>
        <w:rPr>
          <w:szCs w:val="24"/>
          <w:lang w:val="en-US"/>
        </w:rPr>
      </w:pPr>
      <w:r>
        <w:rPr>
          <w:szCs w:val="24"/>
          <w:lang w:val="en-US"/>
        </w:rPr>
        <w:t>21.1</w:t>
      </w:r>
      <w:r>
        <w:rPr>
          <w:szCs w:val="24"/>
          <w:lang w:val="en-US"/>
        </w:rPr>
        <w:t>. daliai palūkanų už paimtas paskolas (apyvartinėms lėšoms ir pagrindinėms priemonėms įsigyti) padengti. Palūkanos dengiamos ne daugiau kaip už 1 metus. Kompensuojama palūkanų norma skaičiuojama pagal Lietuvos banko skelbiamą praeito mėnesio vidutinę komercinių bankų metų palūkanų normą. Nekompensuojama ta palūkanų</w:t>
      </w:r>
      <w:r>
        <w:rPr>
          <w:szCs w:val="22"/>
          <w:lang w:val="en-US"/>
        </w:rPr>
        <w:t xml:space="preserve"> </w:t>
      </w:r>
      <w:r>
        <w:rPr>
          <w:szCs w:val="24"/>
          <w:lang w:val="en-US"/>
        </w:rPr>
        <w:t>dalis, kuri apmokėta iš kitų paramos fondų. Ši parama teikiama visiems verslo subjektams, prioritetą teikiant vykdantiems veiklą ne ilgiau kaip 5 metus;</w:t>
      </w:r>
    </w:p>
    <w:p>
      <w:pPr>
        <w:spacing w:line="360" w:lineRule="auto"/>
        <w:ind w:right="2" w:firstLine="1134"/>
        <w:jc w:val="both"/>
        <w:rPr>
          <w:szCs w:val="24"/>
          <w:lang w:val="en-US"/>
        </w:rPr>
      </w:pPr>
      <w:r>
        <w:rPr>
          <w:szCs w:val="24"/>
          <w:lang w:val="en-US"/>
        </w:rPr>
        <w:t>21.4</w:t>
      </w:r>
      <w:r>
        <w:rPr>
          <w:szCs w:val="24"/>
          <w:lang w:val="en-US"/>
        </w:rPr>
        <w:t>. informacinių ir reklaminių leidinių apie smulkųjį ir vidutinį verslą leidybai – visiems verslo subjektams, prioritetą teikiant naujiems verslo subjektams, vykdantiems veiklą ne ilgiau kaip 3 metus;</w:t>
      </w:r>
    </w:p>
    <w:p>
      <w:pPr>
        <w:spacing w:line="360" w:lineRule="auto"/>
        <w:ind w:right="428" w:firstLine="1134"/>
        <w:jc w:val="both"/>
        <w:rPr>
          <w:szCs w:val="24"/>
          <w:lang w:val="en-US"/>
        </w:rPr>
      </w:pPr>
      <w:r>
        <w:rPr>
          <w:szCs w:val="24"/>
          <w:lang w:val="en-US"/>
        </w:rPr>
        <w:t>21.6</w:t>
      </w:r>
      <w:r>
        <w:rPr>
          <w:szCs w:val="24"/>
          <w:lang w:val="en-US"/>
        </w:rPr>
        <w:t>. darbo saugos dokumentacijos sutvarkymo išlaidoms padengti – visiems verslo subjektams, prioritetą teikiant naujiems verslo subjektams, vykdantiems veiklą ne ilgiau kaip 3 metus;</w:t>
      </w:r>
    </w:p>
    <w:p>
      <w:pPr>
        <w:spacing w:line="360" w:lineRule="auto"/>
        <w:ind w:right="2" w:firstLine="1134"/>
        <w:jc w:val="both"/>
        <w:rPr>
          <w:szCs w:val="24"/>
          <w:lang w:val="en-US"/>
        </w:rPr>
      </w:pPr>
      <w:r>
        <w:rPr>
          <w:szCs w:val="24"/>
          <w:lang w:val="en-US"/>
        </w:rPr>
        <w:t>21.7</w:t>
      </w:r>
      <w:r>
        <w:rPr>
          <w:szCs w:val="24"/>
          <w:lang w:val="en-US"/>
        </w:rPr>
        <w:t>. gamybinių pastatų ir statinių techninės dokumentacijos rengimo išlaidoms, teritorinio planavimo dokumentų ir techninių projektų rengimo (išskyrus gyvenamųjų patalpų) išlaidoms padengti – visiems verslo subjektams, prioritetą teikiant naujiems verslo subjektams, vykdantiems veiklą ne ilgiau kaip 5 metus;</w:t>
      </w:r>
    </w:p>
    <w:p>
      <w:pPr>
        <w:spacing w:line="360" w:lineRule="auto"/>
        <w:ind w:right="2" w:firstLine="1134"/>
        <w:jc w:val="both"/>
        <w:rPr>
          <w:color w:val="FF0000"/>
          <w:szCs w:val="24"/>
          <w:lang w:val="en-US"/>
        </w:rPr>
      </w:pPr>
      <w:r>
        <w:rPr>
          <w:szCs w:val="24"/>
          <w:lang w:val="en-US"/>
        </w:rPr>
        <w:t>21.13</w:t>
      </w:r>
      <w:r>
        <w:rPr>
          <w:szCs w:val="24"/>
          <w:lang w:val="en-US"/>
        </w:rPr>
        <w:t xml:space="preserve">. nekilnojamojo turto mokesčiui kompensuoti (išskyrus nekilnojamojo turto objektus, kurie yra nenaudojami arba naudojami ne pagal paskirtį, neprižiūrimi ir apleisti, taip pat verslo subjektus, kurių veikla susijusi su nekilnojamojo turto prekyba ir nuoma) – visiems verslo subjektams, prioritetą teikiant verslo subjektams, vykdantiems veiklą ne ilgiau kaip 3 metus; </w:t>
      </w:r>
    </w:p>
    <w:p>
      <w:pPr>
        <w:spacing w:line="360" w:lineRule="auto"/>
        <w:ind w:right="2" w:firstLine="1134"/>
        <w:jc w:val="both"/>
        <w:rPr>
          <w:szCs w:val="24"/>
          <w:lang w:val="en-US"/>
        </w:rPr>
      </w:pPr>
      <w:r>
        <w:rPr>
          <w:szCs w:val="24"/>
          <w:lang w:val="en-US"/>
        </w:rPr>
        <w:t>21.14</w:t>
      </w:r>
      <w:r>
        <w:rPr>
          <w:szCs w:val="24"/>
          <w:lang w:val="en-US"/>
        </w:rPr>
        <w:t>. įmonės interneto svetainės kūrimo išlaidoms padengti – visiems verslo subjektams, prioritetą teikiant verslo subjektams, vykdantiems veiklą ne ilgiau kaip 5 metus. Dėl šios paramos formos galima kreiptis tik vieną kartą;</w:t>
      </w:r>
    </w:p>
    <w:p>
      <w:pPr>
        <w:spacing w:line="360" w:lineRule="auto"/>
        <w:ind w:right="2" w:firstLine="1134"/>
        <w:jc w:val="both"/>
        <w:rPr>
          <w:szCs w:val="24"/>
          <w:lang w:val="en-US"/>
        </w:rPr>
      </w:pPr>
      <w:r>
        <w:rPr>
          <w:szCs w:val="24"/>
          <w:lang w:val="en-US"/>
        </w:rPr>
        <w:t>21.15</w:t>
      </w:r>
      <w:r>
        <w:rPr>
          <w:szCs w:val="24"/>
          <w:lang w:val="en-US"/>
        </w:rPr>
        <w:t>. prekės ženklo registravimo ir gaminių sertifikavimo išlaidoms padengti – verslo subjektams, visiems verslo subjektams, prioritetą teikiant vykdantiems veiklą ne ilgiau kaip 3 metus;</w:t>
      </w:r>
    </w:p>
    <w:p>
      <w:pPr>
        <w:spacing w:line="360" w:lineRule="auto"/>
        <w:ind w:right="2" w:firstLine="1134"/>
        <w:jc w:val="both"/>
        <w:rPr>
          <w:rFonts w:eastAsia="Calibri"/>
          <w:szCs w:val="24"/>
          <w:lang w:val="en-US"/>
        </w:rPr>
      </w:pPr>
      <w:r>
        <w:rPr>
          <w:rFonts w:eastAsia="Calibri"/>
          <w:szCs w:val="24"/>
          <w:lang w:val="en-US"/>
        </w:rPr>
        <w:t>21.21</w:t>
      </w:r>
      <w:r>
        <w:rPr>
          <w:rFonts w:eastAsia="Calibri"/>
          <w:szCs w:val="24"/>
          <w:lang w:val="en-US"/>
        </w:rPr>
        <w:t>. įrangos (pagrindinių priemonių), reikalingos verslui vykdyti, įsigijimo išlaidoms padengti – visiems verslo subjektams, prioritetą teikiant verslo subjektams, vykdantiems veiklą ne daugiau kaip 3 metus arba vykdantiems verslo plėtrą.</w:t>
      </w:r>
    </w:p>
    <w:p>
      <w:pPr>
        <w:spacing w:line="360" w:lineRule="auto"/>
        <w:ind w:left="660"/>
        <w:jc w:val="both"/>
        <w:rPr>
          <w:szCs w:val="24"/>
          <w:lang w:val="en-US" w:eastAsia="lt-LT"/>
        </w:rPr>
      </w:pPr>
      <w:r>
        <w:rPr>
          <w:szCs w:val="24"/>
          <w:lang w:val="en-US" w:eastAsia="lt-LT"/>
        </w:rPr>
        <w:t>NUTARTA. Papildyti</w:t>
      </w:r>
      <w:r>
        <w:rPr>
          <w:color w:val="000000"/>
          <w:szCs w:val="24"/>
          <w:lang w:val="en-US" w:eastAsia="lt-LT"/>
        </w:rPr>
        <w:t xml:space="preserve"> parengto sprendimo projekto</w:t>
      </w:r>
      <w:r>
        <w:rPr>
          <w:szCs w:val="24"/>
          <w:lang w:val="en-US" w:eastAsia="lt-LT"/>
        </w:rPr>
        <w:t xml:space="preserve"> „Dėl Prienų rajono savivaldybės smulkiojo ir vidutinio verslo  subjektų rėmimo tvarkos aprašo patvirtinimo“</w:t>
      </w:r>
      <w:r>
        <w:rPr>
          <w:color w:val="000000"/>
          <w:szCs w:val="24"/>
          <w:lang w:val="en-US" w:eastAsia="lt-LT"/>
        </w:rPr>
        <w:t xml:space="preserve"> . </w:t>
      </w:r>
      <w:r>
        <w:rPr>
          <w:szCs w:val="24"/>
          <w:lang w:val="en-US" w:eastAsia="lt-LT"/>
        </w:rPr>
        <w:t xml:space="preserve">  V skyriaus 21.1.; 21.4.; 21.6.; 21.7.; 21.13.;  21.14.; 21.15.; 21.21. punktus  ir suformuluoti sekančiai:</w:t>
      </w:r>
    </w:p>
    <w:p>
      <w:pPr>
        <w:spacing w:line="360" w:lineRule="auto"/>
        <w:ind w:right="428" w:firstLine="1196"/>
        <w:jc w:val="both"/>
        <w:rPr>
          <w:szCs w:val="22"/>
          <w:lang w:val="en-US"/>
        </w:rPr>
      </w:pPr>
      <w:r>
        <w:rPr>
          <w:szCs w:val="24"/>
          <w:lang w:val="en-US"/>
        </w:rPr>
        <w:t>21.1</w:t>
      </w:r>
      <w:r>
        <w:rPr>
          <w:szCs w:val="24"/>
          <w:lang w:val="en-US"/>
        </w:rPr>
        <w:t>. daliai palūkanų už paimtas paskolas (apyvartinėms lėšoms ir pagrindinėms priemonėms įsigyti) padengti. Palūkanos dengiamos ne daugiau kaip už 1 metus. Kompensuojama palūkanų norma skaičiuojama pagal Lietuvos banko skelbiamą praeito mėnesio vidutinę komercinių bankų metų palūkanų normą. Nekompensuojama ta palūkanų</w:t>
      </w:r>
      <w:r>
        <w:rPr>
          <w:szCs w:val="22"/>
          <w:lang w:val="en-US"/>
        </w:rPr>
        <w:t xml:space="preserve"> dalis, kuri apmokėta iš kitų paramos fondų. Ši parama teikiama visiems verslo subjektams, prioritetą teikiant vykdantiems veiklą ne ilgiau kaip 5 metus;</w:t>
      </w:r>
    </w:p>
    <w:p>
      <w:pPr>
        <w:spacing w:line="360" w:lineRule="auto"/>
        <w:ind w:right="2" w:firstLine="1134"/>
        <w:jc w:val="both"/>
        <w:rPr>
          <w:szCs w:val="24"/>
          <w:lang w:val="en-US"/>
        </w:rPr>
      </w:pPr>
      <w:r>
        <w:rPr>
          <w:szCs w:val="24"/>
          <w:lang w:val="en-US"/>
        </w:rPr>
        <w:t>21.4</w:t>
      </w:r>
      <w:r>
        <w:rPr>
          <w:szCs w:val="24"/>
          <w:lang w:val="en-US"/>
        </w:rPr>
        <w:t>. informacinių ir reklaminių leidinių apie smulkųjį ir vidutinį verslą leidybai – visiems verslo subjektams, prioritetą teikiant naujiems verslo subjektams, vykdantiems veiklą ne ilgiau kaip 3 metus;</w:t>
      </w:r>
    </w:p>
    <w:p>
      <w:pPr>
        <w:spacing w:line="360" w:lineRule="auto"/>
        <w:ind w:right="428" w:firstLine="1134"/>
        <w:jc w:val="both"/>
        <w:rPr>
          <w:szCs w:val="24"/>
          <w:lang w:val="en-US"/>
        </w:rPr>
      </w:pPr>
      <w:r>
        <w:rPr>
          <w:szCs w:val="24"/>
          <w:lang w:val="en-US"/>
        </w:rPr>
        <w:t>21.6</w:t>
      </w:r>
      <w:r>
        <w:rPr>
          <w:szCs w:val="24"/>
          <w:lang w:val="en-US"/>
        </w:rPr>
        <w:t>. darbo saugos dokumentacijos sutvarkymo išlaidoms padengti – visiems verslo subjektams, prioritetą teikiant naujiems verslo subjektams, vykdantiems veiklą ne ilgiau kaip 3 metus;</w:t>
      </w:r>
    </w:p>
    <w:p>
      <w:pPr>
        <w:spacing w:line="360" w:lineRule="auto"/>
        <w:ind w:right="2" w:firstLine="1134"/>
        <w:jc w:val="both"/>
        <w:rPr>
          <w:szCs w:val="24"/>
          <w:lang w:val="en-US"/>
        </w:rPr>
      </w:pPr>
      <w:r>
        <w:rPr>
          <w:szCs w:val="24"/>
          <w:lang w:val="en-US"/>
        </w:rPr>
        <w:t>21.7</w:t>
      </w:r>
      <w:r>
        <w:rPr>
          <w:szCs w:val="24"/>
          <w:lang w:val="en-US"/>
        </w:rPr>
        <w:t>. gamybinių pastatų ir statinių techninės dokumentacijos rengimo išlaidoms, teritorinio planavimo dokumentų ir techninių projektų rengimo (išskyrus gyvenamųjų patalpų) išlaidoms padengti – visiems verslo subjektams, prioritetą teikiant naujiems verslo subjektams, vykdantiems veiklą ne ilgiau kaip 5 metus;</w:t>
      </w:r>
    </w:p>
    <w:p>
      <w:pPr>
        <w:spacing w:line="360" w:lineRule="auto"/>
        <w:ind w:right="2" w:firstLine="1134"/>
        <w:jc w:val="both"/>
        <w:rPr>
          <w:color w:val="FF0000"/>
          <w:szCs w:val="24"/>
          <w:lang w:val="en-US"/>
        </w:rPr>
      </w:pPr>
      <w:r>
        <w:rPr>
          <w:szCs w:val="24"/>
          <w:lang w:val="en-US"/>
        </w:rPr>
        <w:t>21.13</w:t>
      </w:r>
      <w:r>
        <w:rPr>
          <w:szCs w:val="24"/>
          <w:lang w:val="en-US"/>
        </w:rPr>
        <w:t xml:space="preserve">. nekilnojamojo turto mokesčiui kompensuoti (išskyrus nekilnojamojo turto objektus, kurie yra nenaudojami arba naudojami ne pagal paskirtį, neprižiūrimi ir apleisti, taip pat verslo subjektus, kurių veikla susijusi su nekilnojamojo turto prekyba ir nuoma) – visiems verslo subjektams, prioritetą teikiant verslo subjektams, vykdantiems veiklą ne ilgiau kaip 3 metus; </w:t>
      </w:r>
    </w:p>
    <w:p>
      <w:pPr>
        <w:spacing w:line="360" w:lineRule="auto"/>
        <w:ind w:right="2" w:firstLine="1134"/>
        <w:jc w:val="both"/>
        <w:rPr>
          <w:szCs w:val="24"/>
          <w:lang w:val="en-US"/>
        </w:rPr>
      </w:pPr>
      <w:r>
        <w:rPr>
          <w:szCs w:val="24"/>
          <w:lang w:val="en-US"/>
        </w:rPr>
        <w:t>21.14</w:t>
      </w:r>
      <w:r>
        <w:rPr>
          <w:szCs w:val="24"/>
          <w:lang w:val="en-US"/>
        </w:rPr>
        <w:t>. įmonės interneto svetainės kūrimo išlaidoms padengti – visiems verslo subjektams, prioritetą teikiant verslo subjektams, vykdantiems veiklą ne ilgiau kaip 5 metus. Dėl šios paramos formos galima kreiptis tik vieną kartą;</w:t>
      </w:r>
    </w:p>
    <w:p>
      <w:pPr>
        <w:spacing w:line="360" w:lineRule="auto"/>
        <w:ind w:right="2" w:firstLine="1134"/>
        <w:jc w:val="both"/>
        <w:rPr>
          <w:szCs w:val="24"/>
          <w:lang w:val="en-US"/>
        </w:rPr>
      </w:pPr>
      <w:r>
        <w:rPr>
          <w:szCs w:val="24"/>
          <w:lang w:val="en-US"/>
        </w:rPr>
        <w:t>21.15</w:t>
      </w:r>
      <w:r>
        <w:rPr>
          <w:szCs w:val="24"/>
          <w:lang w:val="en-US"/>
        </w:rPr>
        <w:t>. prekės ženklo registravimo ir gaminių sertifikavimo išlaidoms padengti – verslo subjektams, visiems verslo subjektams, prioritetą teikiant vykdantiems veiklą ne ilgiau kaip 3 metus;</w:t>
      </w:r>
    </w:p>
    <w:p>
      <w:pPr>
        <w:spacing w:line="360" w:lineRule="auto"/>
        <w:ind w:right="2" w:firstLine="1134"/>
        <w:jc w:val="both"/>
        <w:rPr>
          <w:rFonts w:eastAsia="Calibri"/>
          <w:szCs w:val="24"/>
          <w:lang w:val="en-US"/>
        </w:rPr>
      </w:pPr>
      <w:r>
        <w:rPr>
          <w:rFonts w:eastAsia="Calibri"/>
          <w:szCs w:val="24"/>
          <w:lang w:val="en-US"/>
        </w:rPr>
        <w:t>21.21</w:t>
      </w:r>
      <w:r>
        <w:rPr>
          <w:rFonts w:eastAsia="Calibri"/>
          <w:szCs w:val="24"/>
          <w:lang w:val="en-US"/>
        </w:rPr>
        <w:t>. įrangos (pagrindinių priemonių), reikalingos verslui vykdyti, įsigijimo išlaidoms padengti – visiems verslo subjektams, prioritetą teikiant verslo subjektams, vykdantiems veiklą ne daugiau kaip 3 metus arba vykdantiems verslo plėtrą.</w:t>
      </w:r>
    </w:p>
    <w:p>
      <w:pPr>
        <w:spacing w:line="360" w:lineRule="auto"/>
        <w:ind w:firstLine="1178"/>
        <w:jc w:val="both"/>
        <w:rPr>
          <w:color w:val="000000"/>
          <w:szCs w:val="24"/>
          <w:lang w:val="en-US" w:eastAsia="lt-LT"/>
        </w:rPr>
      </w:pPr>
      <w:r>
        <w:rPr>
          <w:color w:val="000000"/>
          <w:szCs w:val="24"/>
          <w:lang w:val="en-US" w:eastAsia="lt-LT"/>
        </w:rPr>
        <w:t>Nutartimas priimtas vienbalsiai.</w:t>
      </w:r>
    </w:p>
    <w:p>
      <w:pPr>
        <w:spacing w:line="360" w:lineRule="auto"/>
        <w:jc w:val="both"/>
        <w:rPr>
          <w:color w:val="000000"/>
          <w:szCs w:val="24"/>
          <w:lang w:val="en-US" w:eastAsia="lt-LT"/>
        </w:rPr>
      </w:pPr>
    </w:p>
    <w:p>
      <w:pPr>
        <w:spacing w:line="360" w:lineRule="auto"/>
        <w:jc w:val="both"/>
        <w:rPr>
          <w:color w:val="000000"/>
          <w:szCs w:val="24"/>
          <w:lang w:val="en-US" w:eastAsia="lt-LT"/>
        </w:rPr>
      </w:pPr>
      <w:r>
        <w:rPr>
          <w:color w:val="000000"/>
          <w:szCs w:val="24"/>
          <w:lang w:val="en-US" w:eastAsia="lt-LT"/>
        </w:rPr>
        <w:t xml:space="preserve">Sueigos pirmininkė                                                          Danutė Bacvinkaitė</w:t>
      </w:r>
    </w:p>
    <w:p>
      <w:pPr>
        <w:spacing w:line="360" w:lineRule="auto"/>
        <w:jc w:val="both"/>
        <w:rPr>
          <w:color w:val="000000"/>
          <w:szCs w:val="24"/>
          <w:lang w:val="en-US" w:eastAsia="lt-LT"/>
        </w:rPr>
      </w:pPr>
    </w:p>
    <w:p>
      <w:pPr>
        <w:spacing w:line="360" w:lineRule="auto"/>
        <w:jc w:val="both"/>
        <w:rPr>
          <w:color w:val="000000"/>
          <w:szCs w:val="24"/>
          <w:lang w:val="en-US" w:eastAsia="lt-LT"/>
        </w:rPr>
      </w:pPr>
      <w:r>
        <w:rPr>
          <w:color w:val="000000"/>
          <w:szCs w:val="24"/>
          <w:lang w:val="en-US" w:eastAsia="lt-LT"/>
        </w:rPr>
        <w:t xml:space="preserve">Sueigos sekretorė                                                             Roma Navickienė</w:t>
      </w:r>
    </w:p>
    <w:p/>
    <w:sectPr>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lang w:val="en-US"/>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lang w:val="en-US"/>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lang w:val="en-US"/>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3</w:t>
    </w:r>
    <w:r>
      <w:rPr>
        <w:sz w:val="22"/>
        <w:szCs w:val="22"/>
        <w:lang w:val="en-US"/>
      </w:rPr>
      <w:fldChar w:fldCharType="end"/>
    </w:r>
  </w:p>
  <w:p>
    <w:pPr>
      <w:tabs>
        <w:tab w:val="center" w:pos="4819"/>
        <w:tab w:val="right" w:pos="9638"/>
      </w:tabs>
      <w:rPr>
        <w:sz w:val="22"/>
        <w:szCs w:val="22"/>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988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5742</Characters>
  <Application>Microsoft Office Word</Application>
  <DocSecurity>4</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2021-04-22T09:44:00Z</dcterms:created>
  <dc:creator>Danute</dc:creator>
  <lastModifiedBy>adlibuser</lastModifiedBy>
  <lastPrinted>2021-02-15T07:18:00Z</lastPrinted>
  <dcterms:modified xsi:type="dcterms:W3CDTF">2021-04-22T09:44:00Z</dcterms:modified>
  <revision>2</revision>
</coreProperties>
</file>