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22845ebda51452aa310098365632728"/>
        <w:lock w:val="sdtLocked"/>
        <w:richText/>
      </w:sdtPr>
      <w:sdtContent>
        <w:p w14:paraId="722C583F" w14:textId="0E8219A2">
          <w:pPr>
            <w:framePr w:hSpace="180" w:wrap="auto" w:vAnchor="text" w:hAnchor="page" w:x="5728" w:y="-61"/>
            <w:overflowPunct w:val="0"/>
            <w:jc w:val="both"/>
            <w:textAlignment w:val="baseline"/>
            <w:rPr>
              <w:sz w:val="8"/>
              <w:lang w:eastAsia="lt-LT"/>
            </w:rPr>
          </w:pPr>
          <w:r>
            <w:rPr>
              <w:sz w:val="8"/>
              <w:lang w:val="en-US"/>
            </w:rPr>
            <w:drawing>
              <wp:inline distT="0" distB="0" distL="0" distR="0" wp14:anchorId="59732EDC" wp14:editId="0BC7E3FD">
                <wp:extent cx="1057275" cy="723900"/>
                <wp:effectExtent l="0" t="0" r="0"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14:paraId="2A425A2E" w14:textId="77777777">
          <w:pPr>
            <w:overflowPunct w:val="0"/>
            <w:jc w:val="both"/>
            <w:textAlignment w:val="baseline"/>
            <w:rPr>
              <w:lang w:eastAsia="lt-LT"/>
            </w:rPr>
          </w:pPr>
        </w:p>
        <w:p w14:paraId="4E8A62C3" w14:textId="77777777">
          <w:pPr>
            <w:overflowPunct w:val="0"/>
            <w:jc w:val="both"/>
            <w:textAlignment w:val="baseline"/>
            <w:rPr>
              <w:lang w:eastAsia="lt-LT"/>
            </w:rPr>
          </w:pPr>
        </w:p>
        <w:p w14:paraId="2DFBBAB1" w14:textId="77777777">
          <w:pPr>
            <w:framePr w:w="9124" w:h="754" w:hSpace="181" w:wrap="notBeside" w:vAnchor="text" w:hAnchor="page" w:x="1883" w:y="647" w:anchorLock="1"/>
            <w:overflowPunct w:val="0"/>
            <w:jc w:val="center"/>
            <w:textAlignment w:val="baseline"/>
            <w:rPr>
              <w:b/>
              <w:sz w:val="28"/>
              <w:lang w:eastAsia="lt-LT"/>
            </w:rPr>
          </w:pPr>
          <w:r>
            <w:rPr>
              <w:b/>
              <w:sz w:val="28"/>
              <w:lang w:eastAsia="lt-LT"/>
            </w:rPr>
            <w:t>LIETUVOS RESPUBLIKOS ŽEMĖS ŪKIO MINISTERIJOS</w:t>
          </w:r>
        </w:p>
        <w:p w14:paraId="7C77066C" w14:textId="5311DDEB">
          <w:pPr>
            <w:framePr w:w="9124" w:h="754" w:hSpace="181" w:wrap="notBeside" w:vAnchor="text" w:hAnchor="page" w:x="1883" w:y="647" w:anchorLock="1"/>
            <w:overflowPunct w:val="0"/>
            <w:jc w:val="center"/>
            <w:textAlignment w:val="baseline"/>
            <w:rPr>
              <w:b/>
              <w:bCs/>
              <w:sz w:val="28"/>
              <w:szCs w:val="28"/>
              <w:lang w:val="en-GB" w:eastAsia="lt-LT"/>
            </w:rPr>
          </w:pPr>
          <w:r>
            <w:rPr>
              <w:b/>
              <w:bCs/>
              <w:sz w:val="28"/>
              <w:szCs w:val="28"/>
              <w:lang w:val="en-GB" w:eastAsia="lt-LT"/>
            </w:rPr>
            <w:t>EUROPOS SĄJUNGOS REIKALŲ IR PARAMOS POLITIKOS DEPARTAMENTAS</w:t>
          </w:r>
        </w:p>
        <w:p w14:paraId="7D3E472E" w14:textId="6F7B6F43">
          <w:pPr>
            <w:framePr w:w="9124" w:h="754" w:hSpace="181" w:wrap="notBeside" w:vAnchor="text" w:hAnchor="page" w:x="1883" w:y="647" w:anchorLock="1"/>
            <w:overflowPunct w:val="0"/>
            <w:jc w:val="center"/>
            <w:textAlignment w:val="baseline"/>
            <w:rPr>
              <w:lang w:val="en-GB" w:eastAsia="lt-LT"/>
            </w:rPr>
          </w:pPr>
        </w:p>
        <w:p w14:paraId="082CF10C" w14:textId="77777777">
          <w:pPr>
            <w:overflowPunct w:val="0"/>
            <w:jc w:val="both"/>
            <w:textAlignment w:val="baseline"/>
            <w:rPr>
              <w:lang w:eastAsia="lt-LT"/>
            </w:rPr>
          </w:pPr>
        </w:p>
        <w:p w14:paraId="1B184650" w14:textId="77777777">
          <w:pPr>
            <w:overflowPunct w:val="0"/>
            <w:jc w:val="both"/>
            <w:textAlignment w:val="baseline"/>
            <w:rPr>
              <w:lang w:eastAsia="lt-LT"/>
            </w:rPr>
          </w:pPr>
        </w:p>
        <w:p w14:paraId="28090F73" w14:textId="77777777">
          <w:pPr>
            <w:framePr w:w="9185" w:h="1077" w:hSpace="181" w:wrap="notBeside" w:vAnchor="text" w:hAnchor="page" w:x="1875" w:y="1625"/>
            <w:overflowPunct w:val="0"/>
            <w:jc w:val="center"/>
            <w:textAlignment w:val="baseline"/>
            <w:rPr>
              <w:b/>
              <w:szCs w:val="24"/>
              <w:lang w:eastAsia="lt-LT"/>
            </w:rPr>
          </w:pPr>
          <w:r>
            <w:rPr>
              <w:b/>
              <w:szCs w:val="24"/>
              <w:lang w:eastAsia="lt-LT"/>
            </w:rPr>
            <w:t>AIŠKINAMASIS RAŠTAS</w:t>
          </w:r>
        </w:p>
        <w:p w14:paraId="7EA26B64" w14:textId="77777777">
          <w:pPr>
            <w:framePr w:w="9185" w:h="1077" w:hSpace="181" w:wrap="notBeside" w:vAnchor="text" w:hAnchor="page" w:x="1875" w:y="1625"/>
            <w:jc w:val="center"/>
            <w:rPr>
              <w:b/>
              <w:bCs/>
              <w:szCs w:val="24"/>
              <w:lang w:eastAsia="lt-LT"/>
            </w:rPr>
          </w:pPr>
          <w:r>
            <w:rPr>
              <w:b/>
              <w:szCs w:val="24"/>
              <w:lang w:eastAsia="lt-LT"/>
            </w:rPr>
            <w:t>DĖL ŽEMĖS ŪKIO MINISTRO 2015 M. GRUODŽIO 4 D. ĮSAKYMO NR. 3D-897 „</w:t>
          </w:r>
          <w:r>
            <w:rPr>
              <w:b/>
              <w:bCs/>
              <w:szCs w:val="24"/>
              <w:lang w:eastAsia="lt-LT"/>
            </w:rPr>
            <w:t xml:space="preserve">DĖL </w:t>
          </w:r>
          <w:r>
            <w:rPr>
              <w:b/>
              <w:bCs/>
              <w:color w:val="000000"/>
              <w:szCs w:val="24"/>
              <w:lang w:eastAsia="lt-LT"/>
            </w:rPr>
            <w:t>PARAMOS UŽ ŽEMĖS ŪKIO NAUDMENAS IR KITUS PLOTUS BEI GYVULIUS PARAIŠKOS IR TIESIOGINIŲ IŠMOKŲ ADMINISTRAVIMO BEI KONTROLĖS TAISYKLIŲ PATVIRTINIMO</w:t>
          </w:r>
          <w:r>
            <w:rPr>
              <w:b/>
              <w:szCs w:val="24"/>
              <w:lang w:eastAsia="lt-LT"/>
            </w:rPr>
            <w:t>“ PAKEITIMO</w:t>
          </w:r>
        </w:p>
        <w:p w14:paraId="37FED982" w14:textId="21F0AADF">
          <w:pPr>
            <w:framePr w:w="9185" w:h="1077" w:hSpace="181" w:wrap="notBeside" w:vAnchor="text" w:hAnchor="page" w:x="1875" w:y="1625"/>
            <w:overflowPunct w:val="0"/>
            <w:spacing w:line="360" w:lineRule="auto"/>
            <w:textAlignment w:val="baseline"/>
            <w:rPr>
              <w:szCs w:val="24"/>
              <w:lang w:eastAsia="lt-LT"/>
            </w:rPr>
          </w:pPr>
          <w:r>
            <w:rPr>
              <w:rFonts w:ascii="TimesLT" w:hAnsi="TimesLT"/>
              <w:szCs w:val="24"/>
              <w:lang w:val="en-US"/>
            </w:rPr>
            <mc:AlternateContent>
              <mc:Choice Requires="wps">
                <w:drawing>
                  <wp:anchor distT="0" distB="0" distL="114300" distR="114300" simplePos="0" relativeHeight="251657216" behindDoc="0" locked="0" layoutInCell="0" allowOverlap="1" wp14:anchorId="32D9A3DC" wp14:editId="6129F6DF">
                    <wp:simplePos x="0" y="0"/>
                    <wp:positionH relativeFrom="column">
                      <wp:posOffset>1246505</wp:posOffset>
                    </wp:positionH>
                    <wp:positionV relativeFrom="paragraph">
                      <wp:posOffset>130175</wp:posOffset>
                    </wp:positionV>
                    <wp:extent cx="1546860" cy="249555"/>
                    <wp:effectExtent l="0" t="0" r="0" b="0"/>
                    <wp:wrapNone/>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860" cy="249555"/>
                            </a:xfrm>
                            <a:prstGeom prst="rect">
                              <a:avLst/>
                            </a:prstGeom>
                            <a:solidFill>
                              <a:srgbClr val="FFFFFF"/>
                            </a:solidFill>
                            <a:ln w="0">
                              <a:solidFill>
                                <a:srgbClr val="FFFFFF"/>
                              </a:solidFill>
                              <a:miter lim="800000"/>
                              <a:headEnd/>
                              <a:tailEnd/>
                            </a:ln>
                          </wps:spPr>
                          <wps:txbx>
                            <w:txbxContent>
                              <w:p w14:paraId="67BC5FF1" w14:textId="4290D4EF">
                                <w:pPr>
                                  <w:overflowPunct w:val="0"/>
                                  <w:textAlignment w:val="baseline"/>
                                  <w:rPr>
                                    <w:lang w:eastAsia="lt-LT"/>
                                  </w:rPr>
                                </w:pPr>
                                <w:r>
                                  <w:rPr>
                                    <w:lang w:eastAsia="lt-LT"/>
                                  </w:rPr>
                                  <w:t xml:space="preserve">2022 m. kovo        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D9A3DC" id="Rectangle 6" o:spid="_x0000_s1026" style="position:absolute;margin-left:98.15pt;margin-top:10.25pt;width:121.8pt;height:19.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ZIQGfEQIAADQEAAAOAAAAZHJzL2Uyb0RvYy54bWysU8FuEzEQvSPxD5bvZJPQRGWVTVWlBCEV qCh8gNfr3bWwPWbsZBO+nrE3SQvcKnywxvbM85s3M6ubgzVsrzBocBWfTaacKSeh0a6r+Pdv2zfX nIUoXCMMOFXxowr8Zv361WrwpZpDD6ZRyAjEhXLwFe9j9GVRBNkrK8IEvHL02AJaEemIXdGgGAjd mmI+nS6LAbDxCFKFQLd34yNfZ/y2VTJ+adugIjMVJ24x75j3Ou3FeiXKDoXvtTzREC9gYYV29OkF 6k5EwXao/4GyWiIEaONEgi2gbbVUOQfKZjb9K5vHXniVcyFxgr/IFP4frPy8f0Cmm4q/5cwJSyX6 SqIJ1xnFlkmewYeSvB79A6YEg78H+SMwB5uevNQtIgy9Eg2RmiX/4o+AdAgUyurhEzSELnYRslKH Fm0CJA3YIRfkeCmIOkQm6XK2uFpeL6lukt7mV+8Wi0X+QpTnaI8hflBgWTIqjsQ9o4v9fYiJjSjP Lpk9GN1stTH5gF29Mcj2gppjm9cJPTx3M44NidlL462O1OJG24pfT9NKn4gyafbeNdmOQpvRJr7G nURMuo36x0N9IMckZg3NkeREGFuZRo+MHvAXZwO1ccXDz51AxZn56KgkqefPBp6N+mwIJym04pGz 0dzEcTZ2HnXXE/Isp+3glsrW6qzoE4sTT2rNLPRpjFLvPz9nr6dhX/8GAAD//wMAUEsDBBQABgAI AAAAIQAhQP2t4AAAAAkBAAAPAAAAZHJzL2Rvd25yZXYueG1sTI/BTsMwEETvSPyDtUjcqENLSxPi VAiJAxI9kFRI3Nx4iRPidRq7bfh7lhMcR/s08zbfTK4XJxxD60nB7SwBgVR701KjYFc936xBhKjJ 6N4TKvjGAJvi8iLXmfFnesNTGRvBJRQyrcDGOGRShtqi02HmByS+ffrR6chxbKQZ9ZnLXS/nSbKS TrfEC1YP+GSx/iqPTkF32H5sk91rV5X3tn55P3TeuUqp66vp8QFExCn+wfCrz+pQsNPeH8kE0XNO VwtGFcyTJQgG7hZpCmKvYJmuQRa5/P9B8QMAAP//AwBQSwECLQAUAAYACAAAACEAtoM4kv4AAADh AQAAEwAAAAAAAAAAAAAAAAAAAAAAW0NvbnRlbnRfVHlwZXNdLnhtbFBLAQItABQABgAIAAAAIQA4 /SH/1gAAAJQBAAALAAAAAAAAAAAAAAAAAC8BAABfcmVscy8ucmVsc1BLAQItABQABgAIAAAAIQAZ IQGfEQIAADQEAAAOAAAAAAAAAAAAAAAAAC4CAABkcnMvZTJvRG9jLnhtbFBLAQItABQABgAIAAAA IQAhQP2t4AAAAAkBAAAPAAAAAAAAAAAAAAAAAGsEAABkcnMvZG93bnJldi54bWxQSwUGAAAAAAQA BADzAAAAeAUAAAAA " o:allowincell="f" strokecolor="white" strokeweight="0">
                    <v:textbox inset="0,0,0,0">
                      <w:txbxContent>
                        <w:p w14:paraId="67BC5FF1" w14:textId="4290D4EF">
                          <w:pPr>
                            <w:overflowPunct w:val="0"/>
                            <w:textAlignment w:val="baseline"/>
                            <w:rPr>
                              <w:rFonts w:ascii="Times New Roman" w:hAnsi="Times New Roman" w:eastAsia="Times New Roman" w:cs="Times New Roman"/>
                              <w:lang w:eastAsia="lt-LT"/>
                            </w:rPr>
                          </w:pPr>
                          <w:r>
                            <w:rPr>
                              <w:rFonts w:ascii="Times New Roman" w:hAnsi="Times New Roman" w:eastAsia="Times New Roman" w:cs="Times New Roman"/>
                              <w:lang w:eastAsia="lt-LT"/>
                            </w:rPr>
                            <w:t xml:space="preserve">2022 m. kovo        d.</w:t>
                          </w:r>
                        </w:p>
                      </w:txbxContent>
                    </v:textbox>
                  </v:rect>
                </w:pict>
              </mc:Fallback>
            </mc:AlternateContent>
            <mc:AlternateContent>
              <mc:Choice Requires="wps">
                <w:drawing>
                  <wp:anchor distT="0" distB="0" distL="114300" distR="114300" simplePos="0" relativeHeight="251658240" behindDoc="0" locked="0" layoutInCell="0" allowOverlap="1" wp14:anchorId="62700503" wp14:editId="1D01D41C">
                    <wp:simplePos x="0" y="0"/>
                    <wp:positionH relativeFrom="column">
                      <wp:posOffset>3179445</wp:posOffset>
                    </wp:positionH>
                    <wp:positionV relativeFrom="paragraph">
                      <wp:posOffset>130175</wp:posOffset>
                    </wp:positionV>
                    <wp:extent cx="1028700" cy="196215"/>
                    <wp:effectExtent l="0" t="0" r="0" b="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wps:spPr>
                          <wps:txbx>
                            <w:txbxContent>
                              <w:p w14:paraId="40B983FB" w14:textId="77777777">
                                <w:pPr>
                                  <w:overflowPunct w:val="0"/>
                                  <w:textAlignment w:val="baseline"/>
                                  <w:rPr>
                                    <w:lang w:eastAsia="lt-LT"/>
                                  </w:rPr>
                                </w:pPr>
                                <w:r>
                                  <w:rPr>
                                    <w:lang w:eastAsia="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700503" id="Rectangle 7" o:spid="_x0000_s1027" style="position:absolute;margin-left:250.35pt;margin-top:10.2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C0KIGEgIAADsEAAAOAAAAZHJzL2Uyb0RvYy54bWysU1Fv0zAQfkfiP1h+p0kqsZWo6TR1FCEN mBj8gIvjJBaObc5uk/LrOTttN+Btwg/W2b77/N13d+ubadDsINEraypeLHLOpBG2Uaar+Pdvuzcr znwA04C2Rlb8KD2/2bx+tR5dKZe2t7qRyAjE+HJ0Fe9DcGWWedHLAfzCOmnosbU4QKAjdlmDMBL6 oLNlnl9lo8XGoRXSe7q9mx/5JuG3rRThS9t6GZiuOHELace013HPNmsoOwTXK3GiAS9gMYAy9OkF 6g4CsD2qf6AGJdB624aFsENm21YJmXKgbIr8r2wee3Ay5ULieHeRyf8/WPH58IBMNRVfcmZgoBJ9 JdHAdFqy6yjP6HxJXo/uAWOC3t1b8cMzY7c9eclbRDv2EhoiVUT/7I+AePAUyurxk20IHfbBJqWm FocISBqwKRXkeCmInAITdFnky9V1TnUT9Fa8u1oWb9MXUJ6jHfrwQdqBRaPiSNwTOhzufYhsoDy7 JPZWq2antE4H7OqtRnYAao5dWid0/9xNGzZGZi+NH1SgFtdqqPgqjyt+AmXU7L1pkh1A6dkmvtqc RIy6zfqHqZ5SkZLCUdPaNkdSFe3c0TSBZPQWf3E2UjdX3P/cA0rO9EdDlYmtfzbwbNRnA4yg0IoH zmZzG+YR2TtUXU/IRcre2FuqXquSsE8sTnSpQ5Pep2mKI/D8nLyeZn7zGwAA//8DAFBLAwQUAAYA CAAAACEAbeMpc98AAAAJAQAADwAAAGRycy9kb3ducmV2LnhtbEyPwU7DMAyG70i8Q2QkbixZxTpU mk4IiQMSO9BOSNyy1jQtjdM12VbeHnMaR/v/9PtzvpndIE44hc6ThuVCgUCqfdNRq2FXvdw9gAjR UGMGT6jhBwNsiuur3GSNP9M7nsrYCi6hkBkNNsYxkzLUFp0JCz8icfblJ2cij1Mrm8mcudwNMlEq lc50xBesGfHZYv1dHp2G/rD93KrdW1+Va1u/fhx671yl9e3N/PQIIuIcLzD86bM6FOy090dqghg0 rJRaM6ohUSsQDKRpwos9J8t7kEUu/39Q/AIAAP//AwBQSwECLQAUAAYACAAAACEAtoM4kv4AAADh AQAAEwAAAAAAAAAAAAAAAAAAAAAAW0NvbnRlbnRfVHlwZXNdLnhtbFBLAQItABQABgAIAAAAIQA4 /SH/1gAAAJQBAAALAAAAAAAAAAAAAAAAAC8BAABfcmVscy8ucmVsc1BLAQItABQABgAIAAAAIQCC 0KIGEgIAADsEAAAOAAAAAAAAAAAAAAAAAC4CAABkcnMvZTJvRG9jLnhtbFBLAQItABQABgAIAAAA IQBt4ylz3wAAAAkBAAAPAAAAAAAAAAAAAAAAAGwEAABkcnMvZG93bnJldi54bWxQSwUGAAAAAAQA BADzAAAAeAUAAAAA " o:allowincell="f" strokecolor="white" strokeweight="0">
                    <v:textbox inset="0,0,0,0">
                      <w:txbxContent>
                        <w:p w14:paraId="40B983FB" w14:textId="77777777">
                          <w:pPr>
                            <w:overflowPunct w:val="0"/>
                            <w:textAlignment w:val="baseline"/>
                            <w:rPr>
                              <w:rFonts w:ascii="Times New Roman" w:hAnsi="Times New Roman" w:eastAsia="Times New Roman" w:cs="Times New Roman"/>
                              <w:lang w:eastAsia="lt-LT"/>
                            </w:rPr>
                          </w:pPr>
                          <w:r>
                            <w:rPr>
                              <w:rFonts w:ascii="Times New Roman" w:hAnsi="Times New Roman" w:eastAsia="Times New Roman" w:cs="Times New Roman"/>
                              <w:lang w:eastAsia="lt-LT"/>
                            </w:rPr>
                            <w:t>21D-</w:t>
                          </w:r>
                        </w:p>
                      </w:txbxContent>
                    </v:textbox>
                  </v:rect>
                </w:pict>
              </mc:Fallback>
            </mc:AlternateContent>
          </w:r>
        </w:p>
        <w:p w14:paraId="46EB2592" w14:textId="77777777">
          <w:pPr>
            <w:framePr w:w="9185" w:h="1077" w:hSpace="181" w:wrap="notBeside" w:vAnchor="text" w:hAnchor="page" w:x="1875" w:y="1625"/>
            <w:overflowPunct w:val="0"/>
            <w:spacing w:line="360"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14:paraId="460D279B" w14:textId="77777777">
          <w:pPr>
            <w:framePr w:w="9185" w:h="1077" w:hSpace="181" w:wrap="notBeside" w:vAnchor="text" w:hAnchor="page" w:x="1875" w:y="1625"/>
            <w:overflowPunct w:val="0"/>
            <w:spacing w:line="360" w:lineRule="auto"/>
            <w:jc w:val="center"/>
            <w:textAlignment w:val="baseline"/>
            <w:rPr>
              <w:lang w:eastAsia="lt-LT"/>
            </w:rPr>
          </w:pPr>
          <w:r>
            <w:rPr>
              <w:lang w:eastAsia="lt-LT"/>
            </w:rPr>
            <w:t>Vilnius</w:t>
          </w:r>
        </w:p>
        <w:sdt>
          <w:sdtPr>
            <w:alias w:val="preambule"/>
            <w:tag w:val="part_0ee52768fcc74081bb0523faaa438e7c"/>
            <w:lock w:val="sdtLocked"/>
            <w:richText/>
          </w:sdtPr>
          <w:sdtContent>
            <w:p w14:paraId="56C98C68" w14:textId="2D4649F9">
              <w:pPr>
                <w:overflowPunct w:val="0"/>
                <w:spacing w:line="360" w:lineRule="auto"/>
                <w:ind w:firstLine="567"/>
                <w:jc w:val="both"/>
                <w:textAlignment w:val="baseline"/>
                <w:rPr>
                  <w:szCs w:val="24"/>
                  <w:lang w:eastAsia="lt-LT"/>
                </w:rPr>
              </w:pPr>
              <w:r>
                <w:rPr>
                  <w:szCs w:val="24"/>
                  <w:lang w:eastAsia="lt-LT"/>
                </w:rPr>
                <w:t xml:space="preserve">Įsakymo projektas parengtas atsižvelgiant į 2022 m. kovo 23 d. Europos Komisijos įgyvendinimo sprendimą, </w:t>
              </w:r>
              <w:r>
                <w:rPr>
                  <w:lang w:val="en-GB" w:eastAsia="lt-LT"/>
                </w:rPr>
                <w:t xml:space="preserve">kuriuo leidžiama nukrypti nuo Europos Parlamento ir Tarybos reglamento </w:t>
              </w:r>
              <w:fldSimple w:instr="HYPERLINK http://eur-lex.europa.eu/legal-content/LIT/TXT/?uri=CELEX:32013R1307&amp;locale=lt \t _blank">
                <w:r>
                  <w:rPr>
                    <w:lang w:val="en-GB" w:eastAsia="lt-LT"/>
                    <w:u w:val="single"/>
                    <w:color w:val="0000FF" w:themeColor="hyperlink"/>
                  </w:rPr>
                  <w:t>(ES) Nr. 1307/2013</w:t>
                </w:r>
              </w:fldSimple>
              <w:r>
                <w:rPr>
                  <w:lang w:val="en-GB" w:eastAsia="lt-LT"/>
                </w:rPr>
                <w:t xml:space="preserve"> ir Komisijos deleguotojo reglamento </w:t>
              </w:r>
              <w:fldSimple w:instr="HYPERLINK http://eur-lex.europa.eu/legal-content/LIT/TXT/?uri=CELEX:32014R0639&amp;locale=lt \t _blank">
                <w:r>
                  <w:rPr>
                    <w:lang w:val="en-GB" w:eastAsia="lt-LT"/>
                    <w:u w:val="single"/>
                    <w:color w:val="0000FF" w:themeColor="hyperlink"/>
                  </w:rPr>
                  <w:t>(ES) Nr. 639/2014</w:t>
                </w:r>
              </w:fldSimple>
              <w:r>
                <w:rPr>
                  <w:lang w:val="en-GB" w:eastAsia="lt-LT"/>
                </w:rPr>
                <w:t xml:space="preserve"> nuostatų dėl tam tikrų sąlygų, susijusių su žalinimo išmoka už 2022 paraiškų teikimo metus, vykdymo</w:t>
              </w:r>
              <w:r>
                <w:rPr>
                  <w:szCs w:val="24"/>
                  <w:lang w:eastAsia="lt-LT"/>
                </w:rPr>
                <w:t>.</w:t>
              </w:r>
            </w:p>
          </w:sdtContent>
        </w:sdt>
        <w:sdt>
          <w:sdtPr>
            <w:alias w:val="pastraipa"/>
            <w:tag w:val="part_2f8f5b1d3fe34c6db3b12abbb5786c78"/>
            <w:lock w:val="sdtLocked"/>
            <w:richText/>
          </w:sdtPr>
          <w:sdtContent>
            <w:p w14:paraId="707D28BD" w14:textId="56DC7A9F">
              <w:pPr>
                <w:overflowPunct w:val="0"/>
                <w:spacing w:line="360" w:lineRule="auto"/>
                <w:ind w:firstLine="567"/>
                <w:jc w:val="both"/>
                <w:textAlignment w:val="baseline"/>
                <w:rPr>
                  <w:szCs w:val="24"/>
                  <w:lang w:eastAsia="lt-LT"/>
                </w:rPr>
              </w:pPr>
              <w:r>
                <w:rPr>
                  <w:szCs w:val="24"/>
                  <w:lang w:eastAsia="lt-LT"/>
                </w:rPr>
                <w:t>Įsakymo tikslas – patikslinti ir atnaujinti Paramos už žemės ūkio naudmenas ir kitus plotus bei gyvulius paraiškos ir tiesioginių išmokų administravimo bei kontrolės taisykles</w:t>
              </w:r>
              <w:r>
                <w:rPr>
                  <w:lang w:eastAsia="lt-LT"/>
                </w:rPr>
                <w:t xml:space="preserve"> ir leisti žaliajame pūdyme vykdyti žemės ūkio gamybą.</w:t>
              </w:r>
            </w:p>
            <w:p w14:paraId="7065713F" w14:textId="3A5C5572">
              <w:pPr>
                <w:overflowPunct w:val="0"/>
                <w:spacing w:line="360" w:lineRule="auto"/>
                <w:ind w:firstLine="567"/>
                <w:jc w:val="both"/>
                <w:textAlignment w:val="baseline"/>
                <w:rPr>
                  <w:lang w:eastAsia="lt-LT"/>
                </w:rPr>
              </w:pPr>
              <w:r>
                <w:rPr>
                  <w:szCs w:val="24"/>
                  <w:lang w:eastAsia="lt-LT"/>
                </w:rPr>
                <w:t>Įsakymu siekiama užtikrinti, kad</w:t>
              </w:r>
              <w:r>
                <w:rPr>
                  <w:lang w:eastAsia="lt-LT"/>
                </w:rPr>
                <w:t xml:space="preserve"> būtų pagaminama daugiau žemės ūkio produkcijos</w:t>
              </w:r>
              <w:r>
                <w:rPr>
                  <w:szCs w:val="24"/>
                  <w:lang w:eastAsia="lt-LT"/>
                </w:rPr>
                <w:t>.</w:t>
              </w:r>
            </w:p>
            <w:p w14:paraId="28FFC00A" w14:textId="77777777">
              <w:pPr>
                <w:overflowPunct w:val="0"/>
                <w:spacing w:line="360" w:lineRule="auto"/>
                <w:ind w:firstLine="567"/>
                <w:jc w:val="both"/>
                <w:textAlignment w:val="baseline"/>
                <w:rPr>
                  <w:szCs w:val="24"/>
                  <w:lang w:eastAsia="lt-LT"/>
                </w:rPr>
              </w:pPr>
              <w:r>
                <w:rPr>
                  <w:szCs w:val="24"/>
                  <w:lang w:eastAsia="lt-LT"/>
                </w:rPr>
                <w:t>Įsakymas susijęs su VĮ Žemės ūkio informacijos ir kaimo verslo centro ir Nacionalinės mokėjimo agentūros prie Žemės ūkio ministerijos veiklos sritimis.</w:t>
              </w:r>
            </w:p>
            <w:p w14:paraId="7BB0A13C" w14:textId="5EF35A63">
              <w:pPr>
                <w:overflowPunct w:val="0"/>
                <w:spacing w:line="360" w:lineRule="auto"/>
                <w:ind w:firstLine="567"/>
                <w:jc w:val="both"/>
                <w:textAlignment w:val="baseline"/>
                <w:rPr>
                  <w:lang w:eastAsia="lt-LT"/>
                </w:rPr>
              </w:pPr>
              <w:r>
                <w:rPr>
                  <w:lang w:eastAsia="lt-LT"/>
                </w:rPr>
                <w:t xml:space="preserve">Įsakymo projektas </w:t>
              </w:r>
              <w:r>
                <w:rPr>
                  <w:lang w:val="en-GB" w:eastAsia="lt-LT"/>
                </w:rPr>
                <w:t>bus</w:t>
              </w:r>
              <w:r>
                <w:rPr>
                  <w:lang w:eastAsia="lt-LT"/>
                </w:rPr>
                <w:t xml:space="preserve"> skelbiamas Teisės aktų informacinėje sistemoje skubos tvarka 5 darbo dienas, nes nebuvo įmanoma suplanuoti Europos Komisijos sprendimo, be to, žemės ūkio naudmenų deklaravimas prasideda netrukus, t. y. balandžio 19 d., ir prieš prasidedant pavasario sėjos darbams pareiškėjams būtina kuo anksčiau sužinoti taikomus naujus reikalavimus.</w:t>
              </w:r>
            </w:p>
            <w:p w14:paraId="38DF7A4E" w14:textId="4DB79339">
              <w:pPr>
                <w:overflowPunct w:val="0"/>
                <w:spacing w:line="360" w:lineRule="auto"/>
                <w:ind w:firstLine="567"/>
                <w:jc w:val="both"/>
                <w:textAlignment w:val="baseline"/>
                <w:rPr>
                  <w:szCs w:val="24"/>
                  <w:lang w:eastAsia="lt-LT"/>
                </w:rPr>
              </w:pPr>
              <w:r>
                <w:rPr>
                  <w:lang w:eastAsia="lt-LT"/>
                </w:rPr>
                <w:t>Atliktas įsakymo projekto antikorupcinis vertinimas.</w:t>
              </w:r>
            </w:p>
            <w:p w14:paraId="4138B307" w14:textId="764FFAC7">
              <w:pPr>
                <w:overflowPunct w:val="0"/>
                <w:spacing w:line="360" w:lineRule="auto"/>
                <w:jc w:val="both"/>
                <w:textAlignment w:val="baseline"/>
                <w:rPr>
                  <w:szCs w:val="24"/>
                  <w:lang w:eastAsia="lt-LT"/>
                </w:rPr>
              </w:pPr>
            </w:p>
            <w:p w14:paraId="03BDAFE0" w14:textId="77777777">
              <w:pPr>
                <w:overflowPunct w:val="0"/>
                <w:spacing w:line="360" w:lineRule="auto"/>
                <w:jc w:val="both"/>
                <w:textAlignment w:val="baseline"/>
                <w:rPr>
                  <w:lang w:eastAsia="lt-LT"/>
                </w:rPr>
              </w:pPr>
            </w:p>
          </w:sdtContent>
        </w:sdt>
        <w:sdt>
          <w:sdtPr>
            <w:alias w:val="signatura"/>
            <w:tag w:val="part_ac1a637f9fab441295c66ca09c48d65e"/>
            <w:lock w:val="sdtLocked"/>
            <w:richText/>
          </w:sdtPr>
          <w:sdtContent>
            <w:p w14:paraId="566C81A6" w14:textId="4382326F">
              <w:pPr>
                <w:overflowPunct w:val="0"/>
                <w:spacing w:line="360" w:lineRule="auto"/>
                <w:jc w:val="both"/>
                <w:textAlignment w:val="baseline"/>
                <w:rPr>
                  <w:lang w:eastAsia="lt-LT"/>
                </w:rPr>
              </w:pPr>
              <w:r>
                <w:rPr>
                  <w:lang w:eastAsia="lt-LT"/>
                </w:rPr>
                <w:t>Direktorė</w:t>
              </w:r>
              <w:r>
                <w:rPr>
                  <w:lang w:val="en-GB" w:eastAsia="lt-LT"/>
                </w:rPr>
                <w:tab/>
                <w:tab/>
                <w:tab/>
                <w:tab/>
                <w:tab/>
                <w:tab/>
                <w:tab/>
                <w:tab/>
                <w:tab/>
                <w:t xml:space="preserve">           Jurgita Stakėnienė</w:t>
              </w:r>
            </w:p>
            <w:p w14:paraId="06F90E38" w14:textId="77777777">
              <w:pPr>
                <w:overflowPunct w:val="0"/>
                <w:jc w:val="both"/>
                <w:textAlignment w:val="baseline"/>
                <w:rPr>
                  <w:szCs w:val="24"/>
                  <w:lang w:eastAsia="lt-LT"/>
                </w:rPr>
              </w:pPr>
            </w:p>
            <w:p w14:paraId="5DF0C528" w14:textId="77777777">
              <w:pPr>
                <w:overflowPunct w:val="0"/>
                <w:jc w:val="both"/>
                <w:textAlignment w:val="baseline"/>
                <w:rPr>
                  <w:szCs w:val="24"/>
                  <w:lang w:eastAsia="lt-LT"/>
                </w:rPr>
              </w:pPr>
            </w:p>
            <w:p w14:paraId="402DDD41" w14:textId="77777777">
              <w:pPr>
                <w:overflowPunct w:val="0"/>
                <w:jc w:val="both"/>
                <w:textAlignment w:val="baseline"/>
                <w:rPr>
                  <w:szCs w:val="24"/>
                  <w:lang w:eastAsia="lt-LT"/>
                </w:rPr>
              </w:pPr>
            </w:p>
            <w:p w14:paraId="710806E1" w14:textId="77777777">
              <w:pPr>
                <w:overflowPunct w:val="0"/>
                <w:jc w:val="both"/>
                <w:textAlignment w:val="baseline"/>
                <w:rPr>
                  <w:szCs w:val="24"/>
                  <w:lang w:eastAsia="lt-LT"/>
                </w:rPr>
              </w:pPr>
            </w:p>
            <w:p w14:paraId="0BB89239" w14:textId="77777777">
              <w:pPr>
                <w:overflowPunct w:val="0"/>
                <w:jc w:val="both"/>
                <w:textAlignment w:val="baseline"/>
                <w:rPr>
                  <w:szCs w:val="24"/>
                  <w:lang w:eastAsia="lt-LT"/>
                </w:rPr>
              </w:pPr>
            </w:p>
            <w:p w14:paraId="6305329A" w14:textId="42CE3A2C">
              <w:pPr>
                <w:overflowPunct w:val="0"/>
                <w:jc w:val="both"/>
                <w:textAlignment w:val="baseline"/>
                <w:rPr>
                  <w:szCs w:val="24"/>
                  <w:lang w:eastAsia="lt-LT"/>
                </w:rPr>
              </w:pPr>
              <w:r>
                <w:rPr>
                  <w:szCs w:val="24"/>
                  <w:lang w:eastAsia="lt-LT"/>
                </w:rPr>
                <w:t>Skirmantas Ramoška, tel. 239 1166</w:t>
              </w:r>
            </w:p>
          </w:sdtContent>
        </w:sdt>
      </w:sdtContent>
    </w:sdt>
    <w:sectPr>
      <w:pgSz w:w="11907" w:h="16840"/>
      <w:pgMar w:top="1247"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B5511" w14:textId="77777777">
      <w:pPr>
        <w:overflowPunct w:val="0"/>
        <w:textAlignment w:val="baseline"/>
        <w:rPr>
          <w:lang w:val="en-GB" w:eastAsia="lt-LT"/>
        </w:rPr>
      </w:pPr>
      <w:r>
        <w:rPr>
          <w:lang w:val="en-GB" w:eastAsia="lt-LT"/>
        </w:rPr>
        <w:separator/>
      </w:r>
    </w:p>
  </w:endnote>
  <w:endnote w:type="continuationSeparator" w:id="0">
    <w:p w14:paraId="1C5FA932" w14:textId="77777777">
      <w:pPr>
        <w:overflowPunct w:val="0"/>
        <w:textAlignment w:val="baseline"/>
        <w:rPr>
          <w:lang w:val="en-GB" w:eastAsia="lt-LT"/>
        </w:rPr>
      </w:pPr>
      <w:r>
        <w:rPr>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864EAF" w14:textId="77777777">
      <w:pPr>
        <w:overflowPunct w:val="0"/>
        <w:textAlignment w:val="baseline"/>
        <w:rPr>
          <w:lang w:val="en-GB" w:eastAsia="lt-LT"/>
        </w:rPr>
      </w:pPr>
      <w:r>
        <w:rPr>
          <w:lang w:val="en-GB" w:eastAsia="lt-LT"/>
        </w:rPr>
        <w:separator/>
      </w:r>
    </w:p>
  </w:footnote>
  <w:footnote w:type="continuationSeparator" w:id="0">
    <w:p w14:paraId="3365B3EF" w14:textId="77777777">
      <w:pPr>
        <w:overflowPunct w:val="0"/>
        <w:textAlignment w:val="baseline"/>
        <w:rPr>
          <w:lang w:val="en-GB" w:eastAsia="lt-LT"/>
        </w:rPr>
      </w:pPr>
      <w:r>
        <w:rPr>
          <w:lang w:val="en-GB"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6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88C9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9316269">
      <w:bodyDiv w:val="1"/>
      <w:marLeft w:val="0"/>
      <w:marRight w:val="0"/>
      <w:marTop w:val="0"/>
      <w:marBottom w:val="0"/>
      <w:divBdr>
        <w:top w:val="none" w:sz="0" w:space="0" w:color="auto"/>
        <w:left w:val="none" w:sz="0" w:space="0" w:color="auto"/>
        <w:bottom w:val="none" w:sz="0" w:space="0" w:color="auto"/>
        <w:right w:val="none" w:sz="0" w:space="0" w:color="auto"/>
      </w:divBdr>
    </w:div>
    <w:div w:id="1294824506">
      <w:bodyDiv w:val="1"/>
      <w:marLeft w:val="0"/>
      <w:marRight w:val="0"/>
      <w:marTop w:val="0"/>
      <w:marBottom w:val="0"/>
      <w:divBdr>
        <w:top w:val="none" w:sz="0" w:space="0" w:color="auto"/>
        <w:left w:val="none" w:sz="0" w:space="0" w:color="auto"/>
        <w:bottom w:val="none" w:sz="0" w:space="0" w:color="auto"/>
        <w:right w:val="none" w:sz="0" w:space="0" w:color="auto"/>
      </w:divBdr>
    </w:div>
    <w:div w:id="1742558877">
      <w:bodyDiv w:val="1"/>
      <w:marLeft w:val="0"/>
      <w:marRight w:val="0"/>
      <w:marTop w:val="0"/>
      <w:marBottom w:val="0"/>
      <w:divBdr>
        <w:top w:val="none" w:sz="0" w:space="0" w:color="auto"/>
        <w:left w:val="none" w:sz="0" w:space="0" w:color="auto"/>
        <w:bottom w:val="none" w:sz="0" w:space="0" w:color="auto"/>
        <w:right w:val="none" w:sz="0" w:space="0" w:color="auto"/>
      </w:divBdr>
    </w:div>
    <w:div w:id="1940915314">
      <w:bodyDiv w:val="1"/>
      <w:marLeft w:val="0"/>
      <w:marRight w:val="0"/>
      <w:marTop w:val="0"/>
      <w:marBottom w:val="0"/>
      <w:divBdr>
        <w:top w:val="none" w:sz="0" w:space="0" w:color="auto"/>
        <w:left w:val="none" w:sz="0" w:space="0" w:color="auto"/>
        <w:bottom w:val="none" w:sz="0" w:space="0" w:color="auto"/>
        <w:right w:val="none" w:sz="0" w:space="0" w:color="auto"/>
      </w:divBdr>
    </w:div>
    <w:div w:id="198543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83b70de97741efb84a7c7a5057e000" PartId="922845ebda51452aa310098365632728">
    <Part Type="preambule" DocPartId="7b4667dc686f4ff7807523fdd233be57" PartId="0ee52768fcc74081bb0523faaa438e7c"/>
    <Part Type="pastraipa" DocPartId="cd9e554f59d94e0d8af39a77879f42e6" PartId="2f8f5b1d3fe34c6db3b12abbb5786c78"/>
    <Part Type="signatura" DocPartId="36972b3a6ba04382a3df80bae3951b1b" PartId="ac1a637f9fab441295c66ca09c48d65e"/>
  </Part>
</Parts>
</file>

<file path=customXml/itemProps1.xml><?xml version="1.0" encoding="utf-8"?>
<ds:datastoreItem xmlns:ds="http://schemas.openxmlformats.org/officeDocument/2006/customXml" ds:itemID="{15B856C9-2E94-48DE-9D3C-74AE427F2A21}">
  <ds:schemaRefs>
    <ds:schemaRef ds:uri="http://schemas.openxmlformats.org/officeDocument/2006/bibliography"/>
  </ds:schemaRefs>
</ds:datastoreItem>
</file>

<file path=customXml/itemProps2.xml><?xml version="1.0" encoding="utf-8"?>
<ds:datastoreItem xmlns:ds="http://schemas.openxmlformats.org/officeDocument/2006/customXml" ds:itemID="{3C0EA776-02BD-4F1D-8B04-1A4029D611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225</Words>
  <Characters>1501</Characters>
  <Application>Microsoft Office Word</Application>
  <DocSecurity>4</DocSecurity>
  <Lines>42</Lines>
  <Paragraphs>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1710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2022-03-25T13:34:00Z</dcterms:created>
  <dcterms:modified xsi:type="dcterms:W3CDTF">2022-03-25T13:34:00Z</dcterms:modified>
  <revision>1</revision>
</coreProperties>
</file>