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3eb873d36447b4a89960b3249458b9"/>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3"/>
              <w:sz w:val="22"/>
              <w:szCs w:val="22"/>
              <w:lang w:eastAsia="zh-CN"/>
            </w:rPr>
          </w:pPr>
          <w:r>
            <w:rPr>
              <w:b/>
              <w:bCs/>
              <w:color w:val="000000"/>
              <w:kern w:val="3"/>
              <w:sz w:val="22"/>
              <w:szCs w:val="22"/>
              <w:lang w:eastAsia="zh-CN"/>
            </w:rPr>
            <w:t>ŠIAULIŲ MIESTO SAVIVALDYBĖS ADMINISTRACIJOS</w:t>
          </w:r>
        </w:p>
        <w:sdt>
          <w:sdtPr>
            <w:alias w:val="skyrius"/>
            <w:tag w:val="part_bf2052e4103b4404bcc48531a29a8f27"/>
            <w:lock w:val="sdtLocked"/>
            <w:richText/>
          </w:sdtPr>
          <w:sdtContent>
            <w:p>
              <w:pPr>
                <w:suppressAutoHyphens/>
                <w:jc w:val="center"/>
                <w:rPr>
                  <w:b/>
                  <w:bCs/>
                  <w:kern w:val="3"/>
                  <w:sz w:val="22"/>
                  <w:szCs w:val="22"/>
                  <w:lang w:eastAsia="zh-CN"/>
                </w:rPr>
              </w:pPr>
              <w:r>
                <w:rPr>
                  <w:b/>
                  <w:bCs/>
                  <w:kern w:val="3"/>
                  <w:sz w:val="22"/>
                  <w:szCs w:val="22"/>
                  <w:lang w:eastAsia="zh-CN"/>
                </w:rPr>
                <w:t>SOCIALINIŲ PASLAUGŲ SKYRIUS</w:t>
              </w:r>
            </w:p>
            <w:p>
              <w:pPr>
                <w:suppressAutoHyphens/>
                <w:rPr>
                  <w:kern w:val="3"/>
                  <w:sz w:val="22"/>
                  <w:szCs w:val="22"/>
                  <w:lang w:eastAsia="zh-CN"/>
                </w:rPr>
              </w:pPr>
            </w:p>
            <w:p>
              <w:pPr>
                <w:suppressAutoHyphens/>
                <w:rPr>
                  <w:kern w:val="3"/>
                  <w:sz w:val="22"/>
                  <w:szCs w:val="22"/>
                  <w:lang w:eastAsia="zh-CN"/>
                </w:rPr>
              </w:pPr>
              <w:r>
                <w:rPr>
                  <w:kern w:val="3"/>
                  <w:sz w:val="22"/>
                  <w:szCs w:val="22"/>
                  <w:lang w:eastAsia="zh-CN"/>
                </w:rPr>
                <w:t>Šiaulių miesto savivaldybės tarybai</w:t>
              </w:r>
            </w:p>
            <w:p>
              <w:pPr>
                <w:suppressAutoHyphens/>
                <w:rPr>
                  <w:kern w:val="3"/>
                  <w:sz w:val="22"/>
                  <w:szCs w:val="22"/>
                  <w:lang w:eastAsia="zh-CN"/>
                </w:rPr>
              </w:pPr>
            </w:p>
            <w:sdt>
              <w:sdtPr>
                <w:alias w:val="poskyris"/>
                <w:tag w:val="part_e73cefe23c694ff0a6382549adc7f693"/>
                <w:lock w:val="sdtLocked"/>
                <w:richText/>
              </w:sdtPr>
              <w:sdtContent>
                <w:sdt>
                  <w:sdtPr>
                    <w:alias w:val="Pavadinimas"/>
                    <w:tag w:val="title_e73cefe23c694ff0a6382549adc7f693"/>
                    <w:lock w:val="sdtLocked"/>
                    <w:richText/>
                  </w:sdtPr>
                  <w:sdtContent>
                    <w:p>
                      <w:pPr>
                        <w:tabs>
                          <w:tab w:val="center" w:pos="4819"/>
                          <w:tab w:val="right" w:pos="9638"/>
                        </w:tabs>
                        <w:jc w:val="center"/>
                        <w:rPr>
                          <w:rFonts w:eastAsia="Lucida Sans Unicode"/>
                          <w:b/>
                          <w:bCs/>
                          <w:sz w:val="22"/>
                          <w:szCs w:val="22"/>
                          <w:shd w:val="clear" w:color="auto" w:fill="FFFFFF"/>
                        </w:rPr>
                      </w:pPr>
                      <w:r>
                        <w:rPr>
                          <w:rFonts w:eastAsia="Calibri"/>
                          <w:b/>
                          <w:bCs/>
                          <w:sz w:val="22"/>
                          <w:szCs w:val="22"/>
                        </w:rPr>
                        <w:t>SPRENDIMO „DĖL ŠIAULIŲ MIESTO SAVIVALDYBĖS 2022 M. VASARIO 3 D. SPRENDIMO NR. T-30 „DĖL BIUDŽETINIŲ ĮSTAIGŲ SOCIALINIŲ PASLAUGŲ SĄRAŠO IR KAINŲ NUSTATYMO“</w:t>
                      </w:r>
                      <w:r>
                        <w:rPr>
                          <w:rFonts w:eastAsia="Lucida Sans Unicode"/>
                          <w:b/>
                          <w:bCs/>
                          <w:sz w:val="22"/>
                          <w:szCs w:val="22"/>
                          <w:shd w:val="clear" w:color="auto" w:fill="FFFFFF"/>
                        </w:rPr>
                        <w:t xml:space="preserve"> PAKEITIMO PROJEKTO </w:t>
                      </w:r>
                    </w:p>
                    <w:p>
                      <w:pPr>
                        <w:tabs>
                          <w:tab w:val="center" w:pos="4819"/>
                          <w:tab w:val="right" w:pos="9638"/>
                        </w:tabs>
                        <w:jc w:val="center"/>
                        <w:rPr>
                          <w:rFonts w:eastAsia="Lucida Sans Unicode"/>
                          <w:b/>
                          <w:bCs/>
                          <w:sz w:val="22"/>
                          <w:szCs w:val="22"/>
                          <w:shd w:val="clear" w:color="auto" w:fill="FFFFFF"/>
                        </w:rPr>
                      </w:pPr>
                      <w:r>
                        <w:rPr>
                          <w:rFonts w:eastAsia="Calibri"/>
                          <w:b/>
                          <w:bCs/>
                          <w:sz w:val="22"/>
                          <w:szCs w:val="22"/>
                        </w:rPr>
                        <w:t>AIŠKINAMASIS RAŠTAS</w:t>
                      </w:r>
                    </w:p>
                  </w:sdtContent>
                </w:sdt>
                <w:p>
                  <w:pPr>
                    <w:tabs>
                      <w:tab w:val="center" w:pos="4819"/>
                      <w:tab w:val="right" w:pos="9638"/>
                    </w:tabs>
                    <w:jc w:val="center"/>
                    <w:rPr>
                      <w:rFonts w:eastAsia="Calibri"/>
                      <w:b/>
                      <w:bCs/>
                      <w:sz w:val="22"/>
                      <w:szCs w:val="22"/>
                    </w:rPr>
                  </w:pPr>
                </w:p>
                <w:p>
                  <w:pPr>
                    <w:jc w:val="center"/>
                    <w:rPr>
                      <w:color w:val="000000"/>
                      <w:sz w:val="22"/>
                      <w:szCs w:val="22"/>
                    </w:rPr>
                  </w:pPr>
                  <w:r>
                    <w:rPr>
                      <w:color w:val="000000"/>
                      <w:sz w:val="22"/>
                      <w:szCs w:val="22"/>
                    </w:rPr>
                    <w:t xml:space="preserve">2024 m. balandžio 5 d. </w:t>
                  </w:r>
                </w:p>
                <w:p>
                  <w:pPr>
                    <w:widowControl w:val="0"/>
                    <w:jc w:val="center"/>
                    <w:rPr>
                      <w:rFonts w:eastAsia="Lucida Sans Unicode"/>
                      <w:iCs/>
                      <w:color w:val="000000"/>
                      <w:sz w:val="22"/>
                      <w:szCs w:val="22"/>
                      <w:lang w:eastAsia="lt-LT"/>
                    </w:rPr>
                  </w:pPr>
                  <w:r>
                    <w:rPr>
                      <w:rFonts w:eastAsia="Lucida Sans Unicode"/>
                      <w:iCs/>
                      <w:color w:val="000000"/>
                      <w:sz w:val="22"/>
                      <w:szCs w:val="22"/>
                      <w:lang w:eastAsia="lt-LT"/>
                    </w:rPr>
                    <w:t>Šiauliai</w:t>
                  </w:r>
                </w:p>
                <w:p>
                  <w:pPr>
                    <w:widowControl w:val="0"/>
                    <w:ind w:firstLine="426"/>
                    <w:jc w:val="center"/>
                    <w:rPr>
                      <w:rFonts w:eastAsia="Lucida Sans Unicode"/>
                      <w:iCs/>
                      <w:color w:val="000000"/>
                      <w:sz w:val="22"/>
                      <w:szCs w:val="22"/>
                      <w:lang w:eastAsia="lt-LT"/>
                    </w:rPr>
                  </w:pPr>
                </w:p>
              </w:sdtContent>
            </w:sdt>
            <w:sdt>
              <w:sdtPr>
                <w:alias w:val="poskyris"/>
                <w:tag w:val="part_9b2d96e433dd48bca44d392319451a7b"/>
                <w:lock w:val="sdtLocked"/>
                <w:richText/>
              </w:sdtPr>
              <w:sdtContent>
                <w:p>
                  <w:pPr>
                    <w:widowControl w:val="0"/>
                    <w:overflowPunct w:val="0"/>
                    <w:ind w:firstLine="426"/>
                    <w:jc w:val="both"/>
                    <w:rPr>
                      <w:b/>
                      <w:color w:val="000000"/>
                      <w:szCs w:val="24"/>
                      <w:lang w:eastAsia="lt-LT"/>
                    </w:rPr>
                  </w:pPr>
                  <w:sdt>
                    <w:sdtPr>
                      <w:alias w:val="Pavadinimas"/>
                      <w:tag w:val="title_9b2d96e433dd48bca44d392319451a7b"/>
                      <w:lock w:val="sdtLocked"/>
                      <w:richText/>
                    </w:sdtPr>
                    <w:sdtContent>
                      <w:r>
                        <w:rPr>
                          <w:b/>
                          <w:color w:val="000000"/>
                          <w:szCs w:val="24"/>
                          <w:lang w:eastAsia="lt-LT"/>
                        </w:rPr>
                        <w:t xml:space="preserve">Parengto sprendimo projekto tikslai ir uždaviniai. </w:t>
                      </w:r>
                    </w:sdtContent>
                  </w:sdt>
                </w:p>
                <w:p>
                  <w:pPr>
                    <w:ind w:firstLine="425"/>
                    <w:jc w:val="both"/>
                    <w:rPr>
                      <w:rFonts w:eastAsia="Calibri"/>
                      <w:strike/>
                      <w:szCs w:val="24"/>
                    </w:rPr>
                  </w:pPr>
                  <w:r>
                    <w:rPr>
                      <w:rFonts w:eastAsia="Calibri"/>
                      <w:szCs w:val="24"/>
                    </w:rPr>
                    <w:t>Parengto sprendimo projekto tikslas – pakeisti Biudžetinių įstaigų socialinių paslaugų ir kainų sąrašą (toliau – 1 priedas),</w:t>
                  </w:r>
                  <w:r>
                    <w:rPr>
                      <w:rFonts w:eastAsia="Calibri"/>
                      <w:color w:val="000000"/>
                      <w:szCs w:val="24"/>
                    </w:rPr>
                    <w:t xml:space="preserve"> </w:t>
                  </w:r>
                  <w:r>
                    <w:rPr>
                      <w:rFonts w:eastAsia="Calibri"/>
                      <w:szCs w:val="24"/>
                    </w:rPr>
                    <w:t xml:space="preserve">atsižvelgiant į Šiaulių kompleksinių paslaugų namų „Alka“ (toliau – Šiaulių „Alka“), Šiaulių miesto savivaldybės globos namų (toliau – Globos namai) ir Šiaulių miesto savivaldybės socialinių paslaugų centro (toliau – Socialinių paslaugų centro) pateiktus prašymus. Tarybos sprendimo projektu keičiamos 9 teikiamų socialinių paslaugų kainos. </w:t>
                  </w:r>
                </w:p>
              </w:sdtContent>
            </w:sdt>
            <w:sdt>
              <w:sdtPr>
                <w:alias w:val="poskyris"/>
                <w:tag w:val="part_1e3515a840194f51ae6829ad856a5feb"/>
                <w:lock w:val="sdtLocked"/>
                <w:richText/>
              </w:sdtPr>
              <w:sdtContent>
                <w:p>
                  <w:pPr>
                    <w:ind w:firstLine="425"/>
                    <w:jc w:val="both"/>
                    <w:rPr>
                      <w:rFonts w:eastAsia="Calibri"/>
                      <w:b/>
                      <w:szCs w:val="24"/>
                    </w:rPr>
                  </w:pPr>
                  <w:sdt>
                    <w:sdtPr>
                      <w:alias w:val="Pavadinimas"/>
                      <w:tag w:val="title_1e3515a840194f51ae6829ad856a5feb"/>
                      <w:lock w:val="sdtLocked"/>
                      <w:richText/>
                    </w:sdtPr>
                    <w:sdtContent>
                      <w:r>
                        <w:rPr>
                          <w:rFonts w:eastAsia="Calibri"/>
                          <w:b/>
                          <w:szCs w:val="24"/>
                        </w:rPr>
                        <w:t>Dabartinis sprendimo projekte aptariamų klausimų reguliavimas.</w:t>
                      </w:r>
                    </w:sdtContent>
                  </w:sdt>
                </w:p>
                <w:p>
                  <w:pPr>
                    <w:ind w:firstLine="425"/>
                    <w:jc w:val="both"/>
                    <w:rPr>
                      <w:rFonts w:eastAsia="Calibri"/>
                      <w:szCs w:val="24"/>
                    </w:rPr>
                  </w:pPr>
                  <w:r>
                    <w:rPr>
                      <w:rFonts w:eastAsia="Calibri"/>
                      <w:szCs w:val="24"/>
                    </w:rPr>
                    <w:t>Šiaulių miesto savivaldybės tarybos 2022 m. vasario 3 d. sprendimu Nr. T-30 „Dėl biudžetinių įstaigų socialinių paslaugų sąrašo ir kainų nustatymo“ patvirtintas teikiamų socialinių paslaugų sąrašas ir kainos.</w:t>
                  </w:r>
                </w:p>
                <w:p>
                  <w:pPr>
                    <w:ind w:firstLine="425"/>
                    <w:jc w:val="both"/>
                    <w:rPr>
                      <w:rFonts w:eastAsia="Calibri"/>
                      <w:szCs w:val="24"/>
                    </w:rPr>
                  </w:pPr>
                  <w:r>
                    <w:rPr>
                      <w:rFonts w:eastAsia="Calibri"/>
                      <w:szCs w:val="24"/>
                    </w:rPr>
                    <w:t xml:space="preserve">LR Vyriausybės 2006 m. spalio 10 d. nutarimu Nr. 978 „Dėl Socialinių paslaugų finansavimo ir lėšų apskaičiavimo metodikos patvirtinimo“ pavirtintos metodikos </w:t>
                  </w:r>
                  <w:r>
                    <w:rPr>
                      <w:szCs w:val="24"/>
                      <w:lang w:eastAsia="lt-LT"/>
                    </w:rPr>
                    <w:t xml:space="preserve">20 ir 21 p. numatyta, kad </w:t>
                  </w:r>
                  <w:r>
                    <w:rPr>
                      <w:rFonts w:eastAsia="Calibri"/>
                      <w:szCs w:val="24"/>
                    </w:rPr>
                    <w:t>perkamų (parduodamų) ar finansuojamų bendrųjų socialinių paslaugų ir socialinės priežiūros ir socialinės globos kainą savivaldybės ir socialinių paslaugų įstaigos nustato derindamos ją su savininko teises ir pareigas įgyvendinančia institucija, atsižvelgdamos į minėtų paslaugų organizavimo išlaidas, socialinių paslaugų teikimo savivaldybės teritorijoje ypatumus.</w:t>
                  </w:r>
                </w:p>
                <w:p>
                  <w:pPr>
                    <w:ind w:firstLine="426"/>
                    <w:jc w:val="both"/>
                    <w:rPr>
                      <w:rFonts w:eastAsia="Calibri"/>
                      <w:szCs w:val="24"/>
                    </w:rPr>
                  </w:pPr>
                  <w:r>
                    <w:rPr>
                      <w:rFonts w:eastAsia="Calibri"/>
                      <w:szCs w:val="24"/>
                    </w:rPr>
                    <w:t>Socialines paslaugas teikiančios įstaigos, Šiaulių „Alka“</w:t>
                  </w:r>
                  <w:r>
                    <w:rPr>
                      <w:szCs w:val="24"/>
                      <w:lang w:eastAsia="lt-LT"/>
                    </w:rPr>
                    <w:t xml:space="preserve">, Globos namai ir </w:t>
                  </w:r>
                  <w:r>
                    <w:rPr>
                      <w:rFonts w:eastAsia="Calibri"/>
                      <w:szCs w:val="24"/>
                    </w:rPr>
                    <w:t xml:space="preserve">Socialinių paslaugų centras, </w:t>
                  </w:r>
                  <w:r>
                    <w:rPr>
                      <w:rFonts w:eastAsia="Calibri"/>
                      <w:color w:val="000000"/>
                      <w:szCs w:val="24"/>
                    </w:rPr>
                    <w:t>įvertinusios tai, kad nustatytos kainos nebe</w:t>
                  </w:r>
                  <w:r>
                    <w:rPr>
                      <w:rFonts w:eastAsia="Calibri"/>
                      <w:szCs w:val="24"/>
                      <w:lang w:bidi="he-IL"/>
                    </w:rPr>
                    <w:t>padengs minėtų paslaugų teikimo išlaidų</w:t>
                  </w:r>
                  <w:r>
                    <w:rPr>
                      <w:rFonts w:eastAsia="Calibri"/>
                      <w:color w:val="000000"/>
                      <w:szCs w:val="24"/>
                    </w:rPr>
                    <w:t>, nes didėja bendroji socialinės globos ir priežiūros lėšų dalis (įstaigos administracinio, ūkinio ir aptarnaujančiojo personalo darbo užmokestis, išlaidos kitoms prekėms (kanceliarinės prekės, spaudiniai ir kitos prekės, susijusios su įstaigos administravimui) ir kitos išlaidos (vandentiekis, kanalizacija, ryšių paslaugos, spaudiniai ir kita) ir kintamoji socialinės globos ir priežiūros lėšų dalis (tiesiogiai paslaugas teikiančių darbuotojų darbo užmokestis</w:t>
                  </w:r>
                  <w:r>
                    <w:rPr>
                      <w:rFonts w:eastAsia="Calibri"/>
                      <w:szCs w:val="24"/>
                    </w:rPr>
                    <w:t xml:space="preserve">, </w:t>
                  </w:r>
                  <w:r>
                    <w:rPr>
                      <w:rFonts w:eastAsia="Calibri"/>
                      <w:color w:val="000000"/>
                      <w:szCs w:val="24"/>
                    </w:rPr>
                    <w:t>ir kitos prekės ir paslaugos, kurios susijusioms su paslaugos gavėjo poreikiais ir kt.)</w:t>
                  </w:r>
                  <w:r>
                    <w:rPr>
                      <w:rFonts w:eastAsia="Calibri"/>
                      <w:szCs w:val="24"/>
                    </w:rPr>
                    <w:t xml:space="preserve">, </w:t>
                  </w:r>
                  <w:r>
                    <w:rPr>
                      <w:rFonts w:eastAsia="Calibri"/>
                      <w:color w:val="000000"/>
                      <w:szCs w:val="24"/>
                    </w:rPr>
                    <w:t>vadovaujantis Socialinių paslaugų finansavimo ir lėšų apskaičiavimo metodika, patvirtinta Lietuvos Respublikos Vyriausybės 2006 m. spalio 10 d. nutarimu Nr. 978 „Dėl Socialinių paslaugų finansavimo ir lėšų apskaičiavimo metodikos patvirtinimo“, atliko kainų apskaičiavimą ir prašo nustatyti didesnes 9 teikiamų socialinių paslaugų kainas</w:t>
                  </w:r>
                  <w:r>
                    <w:rPr>
                      <w:rFonts w:eastAsia="Calibri"/>
                      <w:szCs w:val="24"/>
                    </w:rPr>
                    <w:t xml:space="preserve">. </w:t>
                  </w:r>
                </w:p>
                <w:p>
                  <w:pPr>
                    <w:ind w:firstLine="426"/>
                    <w:jc w:val="both"/>
                    <w:rPr>
                      <w:rFonts w:eastAsia="Calibri"/>
                      <w:color w:val="000000"/>
                      <w:szCs w:val="24"/>
                    </w:rPr>
                  </w:pPr>
                  <w:r>
                    <w:rPr>
                      <w:rFonts w:eastAsia="Calibri"/>
                      <w:szCs w:val="24"/>
                      <w:shd w:val="clear" w:color="auto" w:fill="FFFFFF"/>
                    </w:rPr>
                    <w:t xml:space="preserve">Įgyvendinus </w:t>
                  </w:r>
                  <w:r>
                    <w:rPr>
                      <w:rFonts w:eastAsia="Calibri"/>
                      <w:szCs w:val="24"/>
                    </w:rPr>
                    <w:t xml:space="preserve">projektą Nr. 01.1.1–CPVA-V-427-15-0005 „Bendruomeninių apgyvendinimo bei užimtumo paslaugų asmenims su proto ir psichikos negalia plėtra Šiaulių mieste I etapas“, kurio metu pastatyti 2 grupinio gyvenimo namai ir 2 bendruomeniniai vaikų globos namai (Ramunių g., Energetikų g., Šeduvos g., Gegužių g.), ir rekonstravus Vilniaus g. 303 pastatą, slaugos (globos) padalinyje pradedamos teikti slaugos paslaugos asmenims su sunkia negalia. Tame pačiame pastate veiklą pradeda vykdyti dienos centras suaugusiems asmenims su negalia (sunkia negalia) ir socialinės dirbtuvės. Slaugos (globos) padalinyje gyvens asmenys </w:t>
                  </w:r>
                  <w:r>
                    <w:rPr>
                      <w:rFonts w:eastAsia="Calibri"/>
                      <w:color w:val="000000"/>
                      <w:szCs w:val="24"/>
                    </w:rPr>
                    <w:t>turintys sunkią negalią iš Šiaulių „Alkos“ ir Ventos socialinės globos namų, todėl reikalinga nustatyti ilgalaikės (trumpalaikės) socialinės globos kainas pagal atskirus padalinius.</w:t>
                  </w:r>
                </w:p>
                <w:p>
                  <w:pPr>
                    <w:ind w:firstLine="426"/>
                    <w:jc w:val="both"/>
                    <w:rPr>
                      <w:rFonts w:eastAsia="Calibri"/>
                      <w:color w:val="000000"/>
                      <w:szCs w:val="24"/>
                    </w:rPr>
                  </w:pPr>
                  <w:r>
                    <w:rPr>
                      <w:rFonts w:eastAsia="Calibri"/>
                      <w:color w:val="000000"/>
                      <w:szCs w:val="24"/>
                    </w:rPr>
                    <w:t xml:space="preserve">Asmens (šeimos) mokėjimo dydį už socialines paslaugas reglamentuoja Mokėjimo už socialines paslaugas tvarkos aprašas, patvirtintas </w:t>
                  </w:r>
                  <w:r>
                    <w:rPr>
                      <w:color w:val="000000"/>
                      <w:szCs w:val="24"/>
                      <w:lang w:eastAsia="lt-LT"/>
                    </w:rPr>
                    <w:t>Lietuvos Respublikos Vyriausybės</w:t>
                  </w:r>
                  <w:r>
                    <w:rPr>
                      <w:rFonts w:eastAsia="Calibri"/>
                      <w:color w:val="000000"/>
                      <w:szCs w:val="24"/>
                    </w:rPr>
                    <w:t xml:space="preserve"> </w:t>
                  </w:r>
                  <w:r>
                    <w:rPr>
                      <w:color w:val="000000"/>
                      <w:szCs w:val="24"/>
                      <w:lang w:eastAsia="lt-LT"/>
                    </w:rPr>
                    <w:t xml:space="preserve">2006 m. birželio 14 d. nutarimu Nr. 583 „Dėl </w:t>
                  </w:r>
                  <w:r>
                    <w:rPr>
                      <w:rFonts w:eastAsia="Calibri"/>
                      <w:color w:val="000000"/>
                      <w:szCs w:val="24"/>
                    </w:rPr>
                    <w:t>mokėjimo už socialines paslaugas tvarkos aprašo patvirtinimo</w:t>
                  </w:r>
                  <w:r>
                    <w:rPr>
                      <w:color w:val="000000"/>
                      <w:szCs w:val="24"/>
                      <w:lang w:eastAsia="lt-LT"/>
                    </w:rPr>
                    <w:t>“.</w:t>
                  </w:r>
                </w:p>
                <w:p>
                  <w:pPr>
                    <w:ind w:firstLine="426"/>
                    <w:jc w:val="both"/>
                    <w:rPr>
                      <w:rFonts w:eastAsia="Calibri"/>
                      <w:szCs w:val="24"/>
                    </w:rPr>
                  </w:pPr>
                  <w:r>
                    <w:rPr>
                      <w:rFonts w:eastAsia="Calibri"/>
                      <w:szCs w:val="24"/>
                    </w:rPr>
                    <w:t>Atsižvelgiant į Socialinių paslaugų centro, Globos namų ir Šiaulių „Alkos“ prašymus, parengtas tarybos sprendimo projektas „Dėl b</w:t>
                  </w:r>
                  <w:r>
                    <w:rPr>
                      <w:rFonts w:eastAsia="Calibri"/>
                      <w:szCs w:val="24"/>
                      <w:lang w:eastAsia="he-IL" w:bidi="he-IL"/>
                    </w:rPr>
                    <w:t>iudžetinių įstaigų socialinių paslaugų sąrašo ir kainų nustatymo“, kuriame</w:t>
                  </w:r>
                  <w:r>
                    <w:rPr>
                      <w:rFonts w:eastAsia="Calibri"/>
                      <w:szCs w:val="24"/>
                    </w:rPr>
                    <w:t xml:space="preserve"> keičiamos 1 priede nustatytos kainos (lyginamasis socialinių paslaugų ir kainų sąrašas pridedamas).</w:t>
                  </w:r>
                </w:p>
              </w:sdtContent>
            </w:sdt>
            <w:sdt>
              <w:sdtPr>
                <w:alias w:val="poskyris"/>
                <w:tag w:val="part_573f642b9eed402cad0dcb0c5dce31c7"/>
                <w:lock w:val="sdtLocked"/>
                <w:richText/>
              </w:sdtPr>
              <w:sdtContent>
                <w:p>
                  <w:pPr>
                    <w:ind w:firstLine="426"/>
                    <w:jc w:val="both"/>
                    <w:rPr>
                      <w:rFonts w:eastAsia="Calibri"/>
                      <w:szCs w:val="24"/>
                    </w:rPr>
                  </w:pPr>
                  <w:sdt>
                    <w:sdtPr>
                      <w:alias w:val="Pavadinimas"/>
                      <w:tag w:val="title_573f642b9eed402cad0dcb0c5dce31c7"/>
                      <w:lock w:val="sdtLocked"/>
                      <w:richText/>
                    </w:sdtPr>
                    <w:sdtContent>
                      <w:r>
                        <w:rPr>
                          <w:rFonts w:eastAsia="Calibri"/>
                          <w:b/>
                          <w:szCs w:val="24"/>
                        </w:rPr>
                        <w:t>Sprendimo projekte numatytos naujos teisinio reglamentavimo nuostatos.</w:t>
                      </w:r>
                    </w:sdtContent>
                  </w:sdt>
                </w:p>
                <w:p>
                  <w:pPr>
                    <w:widowControl w:val="0"/>
                    <w:suppressAutoHyphens/>
                    <w:overflowPunct w:val="0"/>
                    <w:ind w:firstLine="426"/>
                    <w:jc w:val="both"/>
                    <w:rPr>
                      <w:rFonts w:eastAsia="Calibri"/>
                      <w:szCs w:val="24"/>
                    </w:rPr>
                  </w:pPr>
                  <w:r>
                    <w:rPr>
                      <w:rFonts w:eastAsia="Calibri"/>
                      <w:szCs w:val="24"/>
                    </w:rPr>
                    <w:t>Teikiame tvirtinti naujas šių įstaigų teikiamų socialinių paslaugų kainas:</w:t>
                  </w:r>
                </w:p>
                <w:sdt>
                  <w:sdtPr>
                    <w:alias w:val="1 p."/>
                    <w:tag w:val="part_a5c2e6988031412b86f71ed4fa661da7"/>
                    <w:lock w:val="sdtLocked"/>
                    <w:richText/>
                  </w:sdtPr>
                  <w:sdtContent>
                    <w:p>
                      <w:pPr>
                        <w:widowControl w:val="0"/>
                        <w:tabs>
                          <w:tab w:val="left" w:pos="851"/>
                        </w:tabs>
                        <w:suppressAutoHyphens/>
                        <w:overflowPunct w:val="0"/>
                        <w:ind w:firstLine="567"/>
                        <w:jc w:val="both"/>
                        <w:rPr>
                          <w:rFonts w:eastAsia="Calibri"/>
                          <w:b/>
                          <w:bCs/>
                          <w:szCs w:val="24"/>
                        </w:rPr>
                      </w:pPr>
                      <w:sdt>
                        <w:sdtPr>
                          <w:alias w:val="Numeris"/>
                          <w:tag w:val="nr_a5c2e6988031412b86f71ed4fa661da7"/>
                          <w:lock w:val="sdtLocked"/>
                          <w:richText/>
                        </w:sdtPr>
                        <w:sdtContent>
                          <w:r>
                            <w:rPr>
                              <w:b/>
                              <w:bCs/>
                              <w:szCs w:val="24"/>
                            </w:rPr>
                            <w:t>1</w:t>
                          </w:r>
                        </w:sdtContent>
                      </w:sdt>
                      <w:r>
                        <w:rPr>
                          <w:b/>
                          <w:bCs/>
                          <w:szCs w:val="24"/>
                        </w:rPr>
                        <w:t>.</w:t>
                        <w:tab/>
                      </w:r>
                      <w:r>
                        <w:rPr>
                          <w:rFonts w:eastAsia="Calibri"/>
                          <w:b/>
                          <w:bCs/>
                          <w:szCs w:val="24"/>
                        </w:rPr>
                        <w:t>Globos namų:</w:t>
                      </w:r>
                    </w:p>
                    <w:sdt>
                      <w:sdtPr>
                        <w:alias w:val="1.1 pp."/>
                        <w:tag w:val="part_dcab238201034de6ba30885f2a5f1adc"/>
                        <w:lock w:val="sdtLocked"/>
                        <w:richText/>
                      </w:sdtPr>
                      <w:sdtContent>
                        <w:p>
                          <w:pPr>
                            <w:tabs>
                              <w:tab w:val="left" w:pos="851"/>
                              <w:tab w:val="left" w:pos="993"/>
                            </w:tabs>
                            <w:spacing w:line="276" w:lineRule="auto"/>
                            <w:ind w:firstLine="567"/>
                            <w:jc w:val="both"/>
                            <w:rPr>
                              <w:rFonts w:ascii="Calibri" w:eastAsia="Calibri" w:hAnsi="Calibri"/>
                              <w:sz w:val="22"/>
                              <w:szCs w:val="24"/>
                            </w:rPr>
                          </w:pPr>
                          <w:sdt>
                            <w:sdtPr>
                              <w:alias w:val="Numeris"/>
                              <w:tag w:val="nr_dcab238201034de6ba30885f2a5f1adc"/>
                              <w:lock w:val="sdtLocked"/>
                              <w:richText/>
                            </w:sdtPr>
                            <w:sdtContent>
                              <w:r>
                                <w:rPr>
                                  <w:szCs w:val="24"/>
                                </w:rPr>
                                <w:t>1.1</w:t>
                              </w:r>
                            </w:sdtContent>
                          </w:sdt>
                          <w:r>
                            <w:rPr>
                              <w:szCs w:val="24"/>
                            </w:rPr>
                            <w:t>.</w:t>
                            <w:tab/>
                          </w:r>
                          <w:r>
                            <w:rPr>
                              <w:rFonts w:ascii="Calibri" w:eastAsia="Calibri" w:hAnsi="Calibri"/>
                              <w:sz w:val="22"/>
                              <w:szCs w:val="24"/>
                            </w:rPr>
                            <w:t xml:space="preserve"> ilgalaikės, trumpalaikės socialinės globos (senyvo amžiaus asmenims ir suaugusiems asmenims su sunkia negalia) vieno mėnesio kaina –1364,00 Eur; </w:t>
                          </w:r>
                        </w:p>
                        <w:p>
                          <w:pPr>
                            <w:rPr>
                              <w:sz w:val="18"/>
                              <w:szCs w:val="18"/>
                            </w:rPr>
                          </w:pPr>
                        </w:p>
                      </w:sdtContent>
                    </w:sdt>
                    <w:sdt>
                      <w:sdtPr>
                        <w:alias w:val="1.2 pp."/>
                        <w:tag w:val="part_002f814f3644434c93e035dc109e98e2"/>
                        <w:lock w:val="sdtLocked"/>
                        <w:richText/>
                      </w:sdtPr>
                      <w:sdtContent>
                        <w:p>
                          <w:pPr>
                            <w:tabs>
                              <w:tab w:val="left" w:pos="851"/>
                              <w:tab w:val="left" w:pos="993"/>
                            </w:tabs>
                            <w:spacing w:line="276" w:lineRule="auto"/>
                            <w:ind w:firstLine="567"/>
                            <w:jc w:val="both"/>
                            <w:rPr>
                              <w:rFonts w:ascii="Calibri" w:eastAsia="Calibri" w:hAnsi="Calibri"/>
                              <w:sz w:val="22"/>
                              <w:szCs w:val="24"/>
                            </w:rPr>
                          </w:pPr>
                          <w:sdt>
                            <w:sdtPr>
                              <w:alias w:val="Numeris"/>
                              <w:tag w:val="nr_002f814f3644434c93e035dc109e98e2"/>
                              <w:lock w:val="sdtLocked"/>
                              <w:richText/>
                            </w:sdtPr>
                            <w:sdtContent>
                              <w:r>
                                <w:rPr>
                                  <w:szCs w:val="24"/>
                                </w:rPr>
                                <w:t>1.2</w:t>
                              </w:r>
                            </w:sdtContent>
                          </w:sdt>
                          <w:r>
                            <w:rPr>
                              <w:szCs w:val="24"/>
                            </w:rPr>
                            <w:t>.</w:t>
                            <w:tab/>
                          </w:r>
                          <w:r>
                            <w:rPr>
                              <w:rFonts w:ascii="Calibri" w:eastAsia="Calibri" w:hAnsi="Calibri"/>
                              <w:sz w:val="22"/>
                              <w:szCs w:val="24"/>
                            </w:rPr>
                            <w:t xml:space="preserve"> ilgalaikės, trumpalaikės socialinės globos (senyvo amžiaus asmenims su negalia) vieno mėnesio kaina – 1035,00 Eur; </w:t>
                          </w:r>
                          <w:r>
                            <w:rPr>
                              <w:rFonts w:ascii="Calibri" w:eastAsia="Calibri" w:hAnsi="Calibri"/>
                              <w:strike/>
                              <w:sz w:val="22"/>
                              <w:szCs w:val="24"/>
                            </w:rPr>
                            <w:t xml:space="preserve"> </w:t>
                          </w:r>
                        </w:p>
                        <w:p>
                          <w:pPr>
                            <w:rPr>
                              <w:sz w:val="18"/>
                              <w:szCs w:val="18"/>
                            </w:rPr>
                          </w:pPr>
                        </w:p>
                      </w:sdtContent>
                    </w:sdt>
                    <w:sdt>
                      <w:sdtPr>
                        <w:alias w:val="1.3 pp."/>
                        <w:tag w:val="part_3f218f01a79c4e72b2396ce34cc984a6"/>
                        <w:lock w:val="sdtLocked"/>
                        <w:richText/>
                      </w:sdtPr>
                      <w:sdtContent>
                        <w:p>
                          <w:pPr>
                            <w:tabs>
                              <w:tab w:val="left" w:pos="851"/>
                              <w:tab w:val="left" w:pos="993"/>
                            </w:tabs>
                            <w:spacing w:line="276" w:lineRule="auto"/>
                            <w:ind w:firstLine="567"/>
                            <w:jc w:val="both"/>
                            <w:rPr>
                              <w:rFonts w:ascii="Calibri" w:eastAsia="Calibri" w:hAnsi="Calibri"/>
                              <w:sz w:val="22"/>
                              <w:szCs w:val="24"/>
                            </w:rPr>
                          </w:pPr>
                          <w:sdt>
                            <w:sdtPr>
                              <w:alias w:val="Numeris"/>
                              <w:tag w:val="nr_3f218f01a79c4e72b2396ce34cc984a6"/>
                              <w:lock w:val="sdtLocked"/>
                              <w:richText/>
                            </w:sdtPr>
                            <w:sdtContent>
                              <w:r>
                                <w:rPr>
                                  <w:szCs w:val="24"/>
                                </w:rPr>
                                <w:t>1.3</w:t>
                              </w:r>
                            </w:sdtContent>
                          </w:sdt>
                          <w:r>
                            <w:rPr>
                              <w:szCs w:val="24"/>
                            </w:rPr>
                            <w:t>.</w:t>
                            <w:tab/>
                          </w:r>
                          <w:r>
                            <w:rPr>
                              <w:rFonts w:ascii="Calibri" w:eastAsia="Calibri" w:hAnsi="Calibri"/>
                              <w:sz w:val="22"/>
                              <w:szCs w:val="24"/>
                            </w:rPr>
                            <w:t>dienos socialinės globos institucijoje asmenims su negalia kaina:</w:t>
                          </w:r>
                        </w:p>
                        <w:p>
                          <w:pPr>
                            <w:rPr>
                              <w:sz w:val="18"/>
                              <w:szCs w:val="18"/>
                            </w:rPr>
                          </w:pPr>
                        </w:p>
                        <w:p>
                          <w:pPr>
                            <w:tabs>
                              <w:tab w:val="left" w:pos="851"/>
                            </w:tabs>
                            <w:ind w:left="567"/>
                            <w:jc w:val="both"/>
                            <w:rPr>
                              <w:szCs w:val="24"/>
                            </w:rPr>
                          </w:pPr>
                          <w:r>
                            <w:rPr>
                              <w:sz w:val="22"/>
                              <w:szCs w:val="22"/>
                            </w:rPr>
                            <w:t xml:space="preserve">- </w:t>
                          </w:r>
                          <w:r>
                            <w:rPr>
                              <w:szCs w:val="24"/>
                            </w:rPr>
                            <w:t>vieno mėnesio (su maitinimu) – 800,00 Eur;</w:t>
                          </w:r>
                        </w:p>
                        <w:p>
                          <w:pPr>
                            <w:tabs>
                              <w:tab w:val="left" w:pos="851"/>
                            </w:tabs>
                            <w:ind w:left="567"/>
                            <w:jc w:val="both"/>
                            <w:rPr>
                              <w:szCs w:val="24"/>
                            </w:rPr>
                          </w:pPr>
                          <w:r>
                            <w:rPr>
                              <w:szCs w:val="24"/>
                            </w:rPr>
                            <w:t>- vieno mėnesio (be maitinimo) – 678,00 Eur;</w:t>
                          </w:r>
                        </w:p>
                      </w:sdtContent>
                    </w:sdt>
                    <w:sdt>
                      <w:sdtPr>
                        <w:alias w:val="1.4 pp."/>
                        <w:tag w:val="part_6e6d3eae6d694172a98031ff52c1703b"/>
                        <w:lock w:val="sdtLocked"/>
                        <w:richText/>
                      </w:sdtPr>
                      <w:sdtContent>
                        <w:p>
                          <w:pPr>
                            <w:tabs>
                              <w:tab w:val="left" w:pos="851"/>
                              <w:tab w:val="left" w:pos="993"/>
                            </w:tabs>
                            <w:spacing w:line="276" w:lineRule="auto"/>
                            <w:ind w:firstLine="567"/>
                            <w:jc w:val="both"/>
                            <w:rPr>
                              <w:rFonts w:ascii="Calibri" w:eastAsia="Calibri" w:hAnsi="Calibri"/>
                              <w:sz w:val="22"/>
                              <w:szCs w:val="24"/>
                            </w:rPr>
                          </w:pPr>
                          <w:sdt>
                            <w:sdtPr>
                              <w:alias w:val="Numeris"/>
                              <w:tag w:val="nr_6e6d3eae6d694172a98031ff52c1703b"/>
                              <w:lock w:val="sdtLocked"/>
                              <w:richText/>
                            </w:sdtPr>
                            <w:sdtContent>
                              <w:r>
                                <w:rPr>
                                  <w:szCs w:val="24"/>
                                </w:rPr>
                                <w:t>1.4</w:t>
                              </w:r>
                            </w:sdtContent>
                          </w:sdt>
                          <w:r>
                            <w:rPr>
                              <w:szCs w:val="24"/>
                            </w:rPr>
                            <w:t>.</w:t>
                            <w:tab/>
                          </w:r>
                          <w:r>
                            <w:rPr>
                              <w:rFonts w:ascii="Calibri" w:eastAsia="Calibri" w:hAnsi="Calibri"/>
                              <w:sz w:val="22"/>
                              <w:szCs w:val="24"/>
                            </w:rPr>
                            <w:t xml:space="preserve"> dienos socialinės globos institucijoje asmenims su sunkia negalia kaina:</w:t>
                          </w:r>
                        </w:p>
                        <w:p>
                          <w:pPr>
                            <w:rPr>
                              <w:sz w:val="18"/>
                              <w:szCs w:val="18"/>
                            </w:rPr>
                          </w:pPr>
                        </w:p>
                        <w:p>
                          <w:pPr>
                            <w:tabs>
                              <w:tab w:val="left" w:pos="851"/>
                            </w:tabs>
                            <w:ind w:left="567"/>
                            <w:jc w:val="both"/>
                            <w:rPr>
                              <w:szCs w:val="24"/>
                            </w:rPr>
                          </w:pPr>
                          <w:r>
                            <w:rPr>
                              <w:szCs w:val="24"/>
                            </w:rPr>
                            <w:t xml:space="preserve">- vieno mėnesio (su maitinimu)  – 1074,00 Eur;</w:t>
                          </w:r>
                        </w:p>
                        <w:p>
                          <w:pPr>
                            <w:tabs>
                              <w:tab w:val="left" w:pos="851"/>
                            </w:tabs>
                            <w:ind w:left="567"/>
                            <w:jc w:val="both"/>
                            <w:rPr>
                              <w:szCs w:val="24"/>
                            </w:rPr>
                          </w:pPr>
                          <w:r>
                            <w:rPr>
                              <w:szCs w:val="24"/>
                            </w:rPr>
                            <w:t>- vieno mėnesio (be maitinimo) – 952,00 Eur;</w:t>
                          </w:r>
                        </w:p>
                      </w:sdtContent>
                    </w:sdt>
                    <w:sdt>
                      <w:sdtPr>
                        <w:alias w:val="1.5 pp."/>
                        <w:tag w:val="part_0e3defc25e9948b38605aa8c1c8083e8"/>
                        <w:lock w:val="sdtLocked"/>
                        <w:richText/>
                      </w:sdtPr>
                      <w:sdtContent>
                        <w:p>
                          <w:pPr>
                            <w:tabs>
                              <w:tab w:val="left" w:pos="851"/>
                              <w:tab w:val="left" w:pos="993"/>
                            </w:tabs>
                            <w:spacing w:line="276" w:lineRule="auto"/>
                            <w:ind w:firstLine="567"/>
                            <w:jc w:val="both"/>
                            <w:rPr>
                              <w:rFonts w:ascii="Calibri" w:eastAsia="Calibri" w:hAnsi="Calibri"/>
                              <w:sz w:val="22"/>
                              <w:szCs w:val="24"/>
                            </w:rPr>
                          </w:pPr>
                          <w:sdt>
                            <w:sdtPr>
                              <w:alias w:val="Numeris"/>
                              <w:tag w:val="nr_0e3defc25e9948b38605aa8c1c8083e8"/>
                              <w:lock w:val="sdtLocked"/>
                              <w:richText/>
                            </w:sdtPr>
                            <w:sdtContent>
                              <w:r>
                                <w:rPr>
                                  <w:szCs w:val="24"/>
                                </w:rPr>
                                <w:t>1.5</w:t>
                              </w:r>
                            </w:sdtContent>
                          </w:sdt>
                          <w:r>
                            <w:rPr>
                              <w:szCs w:val="24"/>
                            </w:rPr>
                            <w:t>.</w:t>
                            <w:tab/>
                          </w:r>
                          <w:r>
                            <w:rPr>
                              <w:rFonts w:ascii="Calibri" w:eastAsia="Calibri" w:hAnsi="Calibri"/>
                              <w:sz w:val="22"/>
                              <w:szCs w:val="24"/>
                              <w:lang w:eastAsia="he-IL" w:bidi="he-IL"/>
                            </w:rPr>
                            <w:t xml:space="preserve"> trumpalaikės socialinės globos (laikino atokvėpio) institucijoje senyvo amžiaus asmenims ir suaugusiems asmenims su negalia (sunkia negalia) vienos paros kaina – 44,00 Eur</w:t>
                          </w:r>
                          <w:r>
                            <w:rPr>
                              <w:rFonts w:ascii="Calibri" w:eastAsia="Calibri" w:hAnsi="Calibri"/>
                              <w:sz w:val="22"/>
                              <w:szCs w:val="24"/>
                            </w:rPr>
                            <w:t>.</w:t>
                          </w:r>
                        </w:p>
                        <w:p>
                          <w:pPr>
                            <w:rPr>
                              <w:sz w:val="18"/>
                              <w:szCs w:val="18"/>
                            </w:rPr>
                          </w:pPr>
                        </w:p>
                      </w:sdtContent>
                    </w:sdt>
                  </w:sdtContent>
                </w:sdt>
                <w:sdt>
                  <w:sdtPr>
                    <w:alias w:val="2 p."/>
                    <w:tag w:val="part_5b7d4c12008c467f9f06229d424680bf"/>
                    <w:lock w:val="sdtLocked"/>
                    <w:richText/>
                  </w:sdtPr>
                  <w:sdtContent>
                    <w:p>
                      <w:pPr>
                        <w:widowControl w:val="0"/>
                        <w:suppressAutoHyphens/>
                        <w:overflowPunct w:val="0"/>
                        <w:ind w:left="1211" w:hanging="360"/>
                        <w:jc w:val="both"/>
                        <w:rPr>
                          <w:rFonts w:eastAsia="Calibri"/>
                          <w:b/>
                          <w:bCs/>
                          <w:szCs w:val="24"/>
                        </w:rPr>
                      </w:pPr>
                      <w:sdt>
                        <w:sdtPr>
                          <w:alias w:val="Numeris"/>
                          <w:tag w:val="nr_5b7d4c12008c467f9f06229d424680bf"/>
                          <w:lock w:val="sdtLocked"/>
                          <w:richText/>
                        </w:sdtPr>
                        <w:sdtContent>
                          <w:r>
                            <w:rPr>
                              <w:b/>
                              <w:bCs/>
                              <w:szCs w:val="24"/>
                            </w:rPr>
                            <w:t>2</w:t>
                          </w:r>
                        </w:sdtContent>
                      </w:sdt>
                      <w:r>
                        <w:rPr>
                          <w:b/>
                          <w:bCs/>
                          <w:szCs w:val="24"/>
                        </w:rPr>
                        <w:t>.</w:t>
                        <w:tab/>
                      </w:r>
                      <w:r>
                        <w:rPr>
                          <w:rFonts w:eastAsia="Calibri"/>
                          <w:b/>
                          <w:bCs/>
                          <w:szCs w:val="24"/>
                        </w:rPr>
                        <w:t>Socialinių paslaugų centro:</w:t>
                      </w:r>
                    </w:p>
                    <w:sdt>
                      <w:sdtPr>
                        <w:alias w:val="2.1 pp."/>
                        <w:tag w:val="part_dc013ae558424e2f83cdb9ecbd9dbc3b"/>
                        <w:lock w:val="sdtLocked"/>
                        <w:richText/>
                      </w:sdtPr>
                      <w:sdtContent>
                        <w:p>
                          <w:pPr>
                            <w:tabs>
                              <w:tab w:val="left" w:pos="851"/>
                              <w:tab w:val="left" w:pos="993"/>
                            </w:tabs>
                            <w:spacing w:line="276" w:lineRule="auto"/>
                            <w:ind w:firstLine="567"/>
                            <w:jc w:val="both"/>
                            <w:rPr>
                              <w:rFonts w:ascii="Calibri" w:eastAsia="Calibri" w:hAnsi="Calibri"/>
                              <w:sz w:val="22"/>
                              <w:szCs w:val="24"/>
                            </w:rPr>
                          </w:pPr>
                          <w:sdt>
                            <w:sdtPr>
                              <w:alias w:val="Numeris"/>
                              <w:tag w:val="nr_dc013ae558424e2f83cdb9ecbd9dbc3b"/>
                              <w:lock w:val="sdtLocked"/>
                              <w:richText/>
                            </w:sdtPr>
                            <w:sdtContent>
                              <w:r>
                                <w:rPr>
                                  <w:szCs w:val="24"/>
                                </w:rPr>
                                <w:t>2.1</w:t>
                              </w:r>
                            </w:sdtContent>
                          </w:sdt>
                          <w:r>
                            <w:rPr>
                              <w:szCs w:val="24"/>
                            </w:rPr>
                            <w:t>.</w:t>
                            <w:tab/>
                          </w:r>
                          <w:r>
                            <w:rPr>
                              <w:rFonts w:ascii="Calibri" w:eastAsia="Calibri" w:hAnsi="Calibri"/>
                              <w:sz w:val="22"/>
                              <w:szCs w:val="24"/>
                            </w:rPr>
                            <w:t xml:space="preserve"> apgyvendinimo Nakvynės namuose (socialinės rizikos suaugusių asmenų) kaina:</w:t>
                          </w:r>
                        </w:p>
                        <w:p>
                          <w:pPr>
                            <w:rPr>
                              <w:sz w:val="18"/>
                              <w:szCs w:val="18"/>
                            </w:rPr>
                          </w:pPr>
                        </w:p>
                        <w:p>
                          <w:pPr>
                            <w:tabs>
                              <w:tab w:val="left" w:pos="851"/>
                            </w:tabs>
                            <w:ind w:left="567"/>
                            <w:jc w:val="both"/>
                            <w:rPr>
                              <w:szCs w:val="24"/>
                            </w:rPr>
                          </w:pPr>
                          <w:r>
                            <w:rPr>
                              <w:szCs w:val="24"/>
                            </w:rPr>
                            <w:t>- vieno mėnesio – 690,00 Eur;</w:t>
                          </w:r>
                        </w:p>
                        <w:p>
                          <w:pPr>
                            <w:tabs>
                              <w:tab w:val="left" w:pos="851"/>
                            </w:tabs>
                            <w:ind w:left="567"/>
                            <w:jc w:val="both"/>
                            <w:rPr>
                              <w:szCs w:val="24"/>
                            </w:rPr>
                          </w:pPr>
                          <w:r>
                            <w:rPr>
                              <w:szCs w:val="24"/>
                            </w:rPr>
                            <w:t>- vienos paros – 23,00 Eur.</w:t>
                          </w:r>
                        </w:p>
                      </w:sdtContent>
                    </w:sdt>
                  </w:sdtContent>
                </w:sdt>
                <w:sdt>
                  <w:sdtPr>
                    <w:alias w:val="3 p."/>
                    <w:tag w:val="part_287dc1158eee44cd9716760e048b9a13"/>
                    <w:lock w:val="sdtLocked"/>
                    <w:richText/>
                  </w:sdtPr>
                  <w:sdtContent>
                    <w:p>
                      <w:pPr>
                        <w:widowControl w:val="0"/>
                        <w:suppressAutoHyphens/>
                        <w:overflowPunct w:val="0"/>
                        <w:ind w:left="1211" w:hanging="360"/>
                        <w:jc w:val="both"/>
                        <w:rPr>
                          <w:rFonts w:eastAsia="Calibri"/>
                          <w:b/>
                          <w:bCs/>
                          <w:szCs w:val="24"/>
                        </w:rPr>
                      </w:pPr>
                      <w:sdt>
                        <w:sdtPr>
                          <w:alias w:val="Numeris"/>
                          <w:tag w:val="nr_287dc1158eee44cd9716760e048b9a13"/>
                          <w:lock w:val="sdtLocked"/>
                          <w:richText/>
                        </w:sdtPr>
                        <w:sdtContent>
                          <w:r>
                            <w:rPr>
                              <w:b/>
                              <w:bCs/>
                              <w:szCs w:val="24"/>
                            </w:rPr>
                            <w:t>3</w:t>
                          </w:r>
                        </w:sdtContent>
                      </w:sdt>
                      <w:r>
                        <w:rPr>
                          <w:b/>
                          <w:bCs/>
                          <w:szCs w:val="24"/>
                        </w:rPr>
                        <w:t>.</w:t>
                        <w:tab/>
                      </w:r>
                      <w:r>
                        <w:rPr>
                          <w:rFonts w:eastAsia="Calibri"/>
                          <w:b/>
                          <w:bCs/>
                          <w:szCs w:val="24"/>
                        </w:rPr>
                        <w:t>Šiaulių „Alka“:</w:t>
                      </w:r>
                    </w:p>
                    <w:sdt>
                      <w:sdtPr>
                        <w:alias w:val="3.1 pp."/>
                        <w:tag w:val="part_b0ab51fc3e4b47c3ad377040757357dc"/>
                        <w:lock w:val="sdtLocked"/>
                        <w:richText/>
                      </w:sdtPr>
                      <w:sdtContent>
                        <w:p>
                          <w:pPr>
                            <w:tabs>
                              <w:tab w:val="left" w:pos="709"/>
                              <w:tab w:val="left" w:pos="851"/>
                              <w:tab w:val="left" w:pos="993"/>
                            </w:tabs>
                            <w:spacing w:line="276" w:lineRule="auto"/>
                            <w:ind w:firstLine="567"/>
                            <w:jc w:val="both"/>
                            <w:rPr>
                              <w:rFonts w:ascii="Calibri" w:eastAsia="Calibri" w:hAnsi="Calibri"/>
                              <w:sz w:val="22"/>
                              <w:szCs w:val="24"/>
                            </w:rPr>
                          </w:pPr>
                          <w:sdt>
                            <w:sdtPr>
                              <w:alias w:val="Numeris"/>
                              <w:tag w:val="nr_b0ab51fc3e4b47c3ad377040757357dc"/>
                              <w:lock w:val="sdtLocked"/>
                              <w:richText/>
                            </w:sdtPr>
                            <w:sdtContent>
                              <w:r>
                                <w:rPr>
                                  <w:sz w:val="22"/>
                                  <w:szCs w:val="24"/>
                                </w:rPr>
                                <w:t>3.1</w:t>
                              </w:r>
                            </w:sdtContent>
                          </w:sdt>
                          <w:r>
                            <w:rPr>
                              <w:sz w:val="22"/>
                              <w:szCs w:val="24"/>
                            </w:rPr>
                            <w:t>.</w:t>
                            <w:tab/>
                          </w:r>
                          <w:r>
                            <w:rPr>
                              <w:rFonts w:ascii="Calibri" w:eastAsia="Calibri" w:hAnsi="Calibri"/>
                              <w:sz w:val="22"/>
                              <w:szCs w:val="24"/>
                              <w:lang w:eastAsia="lt-LT"/>
                            </w:rPr>
                            <w:t>ilgalaikė (trumpalaikė)</w:t>
                          </w:r>
                          <w:r>
                            <w:rPr>
                              <w:rFonts w:ascii="Calibri" w:eastAsia="Calibri" w:hAnsi="Calibri"/>
                              <w:sz w:val="22"/>
                              <w:szCs w:val="24"/>
                            </w:rPr>
                            <w:t xml:space="preserve"> socialin</w:t>
                          </w:r>
                          <w:r>
                            <w:rPr>
                              <w:rFonts w:ascii="Calibri" w:eastAsia="Calibri" w:hAnsi="Calibri"/>
                              <w:b/>
                              <w:bCs/>
                              <w:sz w:val="22"/>
                              <w:szCs w:val="24"/>
                            </w:rPr>
                            <w:t>ė</w:t>
                          </w:r>
                          <w:r>
                            <w:rPr>
                              <w:rFonts w:ascii="Calibri" w:eastAsia="Calibri" w:hAnsi="Calibri"/>
                              <w:sz w:val="22"/>
                              <w:szCs w:val="24"/>
                            </w:rPr>
                            <w:t xml:space="preserve"> glob</w:t>
                          </w:r>
                          <w:r>
                            <w:rPr>
                              <w:rFonts w:ascii="Calibri" w:eastAsia="Calibri" w:hAnsi="Calibri"/>
                              <w:b/>
                              <w:bCs/>
                              <w:sz w:val="22"/>
                              <w:szCs w:val="24"/>
                            </w:rPr>
                            <w:t>a:</w:t>
                          </w:r>
                        </w:p>
                        <w:p>
                          <w:pPr>
                            <w:rPr>
                              <w:sz w:val="18"/>
                              <w:szCs w:val="18"/>
                            </w:rPr>
                          </w:pPr>
                        </w:p>
                        <w:p>
                          <w:pPr>
                            <w:tabs>
                              <w:tab w:val="left" w:pos="567"/>
                            </w:tabs>
                            <w:ind w:firstLine="567"/>
                            <w:jc w:val="both"/>
                            <w:rPr>
                              <w:rFonts w:eastAsia="Calibri"/>
                              <w:szCs w:val="24"/>
                              <w:lang w:bidi="he-IL"/>
                            </w:rPr>
                          </w:pPr>
                          <w:r>
                            <w:rPr>
                              <w:rFonts w:eastAsia="Calibri"/>
                              <w:szCs w:val="24"/>
                            </w:rPr>
                            <w:t>- bendruomeniniuose vaikų globos namuose (šeiminiuose namuose) vaikams su negalia vieno mėnesio kaina: – 1602,00 Eur;</w:t>
                          </w:r>
                        </w:p>
                        <w:p>
                          <w:pPr>
                            <w:tabs>
                              <w:tab w:val="left" w:pos="851"/>
                            </w:tabs>
                            <w:ind w:firstLine="851"/>
                            <w:jc w:val="both"/>
                            <w:rPr>
                              <w:rFonts w:eastAsia="Calibri"/>
                              <w:szCs w:val="24"/>
                              <w:lang w:bidi="he-IL"/>
                            </w:rPr>
                          </w:pPr>
                          <w:r>
                            <w:rPr>
                              <w:rFonts w:eastAsia="Calibri"/>
                              <w:szCs w:val="24"/>
                              <w:lang w:eastAsia="lt-LT"/>
                            </w:rPr>
                            <w:t xml:space="preserve">- grupinio gyvenimo namuose suaugusiems asmenims su negalia (sunkia negalia) </w:t>
                          </w:r>
                          <w:r>
                            <w:rPr>
                              <w:rFonts w:eastAsia="Calibri"/>
                              <w:szCs w:val="24"/>
                            </w:rPr>
                            <w:t>vieno mėnesio kaina</w:t>
                          </w:r>
                          <w:r>
                            <w:rPr>
                              <w:rFonts w:eastAsia="Calibri"/>
                              <w:szCs w:val="24"/>
                              <w:lang w:eastAsia="lt-LT"/>
                            </w:rPr>
                            <w:t xml:space="preserve"> – 1588,00 Eur;   </w:t>
                          </w:r>
                        </w:p>
                        <w:p>
                          <w:pPr>
                            <w:tabs>
                              <w:tab w:val="left" w:pos="567"/>
                            </w:tabs>
                            <w:ind w:firstLine="567"/>
                            <w:jc w:val="both"/>
                            <w:rPr>
                              <w:rFonts w:eastAsia="Calibri"/>
                              <w:szCs w:val="24"/>
                              <w:lang w:bidi="he-IL"/>
                            </w:rPr>
                          </w:pPr>
                          <w:r>
                            <w:rPr>
                              <w:rFonts w:eastAsia="Calibri"/>
                              <w:szCs w:val="24"/>
                              <w:lang w:eastAsia="lt-LT"/>
                            </w:rPr>
                            <w:t xml:space="preserve">- slaugos (globos) padalinyje vaikams ir suaugusiems su sunkia negalia </w:t>
                          </w:r>
                          <w:r>
                            <w:rPr>
                              <w:rFonts w:eastAsia="Calibri"/>
                              <w:szCs w:val="24"/>
                            </w:rPr>
                            <w:t>vieno mėnesio kaina</w:t>
                          </w:r>
                          <w:r>
                            <w:rPr>
                              <w:rFonts w:eastAsia="Calibri"/>
                              <w:szCs w:val="24"/>
                              <w:lang w:eastAsia="lt-LT"/>
                            </w:rPr>
                            <w:t xml:space="preserve"> - 1944,00 Eur.</w:t>
                          </w:r>
                        </w:p>
                      </w:sdtContent>
                    </w:sdt>
                    <w:sdt>
                      <w:sdtPr>
                        <w:alias w:val="3.2 pp."/>
                        <w:tag w:val="part_93d8b405a5e143558268fb526a2f9753"/>
                        <w:lock w:val="sdtLocked"/>
                        <w:richText/>
                      </w:sdtPr>
                      <w:sdtContent>
                        <w:p>
                          <w:pPr>
                            <w:tabs>
                              <w:tab w:val="left" w:pos="851"/>
                              <w:tab w:val="left" w:pos="993"/>
                            </w:tabs>
                            <w:spacing w:line="276" w:lineRule="auto"/>
                            <w:ind w:firstLine="567"/>
                            <w:jc w:val="both"/>
                            <w:rPr>
                              <w:rFonts w:ascii="Calibri" w:eastAsia="Calibri" w:hAnsi="Calibri"/>
                              <w:sz w:val="22"/>
                              <w:szCs w:val="24"/>
                              <w:lang w:eastAsia="lt-LT"/>
                            </w:rPr>
                          </w:pPr>
                          <w:sdt>
                            <w:sdtPr>
                              <w:alias w:val="Numeris"/>
                              <w:tag w:val="nr_93d8b405a5e143558268fb526a2f9753"/>
                              <w:lock w:val="sdtLocked"/>
                              <w:richText/>
                            </w:sdtPr>
                            <w:sdtContent>
                              <w:r>
                                <w:rPr>
                                  <w:sz w:val="22"/>
                                  <w:szCs w:val="24"/>
                                  <w:lang w:eastAsia="lt-LT"/>
                                </w:rPr>
                                <w:t>3.2</w:t>
                              </w:r>
                            </w:sdtContent>
                          </w:sdt>
                          <w:r>
                            <w:rPr>
                              <w:sz w:val="22"/>
                              <w:szCs w:val="24"/>
                              <w:lang w:eastAsia="lt-LT"/>
                            </w:rPr>
                            <w:t>.</w:t>
                            <w:tab/>
                          </w:r>
                          <w:r>
                            <w:rPr>
                              <w:rFonts w:ascii="Calibri" w:eastAsia="Calibri" w:hAnsi="Calibri"/>
                              <w:sz w:val="22"/>
                              <w:szCs w:val="24"/>
                              <w:lang w:eastAsia="lt-LT"/>
                            </w:rPr>
                            <w:t xml:space="preserve"> dienos socialinės globos institucijoje suaugusiems asmenims su negalia (sunkia negalia) kaina:</w:t>
                          </w:r>
                        </w:p>
                        <w:p>
                          <w:pPr>
                            <w:rPr>
                              <w:sz w:val="18"/>
                              <w:szCs w:val="18"/>
                            </w:rPr>
                          </w:pPr>
                        </w:p>
                        <w:p>
                          <w:pPr>
                            <w:tabs>
                              <w:tab w:val="left" w:pos="851"/>
                              <w:tab w:val="left" w:pos="993"/>
                            </w:tabs>
                            <w:ind w:left="567"/>
                            <w:jc w:val="both"/>
                            <w:rPr>
                              <w:szCs w:val="24"/>
                              <w:lang w:eastAsia="lt-LT"/>
                            </w:rPr>
                          </w:pPr>
                          <w:r>
                            <w:rPr>
                              <w:szCs w:val="24"/>
                              <w:lang w:eastAsia="lt-LT"/>
                            </w:rPr>
                            <w:t xml:space="preserve">- vieno mėnesio (su maitinimu) – 898,00 Eur; </w:t>
                          </w:r>
                        </w:p>
                        <w:p>
                          <w:pPr>
                            <w:tabs>
                              <w:tab w:val="left" w:pos="851"/>
                              <w:tab w:val="left" w:pos="993"/>
                            </w:tabs>
                            <w:ind w:left="567"/>
                            <w:jc w:val="both"/>
                            <w:rPr>
                              <w:szCs w:val="24"/>
                              <w:lang w:eastAsia="lt-LT"/>
                            </w:rPr>
                          </w:pPr>
                          <w:r>
                            <w:rPr>
                              <w:szCs w:val="24"/>
                              <w:lang w:eastAsia="lt-LT"/>
                            </w:rPr>
                            <w:t>- vieno mėnesio (be maitinimo) – 810,00 Eur.</w:t>
                          </w:r>
                        </w:p>
                        <w:p>
                          <w:pPr>
                            <w:tabs>
                              <w:tab w:val="left" w:pos="993"/>
                            </w:tabs>
                            <w:suppressAutoHyphens/>
                            <w:ind w:firstLine="682"/>
                            <w:jc w:val="both"/>
                            <w:rPr>
                              <w:rFonts w:eastAsia="Calibri"/>
                              <w:szCs w:val="24"/>
                              <w:lang w:eastAsia="lt-LT"/>
                            </w:rPr>
                          </w:pPr>
                          <w:r>
                            <w:rPr>
                              <w:rFonts w:eastAsia="Calibri"/>
                              <w:szCs w:val="24"/>
                              <w:lang w:eastAsia="lt-LT"/>
                            </w:rPr>
                            <w:t xml:space="preserve">Tarybos sprendimo projekte numatyta, kad šio sprendimo 1.1 - 1.6 papunkčiai įsigalioja nuo 2024 m. birželio 1 d., o 1.7 – 1.9 papunkčiai įsigalioja  nuo sprendimo priėmimo ir teisės aktų registre įsigaliojimo dienos. </w:t>
                          </w:r>
                        </w:p>
                      </w:sdtContent>
                    </w:sdt>
                  </w:sdtContent>
                </w:sdt>
              </w:sdtContent>
            </w:sdt>
            <w:sdt>
              <w:sdtPr>
                <w:alias w:val="poskyris"/>
                <w:tag w:val="part_453f2ac22b644925b0630b3c379e9c14"/>
                <w:lock w:val="sdtLocked"/>
                <w:richText/>
              </w:sdtPr>
              <w:sdtContent>
                <w:p>
                  <w:pPr>
                    <w:widowControl w:val="0"/>
                    <w:overflowPunct w:val="0"/>
                    <w:ind w:firstLine="426"/>
                    <w:jc w:val="both"/>
                    <w:rPr>
                      <w:b/>
                      <w:szCs w:val="24"/>
                      <w:lang w:eastAsia="lt-LT"/>
                    </w:rPr>
                  </w:pPr>
                  <w:sdt>
                    <w:sdtPr>
                      <w:alias w:val="Pavadinimas"/>
                      <w:tag w:val="title_453f2ac22b644925b0630b3c379e9c14"/>
                      <w:lock w:val="sdtLocked"/>
                      <w:richText/>
                    </w:sdtPr>
                    <w:sdtContent>
                      <w:r>
                        <w:rPr>
                          <w:b/>
                          <w:szCs w:val="24"/>
                          <w:lang w:eastAsia="lt-LT"/>
                        </w:rPr>
                        <w:t>Priėmus sprendimą, galimos pasekmės.</w:t>
                      </w:r>
                    </w:sdtContent>
                  </w:sdt>
                </w:p>
                <w:p>
                  <w:pPr>
                    <w:ind w:firstLine="425"/>
                    <w:jc w:val="both"/>
                    <w:rPr>
                      <w:rFonts w:eastAsia="Calibri"/>
                      <w:szCs w:val="24"/>
                    </w:rPr>
                  </w:pPr>
                  <w:r>
                    <w:rPr>
                      <w:rFonts w:eastAsia="HG Mincho Light J"/>
                      <w:bCs/>
                      <w:szCs w:val="24"/>
                      <w:lang w:eastAsia="zh-CN" w:bidi="hi-IN"/>
                    </w:rPr>
                    <w:t xml:space="preserve">Teigiamos: </w:t>
                  </w:r>
                  <w:r>
                    <w:rPr>
                      <w:rFonts w:eastAsia="Calibri"/>
                      <w:szCs w:val="24"/>
                      <w:lang w:bidi="he-IL"/>
                    </w:rPr>
                    <w:t xml:space="preserve">nustatytos </w:t>
                  </w:r>
                  <w:r>
                    <w:rPr>
                      <w:rFonts w:eastAsia="Calibri"/>
                      <w:szCs w:val="24"/>
                    </w:rPr>
                    <w:t xml:space="preserve">socialinių paslaugų </w:t>
                  </w:r>
                  <w:r>
                    <w:rPr>
                      <w:rFonts w:eastAsia="Calibri"/>
                      <w:szCs w:val="24"/>
                      <w:lang w:bidi="he-IL"/>
                    </w:rPr>
                    <w:t xml:space="preserve">kainos padengs minėtų paslaugų teikimo išlaidas ir </w:t>
                  </w:r>
                  <w:r>
                    <w:rPr>
                      <w:rFonts w:eastAsia="Calibri"/>
                      <w:szCs w:val="24"/>
                    </w:rPr>
                    <w:t>padės tinkamai planuoti lėšas socialinėms paslaugoms.</w:t>
                  </w:r>
                </w:p>
                <w:p>
                  <w:pPr>
                    <w:ind w:firstLine="425"/>
                    <w:jc w:val="both"/>
                    <w:rPr>
                      <w:rFonts w:eastAsia="Calibri"/>
                      <w:szCs w:val="24"/>
                    </w:rPr>
                  </w:pPr>
                  <w:r>
                    <w:rPr>
                      <w:rFonts w:eastAsia="Calibri"/>
                      <w:szCs w:val="24"/>
                    </w:rPr>
                    <w:t>Neigiamų pasekmių nenumatoma.</w:t>
                  </w:r>
                </w:p>
              </w:sdtContent>
            </w:sdt>
            <w:sdt>
              <w:sdtPr>
                <w:alias w:val="poskyris"/>
                <w:tag w:val="part_9c0259c696cb49cd9b7e6e2e8e31644f"/>
                <w:lock w:val="sdtLocked"/>
                <w:richText/>
              </w:sdtPr>
              <w:sdtContent>
                <w:p>
                  <w:pPr>
                    <w:ind w:firstLine="425"/>
                    <w:jc w:val="both"/>
                    <w:rPr>
                      <w:rFonts w:eastAsia="Calibri"/>
                      <w:szCs w:val="24"/>
                    </w:rPr>
                  </w:pPr>
                  <w:sdt>
                    <w:sdtPr>
                      <w:alias w:val="Pavadinimas"/>
                      <w:tag w:val="title_9c0259c696cb49cd9b7e6e2e8e31644f"/>
                      <w:lock w:val="sdtLocked"/>
                      <w:richText/>
                    </w:sdtPr>
                    <w:sdtContent>
                      <w:r>
                        <w:rPr>
                          <w:rFonts w:eastAsia="Calibri"/>
                          <w:b/>
                          <w:szCs w:val="24"/>
                        </w:rPr>
                        <w:t xml:space="preserve">Priėmus sprendimą, keičiami ar pripažįstami  negaliojančiais teisės aktai.</w:t>
                      </w:r>
                    </w:sdtContent>
                  </w:sdt>
                </w:p>
                <w:p>
                  <w:pPr>
                    <w:widowControl w:val="0"/>
                    <w:suppressAutoHyphens/>
                    <w:overflowPunct w:val="0"/>
                    <w:ind w:firstLine="426"/>
                    <w:jc w:val="both"/>
                    <w:rPr>
                      <w:szCs w:val="24"/>
                      <w:lang w:eastAsia="lt-LT"/>
                    </w:rPr>
                  </w:pPr>
                  <w:r>
                    <w:rPr>
                      <w:szCs w:val="24"/>
                      <w:lang w:eastAsia="lt-LT"/>
                    </w:rPr>
                    <w:t xml:space="preserve">Priėmus sprendimą, keičiamos </w:t>
                  </w:r>
                  <w:r>
                    <w:rPr>
                      <w:bCs/>
                      <w:szCs w:val="24"/>
                      <w:lang w:eastAsia="lt-LT"/>
                    </w:rPr>
                    <w:t xml:space="preserve">Šiaulių miesto savivaldybės tarybos 2022 m. vasario 3 d. sprendimo Nr. T-30 „Dėl biudžetinių įstaigų socialinių paslaugų sąrašo ir kainų nustatymo“ patvirtinto Biudžetinių įstaigų socialinių paslaugų ir kainų sąrašo </w:t>
                  </w:r>
                  <w:r>
                    <w:rPr>
                      <w:szCs w:val="24"/>
                      <w:lang w:eastAsia="lt-LT"/>
                    </w:rPr>
                    <w:t>1.1, 1.2, 1.4, 1.5, 1.9, 2.3, 4.1, 4.7, papunkčių kainos, pripažįstamas netekęs galios 4.8, 4.8.1, 4.8.2 papunkčiai.</w:t>
                  </w:r>
                </w:p>
              </w:sdtContent>
            </w:sdt>
            <w:sdt>
              <w:sdtPr>
                <w:alias w:val="poskyris"/>
                <w:tag w:val="part_1059737570d84d30906b4bc0ea971631"/>
                <w:lock w:val="sdtLocked"/>
                <w:richText/>
              </w:sdtPr>
              <w:sdtContent>
                <w:p>
                  <w:pPr>
                    <w:widowControl w:val="0"/>
                    <w:suppressAutoHyphens/>
                    <w:overflowPunct w:val="0"/>
                    <w:spacing w:line="100" w:lineRule="atLeast"/>
                    <w:ind w:firstLine="426"/>
                    <w:jc w:val="both"/>
                    <w:rPr>
                      <w:b/>
                      <w:szCs w:val="24"/>
                      <w:lang w:eastAsia="lt-LT"/>
                    </w:rPr>
                  </w:pPr>
                  <w:sdt>
                    <w:sdtPr>
                      <w:alias w:val="Pavadinimas"/>
                      <w:tag w:val="title_1059737570d84d30906b4bc0ea971631"/>
                      <w:lock w:val="sdtLocked"/>
                      <w:richText/>
                    </w:sdtPr>
                    <w:sdtContent>
                      <w:r>
                        <w:rPr>
                          <w:b/>
                          <w:szCs w:val="24"/>
                          <w:lang w:eastAsia="lt-LT"/>
                        </w:rPr>
                        <w:t>Sprendimui įgyvendinti reikalingi priimti papildomi teisės aktai.</w:t>
                      </w:r>
                    </w:sdtContent>
                  </w:sdt>
                </w:p>
                <w:p>
                  <w:pPr>
                    <w:ind w:firstLine="426"/>
                    <w:jc w:val="both"/>
                    <w:rPr>
                      <w:szCs w:val="24"/>
                    </w:rPr>
                  </w:pPr>
                  <w:r>
                    <w:rPr>
                      <w:szCs w:val="24"/>
                    </w:rPr>
                    <w:t>Priėmus sprendimą keisti ar naikinti galiojančių teisės aktų nereikės.</w:t>
                  </w:r>
                </w:p>
              </w:sdtContent>
            </w:sdt>
            <w:sdt>
              <w:sdtPr>
                <w:alias w:val="poskyris"/>
                <w:tag w:val="part_d70daddef678403cb3f9b5c63eccec79"/>
                <w:lock w:val="sdtLocked"/>
                <w:richText/>
              </w:sdtPr>
              <w:sdtContent>
                <w:p>
                  <w:pPr>
                    <w:ind w:firstLine="426"/>
                    <w:jc w:val="both"/>
                    <w:rPr>
                      <w:rFonts w:eastAsia="Calibri"/>
                      <w:b/>
                      <w:szCs w:val="24"/>
                    </w:rPr>
                  </w:pPr>
                  <w:sdt>
                    <w:sdtPr>
                      <w:alias w:val="Pavadinimas"/>
                      <w:tag w:val="title_d70daddef678403cb3f9b5c63eccec79"/>
                      <w:lock w:val="sdtLocked"/>
                      <w:richText/>
                    </w:sdtPr>
                    <w:sdtContent>
                      <w:r>
                        <w:rPr>
                          <w:rFonts w:eastAsia="Calibri"/>
                          <w:b/>
                          <w:szCs w:val="24"/>
                        </w:rPr>
                        <w:t>Sprendimui įgyvendinti reikalingos lėšos.</w:t>
                      </w:r>
                    </w:sdtContent>
                  </w:sdt>
                </w:p>
                <w:p>
                  <w:pPr>
                    <w:ind w:firstLine="432"/>
                    <w:jc w:val="both"/>
                    <w:rPr>
                      <w:rFonts w:eastAsia="Calibri"/>
                      <w:szCs w:val="24"/>
                    </w:rPr>
                  </w:pPr>
                  <w:r>
                    <w:rPr>
                      <w:rFonts w:eastAsia="Calibri"/>
                      <w:szCs w:val="24"/>
                    </w:rPr>
                    <w:t>Sprendimui įgyvendinti planuojame, kad papildomų biudžeto lėšų nereikės, nes reikalingos lėšos 2024 m. biudžete suplanuotos 10 programoje, pagal šiuo metu paslaugas gaunančių asmenų skaičių.</w:t>
                  </w:r>
                </w:p>
                <w:p>
                  <w:pPr>
                    <w:ind w:firstLine="426"/>
                    <w:jc w:val="both"/>
                    <w:rPr>
                      <w:rFonts w:eastAsia="Calibri"/>
                      <w:szCs w:val="24"/>
                    </w:rPr>
                  </w:pPr>
                  <w:r>
                    <w:rPr>
                      <w:rFonts w:eastAsia="Calibri"/>
                      <w:b/>
                      <w:bCs/>
                      <w:szCs w:val="24"/>
                    </w:rPr>
                    <w:t>Sprendimo projekto antikorupcinis vertinimas</w:t>
                  </w:r>
                  <w:r>
                    <w:rPr>
                      <w:rFonts w:eastAsia="Calibri"/>
                      <w:szCs w:val="24"/>
                    </w:rPr>
                    <w:t xml:space="preserve"> nebuvo atliekamas, nes šis projektas nėra susijęs nei su vienu atveju, nurodytu Lietuvos Respublikos korupcijos prevencijos įstatymo 8 straipsnio 1 dalyje.</w:t>
                  </w:r>
                </w:p>
                <w:p>
                  <w:pPr>
                    <w:suppressAutoHyphens/>
                    <w:ind w:firstLine="426"/>
                    <w:jc w:val="both"/>
                    <w:rPr>
                      <w:kern w:val="3"/>
                      <w:szCs w:val="24"/>
                      <w:lang w:val="en-GB" w:eastAsia="zh-CN"/>
                    </w:rPr>
                  </w:pPr>
                  <w:r>
                    <w:rPr>
                      <w:b/>
                      <w:kern w:val="3"/>
                      <w:szCs w:val="24"/>
                      <w:shd w:val="clear" w:color="auto" w:fill="FFFFFF"/>
                      <w:lang w:eastAsia="zh-CN"/>
                    </w:rPr>
                    <w:t>N</w:t>
                  </w:r>
                  <w:r>
                    <w:rPr>
                      <w:rFonts w:eastAsia="Calibri"/>
                      <w:b/>
                      <w:kern w:val="3"/>
                      <w:szCs w:val="24"/>
                      <w:lang w:eastAsia="zh-CN"/>
                    </w:rPr>
                    <w:t xml:space="preserve">umatomo teisinio reguliavimo poveikio vertinimas </w:t>
                  </w:r>
                  <w:r>
                    <w:rPr>
                      <w:rFonts w:eastAsia="Calibri"/>
                      <w:kern w:val="3"/>
                      <w:szCs w:val="24"/>
                      <w:lang w:eastAsia="zh-CN"/>
                    </w:rPr>
                    <w:t>neatliekamas</w:t>
                  </w:r>
                  <w:r>
                    <w:rPr>
                      <w:rFonts w:eastAsia="Calibri"/>
                      <w:b/>
                      <w:kern w:val="3"/>
                      <w:szCs w:val="24"/>
                      <w:lang w:eastAsia="zh-CN"/>
                    </w:rPr>
                    <w:t>.</w:t>
                  </w:r>
                </w:p>
                <w:p>
                  <w:pPr>
                    <w:spacing w:line="100" w:lineRule="atLeast"/>
                    <w:ind w:left="-5" w:right="8" w:firstLine="431"/>
                    <w:jc w:val="both"/>
                    <w:rPr>
                      <w:rFonts w:eastAsia="Calibri"/>
                      <w:szCs w:val="24"/>
                    </w:rPr>
                  </w:pPr>
                  <w:r>
                    <w:rPr>
                      <w:rFonts w:eastAsia="Calibri"/>
                      <w:b/>
                      <w:bCs/>
                      <w:szCs w:val="24"/>
                      <w:lang w:eastAsia="lt-LT"/>
                    </w:rPr>
                    <w:t>Sprendimo projektą parengė</w:t>
                  </w:r>
                  <w:r>
                    <w:rPr>
                      <w:rFonts w:eastAsia="Calibri"/>
                      <w:szCs w:val="24"/>
                      <w:lang w:eastAsia="lt-LT"/>
                    </w:rPr>
                    <w:t xml:space="preserve"> Socialinių paslaugų skyrius. Tiesioginis rengėjas – </w:t>
                  </w:r>
                  <w:r>
                    <w:rPr>
                      <w:rFonts w:eastAsia="Calibri"/>
                      <w:szCs w:val="24"/>
                      <w:shd w:val="clear" w:color="auto" w:fill="FFFFFF"/>
                    </w:rPr>
                    <w:t>Socialinių paslaugų skyriaus patarėja Lina Lašinė, tel. 38 64 90, iniciatorius – Socialinių paslaugų skyriaus vedėja Ramutė Pilypienė,</w:t>
                  </w:r>
                  <w:r>
                    <w:rPr>
                      <w:rFonts w:eastAsia="Calibri"/>
                      <w:szCs w:val="24"/>
                    </w:rPr>
                    <w:t xml:space="preserve"> Šiaulių kompleksinių paslaugų namų „Alka“ direktorius Rimantas Žąsinas, Šiaulių miesto savivaldybės globos namų direktorė Danutė Akaveckienė, Šiaulių miesto savivaldybės socialinių paslaugų centro direktorė Vida Šalnienė.</w:t>
                  </w:r>
                </w:p>
                <w:p>
                  <w:pPr>
                    <w:rPr>
                      <w:sz w:val="18"/>
                      <w:szCs w:val="18"/>
                    </w:rPr>
                  </w:pPr>
                </w:p>
                <w:p>
                  <w:pPr>
                    <w:suppressAutoHyphens/>
                    <w:ind w:firstLine="426"/>
                    <w:jc w:val="both"/>
                    <w:rPr>
                      <w:color w:val="000000"/>
                      <w:kern w:val="3"/>
                      <w:sz w:val="22"/>
                      <w:szCs w:val="22"/>
                      <w:shd w:val="clear" w:color="auto" w:fill="FFFFFF"/>
                      <w:lang w:eastAsia="zh-CN"/>
                    </w:rPr>
                  </w:pPr>
                </w:p>
                <w:p>
                  <w:pPr>
                    <w:widowControl w:val="0"/>
                    <w:rPr>
                      <w:rFonts w:eastAsia="Lucida Sans Unicode"/>
                      <w:b/>
                      <w:bCs/>
                      <w:iCs/>
                      <w:color w:val="000000"/>
                      <w:sz w:val="22"/>
                      <w:szCs w:val="22"/>
                      <w:shd w:val="clear" w:color="auto" w:fill="FFFFFF"/>
                      <w:lang w:eastAsia="lt-LT"/>
                    </w:rPr>
                  </w:pPr>
                </w:p>
                <w:p>
                  <w:pPr>
                    <w:widowControl w:val="0"/>
                    <w:rPr>
                      <w:rFonts w:eastAsia="Lucida Sans Unicode"/>
                      <w:b/>
                      <w:bCs/>
                      <w:iCs/>
                      <w:color w:val="000000"/>
                      <w:sz w:val="22"/>
                      <w:szCs w:val="22"/>
                      <w:shd w:val="clear" w:color="auto" w:fill="FFFFFF"/>
                      <w:lang w:eastAsia="lt-LT"/>
                    </w:rPr>
                  </w:pPr>
                </w:p>
              </w:sdtContent>
            </w:sdt>
          </w:sdtContent>
        </w:sdt>
        <w:sdt>
          <w:sdtPr>
            <w:alias w:val="signatura"/>
            <w:tag w:val="part_3231a635e7194876b085ca70791c1eef"/>
            <w:lock w:val="sdtLocked"/>
            <w:richText/>
          </w:sdtPr>
          <w:sdtContent>
            <w:p>
              <w:pPr>
                <w:tabs>
                  <w:tab w:val="left" w:pos="0"/>
                </w:tabs>
                <w:rPr>
                  <w:rFonts w:eastAsia="Calibri"/>
                  <w:color w:val="000000"/>
                  <w:sz w:val="22"/>
                  <w:szCs w:val="22"/>
                </w:rPr>
              </w:pPr>
              <w:r>
                <w:rPr>
                  <w:rFonts w:eastAsia="Calibri"/>
                  <w:color w:val="000000"/>
                  <w:sz w:val="22"/>
                  <w:szCs w:val="22"/>
                </w:rPr>
                <w:t xml:space="preserve">Skyriaus vedėja </w:t>
                <w:tab/>
                <w:tab/>
                <w:tab/>
                <w:tab/>
                <w:tab/>
                <w:t>Ramutė Pilypienė</w:t>
              </w:r>
            </w:p>
            <w:p>
              <w:pPr>
                <w:tabs>
                  <w:tab w:val="left" w:pos="0"/>
                </w:tabs>
                <w:rPr>
                  <w:rFonts w:eastAsia="Calibri"/>
                  <w:color w:val="000000"/>
                  <w:sz w:val="22"/>
                  <w:szCs w:val="22"/>
                </w:rPr>
              </w:pPr>
            </w:p>
            <w:p>
              <w:pPr>
                <w:tabs>
                  <w:tab w:val="left" w:pos="0"/>
                </w:tabs>
                <w:rPr>
                  <w:rFonts w:eastAsia="Calibri"/>
                  <w:color w:val="000000"/>
                  <w:sz w:val="22"/>
                  <w:szCs w:val="22"/>
                </w:rPr>
              </w:pPr>
            </w:p>
            <w:p>
              <w:pPr>
                <w:tabs>
                  <w:tab w:val="left" w:pos="0"/>
                  <w:tab w:val="left" w:pos="4678"/>
                </w:tabs>
                <w:rPr>
                  <w:rFonts w:eastAsia="Calibri"/>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eastAsia="Calibri"/>
        <w:szCs w:val="24"/>
      </w:rPr>
    </w:pPr>
    <w:r>
      <w:rPr>
        <w:rFonts w:eastAsia="Calibri"/>
        <w:szCs w:val="24"/>
      </w:rPr>
      <w:fldChar w:fldCharType="begin"/>
    </w:r>
    <w:r>
      <w:rPr>
        <w:rFonts w:eastAsia="Calibri"/>
        <w:szCs w:val="24"/>
      </w:rPr>
      <w:instrText xml:space="preserve">PAGE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eastAsia="Calibri"/>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eastAsia="Calibri"/>
        <w:szCs w:val="24"/>
      </w:rPr>
    </w:pPr>
    <w:r>
      <w:rPr>
        <w:rFonts w:eastAsia="Calibri"/>
        <w:szCs w:val="24"/>
      </w:rPr>
      <w:fldChar w:fldCharType="begin"/>
    </w:r>
    <w:r>
      <w:rPr>
        <w:rFonts w:eastAsia="Calibri"/>
        <w:szCs w:val="24"/>
      </w:rPr>
      <w:instrText xml:space="preserve">PAGE  </w:instrText>
    </w:r>
    <w:r>
      <w:rPr>
        <w:rFonts w:eastAsia="Calibri"/>
        <w:szCs w:val="24"/>
      </w:rPr>
      <w:fldChar w:fldCharType="separate"/>
    </w:r>
    <w:r>
      <w:rPr>
        <w:rFonts w:eastAsia="Calibri"/>
        <w:szCs w:val="24"/>
      </w:rPr>
      <w:t>3</w:t>
    </w:r>
    <w:r>
      <w:rPr>
        <w:rFonts w:eastAsia="Calibri"/>
        <w:szCs w:val="24"/>
      </w:rPr>
      <w:fldChar w:fldCharType="end"/>
    </w:r>
  </w:p>
  <w:p>
    <w:pPr>
      <w:rPr>
        <w:rFonts w:eastAsia="Calibri"/>
        <w:b/>
        <w:szCs w:val="24"/>
      </w:rPr>
    </w:pPr>
    <w:r>
      <w:rPr>
        <w:rFonts w:ascii="Calibri" w:eastAsia="Calibri" w:hAnsi="Calibri"/>
        <w:sz w:val="22"/>
        <w:szCs w:val="22"/>
      </w:rPr>
      <w:tab/>
    </w:r>
  </w:p>
  <w:p>
    <w:pPr>
      <w:jc w:val="center"/>
      <w:rPr>
        <w:rFonts w:eastAsia="Calibri"/>
        <w:b/>
        <w:szCs w:val="24"/>
      </w:rPr>
    </w:pPr>
    <w:r>
      <w:rPr>
        <w:rFonts w:eastAsia="Calibri"/>
        <w:b/>
        <w:szCs w:val="24"/>
      </w:rPr>
      <w:t xml:space="preserve"> </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3DF405-A9DD-4F3B-B216-39D8301C42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4312880">
      <w:bodyDiv w:val="1"/>
      <w:marLeft w:val="0"/>
      <w:marRight w:val="0"/>
      <w:marTop w:val="0"/>
      <w:marBottom w:val="0"/>
      <w:divBdr>
        <w:top w:val="none" w:sz="0" w:space="0" w:color="auto"/>
        <w:left w:val="none" w:sz="0" w:space="0" w:color="auto"/>
        <w:bottom w:val="none" w:sz="0" w:space="0" w:color="auto"/>
        <w:right w:val="none" w:sz="0" w:space="0" w:color="auto"/>
      </w:divBdr>
    </w:div>
    <w:div w:id="547642789">
      <w:bodyDiv w:val="1"/>
      <w:marLeft w:val="0"/>
      <w:marRight w:val="0"/>
      <w:marTop w:val="0"/>
      <w:marBottom w:val="0"/>
      <w:divBdr>
        <w:top w:val="none" w:sz="0" w:space="0" w:color="auto"/>
        <w:left w:val="none" w:sz="0" w:space="0" w:color="auto"/>
        <w:bottom w:val="none" w:sz="0" w:space="0" w:color="auto"/>
        <w:right w:val="none" w:sz="0" w:space="0" w:color="auto"/>
      </w:divBdr>
    </w:div>
    <w:div w:id="580605351">
      <w:bodyDiv w:val="1"/>
      <w:marLeft w:val="0"/>
      <w:marRight w:val="0"/>
      <w:marTop w:val="0"/>
      <w:marBottom w:val="0"/>
      <w:divBdr>
        <w:top w:val="none" w:sz="0" w:space="0" w:color="auto"/>
        <w:left w:val="none" w:sz="0" w:space="0" w:color="auto"/>
        <w:bottom w:val="none" w:sz="0" w:space="0" w:color="auto"/>
        <w:right w:val="none" w:sz="0" w:space="0" w:color="auto"/>
      </w:divBdr>
    </w:div>
    <w:div w:id="611665627">
      <w:bodyDiv w:val="1"/>
      <w:marLeft w:val="0"/>
      <w:marRight w:val="0"/>
      <w:marTop w:val="0"/>
      <w:marBottom w:val="0"/>
      <w:divBdr>
        <w:top w:val="none" w:sz="0" w:space="0" w:color="auto"/>
        <w:left w:val="none" w:sz="0" w:space="0" w:color="auto"/>
        <w:bottom w:val="none" w:sz="0" w:space="0" w:color="auto"/>
        <w:right w:val="none" w:sz="0" w:space="0" w:color="auto"/>
      </w:divBdr>
    </w:div>
    <w:div w:id="653337574">
      <w:bodyDiv w:val="1"/>
      <w:marLeft w:val="0"/>
      <w:marRight w:val="0"/>
      <w:marTop w:val="0"/>
      <w:marBottom w:val="0"/>
      <w:divBdr>
        <w:top w:val="none" w:sz="0" w:space="0" w:color="auto"/>
        <w:left w:val="none" w:sz="0" w:space="0" w:color="auto"/>
        <w:bottom w:val="none" w:sz="0" w:space="0" w:color="auto"/>
        <w:right w:val="none" w:sz="0" w:space="0" w:color="auto"/>
      </w:divBdr>
    </w:div>
    <w:div w:id="1816681700">
      <w:bodyDiv w:val="1"/>
      <w:marLeft w:val="0"/>
      <w:marRight w:val="0"/>
      <w:marTop w:val="0"/>
      <w:marBottom w:val="0"/>
      <w:divBdr>
        <w:top w:val="none" w:sz="0" w:space="0" w:color="auto"/>
        <w:left w:val="none" w:sz="0" w:space="0" w:color="auto"/>
        <w:bottom w:val="none" w:sz="0" w:space="0" w:color="auto"/>
        <w:right w:val="none" w:sz="0" w:space="0" w:color="auto"/>
      </w:divBdr>
    </w:div>
    <w:div w:id="1985506389">
      <w:bodyDiv w:val="1"/>
      <w:marLeft w:val="0"/>
      <w:marRight w:val="0"/>
      <w:marTop w:val="0"/>
      <w:marBottom w:val="0"/>
      <w:divBdr>
        <w:top w:val="none" w:sz="0" w:space="0" w:color="auto"/>
        <w:left w:val="none" w:sz="0" w:space="0" w:color="auto"/>
        <w:bottom w:val="none" w:sz="0" w:space="0" w:color="auto"/>
        <w:right w:val="none" w:sz="0" w:space="0" w:color="auto"/>
      </w:divBdr>
    </w:div>
    <w:div w:id="203765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559fb1714a349d5bb502d4b7b9f3303" PartId="cf3eb873d36447b4a89960b3249458b9">
    <Part Type="skyrius" Nr="999" DocPartId="21cfcb261c724c9d9ca971fdd70b1ded" PartId="bf2052e4103b4404bcc48531a29a8f27">
      <Part Type="poskyris" Title="SPRENDIMO „DĖL ŠIAULIŲ MIESTO SAVIVALDYBĖS 2022 M. VASARIO 3 D. SPRENDIMO NR. T-30 „DĖL BIUDŽETINIŲ ĮSTAIGŲ SOCIALINIŲ PASLAUGŲ SĄRAŠO IR KAINŲ NUSTATYMO“ PAKEITIMO PROJEKTO AIŠKINAMASIS RAŠTAS" DocPartId="ae8d62d09e7845958e4b4f509c90a899" PartId="e73cefe23c694ff0a6382549adc7f693"/>
      <Part Type="poskyris" Title="Parengto sprendimo projekto tikslai ir uždaviniai." DocPartId="d8aac1a02169411d9df23cc2823bea4d" PartId="9b2d96e433dd48bca44d392319451a7b"/>
      <Part Type="poskyris" Title="Dabartinis sprendimo projekte aptariamų klausimų reguliavimas." DocPartId="bb0e57e777b84907978a7a6b3a48e073" PartId="1e3515a840194f51ae6829ad856a5feb"/>
      <Part Type="poskyris" Title="Sprendimo projekte numatytos naujos teisinio reglamentavimo nuostatos." DocPartId="ec17c34be41b4f52b433eb184956a893" PartId="573f642b9eed402cad0dcb0c5dce31c7">
        <Part Type="punktas" Nr="1" Abbr="1 p." DocPartId="28986eab6f144520bb9d4acd7c89fd31" PartId="a5c2e6988031412b86f71ed4fa661da7">
          <Part Type="papunktis" Nr="1.1" Abbr="1.1 pp." DocPartId="6548a09228bd4d24a926867084f83fcf" PartId="dcab238201034de6ba30885f2a5f1adc"/>
          <Part Type="papunktis" Nr="1.2" Abbr="1.2 pp." DocPartId="92cdb6baf1f94e339b84b269ba448b5b" PartId="002f814f3644434c93e035dc109e98e2"/>
          <Part Type="papunktis" Nr="1.3" Abbr="1.3 pp." DocPartId="1cadadf36fec42b0b12a6204617092de" PartId="3f218f01a79c4e72b2396ce34cc984a6"/>
          <Part Type="papunktis" Nr="1.4" Abbr="1.4 pp." DocPartId="12b497ee348547eebfda78b09b7f662f" PartId="6e6d3eae6d694172a98031ff52c1703b"/>
          <Part Type="papunktis" Nr="1.5" Abbr="1.5 pp." DocPartId="6cfb8d0057be4959a520d3d94b03163e" PartId="0e3defc25e9948b38605aa8c1c8083e8"/>
        </Part>
        <Part Type="punktas" Nr="2" Abbr="2 p." DocPartId="d2aafcb3fe73464c80e3a89734201e9f" PartId="5b7d4c12008c467f9f06229d424680bf">
          <Part Type="papunktis" Nr="2.1" Abbr="2.1 pp." DocPartId="a8d87183992040b4bf6c2dcec3817bb3" PartId="dc013ae558424e2f83cdb9ecbd9dbc3b"/>
        </Part>
        <Part Type="punktas" Nr="3" Abbr="3 p." DocPartId="6825ffc7efa646bd94cfae5d197701d1" PartId="287dc1158eee44cd9716760e048b9a13">
          <Part Type="papunktis" Nr="3.1" Abbr="3.1 pp." DocPartId="7ac7bad584fb4971a806592a0e1776bf" PartId="b0ab51fc3e4b47c3ad377040757357dc"/>
          <Part Type="papunktis" Nr="3.2" Abbr="3.2 pp." DocPartId="bf4a8be13603483e9d2bd5d7a4243d60" PartId="93d8b405a5e143558268fb526a2f9753"/>
        </Part>
      </Part>
      <Part Type="poskyris" Title="Priėmus sprendimą, galimos pasekmės." DocPartId="68f82f3aa50e4051b27389f2e0aae428" PartId="453f2ac22b644925b0630b3c379e9c14"/>
      <Part Type="poskyris" Title="Priėmus sprendimą, keičiami ar pripažįstami negaliojančiais teisės aktai." DocPartId="200ab5312b1b42d1a24b5c40328a5290" PartId="9c0259c696cb49cd9b7e6e2e8e31644f"/>
      <Part Type="poskyris" Title="Sprendimui įgyvendinti reikalingi priimti papildomi teisės aktai." DocPartId="22b5dd2a520947d5b9b8c7a1ee0a317b" PartId="1059737570d84d30906b4bc0ea971631"/>
      <Part Type="poskyris" Title="Sprendimui įgyvendinti reikalingos lėšos." DocPartId="e77d4f34a8d34ce7a1ca318bc9dd4374" PartId="d70daddef678403cb3f9b5c63eccec79"/>
    </Part>
    <Part Type="signatura" DocPartId="0301f410354f46aa8d24414c6c88841a" PartId="3231a635e7194876b085ca70791c1eef"/>
  </Part>
</Parts>
</file>

<file path=customXml/itemProps1.xml><?xml version="1.0" encoding="utf-8"?>
<ds:datastoreItem xmlns:ds="http://schemas.openxmlformats.org/officeDocument/2006/customXml" ds:itemID="{9006D5DF-3297-4F2C-ACA6-FE7D568863BE}">
  <ds:schemaRefs>
    <ds:schemaRef ds:uri="http://schemas.openxmlformats.org/officeDocument/2006/bibliography"/>
  </ds:schemaRefs>
</ds:datastoreItem>
</file>

<file path=customXml/itemProps2.xml><?xml version="1.0" encoding="utf-8"?>
<ds:datastoreItem xmlns:ds="http://schemas.openxmlformats.org/officeDocument/2006/customXml" ds:itemID="{45EB1F55-6628-4045-979A-F0D513803B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986</Words>
  <Characters>6866</Characters>
  <Application>Microsoft Office Word</Application>
  <DocSecurity>4</DocSecurity>
  <Lines>120</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7791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2024-04-10T07:22:00Z</dcterms:created>
  <dc:creator>Arunas</dc:creator>
  <lastModifiedBy>adlibuser</lastModifiedBy>
  <lastPrinted>2024-04-04T14:18:00Z</lastPrinted>
  <dcterms:modified xsi:type="dcterms:W3CDTF">2024-04-10T07:22:00Z</dcterms:modified>
  <revision>2</revision>
  <dc:title>ŠIAULIŲ MIESTO SAVIVALDYBĖS ADMINISTRACIJOS</dc:title>
</coreProperties>
</file>