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9d651edbddc438795d74afdb466bd2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pacing w:line="259" w:lineRule="auto"/>
            <w:rPr>
              <w:rFonts w:ascii="Arial Unicode MS" w:eastAsia="Arial Unicode MS" w:hAnsi="Arial Unicode MS" w:cs="Arial Unicode MS"/>
              <w:color w:val="000000"/>
              <w:szCs w:val="24"/>
              <w:lang w:val="en-US" w:eastAsia="zh-CN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keepNext/>
            <w:keepLines/>
            <w:ind w:firstLine="2880"/>
            <w:jc w:val="both"/>
            <w:outlineLvl w:val="4"/>
            <w:rPr>
              <w:bCs/>
              <w:szCs w:val="24"/>
              <w:lang w:eastAsia="zh-CN"/>
            </w:rPr>
          </w:pPr>
          <w:r>
            <w:rPr>
              <w:bCs/>
              <w:szCs w:val="24"/>
              <w:lang w:eastAsia="zh-CN"/>
            </w:rPr>
            <w:t>PRITARTA</w:t>
          </w:r>
        </w:p>
        <w:p>
          <w:pPr>
            <w:keepNext/>
            <w:keepLines/>
            <w:ind w:firstLine="2880"/>
            <w:jc w:val="both"/>
            <w:outlineLvl w:val="4"/>
            <w:rPr>
              <w:bCs/>
              <w:szCs w:val="24"/>
              <w:lang w:eastAsia="zh-CN"/>
            </w:rPr>
          </w:pPr>
          <w:r>
            <w:rPr>
              <w:bCs/>
              <w:szCs w:val="24"/>
              <w:lang w:eastAsia="zh-CN"/>
            </w:rPr>
            <w:t>Šiaulių miesto savivaldybės tarybos</w:t>
          </w:r>
        </w:p>
        <w:p>
          <w:pPr>
            <w:keepNext/>
            <w:keepLines/>
            <w:ind w:firstLine="2880"/>
            <w:jc w:val="both"/>
            <w:outlineLvl w:val="4"/>
            <w:rPr>
              <w:bCs/>
              <w:szCs w:val="24"/>
              <w:lang w:eastAsia="zh-CN"/>
            </w:rPr>
          </w:pPr>
          <w:r>
            <w:rPr>
              <w:bCs/>
              <w:szCs w:val="24"/>
              <w:lang w:eastAsia="zh-CN"/>
            </w:rPr>
            <w:t xml:space="preserve">2023 m.                  d. sprendimu Nr. T- </w:t>
          </w:r>
        </w:p>
        <w:p>
          <w:pPr>
            <w:keepNext/>
            <w:keepLines/>
            <w:jc w:val="both"/>
            <w:outlineLvl w:val="4"/>
            <w:rPr>
              <w:bCs/>
              <w:strike/>
              <w:szCs w:val="24"/>
              <w:lang w:eastAsia="zh-CN"/>
            </w:rPr>
          </w:pPr>
        </w:p>
        <w:p>
          <w:pPr>
            <w:keepNext/>
            <w:keepLines/>
            <w:jc w:val="center"/>
            <w:outlineLvl w:val="4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caps/>
              <w:color w:val="000000"/>
              <w:szCs w:val="24"/>
              <w:lang w:eastAsia="zh-CN"/>
            </w:rPr>
            <w:t>Papildomas susitarimas</w:t>
          </w:r>
          <w:r>
            <w:rPr>
              <w:b/>
              <w:bCs/>
              <w:szCs w:val="24"/>
              <w:lang w:eastAsia="zh-CN"/>
            </w:rPr>
            <w:t xml:space="preserve"> </w:t>
          </w:r>
        </w:p>
        <w:p>
          <w:pPr>
            <w:keepNext/>
            <w:keepLines/>
            <w:jc w:val="center"/>
            <w:outlineLvl w:val="4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PRIE KELEIVINIO KELIŲ TRANSPORTO VIETINIAIS (MIESTO) SUSISIEKIMO MARŠRUTAIS VIEŠŲJŲ PASLAUGŲ TEIKIMO IR NUOSTOLIŲ KOMPENSAVIMO</w:t>
          </w:r>
        </w:p>
        <w:p>
          <w:pPr>
            <w:keepNext/>
            <w:keepLines/>
            <w:jc w:val="center"/>
            <w:outlineLvl w:val="4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 xml:space="preserve">SUTARTIES  NR. SŽ-411</w:t>
          </w:r>
        </w:p>
        <w:p>
          <w:pPr>
            <w:keepNext/>
            <w:keepLines/>
            <w:jc w:val="center"/>
            <w:outlineLvl w:val="4"/>
            <w:rPr>
              <w:b/>
              <w:bCs/>
              <w:szCs w:val="24"/>
              <w:lang w:eastAsia="zh-CN"/>
            </w:rPr>
          </w:pPr>
        </w:p>
        <w:p>
          <w:pPr>
            <w:jc w:val="center"/>
            <w:rPr>
              <w:spacing w:val="-20"/>
              <w:szCs w:val="24"/>
              <w:lang w:eastAsia="zh-CN"/>
            </w:rPr>
          </w:pPr>
          <w:r>
            <w:rPr>
              <w:szCs w:val="24"/>
              <w:lang w:eastAsia="zh-CN"/>
            </w:rPr>
            <w:t xml:space="preserve">2023 m. ________________ d. Nr. </w:t>
          </w:r>
          <w:r>
            <w:rPr>
              <w:spacing w:val="-20"/>
              <w:szCs w:val="24"/>
              <w:lang w:eastAsia="zh-CN"/>
            </w:rPr>
            <w:t>____________</w:t>
          </w:r>
        </w:p>
        <w:p>
          <w:pPr>
            <w:jc w:val="center"/>
            <w:rPr>
              <w:spacing w:val="-20"/>
              <w:szCs w:val="24"/>
              <w:lang w:eastAsia="zh-CN"/>
            </w:rPr>
          </w:pPr>
          <w:r>
            <w:rPr>
              <w:spacing w:val="-20"/>
              <w:szCs w:val="24"/>
              <w:lang w:eastAsia="zh-CN"/>
            </w:rPr>
            <w:t>Šiauliai</w:t>
          </w:r>
        </w:p>
        <w:p>
          <w:pPr>
            <w:jc w:val="center"/>
            <w:rPr>
              <w:szCs w:val="24"/>
              <w:lang w:eastAsia="zh-CN"/>
            </w:rPr>
          </w:pPr>
        </w:p>
        <w:p>
          <w:pPr>
            <w:rPr>
              <w:color w:val="FF0000"/>
              <w:szCs w:val="24"/>
              <w:lang w:eastAsia="zh-CN"/>
            </w:rPr>
          </w:pPr>
        </w:p>
        <w:sdt>
          <w:sdtPr>
            <w:alias w:val="preambule"/>
            <w:tag w:val="part_4b3608161d5e4e369d7660843b58e159"/>
            <w:lock w:val="sdtLocked"/>
            <w:richText/>
          </w:sdtPr>
          <w:sdtContent>
            <w:p>
              <w:pPr>
                <w:ind w:left="15" w:right="-36" w:firstLine="836"/>
                <w:jc w:val="both"/>
                <w:rPr>
                  <w:kern w:val="3"/>
                  <w:szCs w:val="24"/>
                  <w:lang w:eastAsia="zh-CN"/>
                </w:rPr>
              </w:pPr>
              <w:r>
                <w:rPr>
                  <w:kern w:val="3"/>
                  <w:szCs w:val="24"/>
                  <w:lang w:eastAsia="zh-CN"/>
                </w:rPr>
                <w:t xml:space="preserve">Šiaulių miesto savivaldybė (toliau – Savivaldybė), juridinio asmens kodas 111109429, atstovaujama Savivaldybės administracijos direktoriaus Antano Bartulio, veikiančio pagal Šiaulių miesto savivaldybės tarybos 2023 m. </w:t>
              </w:r>
              <w:r>
                <w:rPr>
                  <w:bCs/>
                  <w:kern w:val="3"/>
                  <w:szCs w:val="24"/>
                  <w:lang w:eastAsia="zh-CN"/>
                </w:rPr>
                <w:t xml:space="preserve">birželio    </w:t>
              </w:r>
              <w:r>
                <w:rPr>
                  <w:kern w:val="3"/>
                  <w:szCs w:val="24"/>
                  <w:lang w:eastAsia="zh-CN"/>
                </w:rPr>
                <w:t xml:space="preserve">d. sprendimą Nr. T-      „D</w:t>
              </w:r>
              <w:r>
                <w:rPr>
                  <w:color w:val="000000"/>
                  <w:kern w:val="3"/>
                  <w:szCs w:val="24"/>
                  <w:lang w:eastAsia="zh-CN"/>
                </w:rPr>
                <w:t>ėl</w:t>
              </w:r>
              <w:r>
                <w:rPr>
                  <w:b/>
                  <w:color w:val="000000"/>
                  <w:kern w:val="3"/>
                  <w:szCs w:val="24"/>
                  <w:lang w:eastAsia="zh-CN"/>
                </w:rPr>
                <w:t xml:space="preserve"> </w:t>
              </w:r>
              <w:r>
                <w:rPr>
                  <w:bCs/>
                  <w:color w:val="000000"/>
                  <w:kern w:val="3"/>
                  <w:szCs w:val="24"/>
                  <w:lang w:eastAsia="zh-CN"/>
                </w:rPr>
                <w:t>Š</w:t>
              </w:r>
              <w:r>
                <w:rPr>
                  <w:rFonts w:cs="Tahoma"/>
                  <w:bCs/>
                  <w:color w:val="000000"/>
                  <w:kern w:val="3"/>
                  <w:szCs w:val="24"/>
                  <w:lang w:eastAsia="zh-CN"/>
                </w:rPr>
                <w:t xml:space="preserve">iaulių miesto savivaldybės tarybos 2020 m. kovo 5 d. sprendimo Nr. T- 60 </w:t>
              </w:r>
              <w:r>
                <w:rPr>
                  <w:kern w:val="3"/>
                  <w:szCs w:val="24"/>
                  <w:lang w:eastAsia="zh-CN"/>
                </w:rPr>
                <w:t>„D</w:t>
              </w:r>
              <w:r>
                <w:rPr>
                  <w:bCs/>
                  <w:color w:val="000000"/>
                  <w:kern w:val="3"/>
                  <w:szCs w:val="24"/>
                  <w:lang w:eastAsia="zh-CN"/>
                </w:rPr>
                <w:t>ėl keleivinio kelių transporto vietiniais (miesto) susisiekimo maršrutais viešųjų paslaugų teikimo ir operatoriaus veiklos sutarčių patvirtinimo, įgaliojimų suteikimo ir sprendimo pripažinimo netekusiu galios</w:t>
              </w:r>
              <w:r>
                <w:rPr>
                  <w:kern w:val="3"/>
                  <w:szCs w:val="24"/>
                  <w:lang w:eastAsia="zh-CN"/>
                </w:rPr>
                <w:t>“ pakeitimo“, ir uždaroji akcinė bendrovė „Busturas“, įmonės kodas 144127993, atstovaujama generalinio direktoriaus Vaido Seiracko (toliau – Vežėjas), toliau kiekviena atskirai vadinama Šalimi, o kartu Šalimis, vadovaudamosi 2020 m. kovo 30 d. K</w:t>
              </w:r>
              <w:r>
                <w:rPr>
                  <w:bCs/>
                  <w:color w:val="000000"/>
                  <w:kern w:val="3"/>
                  <w:szCs w:val="24"/>
                  <w:lang w:eastAsia="zh-CN"/>
                </w:rPr>
                <w:t>eleivinio kelių transporto vietiniais (miesto) susisiekimo maršrutais viešųjų paslaugų teikimo ir nuostolių kompensavimo sutarties Nr. SŽ-411 (</w:t>
              </w:r>
              <w:r>
                <w:rPr>
                  <w:kern w:val="3"/>
                  <w:szCs w:val="24"/>
                  <w:lang w:eastAsia="zh-CN"/>
                </w:rPr>
                <w:t xml:space="preserve">toliau – Sutartis) 3 ir 27 punktais, sudaro šį papildomą susitarimą prie Sutarties </w:t>
              </w:r>
              <w:r>
                <w:rPr>
                  <w:bCs/>
                  <w:color w:val="000000"/>
                  <w:kern w:val="3"/>
                  <w:szCs w:val="24"/>
                  <w:lang w:eastAsia="zh-CN"/>
                </w:rPr>
                <w:t>(</w:t>
              </w:r>
              <w:r>
                <w:rPr>
                  <w:kern w:val="3"/>
                  <w:szCs w:val="24"/>
                  <w:lang w:eastAsia="zh-CN"/>
                </w:rPr>
                <w:t xml:space="preserve">toliau – Susitarimas) ir susitaria dėl tokių sąlygų: </w:t>
              </w:r>
            </w:p>
          </w:sdtContent>
        </w:sdt>
        <w:sdt>
          <w:sdtPr>
            <w:alias w:val="1 p."/>
            <w:tag w:val="part_e9e3125bd43043d2b5c9e94942ae8dd7"/>
            <w:lock w:val="sdtLocked"/>
            <w:richText/>
          </w:sdtPr>
          <w:sdtContent>
            <w:p>
              <w:pPr>
                <w:ind w:right="-36" w:firstLine="720"/>
                <w:jc w:val="both"/>
                <w:rPr>
                  <w:kern w:val="3"/>
                  <w:szCs w:val="24"/>
                  <w:lang w:eastAsia="zh-CN"/>
                </w:rPr>
              </w:pPr>
              <w:sdt>
                <w:sdtPr>
                  <w:alias w:val="Numeris"/>
                  <w:tag w:val="nr_e9e3125bd43043d2b5c9e94942ae8dd7"/>
                  <w:lock w:val="sdtLocked"/>
                  <w:richText/>
                </w:sdtPr>
                <w:sdtContent>
                  <w:r>
                    <w:rPr>
                      <w:kern w:val="3"/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kern w:val="3"/>
                  <w:szCs w:val="24"/>
                  <w:lang w:eastAsia="zh-CN"/>
                </w:rPr>
                <w:t>. Pakeisti Sutarties priedą „</w:t>
              </w:r>
              <w:r>
                <w:rPr>
                  <w:bCs/>
                  <w:kern w:val="3"/>
                  <w:szCs w:val="24"/>
                  <w:lang w:eastAsia="zh-CN"/>
                </w:rPr>
                <w:t>Vietinio (miesto) reguliaraus susisiekimo maršrutų, jų ilgių ir nulinės ridos į pradinį ir galinį punktus ilgių sąrašas“ ir jį išdėstyti nauja redakcija</w:t>
              </w:r>
              <w:r>
                <w:rPr>
                  <w:kern w:val="3"/>
                  <w:szCs w:val="24"/>
                  <w:lang w:eastAsia="zh-CN"/>
                </w:rPr>
                <w:t xml:space="preserve"> (pridedama).</w:t>
              </w:r>
            </w:p>
          </w:sdtContent>
        </w:sdt>
        <w:sdt>
          <w:sdtPr>
            <w:alias w:val="2 p."/>
            <w:tag w:val="part_3d563a9445274ffb8f646fde97010935"/>
            <w:lock w:val="sdtLocked"/>
            <w:richText/>
          </w:sdtPr>
          <w:sdtContent>
            <w:p>
              <w:pPr>
                <w:ind w:right="-36" w:firstLine="720"/>
                <w:jc w:val="both"/>
                <w:rPr>
                  <w:kern w:val="3"/>
                  <w:szCs w:val="24"/>
                  <w:lang w:eastAsia="zh-CN"/>
                </w:rPr>
              </w:pPr>
              <w:sdt>
                <w:sdtPr>
                  <w:alias w:val="Numeris"/>
                  <w:tag w:val="nr_3d563a9445274ffb8f646fde97010935"/>
                  <w:lock w:val="sdtLocked"/>
                  <w:richText/>
                </w:sdtPr>
                <w:sdtContent>
                  <w:r>
                    <w:rPr>
                      <w:kern w:val="3"/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kern w:val="3"/>
                  <w:szCs w:val="24"/>
                  <w:lang w:eastAsia="zh-CN"/>
                </w:rPr>
                <w:t>. Papildyti Sutartį 7.7 papunkčiu:</w:t>
              </w:r>
            </w:p>
            <w:sdt>
              <w:sdtPr>
                <w:alias w:val="citata"/>
                <w:tag w:val="part_b44e8f45b7dd491babc63e421b195c65"/>
                <w:lock w:val="sdtLocked"/>
                <w:richText/>
              </w:sdtPr>
              <w:sdtContent>
                <w:sdt>
                  <w:sdtPr>
                    <w:alias w:val="7.7 pp."/>
                    <w:tag w:val="part_8fc92d7b5dd74de8aa844fc26b49ad4e"/>
                    <w:lock w:val="sdtLocked"/>
                    <w:richText/>
                  </w:sdtPr>
                  <w:sdtContent>
                    <w:p>
                      <w:pPr>
                        <w:ind w:right="-36" w:firstLine="720"/>
                        <w:jc w:val="both"/>
                        <w:rPr>
                          <w:kern w:val="3"/>
                          <w:szCs w:val="24"/>
                          <w:lang w:eastAsia="zh-CN"/>
                        </w:rPr>
                      </w:pPr>
                      <w:r>
                        <w:rPr>
                          <w:kern w:val="3"/>
                          <w:szCs w:val="24"/>
                          <w:lang w:eastAsia="zh-CN"/>
                        </w:rPr>
                        <w:t>„</w:t>
                      </w:r>
                      <w:sdt>
                        <w:sdtPr>
                          <w:alias w:val="Numeris"/>
                          <w:tag w:val="nr_8fc92d7b5dd74de8aa844fc26b49ad4e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3"/>
                              <w:szCs w:val="24"/>
                              <w:lang w:eastAsia="zh-CN"/>
                            </w:rPr>
                            <w:t>7.7</w:t>
                          </w:r>
                        </w:sdtContent>
                      </w:sdt>
                      <w:r>
                        <w:rPr>
                          <w:kern w:val="3"/>
                          <w:szCs w:val="24"/>
                          <w:lang w:eastAsia="zh-CN"/>
                        </w:rPr>
                        <w:t>. pasikeitus maršrutams, jų trasų ar nulinės ridos ilgiams, pakeisti Sutarties priedą sudarant su Vežėju papildomą susitarimą prie Sutarties, kuriam sudaryti nereikalingas išankstinis Savivaldybės tarybos pritarimas.“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b59fcfb810df4d9980a3e5cee8e76c9a"/>
            <w:lock w:val="sdtLocked"/>
            <w:richText/>
          </w:sdtPr>
          <w:sdtContent>
            <w:p>
              <w:pPr>
                <w:ind w:right="-36" w:firstLine="720"/>
                <w:jc w:val="both"/>
                <w:rPr>
                  <w:kern w:val="3"/>
                  <w:szCs w:val="24"/>
                  <w:lang w:eastAsia="zh-CN"/>
                </w:rPr>
              </w:pPr>
              <w:sdt>
                <w:sdtPr>
                  <w:alias w:val="Numeris"/>
                  <w:tag w:val="nr_b59fcfb810df4d9980a3e5cee8e76c9a"/>
                  <w:lock w:val="sdtLocked"/>
                  <w:richText/>
                </w:sdtPr>
                <w:sdtContent>
                  <w:r>
                    <w:rPr>
                      <w:kern w:val="3"/>
                      <w:szCs w:val="24"/>
                      <w:lang w:eastAsia="zh-CN"/>
                    </w:rPr>
                    <w:t>3</w:t>
                  </w:r>
                </w:sdtContent>
              </w:sdt>
              <w:r>
                <w:rPr>
                  <w:kern w:val="3"/>
                  <w:szCs w:val="24"/>
                  <w:lang w:eastAsia="zh-CN"/>
                </w:rPr>
                <w:t>. Nustatyti, kad:</w:t>
              </w:r>
            </w:p>
            <w:sdt>
              <w:sdtPr>
                <w:alias w:val="3.1 pp."/>
                <w:tag w:val="part_b93a52f1e0de4d66b948044cbb076302"/>
                <w:lock w:val="sdtLocked"/>
                <w:richText/>
              </w:sdtPr>
              <w:sdtContent>
                <w:p>
                  <w:pPr>
                    <w:ind w:right="-36" w:firstLine="720"/>
                    <w:jc w:val="both"/>
                    <w:rPr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b93a52f1e0de4d66b948044cbb076302"/>
                      <w:lock w:val="sdtLocked"/>
                      <w:richText/>
                    </w:sdtPr>
                    <w:sdtContent>
                      <w:r>
                        <w:rPr>
                          <w:kern w:val="3"/>
                          <w:szCs w:val="24"/>
                          <w:lang w:eastAsia="zh-CN"/>
                        </w:rPr>
                        <w:t>3.1</w:t>
                      </w:r>
                    </w:sdtContent>
                  </w:sdt>
                  <w:r>
                    <w:rPr>
                      <w:kern w:val="3"/>
                      <w:szCs w:val="24"/>
                      <w:lang w:eastAsia="zh-CN"/>
                    </w:rPr>
                    <w:t xml:space="preserve">. Susitarimas įsigalioja nuo jo pasirašymo dienos (pasirašymo diena laikoma data, kai  Susitarimą pasirašo paskutinė Šalis);</w:t>
                  </w:r>
                </w:p>
              </w:sdtContent>
            </w:sdt>
            <w:sdt>
              <w:sdtPr>
                <w:alias w:val="3.2 pp."/>
                <w:tag w:val="part_98dad345195740dcb0b1aa9da2393eee"/>
                <w:lock w:val="sdtLocked"/>
                <w:richText/>
              </w:sdtPr>
              <w:sdtContent>
                <w:p>
                  <w:pPr>
                    <w:ind w:right="-36" w:firstLine="720"/>
                    <w:jc w:val="both"/>
                    <w:rPr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98dad345195740dcb0b1aa9da2393eee"/>
                      <w:lock w:val="sdtLocked"/>
                      <w:richText/>
                    </w:sdtPr>
                    <w:sdtContent>
                      <w:r>
                        <w:rPr>
                          <w:kern w:val="3"/>
                          <w:szCs w:val="24"/>
                          <w:lang w:eastAsia="zh-CN"/>
                        </w:rPr>
                        <w:t>3.2</w:t>
                      </w:r>
                    </w:sdtContent>
                  </w:sdt>
                  <w:r>
                    <w:rPr>
                      <w:kern w:val="3"/>
                      <w:szCs w:val="24"/>
                      <w:lang w:eastAsia="zh-CN"/>
                    </w:rPr>
                    <w:t>. Susitarimas pasirašytas 2 (dviem) egzemplioriais, turinčiais vienodą teisinę galią, kurių po vieną tenka kiekvienai Sutarties Šaliai ir kurie yra neatskiriama Sutarties dalis.</w:t>
                  </w:r>
                </w:p>
              </w:sdtContent>
            </w:sdt>
          </w:sdtContent>
        </w:sdt>
        <w:sdt>
          <w:sdtPr>
            <w:alias w:val="4 p."/>
            <w:tag w:val="part_93c3ab5dcfab4ce787436eb31b147b0a"/>
            <w:lock w:val="sdtLocked"/>
            <w:richText/>
          </w:sdtPr>
          <w:sdtContent>
            <w:p>
              <w:pPr>
                <w:ind w:right="-36" w:firstLine="782"/>
                <w:jc w:val="both"/>
                <w:rPr>
                  <w:kern w:val="3"/>
                  <w:szCs w:val="24"/>
                  <w:lang w:eastAsia="zh-CN"/>
                </w:rPr>
              </w:pPr>
              <w:sdt>
                <w:sdtPr>
                  <w:alias w:val="Numeris"/>
                  <w:tag w:val="nr_93c3ab5dcfab4ce787436eb31b147b0a"/>
                  <w:lock w:val="sdtLocked"/>
                  <w:richText/>
                </w:sdtPr>
                <w:sdtContent>
                  <w:r>
                    <w:rPr>
                      <w:kern w:val="3"/>
                      <w:szCs w:val="24"/>
                      <w:lang w:eastAsia="zh-CN"/>
                    </w:rPr>
                    <w:t>4</w:t>
                  </w:r>
                </w:sdtContent>
              </w:sdt>
              <w:r>
                <w:rPr>
                  <w:kern w:val="3"/>
                  <w:szCs w:val="24"/>
                  <w:lang w:eastAsia="zh-CN"/>
                </w:rPr>
                <w:t>. Šalių rekvizitai:</w:t>
              </w:r>
            </w:p>
            <w:p>
              <w:pPr>
                <w:ind w:right="-36" w:firstLine="720"/>
                <w:jc w:val="both"/>
                <w:rPr>
                  <w:b/>
                  <w:kern w:val="3"/>
                  <w:szCs w:val="24"/>
                  <w:lang w:eastAsia="zh-CN"/>
                </w:rPr>
              </w:pPr>
            </w:p>
            <w:tbl>
              <w:tblPr>
                <w:tblW w:w="9771" w:type="dxa"/>
                <w:tblInd w:w="108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4885"/>
                <w:gridCol w:w="4886"/>
              </w:tblGrid>
              <w:tr>
                <w:trPr>
                  <w:cantSplit/>
                  <w:trHeight w:val="2876"/>
                </w:trPr>
                <w:tc>
                  <w:tcPr>
                    <w:tcW w:w="4885" w:type="dxa"/>
                  </w:tcPr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SAVIVALDYBĖ</w:t>
                    </w:r>
                  </w:p>
                  <w:p>
                    <w:pPr>
                      <w:rPr>
                        <w:szCs w:val="24"/>
                        <w:lang w:eastAsia="zh-CN"/>
                      </w:rPr>
                    </w:pPr>
                  </w:p>
                  <w:p>
                    <w:pPr>
                      <w:rPr>
                        <w:szCs w:val="24"/>
                        <w:lang w:eastAsia="zh-CN"/>
                      </w:rPr>
                    </w:pPr>
                    <w:r>
                      <w:rPr>
                        <w:szCs w:val="24"/>
                        <w:lang w:eastAsia="zh-CN"/>
                      </w:rPr>
                      <w:t>Šiaulių miesto savivaldybė</w:t>
                    </w:r>
                  </w:p>
                  <w:p>
                    <w:pPr>
                      <w:rPr>
                        <w:szCs w:val="24"/>
                        <w:lang w:eastAsia="zh-CN"/>
                      </w:rPr>
                    </w:pPr>
                    <w:r>
                      <w:rPr>
                        <w:szCs w:val="24"/>
                        <w:lang w:eastAsia="zh-CN"/>
                      </w:rPr>
                      <w:t>Vasario 16-osios g. 62, LT-76295 Šiauliai</w:t>
                    </w:r>
                  </w:p>
                  <w:p>
                    <w:pPr>
                      <w:rPr>
                        <w:szCs w:val="24"/>
                        <w:lang w:eastAsia="zh-CN"/>
                      </w:rPr>
                    </w:pPr>
                    <w:r>
                      <w:rPr>
                        <w:szCs w:val="24"/>
                        <w:lang w:eastAsia="zh-CN"/>
                      </w:rPr>
                      <w:t>Juridinio asmens kodas 111109429</w:t>
                    </w:r>
                  </w:p>
                  <w:p>
                    <w:pPr>
                      <w:rPr>
                        <w:szCs w:val="24"/>
                        <w:lang w:eastAsia="zh-CN"/>
                      </w:rPr>
                    </w:pPr>
                    <w:r>
                      <w:rPr>
                        <w:szCs w:val="24"/>
                        <w:lang w:eastAsia="zh-CN"/>
                      </w:rPr>
                      <w:t>A. s. LT307300010093741771</w:t>
                    </w:r>
                  </w:p>
                  <w:p>
                    <w:pPr>
                      <w:rPr>
                        <w:szCs w:val="24"/>
                        <w:lang w:eastAsia="zh-CN"/>
                      </w:rPr>
                    </w:pPr>
                    <w:r>
                      <w:rPr>
                        <w:szCs w:val="24"/>
                        <w:lang w:eastAsia="zh-CN"/>
                      </w:rPr>
                      <w:t>AB „Swedbank“ Šiaulių skyrius</w:t>
                    </w:r>
                  </w:p>
                  <w:p>
                    <w:pPr>
                      <w:rPr>
                        <w:szCs w:val="24"/>
                        <w:lang w:eastAsia="zh-CN"/>
                      </w:rPr>
                    </w:pPr>
                    <w:r>
                      <w:rPr>
                        <w:szCs w:val="24"/>
                        <w:lang w:eastAsia="zh-CN"/>
                      </w:rPr>
                      <w:t>Tel. +370 41 596 200</w:t>
                    </w:r>
                  </w:p>
                  <w:p>
                    <w:pPr>
                      <w:rPr>
                        <w:szCs w:val="24"/>
                        <w:lang w:eastAsia="zh-CN"/>
                      </w:rPr>
                    </w:pPr>
                    <w:r>
                      <w:rPr>
                        <w:szCs w:val="24"/>
                        <w:lang w:eastAsia="zh-CN"/>
                      </w:rPr>
                      <w:t>Faks. +370 41 524 109</w:t>
                    </w:r>
                  </w:p>
                  <w:p>
                    <w:pPr>
                      <w:rPr>
                        <w:szCs w:val="24"/>
                        <w:lang w:eastAsia="zh-CN"/>
                      </w:rPr>
                    </w:pPr>
                  </w:p>
                  <w:p>
                    <w:pPr>
                      <w:rPr>
                        <w:szCs w:val="24"/>
                        <w:lang w:eastAsia="zh-CN"/>
                      </w:rPr>
                    </w:pPr>
                  </w:p>
                  <w:p>
                    <w:pPr>
                      <w:tabs>
                        <w:tab w:val="left" w:leader="underscore" w:pos="2327"/>
                      </w:tabs>
                      <w:rPr>
                        <w:szCs w:val="24"/>
                        <w:lang w:eastAsia="zh-CN"/>
                      </w:rPr>
                    </w:pPr>
                    <w:r>
                      <w:rPr>
                        <w:szCs w:val="24"/>
                        <w:lang w:eastAsia="zh-CN"/>
                      </w:rPr>
                      <w:t>__________________________</w:t>
                    </w: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(vardas, pavardė)</w:t>
                    </w:r>
                  </w:p>
                </w:tc>
                <w:tc>
                  <w:tcPr>
                    <w:tcW w:w="4886" w:type="dxa"/>
                  </w:tcPr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VEŽĖJAS</w:t>
                    </w: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Uždaroji akcinė bendrovė „Busturas“</w:t>
                    </w: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Šarūno g. 2, LT76161 Šiauliai</w:t>
                    </w: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Įmonės kodas 144127993</w:t>
                    </w: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PVM mokėtojo kodas LT441279917</w:t>
                    </w: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A. s. LT727180000002467930</w:t>
                    </w: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AB Šiaulių bankas, kodas 71800</w:t>
                    </w: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Tel. +370 41 592 000</w:t>
                    </w: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Faks. +370 41 545 296</w:t>
                    </w: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__________________________</w:t>
                    </w:r>
                  </w:p>
                  <w:p>
                    <w:pPr>
                      <w:keepNext/>
                      <w:keepLines/>
                      <w:outlineLvl w:val="4"/>
                      <w:rPr>
                        <w:bCs/>
                        <w:szCs w:val="24"/>
                        <w:lang w:eastAsia="zh-CN"/>
                      </w:rPr>
                    </w:pPr>
                    <w:r>
                      <w:rPr>
                        <w:bCs/>
                        <w:szCs w:val="24"/>
                        <w:lang w:eastAsia="zh-CN"/>
                      </w:rPr>
                      <w:t>(vardas, pavardė)</w:t>
                    </w:r>
                  </w:p>
                </w:tc>
              </w:tr>
            </w:tbl>
            <w:p>
              <w:pPr>
                <w:rPr>
                  <w:bCs/>
                  <w:szCs w:val="24"/>
                  <w:lang w:eastAsia="zh-CN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5" w:h="16837"/>
      <w:pgMar w:top="1134" w:right="567" w:bottom="1134" w:left="1701" w:header="0" w:footer="454" w:gutter="0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Arial Unicode MS" w:eastAsia="Arial Unicode MS" w:hAnsi="Arial Unicode MS" w:cs="Arial Unicode MS"/>
          <w:color w:val="000000"/>
          <w:szCs w:val="24"/>
          <w:lang w:val="en-US" w:eastAsia="zh-CN"/>
        </w:rPr>
      </w:pPr>
      <w:r>
        <w:rPr>
          <w:rFonts w:ascii="Arial Unicode MS" w:eastAsia="Arial Unicode MS" w:hAnsi="Arial Unicode MS" w:cs="Arial Unicode MS"/>
          <w:color w:val="000000"/>
          <w:szCs w:val="24"/>
          <w:lang w:val="en-US" w:eastAsia="zh-CN"/>
        </w:rPr>
        <w:separator/>
      </w:r>
    </w:p>
  </w:endnote>
  <w:endnote w:type="continuationSeparator" w:id="0">
    <w:p>
      <w:pPr>
        <w:rPr>
          <w:rFonts w:ascii="Arial Unicode MS" w:eastAsia="Arial Unicode MS" w:hAnsi="Arial Unicode MS" w:cs="Arial Unicode MS"/>
          <w:color w:val="000000"/>
          <w:szCs w:val="24"/>
          <w:lang w:val="en-US" w:eastAsia="zh-CN"/>
        </w:rPr>
      </w:pPr>
      <w:r>
        <w:rPr>
          <w:rFonts w:ascii="Arial Unicode MS" w:eastAsia="Arial Unicode MS" w:hAnsi="Arial Unicode MS" w:cs="Arial Unicode MS"/>
          <w:color w:val="000000"/>
          <w:szCs w:val="24"/>
          <w:lang w:val="en-US" w:eastAsia="zh-C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160" w:line="259" w:lineRule="auto"/>
      <w:jc w:val="right"/>
      <w:rPr>
        <w:rFonts w:eastAsia="Arial Unicode MS"/>
        <w:color w:val="000000"/>
        <w:sz w:val="22"/>
        <w:szCs w:val="22"/>
        <w:lang w:val="en-US" w:eastAsia="zh-CN"/>
      </w:rPr>
    </w:pPr>
    <w:r>
      <w:rPr>
        <w:rFonts w:eastAsia="Arial Unicode MS"/>
        <w:color w:val="000000"/>
        <w:sz w:val="22"/>
        <w:szCs w:val="22"/>
        <w:lang w:val="en-US" w:eastAsia="zh-CN"/>
      </w:rPr>
      <w:fldChar w:fldCharType="begin"/>
    </w:r>
    <w:r>
      <w:rPr>
        <w:rFonts w:eastAsia="Arial Unicode MS"/>
        <w:color w:val="000000"/>
        <w:sz w:val="22"/>
        <w:szCs w:val="22"/>
        <w:lang w:val="en-US" w:eastAsia="zh-CN"/>
      </w:rPr>
      <w:instrText xml:space="preserve"> PAGE   \* MERGEFORMAT </w:instrText>
    </w:r>
    <w:r>
      <w:rPr>
        <w:rFonts w:eastAsia="Arial Unicode MS"/>
        <w:color w:val="000000"/>
        <w:sz w:val="22"/>
        <w:szCs w:val="22"/>
        <w:lang w:val="en-US" w:eastAsia="zh-CN"/>
      </w:rPr>
      <w:fldChar w:fldCharType="separate"/>
    </w:r>
    <w:r>
      <w:rPr>
        <w:rFonts w:eastAsia="Arial Unicode MS"/>
        <w:color w:val="000000"/>
        <w:sz w:val="22"/>
        <w:szCs w:val="22"/>
        <w:lang w:val="en-US" w:eastAsia="zh-CN"/>
      </w:rPr>
      <w:t>2</w:t>
    </w:r>
    <w:r>
      <w:rPr>
        <w:rFonts w:eastAsia="Arial Unicode MS"/>
        <w:color w:val="000000"/>
        <w:sz w:val="22"/>
        <w:szCs w:val="22"/>
        <w:lang w:val="en-US" w:eastAsia="zh-CN"/>
      </w:rPr>
      <w:fldChar w:fldCharType="end"/>
    </w:r>
    <w:r>
      <w:rPr>
        <w:rFonts w:eastAsia="Arial Unicode MS"/>
        <w:color w:val="000000"/>
        <w:sz w:val="22"/>
        <w:szCs w:val="22"/>
        <w:lang w:val="en-US" w:eastAsia="zh-CN"/>
      </w:rPr>
      <w:t>.</w:t>
    </w:r>
  </w:p>
  <w:p>
    <w:pPr>
      <w:tabs>
        <w:tab w:val="center" w:pos="4819"/>
        <w:tab w:val="right" w:pos="9638"/>
      </w:tabs>
      <w:spacing w:after="160" w:line="259" w:lineRule="auto"/>
      <w:rPr>
        <w:rFonts w:eastAsia="Arial Unicode MS"/>
        <w:color w:val="000000"/>
        <w:sz w:val="22"/>
        <w:szCs w:val="22"/>
        <w:lang w:val="en-US" w:eastAsia="zh-C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160" w:line="259" w:lineRule="auto"/>
      <w:rPr>
        <w:rFonts w:ascii="Arial Unicode MS" w:eastAsia="Arial Unicode MS" w:hAnsi="Arial Unicode MS" w:cs="Arial Unicode MS"/>
        <w:color w:val="000000"/>
        <w:szCs w:val="24"/>
        <w:lang w:val="en-US" w:eastAsia="zh-C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160" w:line="259" w:lineRule="auto"/>
      <w:rPr>
        <w:rFonts w:ascii="Arial Unicode MS" w:eastAsia="Arial Unicode MS" w:hAnsi="Arial Unicode MS" w:cs="Arial Unicode MS"/>
        <w:color w:val="000000"/>
        <w:szCs w:val="24"/>
        <w:lang w:val="en-US" w:eastAsia="zh-C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Arial Unicode MS" w:eastAsia="Arial Unicode MS" w:hAnsi="Arial Unicode MS" w:cs="Arial Unicode MS"/>
          <w:color w:val="000000"/>
          <w:szCs w:val="24"/>
          <w:lang w:val="en-US" w:eastAsia="zh-CN"/>
        </w:rPr>
      </w:pPr>
      <w:r>
        <w:rPr>
          <w:rFonts w:ascii="Arial Unicode MS" w:eastAsia="Arial Unicode MS" w:hAnsi="Arial Unicode MS" w:cs="Arial Unicode MS"/>
          <w:color w:val="000000"/>
          <w:szCs w:val="24"/>
          <w:lang w:val="en-US" w:eastAsia="zh-CN"/>
        </w:rPr>
        <w:separator/>
      </w:r>
    </w:p>
  </w:footnote>
  <w:footnote w:type="continuationSeparator" w:id="0">
    <w:p>
      <w:pPr>
        <w:rPr>
          <w:rFonts w:ascii="Arial Unicode MS" w:eastAsia="Arial Unicode MS" w:hAnsi="Arial Unicode MS" w:cs="Arial Unicode MS"/>
          <w:color w:val="000000"/>
          <w:szCs w:val="24"/>
          <w:lang w:val="en-US" w:eastAsia="zh-CN"/>
        </w:rPr>
      </w:pPr>
      <w:r>
        <w:rPr>
          <w:rFonts w:ascii="Arial Unicode MS" w:eastAsia="Arial Unicode MS" w:hAnsi="Arial Unicode MS" w:cs="Arial Unicode MS"/>
          <w:color w:val="000000"/>
          <w:szCs w:val="24"/>
          <w:lang w:val="en-US" w:eastAsia="zh-CN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160" w:line="259" w:lineRule="auto"/>
      <w:rPr>
        <w:rFonts w:ascii="Arial Unicode MS" w:eastAsia="Arial Unicode MS" w:hAnsi="Arial Unicode MS" w:cs="Arial Unicode MS"/>
        <w:color w:val="000000"/>
        <w:szCs w:val="24"/>
        <w:lang w:val="en-US" w:eastAsia="zh-C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160" w:line="259" w:lineRule="auto"/>
      <w:jc w:val="center"/>
      <w:rPr>
        <w:rFonts w:ascii="Arial Unicode MS" w:eastAsia="Arial Unicode MS" w:hAnsi="Arial Unicode MS" w:cs="Arial Unicode MS"/>
        <w:color w:val="000000"/>
        <w:szCs w:val="24"/>
        <w:lang w:val="en-US" w:eastAsia="zh-CN"/>
      </w:rPr>
    </w:pPr>
    <w:r>
      <w:rPr>
        <w:rFonts w:ascii="Arial Unicode MS" w:eastAsia="Arial Unicode MS" w:hAnsi="Arial Unicode MS" w:cs="Arial Unicode MS"/>
        <w:color w:val="000000"/>
        <w:szCs w:val="24"/>
        <w:lang w:val="en-US" w:eastAsia="zh-CN"/>
      </w:rPr>
      <w:fldChar w:fldCharType="begin"/>
    </w:r>
    <w:r>
      <w:rPr>
        <w:rFonts w:ascii="Arial Unicode MS" w:eastAsia="Arial Unicode MS" w:hAnsi="Arial Unicode MS" w:cs="Arial Unicode MS"/>
        <w:color w:val="000000"/>
        <w:szCs w:val="24"/>
        <w:lang w:val="en-US" w:eastAsia="zh-CN"/>
      </w:rPr>
      <w:instrText>PAGE   \* MERGEFORMAT</w:instrText>
    </w:r>
    <w:r>
      <w:rPr>
        <w:rFonts w:ascii="Arial Unicode MS" w:eastAsia="Arial Unicode MS" w:hAnsi="Arial Unicode MS" w:cs="Arial Unicode MS"/>
        <w:color w:val="000000"/>
        <w:szCs w:val="24"/>
        <w:lang w:val="en-US" w:eastAsia="zh-CN"/>
      </w:rPr>
      <w:fldChar w:fldCharType="separate"/>
    </w:r>
    <w:r>
      <w:rPr>
        <w:rFonts w:ascii="Arial Unicode MS" w:eastAsia="Arial Unicode MS" w:hAnsi="Arial Unicode MS" w:cs="Arial Unicode MS"/>
        <w:color w:val="000000"/>
        <w:szCs w:val="24"/>
        <w:lang w:val="en-US" w:eastAsia="zh-CN"/>
      </w:rPr>
      <w:t>2</w:t>
    </w:r>
    <w:r>
      <w:rPr>
        <w:rFonts w:ascii="Arial Unicode MS" w:eastAsia="Arial Unicode MS" w:hAnsi="Arial Unicode MS" w:cs="Arial Unicode MS"/>
        <w:color w:val="000000"/>
        <w:szCs w:val="24"/>
        <w:lang w:val="en-US" w:eastAsia="zh-CN"/>
      </w:rPr>
      <w:fldChar w:fldCharType="end"/>
    </w:r>
  </w:p>
  <w:p>
    <w:pPr>
      <w:tabs>
        <w:tab w:val="center" w:pos="4819"/>
        <w:tab w:val="right" w:pos="9638"/>
      </w:tabs>
      <w:spacing w:after="160" w:line="259" w:lineRule="auto"/>
      <w:rPr>
        <w:rFonts w:ascii="Arial Unicode MS" w:eastAsia="Arial Unicode MS" w:hAnsi="Arial Unicode MS" w:cs="Arial Unicode MS"/>
        <w:color w:val="000000"/>
        <w:szCs w:val="24"/>
        <w:lang w:val="en-US" w:eastAsia="zh-CN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160" w:line="259" w:lineRule="auto"/>
      <w:rPr>
        <w:rFonts w:ascii="Arial Unicode MS" w:eastAsia="Arial Unicode MS" w:hAnsi="Arial Unicode MS" w:cs="Arial Unicode MS"/>
        <w:color w:val="000000"/>
        <w:szCs w:val="24"/>
        <w:lang w:val="en-US" w:eastAsia="zh-CN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bordersDoNotSurroundHeader/>
  <w:bordersDoNotSurroundFooter/>
  <w:revisionView w:inkAnnotations="0"/>
  <w:defaultTabStop w:val="1296"/>
  <w:hyphenationZone w:val="396"/>
  <w:doNotHyphenateCaps/>
  <w:drawingGridHorizontalSpacing w:val="0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5:docId w15:val="{100756DE-7AE6-44DE-92CA-8ED18E9BB4D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s:customData xmlns:s="http://www.wps.cn/officeDocument/2013/wpsCustomData" xmlns="http://www.wps.cn/officeDocument/2013/wpsCustomData">
  <customSectProps>
    <customSectPr/>
  </customSectProps>
</s:customData>
</file>

<file path=customXml/item2.xml><?xml version="1.0" encoding="utf-8"?>
<Parts xmlns="http://lrs.lt/TAIS/DocParts">
  <Part Type="pagrindine" DocPartId="7b283263f4a141ebb87583763bac8ca9" PartId="d9d651edbddc438795d74afdb466bd20">
    <Part Type="preambule" DocPartId="864fb84f361841f9b2386fb0ed988187" PartId="4b3608161d5e4e369d7660843b58e159"/>
    <Part Type="punktas" Nr="1" Abbr="1 p." DocPartId="55f45cb67a0f4eb7ad78a9f8266c7dfa" PartId="e9e3125bd43043d2b5c9e94942ae8dd7"/>
    <Part Type="punktas" Nr="2" Abbr="2 p." DocPartId="c7597569e1014b978a31e949c1be7c13" PartId="3d563a9445274ffb8f646fde97010935">
      <Part Type="citata" DocPartId="a10fede7ef124339b4aec6c557327b38" PartId="b44e8f45b7dd491babc63e421b195c65">
        <Part Type="papunktis" Nr="7.7" Abbr="7.7 pp." DocPartId="fbb10d1398bd4b5e8f0fbd3fd899f23c" PartId="8fc92d7b5dd74de8aa844fc26b49ad4e"/>
      </Part>
    </Part>
    <Part Type="punktas" Nr="3" Abbr="3 p." DocPartId="c52674775a8840d99399f6fc6898b835" PartId="b59fcfb810df4d9980a3e5cee8e76c9a">
      <Part Type="papunktis" Nr="3.1" Abbr="3.1 pp." DocPartId="8cfbede826514e10bdde9e3c7f64e899" PartId="b93a52f1e0de4d66b948044cbb076302"/>
      <Part Type="papunktis" Nr="3.2" Abbr="3.2 pp." DocPartId="eb3b6d3707aa4096a9996cbaceb7abdf" PartId="98dad345195740dcb0b1aa9da2393eee"/>
    </Part>
    <Part Type="punktas" Nr="4" Abbr="4 p." DocPartId="8bdb776468ea4e5aa36e5e92aa0e2ab6" PartId="93c3ab5dcfab4ce787436eb31b147b0a"/>
  </Part>
</Part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34C0640-7DC0-40F7-89BF-5CE2541F2C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348</Words>
  <Characters>2390</Characters>
  <Application>Microsoft Office Word</Application>
  <DocSecurity>4</DocSecurity>
  <Lines>66</Lines>
  <Paragraphs>42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PATVIRTINTA:</vt:lpstr>
      <vt:lpstr>PATVIRTINTA:</vt:lpstr>
    </vt:vector>
  </TitlesOfParts>
  <Company/>
  <LinksUpToDate>false</LinksUpToDate>
  <CharactersWithSpaces>2696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2023-04-27T18:41:00Z</dcterms:created>
  <dc:creator>Aleksandra Marija Gabulienė</dc:creator>
  <lastModifiedBy>adlibuser</lastModifiedBy>
  <lastPrinted>2020-02-20T14:46:00Z</lastPrinted>
  <dcterms:modified xsi:type="dcterms:W3CDTF">2023-04-27T18:41:00Z</dcterms:modified>
  <revision>2</revision>
  <dc:title>PATVIRTINTA: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1033-9.1.0.4674</vt:lpwstr>
  </property>
</Properties>
</file>