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framePr w:w="9759" w:h="3022" w:hRule="exact" w:hSpace="181" w:wrap="auto" w:vAnchor="page" w:hAnchor="page" w:x="1584" w:y="1153"/>
        <w:ind w:right="-2"/>
        <w:jc w:val="center"/>
        <w:rPr>
          <w:sz w:val="18"/>
        </w:rPr>
      </w:pPr>
      <w:r>
        <w:rPr>
          <w:sz w:val="18"/>
          <w:lang w:val="en-US"/>
        </w:rPr>
        <w:drawing>
          <wp:inline distT="0" distB="0" distL="0" distR="0" wp14:anchorId="6EF91F48" wp14:editId="6631F54E">
            <wp:extent cx="539115" cy="6413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framePr w:w="9759" w:h="3022" w:hRule="exact" w:hSpace="181" w:wrap="auto" w:vAnchor="page" w:hAnchor="page" w:x="1584" w:y="1153"/>
        <w:jc w:val="center"/>
        <w:rPr>
          <w:sz w:val="10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caps/>
          <w:sz w:val="26"/>
        </w:rPr>
      </w:pPr>
      <w:r>
        <w:rPr>
          <w:b/>
          <w:sz w:val="26"/>
        </w:rPr>
        <w:t xml:space="preserve">PRIENŲ RAJONO SAVIVALDYBĖS </w:t>
      </w:r>
      <w:r>
        <w:rPr>
          <w:b/>
          <w:caps/>
          <w:sz w:val="26"/>
        </w:rPr>
        <w:t>administracijos</w:t>
      </w:r>
    </w:p>
    <w:p>
      <w:pPr>
        <w:framePr w:w="9759" w:h="3022" w:hRule="exact" w:hSpace="181" w:wrap="auto" w:vAnchor="page" w:hAnchor="page" w:x="1584" w:y="1153"/>
        <w:jc w:val="center"/>
        <w:rPr>
          <w:b/>
          <w:sz w:val="26"/>
        </w:rPr>
      </w:pPr>
      <w:r>
        <w:rPr>
          <w:b/>
          <w:caps/>
          <w:sz w:val="26"/>
        </w:rPr>
        <w:t>statybos ir ekonominės plėtros skyrius</w:t>
      </w: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jc w:val="center"/>
        <w:rPr>
          <w:sz w:val="20"/>
        </w:rPr>
      </w:pPr>
      <w:r>
        <w:rPr>
          <w:sz w:val="20"/>
        </w:rPr>
        <w:t>Biudžetinė įstaiga, Laisvės a. 12, LT-</w:t>
      </w:r>
      <w:r>
        <w:rPr>
          <w:sz w:val="18"/>
        </w:rPr>
        <w:t>59126</w:t>
      </w:r>
      <w:r>
        <w:rPr>
          <w:sz w:val="20"/>
        </w:rPr>
        <w:t xml:space="preserve"> Prienai,</w:t>
      </w:r>
    </w:p>
    <w:p>
      <w:pPr>
        <w:framePr w:w="9759" w:h="3022" w:hRule="exact" w:hSpace="181" w:wrap="auto" w:vAnchor="page" w:hAnchor="page" w:x="1584" w:y="1153"/>
        <w:jc w:val="center"/>
        <w:rPr>
          <w:sz w:val="20"/>
        </w:rPr>
      </w:pPr>
      <w:r>
        <w:rPr>
          <w:sz w:val="20"/>
        </w:rPr>
        <w:t xml:space="preserve">tel. (8 319) 61 120, el. p. </w:t>
      </w:r>
      <w:r>
        <w:rPr>
          <w:color w:val="0000FF"/>
          <w:sz w:val="20"/>
          <w:u w:val="single"/>
        </w:rPr>
        <w:t>statyba</w:t>
      </w:r>
      <w:r>
        <w:rPr>
          <w:color w:val="0000FF"/>
          <w:sz w:val="16"/>
          <w:u w:val="single"/>
        </w:rPr>
        <w:t>@</w:t>
      </w:r>
      <w:r>
        <w:rPr>
          <w:color w:val="0000FF"/>
          <w:sz w:val="20"/>
          <w:u w:val="single"/>
        </w:rPr>
        <w:t>prienai.lt</w:t>
      </w:r>
      <w:r>
        <w:rPr>
          <w:sz w:val="20"/>
        </w:rPr>
        <w:t xml:space="preserve">. </w:t>
      </w:r>
    </w:p>
    <w:p>
      <w:pPr>
        <w:framePr w:w="9759" w:h="3022" w:hRule="exact" w:hSpace="181" w:wrap="auto" w:vAnchor="page" w:hAnchor="page" w:x="1584" w:y="1153"/>
        <w:ind w:firstLine="53"/>
        <w:jc w:val="center"/>
        <w:rPr>
          <w:sz w:val="20"/>
        </w:rPr>
      </w:pPr>
      <w:r>
        <w:rPr>
          <w:sz w:val="20"/>
        </w:rPr>
        <w:t>Duomenys kaupiami ir saugomi Juridinių asmenų registre, kodas 288742590</w:t>
      </w:r>
    </w:p>
    <w:p>
      <w:pPr>
        <w:framePr w:w="9759" w:h="3022" w:hRule="exact" w:hSpace="181" w:wrap="auto" w:vAnchor="page" w:hAnchor="page" w:x="1584" w:y="1153"/>
        <w:jc w:val="center"/>
        <w:rPr>
          <w:b/>
          <w:sz w:val="18"/>
        </w:rPr>
      </w:pPr>
      <w:r>
        <w:rPr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9C9DC2" wp14:editId="045CEEF3">
                <wp:simplePos x="0" y="0"/>
                <wp:positionH relativeFrom="column">
                  <wp:posOffset>92075</wp:posOffset>
                </wp:positionH>
                <wp:positionV relativeFrom="paragraph">
                  <wp:posOffset>36195</wp:posOffset>
                </wp:positionV>
                <wp:extent cx="6126480" cy="0"/>
                <wp:effectExtent l="6350" t="7620" r="10795" b="1143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49DE8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2.85pt" to="489.65pt,2.8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ksWUEgIAACkEAAAOAAAAZHJzL2Uyb0RvYy54bWysU8GO2jAQvVfqP1i+QxJIWTYirKoEeqEt 0m4/wNgOserYlm0IqOq/d2wIYtvLatUcnLFn5vnNvPHi6dRJdOTWCa1KnI1TjLiimgm1L/GPl/Vo jpHzRDEiteIlPnOHn5YfPyx6U/CJbrVk3CIAUa7oTYlb702RJI62vCNurA1X4Gy07YiHrd0nzJIe 0DuZTNJ0lvTaMmM15c7BaX1x4mXEbxpO/femcdwjWWLg5uNq47oLa7JckGJviWkFvdIg72DREaHg 0htUTTxBByv+geoEtdrpxo+p7hLdNILyWANUk6V/VfPcEsNjLdAcZ25tcv8Pln47bi0SrMRTjBTp QKKNUBxNQ2d64woIqNTWhtroST2bjaY/HVK6aona88jw5WwgLQsZyauUsHEG8Hf9V80ghhy8jm06 NbYLkNAAdIpqnG9q8JNHFA5n2WSWz0E0OvgSUgyJxjr/hesOBaPEEjhHYHLcOB+IkGIICfcovRZS RrGlQj2wnTykacxwWgoWvCHO2f2ukhYdSZiX+MWywHMfZvVBsYjWcsJWV9sTIS823C5VwINagM/V ugzEr8f0cTVfzfNRPpmtRnla16PP6yofzdbZw6d6WldVnf0O1LK8aAVjXAV2w3Bm+dvEvz6Ty1jd xvPWh+Q1emwYkB3+kXQUM+h3mYSdZuetHUSGeYzB17cTBv5+D/b9C1/+AQAA//8DAFBLAwQUAAYA CAAAACEA/CfTlNwAAAAGAQAADwAAAGRycy9kb3ducmV2LnhtbEyOTU/DMBBE70j8B2uRuFGHQkka 4lQIVFVUXPoh9bqNTRyI12nstuHfs3CB49OMZl4xG1wrTqYPjScFt6MEhKHK64ZqBdvN/CYDESKS xtaTUfBlAszKy4sCc+3PtDKndawFj1DIUYGNsculDJU1DsPId4Y4e/e9w8jY11L3eOZx18pxkjxI hw3xg8XOPFtTfa6PTgG+LFZxl42XafNq3z4288PCZgelrq+Gp0cQ0Qzxrww/+qwOJTvt/ZF0EC3z /YSbCiYpCI6n6fQOxP6XZVnI//rlNwAAAP//AwBQSwECLQAUAAYACAAAACEAtoM4kv4AAADhAQAA EwAAAAAAAAAAAAAAAAAAAAAAW0NvbnRlbnRfVHlwZXNdLnhtbFBLAQItABQABgAIAAAAIQA4/SH/ 1gAAAJQBAAALAAAAAAAAAAAAAAAAAC8BAABfcmVscy8ucmVsc1BLAQItABQABgAIAAAAIQA6ksWU EgIAACkEAAAOAAAAAAAAAAAAAAAAAC4CAABkcnMvZTJvRG9jLnhtbFBLAQItABQABgAIAAAAIQD8 J9OU3AAAAAYBAAAPAAAAAAAAAAAAAAAAAGwEAABkcnMvZG93bnJldi54bWxQSwUGAAAAAAQABADz AAAAdQUAAAAA " o:allowincell="f" strokeweight="1pt"/>
            </w:pict>
          </mc:Fallback>
        </mc:AlternateContent>
      </w:r>
      <w:r>
        <w:rPr>
          <w:sz w:val="18"/>
        </w:rPr>
        <w:tab/>
      </w: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framePr w:w="9759" w:h="3022" w:hRule="exact" w:hSpace="181" w:wrap="auto" w:vAnchor="page" w:hAnchor="page" w:x="1584" w:y="1153"/>
        <w:jc w:val="center"/>
        <w:rPr>
          <w:b/>
          <w:sz w:val="28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820"/>
          <w:tab w:val="left" w:pos="6237"/>
        </w:tabs>
        <w:rPr>
          <w:sz w:val="26"/>
        </w:rPr>
      </w:pPr>
      <w:r>
        <w:rPr>
          <w:sz w:val="26"/>
        </w:rPr>
        <w:tab/>
        <w:tab/>
        <w:t xml:space="preserve"> </w:t>
      </w:r>
    </w:p>
    <w:p>
      <w:pPr>
        <w:tabs>
          <w:tab w:val="center" w:pos="4820"/>
          <w:tab w:val="left" w:pos="6237"/>
        </w:tabs>
        <w:rPr>
          <w:sz w:val="26"/>
        </w:rPr>
      </w:pPr>
    </w:p>
    <w:p>
      <w:pPr>
        <w:tabs>
          <w:tab w:val="center" w:pos="4820"/>
          <w:tab w:val="left" w:pos="6237"/>
        </w:tabs>
        <w:rPr>
          <w:sz w:val="26"/>
        </w:rPr>
      </w:pPr>
    </w:p>
    <w:p>
      <w:pPr>
        <w:tabs>
          <w:tab w:val="center" w:pos="4820"/>
          <w:tab w:val="left" w:pos="6237"/>
        </w:tabs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153"/>
          <w:tab w:val="right" w:pos="8306"/>
        </w:tabs>
        <w:ind w:firstLine="567"/>
        <w:jc w:val="both"/>
        <w:rPr>
          <w:sz w:val="26"/>
        </w:rPr>
      </w:pPr>
    </w:p>
    <w:p>
      <w:pPr>
        <w:tabs>
          <w:tab w:val="center" w:pos="4820"/>
          <w:tab w:val="left" w:pos="6237"/>
        </w:tabs>
        <w:rPr>
          <w:szCs w:val="24"/>
        </w:rPr>
      </w:pPr>
      <w:r>
        <w:rPr>
          <w:szCs w:val="24"/>
        </w:rPr>
        <w:tab/>
        <w:tab/>
        <w:tab/>
        <w:tab/>
        <w:tab/>
        <w:tab/>
        <w:tab/>
      </w:r>
    </w:p>
    <w:p>
      <w:pPr>
        <w:tabs>
          <w:tab w:val="center" w:pos="4820"/>
          <w:tab w:val="left" w:pos="6237"/>
        </w:tabs>
        <w:rPr>
          <w:szCs w:val="24"/>
        </w:rPr>
      </w:pPr>
    </w:p>
    <w:p>
      <w:pPr>
        <w:ind w:firstLine="567"/>
        <w:jc w:val="both"/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spacing w:line="276" w:lineRule="auto"/>
        <w:rPr>
          <w:szCs w:val="24"/>
        </w:rPr>
      </w:pPr>
    </w:p>
    <w:p>
      <w:pPr>
        <w:spacing w:line="276" w:lineRule="auto"/>
        <w:rPr>
          <w:szCs w:val="24"/>
        </w:rPr>
      </w:pPr>
      <w:r>
        <w:rPr>
          <w:szCs w:val="24"/>
        </w:rPr>
        <w:t>Prienų rajono savivaldybės tarybai</w:t>
      </w:r>
    </w:p>
    <w:p>
      <w:pPr>
        <w:spacing w:line="276" w:lineRule="auto"/>
        <w:rPr>
          <w:szCs w:val="24"/>
        </w:rPr>
      </w:pPr>
    </w:p>
    <w:p>
      <w:pPr>
        <w:spacing w:line="276" w:lineRule="auto"/>
        <w:rPr>
          <w:szCs w:val="24"/>
        </w:rPr>
      </w:pPr>
    </w:p>
    <w:p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SPRENDIMO „DĖL SUTIKIMO ĮREGISTRUOTI PRIENŲ ŠVIETIMO PAGALBOS TARNYBOS IR BENDRUOMENĖS „JIESTRAKIS“ BUVEINES</w:t>
      </w:r>
      <w:r>
        <w:rPr>
          <w:b/>
          <w:szCs w:val="24"/>
        </w:rPr>
        <w:t xml:space="preserve">“ </w:t>
      </w:r>
      <w:r>
        <w:rPr>
          <w:b/>
          <w:bCs/>
          <w:szCs w:val="24"/>
        </w:rPr>
        <w:t xml:space="preserve">PROJEKTO </w:t>
      </w:r>
    </w:p>
    <w:p>
      <w:pPr>
        <w:jc w:val="center"/>
        <w:rPr>
          <w:b/>
          <w:bCs/>
          <w:szCs w:val="24"/>
        </w:rPr>
      </w:pPr>
      <w:r>
        <w:rPr>
          <w:b/>
          <w:bCs/>
          <w:caps/>
          <w:szCs w:val="24"/>
        </w:rPr>
        <w:t>aiškinamasis Raštas</w:t>
      </w:r>
    </w:p>
    <w:p>
      <w:pPr>
        <w:spacing w:line="276" w:lineRule="auto"/>
        <w:jc w:val="center"/>
        <w:rPr>
          <w:szCs w:val="24"/>
        </w:rPr>
      </w:pPr>
    </w:p>
    <w:p>
      <w:pPr>
        <w:spacing w:line="276" w:lineRule="auto"/>
        <w:jc w:val="center"/>
        <w:rPr>
          <w:szCs w:val="24"/>
        </w:rPr>
      </w:pPr>
      <w:r>
        <w:rPr>
          <w:szCs w:val="24"/>
        </w:rPr>
        <w:t>2021-11-10</w:t>
      </w:r>
    </w:p>
    <w:p>
      <w:pPr>
        <w:tabs>
          <w:tab w:val="left" w:pos="6096"/>
          <w:tab w:val="center" w:pos="7655"/>
        </w:tabs>
        <w:spacing w:line="276" w:lineRule="auto"/>
        <w:ind w:firstLine="142"/>
        <w:jc w:val="both"/>
        <w:rPr>
          <w:szCs w:val="24"/>
        </w:rPr>
      </w:pPr>
    </w:p>
    <w:p>
      <w:pPr>
        <w:spacing w:line="276" w:lineRule="auto"/>
        <w:ind w:firstLine="720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 xml:space="preserve">Sprendimo projekto tikslai ir uždaviniai: </w:t>
      </w:r>
    </w:p>
    <w:p>
      <w:pPr>
        <w:spacing w:line="276" w:lineRule="auto"/>
        <w:ind w:firstLine="720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 xml:space="preserve">Gautas Prienų švietimo pagalbos tarnybos </w:t>
      </w:r>
      <w:r>
        <w:t>(į. k. 300047768) raštas leisti įregistruoti buveinę Prienų rajono savivaldybei nuosavybės teise priklausančiame pastate adresu Kauno g. 1A, Prienų m. (</w:t>
      </w:r>
      <w:r>
        <w:rPr>
          <w:szCs w:val="24"/>
        </w:rPr>
        <w:t xml:space="preserve">unikalus Nr. 6999-0000-9011:0002, registro Nr. 20/254537), taip pat bendruomenės „Jiestrakis“ (į. k. 300620794) prašymas leisti įregistruoti buveinę </w:t>
      </w:r>
      <w:r>
        <w:t xml:space="preserve">Prienų rajono savivaldybei nuosavybės teise priklausančiame pastate adresu </w:t>
      </w:r>
      <w:r>
        <w:rPr>
          <w:szCs w:val="24"/>
        </w:rPr>
        <w:t>Jiesios g. 28, Jiestrakio k., Šilavoto sen., Prienų r. sav. (unikalus Nr. 6995-7006-0012, registro Nr. 44/1310379).</w:t>
      </w:r>
    </w:p>
    <w:p>
      <w:pPr>
        <w:spacing w:line="276" w:lineRule="auto"/>
        <w:ind w:firstLine="720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>Siūlomos teisinio reguliavimo nuostatos:</w:t>
      </w:r>
    </w:p>
    <w:p>
      <w:pPr>
        <w:spacing w:line="276" w:lineRule="auto"/>
        <w:ind w:firstLine="720"/>
        <w:jc w:val="both"/>
        <w:rPr>
          <w:b/>
          <w:bCs/>
          <w:szCs w:val="24"/>
          <w:shd w:val="clear" w:color="auto" w:fill="FFFFFF"/>
        </w:rPr>
      </w:pPr>
      <w:r>
        <w:rPr>
          <w:szCs w:val="24"/>
        </w:rPr>
        <w:t>Sprendimo projektas parengtas vadovaujantis šiais teisės aktais:</w:t>
      </w:r>
      <w:r>
        <w:rPr>
          <w:rFonts w:eastAsia="Calibri"/>
          <w:szCs w:val="24"/>
        </w:rPr>
        <w:t xml:space="preserve"> Lietuvos Respublikos</w:t>
      </w:r>
      <w:r>
        <w:rPr>
          <w:szCs w:val="24"/>
        </w:rPr>
        <w:t xml:space="preserve"> vietos savivaldos įstatymo 48 straipsnio 2 dalis nustato, kad savivaldybei nuosavybės teise priklausančio turto savininko funkcijas, susijusias su savivaldybei nuosavybės teise priklausančiu turtu, remdamasi įstatymais įgyvendina savivaldybės taryba; Lietuvos Respublikos valstybės ir savivaldybių turto valdymo, naudojimo ir disponavimo juo įstatymo 12 straipsnio 1 dalimi, kuri nustato, kad s</w:t>
      </w:r>
      <w:r>
        <w:rPr>
          <w:szCs w:val="24"/>
          <w:shd w:val="clear" w:color="auto" w:fill="FFFFFF"/>
        </w:rPr>
        <w:t>avivaldybei nuosavybės teise priklausančio turto savininko funkcijas, vadovaudamasi įstatymais, įgyvendina savivaldybės taryba.</w:t>
      </w:r>
    </w:p>
    <w:p>
      <w:pPr>
        <w:tabs>
          <w:tab w:val="left" w:pos="6096"/>
          <w:tab w:val="center" w:pos="7655"/>
        </w:tabs>
        <w:spacing w:line="276" w:lineRule="auto"/>
        <w:ind w:firstLine="709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>Laukiami rezultatai:</w:t>
      </w:r>
    </w:p>
    <w:p>
      <w:pPr>
        <w:tabs>
          <w:tab w:val="left" w:pos="6096"/>
          <w:tab w:val="center" w:pos="7655"/>
        </w:tabs>
        <w:spacing w:line="276" w:lineRule="auto"/>
        <w:ind w:firstLine="709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Priėmus sprendimą būtų patenkinti Prienų švietimo pagalbos tarnybos ir bendruomenės „Jiestrakis“ prašymai ir leista įregistruoti buveines savivaldybei nuosavybės teise priklausančiuose sprendimo projekte išvardytais adresais esančiuose pastatuose.</w:t>
      </w:r>
    </w:p>
    <w:p>
      <w:pPr>
        <w:tabs>
          <w:tab w:val="left" w:pos="6096"/>
          <w:tab w:val="center" w:pos="7655"/>
        </w:tabs>
        <w:spacing w:line="276" w:lineRule="auto"/>
        <w:ind w:firstLine="709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>Lėšų poreikis ir šaltiniai:</w:t>
      </w:r>
    </w:p>
    <w:p>
      <w:pPr>
        <w:tabs>
          <w:tab w:val="left" w:pos="6096"/>
          <w:tab w:val="center" w:pos="7655"/>
        </w:tabs>
        <w:spacing w:line="276" w:lineRule="auto"/>
        <w:ind w:firstLine="709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Nėra.</w:t>
      </w:r>
    </w:p>
    <w:p>
      <w:pPr>
        <w:tabs>
          <w:tab w:val="left" w:pos="6096"/>
          <w:tab w:val="center" w:pos="7655"/>
        </w:tabs>
        <w:spacing w:line="276" w:lineRule="auto"/>
        <w:ind w:firstLine="709"/>
        <w:jc w:val="both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>Kiti sprendimui priimti reikalingi pagrindimai, skaičiavimai ar paaiškinimai.</w:t>
      </w:r>
    </w:p>
    <w:p>
      <w:pPr>
        <w:tabs>
          <w:tab w:val="left" w:pos="6096"/>
          <w:tab w:val="center" w:pos="7655"/>
        </w:tabs>
        <w:spacing w:line="276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Nėra.</w:t>
      </w:r>
    </w:p>
    <w:p>
      <w:pPr>
        <w:tabs>
          <w:tab w:val="left" w:pos="6096"/>
          <w:tab w:val="center" w:pos="7655"/>
        </w:tabs>
        <w:spacing w:line="276" w:lineRule="auto"/>
        <w:ind w:firstLine="709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Lyginamasis variantas: </w:t>
      </w:r>
    </w:p>
    <w:p>
      <w:pPr>
        <w:spacing w:line="276" w:lineRule="auto"/>
        <w:ind w:firstLine="709"/>
        <w:jc w:val="both"/>
        <w:rPr>
          <w:iCs/>
          <w:szCs w:val="24"/>
        </w:rPr>
      </w:pPr>
      <w:r>
        <w:rPr>
          <w:iCs/>
          <w:szCs w:val="24"/>
        </w:rPr>
        <w:t>Nėra.</w:t>
      </w:r>
    </w:p>
    <w:p>
      <w:pPr>
        <w:tabs>
          <w:tab w:val="left" w:pos="6096"/>
          <w:tab w:val="center" w:pos="7655"/>
        </w:tabs>
        <w:spacing w:line="276" w:lineRule="auto"/>
        <w:ind w:firstLine="709"/>
        <w:jc w:val="both"/>
        <w:rPr>
          <w:b/>
          <w:bCs/>
          <w:color w:val="000000"/>
          <w:szCs w:val="24"/>
          <w:shd w:val="clear" w:color="auto" w:fill="FFFFFF"/>
        </w:rPr>
      </w:pPr>
    </w:p>
    <w:p>
      <w:pPr>
        <w:tabs>
          <w:tab w:val="center" w:pos="4820"/>
          <w:tab w:val="left" w:pos="6237"/>
        </w:tabs>
        <w:spacing w:line="276" w:lineRule="auto"/>
        <w:rPr>
          <w:szCs w:val="24"/>
        </w:rPr>
      </w:pPr>
      <w:r>
        <w:rPr>
          <w:szCs w:val="24"/>
        </w:rPr>
        <w:t>Skyriaus vedėjas</w:t>
        <w:tab/>
        <w:tab/>
        <w:t>Tomas Žvirblys</w:t>
      </w:r>
    </w:p>
    <w:p>
      <w:pPr>
        <w:tabs>
          <w:tab w:val="center" w:pos="4820"/>
          <w:tab w:val="left" w:pos="6237"/>
        </w:tabs>
        <w:spacing w:line="276" w:lineRule="auto"/>
        <w:rPr>
          <w:szCs w:val="24"/>
        </w:rPr>
      </w:pPr>
    </w:p>
    <w:p>
      <w:pPr>
        <w:tabs>
          <w:tab w:val="left" w:pos="6096"/>
          <w:tab w:val="center" w:pos="7655"/>
          <w:tab w:val="right" w:pos="8306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Džiuljeta Čepeliauskienė, tel. (8 319) 61 173, el. p. </w:t>
      </w:r>
      <w:r>
        <w:rPr>
          <w:color w:val="0000FF"/>
          <w:szCs w:val="24"/>
          <w:u w:val="single"/>
        </w:rPr>
        <w:t>dziuljeta.cepeliauskiene@prienai.lt</w:t>
      </w:r>
      <w:r>
        <w:rPr>
          <w:szCs w:val="24"/>
        </w:rPr>
        <w:t xml:space="preserve"> 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-1134" w:right="567" w:bottom="426" w:left="1701" w:header="567" w:footer="567" w:gutter="0"/>
      <w:cols w:space="1296"/>
      <w:titlePg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endnote>
  <w:end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ind w:firstLine="567"/>
        <w:jc w:val="both"/>
        <w:rPr>
          <w:sz w:val="26"/>
        </w:rPr>
      </w:pPr>
      <w:r>
        <w:rPr>
          <w:sz w:val="26"/>
        </w:rPr>
        <w:separator/>
      </w:r>
    </w:p>
  </w:footnote>
  <w:footnote w:type="continuationSeparator" w:id="0">
    <w:p>
      <w:pPr>
        <w:ind w:firstLine="567"/>
        <w:jc w:val="both"/>
        <w:rPr>
          <w:sz w:val="26"/>
        </w:rPr>
      </w:pPr>
      <w:r>
        <w:rPr>
          <w:sz w:val="26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153"/>
        <w:tab w:val="right" w:pos="8306"/>
      </w:tabs>
      <w:ind w:firstLine="567"/>
      <w:jc w:val="center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 PAGE   \* MERGEFORMAT </w:instrText>
    </w:r>
    <w:r>
      <w:rPr>
        <w:sz w:val="26"/>
      </w:rPr>
      <w:fldChar w:fldCharType="separate"/>
    </w:r>
    <w:r>
      <w:rPr>
        <w:sz w:val="26"/>
      </w:rPr>
      <w:t>2</w:t>
    </w:r>
    <w:r>
      <w:rPr>
        <w:sz w:val="26"/>
      </w:rPr>
      <w:fldChar w:fldCharType="end"/>
    </w:r>
  </w:p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153"/>
        <w:tab w:val="right" w:pos="8306"/>
      </w:tabs>
      <w:ind w:firstLine="567"/>
      <w:jc w:val="both"/>
      <w:rPr>
        <w:sz w:val="26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9F8EE4A-7CDB-4D5F-B57A-FC0A375FF56B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142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2094</Characters>
  <Application>Microsoft Office Word</Application>
  <DocSecurity>4</DocSecurity>
  <Lines>59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Adresatas</vt:lpstr>
    </vt:vector>
  </TitlesOfParts>
  <Company/>
  <LinksUpToDate>false</LinksUpToDate>
  <CharactersWithSpaces>2339</CharactersWithSpaces>
  <SharedDoc>false</SharedDoc>
  <HyperlinkBase/>
  <HLinks>
    <vt:vector size="12" baseType="variant">
      <vt:variant>
        <vt:i4>65648</vt:i4>
      </vt:variant>
      <vt:variant>
        <vt:i4>0</vt:i4>
      </vt:variant>
      <vt:variant>
        <vt:i4>0</vt:i4>
      </vt:variant>
      <vt:variant>
        <vt:i4>5</vt:i4>
      </vt:variant>
      <vt:variant>
        <vt:lpwstr>mailto:dziuljeta.cepeliauskiene@prienai.lt</vt:lpwstr>
      </vt:variant>
      <vt:variant>
        <vt:lpwstr/>
      </vt:variant>
      <vt:variant>
        <vt:i4>1703984</vt:i4>
      </vt:variant>
      <vt:variant>
        <vt:i4>3</vt:i4>
      </vt:variant>
      <vt:variant>
        <vt:i4>0</vt:i4>
      </vt:variant>
      <vt:variant>
        <vt:i4>5</vt:i4>
      </vt:variant>
      <vt:variant>
        <vt:lpwstr>mailto:statyba@prienai.lt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2021-11-17T14:10:00Z</dcterms:created>
  <dc:creator>*</dc:creator>
  <lastModifiedBy>adlibuser</lastModifiedBy>
  <lastPrinted>2015-05-19T07:45:00Z</lastPrinted>
  <dcterms:modified xsi:type="dcterms:W3CDTF">2021-11-17T14:10:00Z</dcterms:modified>
  <revision>2</revision>
  <dc:title>Adresatas</dc:title>
</coreProperties>
</file>