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4b6a68ad58cf40098ab964e4ed8ccd1f"/>
        <w:lock w:val="sdtLocked"/>
        <w:richText/>
      </w:sdtPr>
      <w:sdtContent>
        <w:p w14:paraId="50E60B3F" w14:textId="77777777">
          <w:pPr>
            <w:tabs>
              <w:tab w:val="center" w:pos="4320"/>
              <w:tab w:val="right" w:pos="8640"/>
            </w:tabs>
            <w:rPr>
              <w:lang w:val="x-none" w:eastAsia="x-none"/>
            </w:rPr>
          </w:pPr>
        </w:p>
        <w:p w14:paraId="51C1BCC4" w14:textId="77777777">
          <w:pPr>
            <w:jc w:val="both"/>
            <w:rPr>
              <w:b/>
              <w:szCs w:val="24"/>
            </w:rPr>
          </w:pPr>
        </w:p>
        <w:p w14:paraId="10738E09" w14:textId="77777777">
          <w:pPr>
            <w:jc w:val="center"/>
            <w:rPr>
              <w:szCs w:val="24"/>
            </w:rPr>
          </w:pPr>
          <w:r>
            <w:rPr>
              <w:b/>
              <w:szCs w:val="24"/>
            </w:rPr>
            <w:t>ŠIAULIŲ MIESTO SAVIVALDYBĖS ADMINISTRACIJOS</w:t>
          </w:r>
        </w:p>
        <w:sdt>
          <w:sdtPr>
            <w:alias w:val="skyrius"/>
            <w:tag w:val="part_8cdbe7529857451eb3a0fc5e78a5f687"/>
            <w:lock w:val="sdtLocked"/>
            <w:richText/>
          </w:sdtPr>
          <w:sdtContent>
            <w:p w14:paraId="3C1CB926" w14:textId="77777777">
              <w:pPr>
                <w:jc w:val="center"/>
                <w:rPr>
                  <w:b/>
                  <w:szCs w:val="24"/>
                </w:rPr>
              </w:pPr>
              <w:r>
                <w:rPr>
                  <w:b/>
                  <w:szCs w:val="24"/>
                </w:rPr>
                <w:t>ŠVIETIMO SKYRIUS</w:t>
              </w:r>
            </w:p>
            <w:p w14:paraId="34F7C464" w14:textId="77777777">
              <w:pPr>
                <w:jc w:val="center"/>
                <w:rPr>
                  <w:b/>
                  <w:szCs w:val="24"/>
                </w:rPr>
              </w:pPr>
            </w:p>
            <w:sdt>
              <w:sdtPr>
                <w:alias w:val="Pavadinimas"/>
                <w:tag w:val="title_8cdbe7529857451eb3a0fc5e78a5f687"/>
                <w:lock w:val="sdtLocked"/>
                <w:richText/>
              </w:sdtPr>
              <w:sdtContent>
                <w:p w14:paraId="47A30B64" w14:textId="77777777">
                  <w:pPr>
                    <w:keepNext/>
                    <w:jc w:val="center"/>
                    <w:rPr>
                      <w:b/>
                      <w:bCs/>
                      <w:color w:val="000000"/>
                      <w:lang w:val="x-none" w:eastAsia="x-none"/>
                    </w:rPr>
                  </w:pPr>
                  <w:r>
                    <w:rPr>
                      <w:b/>
                      <w:bCs/>
                      <w:lang w:val="x-none" w:eastAsia="x-none"/>
                    </w:rPr>
                    <w:t>SPRENDIMO „</w:t>
                  </w:r>
                  <w:r>
                    <w:rPr>
                      <w:b/>
                      <w:bCs/>
                      <w:color w:val="000000"/>
                      <w:lang w:val="x-none" w:eastAsia="x-none"/>
                    </w:rPr>
                    <w:t xml:space="preserve">DĖL ŠIAULIŲ MIESTO SAVIVALDYBĖS TARYBOS </w:t>
                  </w:r>
                </w:p>
                <w:p w14:paraId="53704DF5" w14:textId="67B7F412">
                  <w:pPr>
                    <w:keepNext/>
                    <w:jc w:val="center"/>
                    <w:rPr>
                      <w:b/>
                      <w:spacing w:val="-1"/>
                      <w:lang w:val="x-none" w:eastAsia="x-none"/>
                    </w:rPr>
                  </w:pPr>
                  <w:r>
                    <w:rPr>
                      <w:b/>
                      <w:bCs/>
                      <w:color w:val="000000"/>
                      <w:lang w:val="x-none" w:eastAsia="x-none"/>
                    </w:rPr>
                    <w:t>2022 M. LIEPOS 7</w:t>
                  </w:r>
                  <w:r>
                    <w:rPr>
                      <w:b/>
                      <w:bCs/>
                      <w:color w:val="000000"/>
                      <w:lang w:eastAsia="x-none"/>
                    </w:rPr>
                    <w:t xml:space="preserve"> </w:t>
                  </w:r>
                  <w:r>
                    <w:rPr>
                      <w:b/>
                      <w:bCs/>
                      <w:color w:val="000000"/>
                      <w:lang w:val="x-none" w:eastAsia="x-none"/>
                    </w:rPr>
                    <w:t>D. SPRENDIMO NR. T-304 „DĖL ATLYGINIMO UŽ VAIKŲ, UGDOMŲ PAGAL IKIMOKYKLINIO IR PRIEŠMOKYKLINIO UGDYMO PROGRAMAS, IŠLAIKYMĄ ŠIAULIŲ MIESTO SAVIVALDYBĖS ŠVIETIMO ĮSTAIGOSE NUSTATYMO TVARKOS APRAŠO PATVIRTINIMO“ PAKEITIMO</w:t>
                  </w:r>
                  <w:r>
                    <w:rPr>
                      <w:b/>
                      <w:bCs/>
                      <w:lang w:val="x-none" w:eastAsia="x-none"/>
                    </w:rPr>
                    <w:t xml:space="preserve">“ PROJEKTO </w:t>
                  </w:r>
                  <w:r>
                    <w:rPr>
                      <w:b/>
                      <w:bCs/>
                      <w:lang w:eastAsia="x-none"/>
                    </w:rPr>
                    <w:t>AIŠKINAMASIS RAŠTAS</w:t>
                  </w:r>
                </w:p>
              </w:sdtContent>
            </w:sdt>
            <w:p w14:paraId="166B90F7" w14:textId="77777777">
              <w:pPr>
                <w:jc w:val="center"/>
                <w:rPr>
                  <w:b/>
                  <w:szCs w:val="24"/>
                </w:rPr>
              </w:pPr>
            </w:p>
            <w:p w14:paraId="37A508DB" w14:textId="00C6369B">
              <w:pPr>
                <w:jc w:val="center"/>
                <w:rPr>
                  <w:szCs w:val="24"/>
                </w:rPr>
              </w:pPr>
              <w:r>
                <w:rPr>
                  <w:szCs w:val="24"/>
                </w:rPr>
                <w:t>2025-11-06</w:t>
              </w:r>
            </w:p>
            <w:p w14:paraId="51518B14" w14:textId="77777777">
              <w:pPr>
                <w:jc w:val="center"/>
                <w:rPr>
                  <w:szCs w:val="24"/>
                </w:rPr>
              </w:pPr>
              <w:r>
                <w:rPr>
                  <w:szCs w:val="24"/>
                </w:rPr>
                <w:t>Šiauliai</w:t>
              </w:r>
            </w:p>
            <w:p w14:paraId="40517015" w14:textId="77777777">
              <w:pPr>
                <w:rPr>
                  <w:szCs w:val="24"/>
                </w:rPr>
              </w:pPr>
            </w:p>
            <w:sdt>
              <w:sdtPr>
                <w:alias w:val="poskyris"/>
                <w:tag w:val="part_5494c1877f8741328da1110619518f71"/>
                <w:lock w:val="sdtLocked"/>
                <w:richText/>
              </w:sdtPr>
              <w:sdtContent>
                <w:p w14:paraId="0F45AC19" w14:textId="77777777">
                  <w:pPr>
                    <w:tabs>
                      <w:tab w:val="left" w:pos="855"/>
                    </w:tabs>
                    <w:ind w:firstLine="567"/>
                    <w:jc w:val="both"/>
                    <w:rPr>
                      <w:szCs w:val="24"/>
                      <w:shd w:val="clear" w:color="auto" w:fill="FFFFFF"/>
                    </w:rPr>
                  </w:pPr>
                  <w:sdt>
                    <w:sdtPr>
                      <w:alias w:val="Pavadinimas"/>
                      <w:tag w:val="title_5494c1877f8741328da1110619518f71"/>
                      <w:lock w:val="sdtLocked"/>
                      <w:richText/>
                    </w:sdtPr>
                    <w:sdtContent>
                      <w:r>
                        <w:rPr>
                          <w:b/>
                          <w:szCs w:val="24"/>
                          <w:shd w:val="clear" w:color="auto" w:fill="FFFFFF"/>
                        </w:rPr>
                        <w:t>Parengto sprendimo projekto tikslai ir uždaviniai</w:t>
                      </w:r>
                      <w:r>
                        <w:rPr>
                          <w:b/>
                          <w:szCs w:val="24"/>
                        </w:rPr>
                        <w:t>.</w:t>
                      </w:r>
                      <w:r>
                        <w:rPr>
                          <w:szCs w:val="24"/>
                        </w:rPr>
                        <w:t xml:space="preserve"> </w:t>
                      </w:r>
                    </w:sdtContent>
                  </w:sdt>
                </w:p>
                <w:p w14:paraId="7EE80615" w14:textId="3A4CA751">
                  <w:pPr>
                    <w:tabs>
                      <w:tab w:val="left" w:pos="855"/>
                    </w:tabs>
                    <w:ind w:firstLine="567"/>
                    <w:jc w:val="both"/>
                    <w:rPr>
                      <w:szCs w:val="24"/>
                      <w:shd w:val="clear" w:color="auto" w:fill="FFFFFF"/>
                    </w:rPr>
                  </w:pPr>
                  <w:r>
                    <w:rPr>
                      <w:szCs w:val="24"/>
                      <w:shd w:val="clear" w:color="auto" w:fill="FFFFFF"/>
                    </w:rPr>
                    <w:t xml:space="preserve">Pakeisti Atlyginimo už vaikų, ugdomų pagal ikimokyklinio ir priešmokyklinio ugdymo programas, išlaikymą Šiaulių miesto savivaldybės švietimo įstaigose nustatymo tvarkos aprašą (toliau – Aprašas) išdėstant jį nauja redakcija. </w:t>
                  </w:r>
                </w:p>
              </w:sdtContent>
            </w:sdt>
            <w:sdt>
              <w:sdtPr>
                <w:alias w:val="poskyris"/>
                <w:tag w:val="part_298de1efbfe3420ca38cbc18e076c29d"/>
                <w:lock w:val="sdtLocked"/>
                <w:richText/>
              </w:sdtPr>
              <w:sdtContent>
                <w:p w14:paraId="263E4D04" w14:textId="77777777">
                  <w:pPr>
                    <w:tabs>
                      <w:tab w:val="left" w:pos="709"/>
                      <w:tab w:val="left" w:pos="855"/>
                    </w:tabs>
                    <w:ind w:firstLine="567"/>
                    <w:jc w:val="both"/>
                    <w:rPr>
                      <w:b/>
                      <w:szCs w:val="24"/>
                      <w:shd w:val="clear" w:color="auto" w:fill="FFFFFF"/>
                    </w:rPr>
                  </w:pPr>
                  <w:sdt>
                    <w:sdtPr>
                      <w:alias w:val="Pavadinimas"/>
                      <w:tag w:val="title_298de1efbfe3420ca38cbc18e076c29d"/>
                      <w:lock w:val="sdtLocked"/>
                      <w:richText/>
                    </w:sdtPr>
                    <w:sdtContent>
                      <w:r>
                        <w:rPr>
                          <w:b/>
                          <w:szCs w:val="24"/>
                          <w:shd w:val="clear" w:color="auto" w:fill="FFFFFF"/>
                        </w:rPr>
                        <w:t>Dabartinis sprendimo projekte aptariamų klausimų reguliavimas.</w:t>
                      </w:r>
                    </w:sdtContent>
                  </w:sdt>
                </w:p>
                <w:p w14:paraId="3F1D4FD2" w14:textId="681E70C8">
                  <w:pPr>
                    <w:tabs>
                      <w:tab w:val="left" w:pos="709"/>
                      <w:tab w:val="left" w:pos="855"/>
                    </w:tabs>
                    <w:ind w:firstLine="629"/>
                    <w:jc w:val="both"/>
                    <w:rPr>
                      <w:bCs/>
                      <w:szCs w:val="24"/>
                    </w:rPr>
                  </w:pPr>
                  <w:r>
                    <w:rPr>
                      <w:szCs w:val="24"/>
                      <w:shd w:val="clear" w:color="auto" w:fill="FFFFFF"/>
                    </w:rPr>
                    <w:t xml:space="preserve">Atlyginimo už vaikų, ugdomų pagal ikimokyklinio ir priešmokyklinio ugdymo programas, išlaikymą Šiaulių miesto savivaldybės švietimo įstaigose nustatymo tvarkos aprašas, patvirtintas Šiaulių miesto savivaldybės tarybos (toliau – Savivaldybės taryba) </w:t>
                  </w:r>
                  <w:r>
                    <w:rPr>
                      <w:color w:val="000000"/>
                      <w:szCs w:val="24"/>
                    </w:rPr>
                    <w:t>2022 m. liepos 7 d. sprendimu Nr. T-304</w:t>
                  </w:r>
                  <w:r>
                    <w:rPr>
                      <w:bCs/>
                      <w:szCs w:val="24"/>
                    </w:rPr>
                    <w:t>.</w:t>
                  </w:r>
                </w:p>
                <w:p w14:paraId="628BFC0F" w14:textId="77FD95F0">
                  <w:pPr>
                    <w:tabs>
                      <w:tab w:val="left" w:pos="709"/>
                      <w:tab w:val="left" w:pos="855"/>
                    </w:tabs>
                    <w:ind w:firstLine="567"/>
                    <w:jc w:val="both"/>
                    <w:rPr>
                      <w:bCs/>
                      <w:szCs w:val="24"/>
                    </w:rPr>
                  </w:pPr>
                  <w:r>
                    <w:rPr>
                      <w:rFonts w:eastAsia="HG Mincho Light J"/>
                      <w:color w:val="000000"/>
                      <w:szCs w:val="24"/>
                      <w:lang w:eastAsia="lt-LT"/>
                    </w:rPr>
                    <w:t xml:space="preserve">Šiuo metu galiojančiame Apraše reglamentuota, kad  </w:t>
                  </w:r>
                  <w:r>
                    <w:rPr>
                      <w:szCs w:val="24"/>
                    </w:rPr>
                    <w:t xml:space="preserve">atlyginimas už vaiko išlaikymą susideda iš mėnesinio atlyginimo už ugdymo aplinkos išlaikymą (10,00 eurų) ir mokesčio už vaiko maitinimo paslaugas. </w:t>
                  </w:r>
                  <w:r>
                    <w:rPr>
                      <w:spacing w:val="-1"/>
                      <w:szCs w:val="24"/>
                    </w:rPr>
                    <w:t xml:space="preserve">Vienos dienos </w:t>
                  </w:r>
                  <w:r>
                    <w:rPr>
                      <w:szCs w:val="24"/>
                    </w:rPr>
                    <w:t xml:space="preserve">mokestį už vaiko maitinimo paslaugas </w:t>
                  </w:r>
                  <w:r>
                    <w:rPr>
                      <w:spacing w:val="-1"/>
                      <w:szCs w:val="24"/>
                    </w:rPr>
                    <w:t xml:space="preserve">sudaro: išlaidos už produktus (trys maitinimai lopšelio grupėje – 2,84 euro; darželio grupėje – 3,90 euro) </w:t>
                  </w:r>
                  <w:r>
                    <w:rPr>
                      <w:szCs w:val="24"/>
                    </w:rPr>
                    <w:t>ir patiekalų gamybą (0,58 euro).</w:t>
                  </w:r>
                </w:p>
                <w:p w14:paraId="2F51C44F" w14:textId="067AEFDA">
                  <w:pPr>
                    <w:keepNext/>
                    <w:suppressAutoHyphens/>
                    <w:ind w:firstLine="558"/>
                    <w:jc w:val="both"/>
                    <w:rPr>
                      <w:szCs w:val="24"/>
                      <w:shd w:val="clear" w:color="auto" w:fill="FFFFFF"/>
                    </w:rPr>
                  </w:pPr>
                  <w:r>
                    <w:rPr>
                      <w:szCs w:val="24"/>
                    </w:rPr>
                    <w:t>Atlyginimas už vaiko išlaikymą apskaičiuojamas padauginus vienos dienos atlyginimo už maitinimo paslaugas įkainį iš lankytų (arba nelankytų ir nepateisintų) dienų skaičiaus</w:t>
                  </w:r>
                  <w:r>
                    <w:rPr>
                      <w:rFonts w:cs="Arial Unicode MS"/>
                      <w:szCs w:val="24"/>
                    </w:rPr>
                    <w:t xml:space="preserve"> ir pridėjus </w:t>
                  </w:r>
                  <w:r>
                    <w:rPr>
                      <w:szCs w:val="24"/>
                    </w:rPr>
                    <w:t xml:space="preserve">mėnesinį atlyginimą už ugdymo aplinkos išlaikymą. Už 20 lankytų dienų atlyginimas lopšelio </w:t>
                  </w:r>
                  <w:r>
                    <w:rPr>
                      <w:spacing w:val="-1"/>
                      <w:szCs w:val="24"/>
                    </w:rPr>
                    <w:t>grupėje</w:t>
                  </w:r>
                  <w:r>
                    <w:rPr>
                      <w:szCs w:val="24"/>
                    </w:rPr>
                    <w:t xml:space="preserve"> – </w:t>
                  </w:r>
                  <w:r>
                    <w:rPr>
                      <w:szCs w:val="24"/>
                      <w:shd w:val="clear" w:color="auto" w:fill="FFFFFF"/>
                    </w:rPr>
                    <w:t xml:space="preserve">66,80 euro; darželio </w:t>
                  </w:r>
                  <w:r>
                    <w:rPr>
                      <w:spacing w:val="-1"/>
                      <w:szCs w:val="24"/>
                    </w:rPr>
                    <w:t>grupėje</w:t>
                  </w:r>
                  <w:r>
                    <w:rPr>
                      <w:szCs w:val="24"/>
                      <w:shd w:val="clear" w:color="auto" w:fill="FFFFFF"/>
                    </w:rPr>
                    <w:t xml:space="preserve"> – 88,00 eurai.</w:t>
                  </w:r>
                </w:p>
                <w:p w14:paraId="6EE4E403" w14:textId="77777777">
                  <w:pPr>
                    <w:widowControl w:val="0"/>
                    <w:shd w:val="clear" w:color="auto" w:fill="FFFFFF"/>
                    <w:tabs>
                      <w:tab w:val="left" w:pos="567"/>
                      <w:tab w:val="left" w:pos="1102"/>
                    </w:tabs>
                    <w:ind w:firstLine="558"/>
                    <w:jc w:val="both"/>
                    <w:rPr>
                      <w:szCs w:val="24"/>
                    </w:rPr>
                  </w:pPr>
                  <w:r>
                    <w:rPr>
                      <w:szCs w:val="24"/>
                    </w:rPr>
                    <w:t xml:space="preserve">Atlyginimo dydis už maitinimo paslaugas priklauso nuo patiriamų išlaidų už maisto produktus ir patiekalų gamybą. Už patiekalų gamybą gaunamos lėšos (0,58 euro) yra skiriamos darbuotojų, tiesiogiai susijusių su maitinimo teikimu, darbo užmokesčiui, valstybinio socialinio draudimo įmokoms, maisto gaminimo kaštams padengti (virtuvės įrangos priežiūra ir atnaujinimas, elektra, vanduo ir kitos su maisto gaminimu susijusios sąnaudos). </w:t>
                  </w:r>
                </w:p>
                <w:p w14:paraId="5E0C34B5" w14:textId="4D9D8D08">
                  <w:pPr>
                    <w:widowControl w:val="0"/>
                    <w:shd w:val="clear" w:color="auto" w:fill="FFFFFF"/>
                    <w:tabs>
                      <w:tab w:val="left" w:pos="426"/>
                      <w:tab w:val="left" w:pos="1102"/>
                    </w:tabs>
                    <w:ind w:firstLine="558"/>
                    <w:jc w:val="both"/>
                    <w:rPr>
                      <w:szCs w:val="24"/>
                    </w:rPr>
                  </w:pPr>
                  <w:r>
                    <w:rPr>
                      <w:szCs w:val="24"/>
                    </w:rPr>
                    <w:t xml:space="preserve">Mėnesinio atlyginimo dydis už ugdymo aplinkos išlaikymą (10,00 eurų) buvo nustatytas 2022 m., o  už patiekalų gamybą (0,58 euro) – 2011 m.  Savivaldybės tarybos sprendimu ir iki šiol nekeistas. </w:t>
                  </w:r>
                </w:p>
                <w:p w14:paraId="7967B68A" w14:textId="3BEB00DD">
                  <w:pPr>
                    <w:widowControl w:val="0"/>
                    <w:shd w:val="clear" w:color="auto" w:fill="FFFFFF"/>
                    <w:tabs>
                      <w:tab w:val="left" w:pos="1102"/>
                    </w:tabs>
                    <w:ind w:firstLine="496"/>
                    <w:jc w:val="both"/>
                    <w:rPr>
                      <w:szCs w:val="24"/>
                    </w:rPr>
                  </w:pPr>
                  <w:r>
                    <w:rPr>
                      <w:szCs w:val="24"/>
                    </w:rPr>
                    <w:t xml:space="preserve">Dabar galiojančiame Apraše nėra numatyta avansinio mokesčio už vasaros mėnesius, Aprašo 16 punkte, 18.3 papunktyje ir 24 punkte numatytas lengvatų taikymas vaikams, augantiems šeimose, kurioms taikoma atvejo vadyba. </w:t>
                  </w:r>
                </w:p>
                <w:p w14:paraId="700BB64D" w14:textId="77777777">
                  <w:pPr>
                    <w:widowControl w:val="0"/>
                    <w:shd w:val="clear" w:color="auto" w:fill="FFFFFF"/>
                    <w:tabs>
                      <w:tab w:val="left" w:pos="1102"/>
                    </w:tabs>
                    <w:ind w:firstLine="496"/>
                    <w:jc w:val="both"/>
                    <w:rPr>
                      <w:szCs w:val="24"/>
                      <w:shd w:val="clear" w:color="auto" w:fill="FFFFFF"/>
                    </w:rPr>
                  </w:pPr>
                  <w:r>
                    <w:rPr>
                      <w:spacing w:val="-1"/>
                      <w:szCs w:val="24"/>
                    </w:rPr>
                    <w:t xml:space="preserve">Aprašo keitimo projektas aptartas su </w:t>
                  </w:r>
                  <w:r>
                    <w:rPr>
                      <w:szCs w:val="24"/>
                      <w:shd w:val="clear" w:color="auto" w:fill="FFFFFF"/>
                    </w:rPr>
                    <w:t xml:space="preserve">ikimokyklinio ugdymo įstaigų vadovais  ir </w:t>
                  </w:r>
                  <w:r>
                    <w:rPr>
                      <w:spacing w:val="-1"/>
                      <w:szCs w:val="24"/>
                    </w:rPr>
                    <w:t>apsvarstytas</w:t>
                  </w:r>
                  <w:r>
                    <w:rPr>
                      <w:szCs w:val="24"/>
                      <w:shd w:val="clear" w:color="auto" w:fill="FFFFFF"/>
                    </w:rPr>
                    <w:t xml:space="preserve"> visų</w:t>
                  </w:r>
                  <w:r>
                    <w:rPr>
                      <w:spacing w:val="-1"/>
                      <w:szCs w:val="24"/>
                    </w:rPr>
                    <w:t xml:space="preserve"> ikimokyklinio ugdymo įstaigų tarybose</w:t>
                  </w:r>
                  <w:r>
                    <w:rPr>
                      <w:szCs w:val="24"/>
                      <w:shd w:val="clear" w:color="auto" w:fill="FFFFFF"/>
                    </w:rPr>
                    <w:t>, kuriose pritarta Aprašo pakeitimui.</w:t>
                  </w:r>
                </w:p>
              </w:sdtContent>
            </w:sdt>
            <w:sdt>
              <w:sdtPr>
                <w:alias w:val="poskyris"/>
                <w:tag w:val="part_839f9c5b61644db99b3656d8708fb396"/>
                <w:lock w:val="sdtLocked"/>
                <w:richText/>
              </w:sdtPr>
              <w:sdtContent>
                <w:p w14:paraId="569F1002" w14:textId="77777777">
                  <w:pPr>
                    <w:tabs>
                      <w:tab w:val="left" w:pos="284"/>
                      <w:tab w:val="left" w:pos="426"/>
                      <w:tab w:val="left" w:pos="855"/>
                    </w:tabs>
                    <w:ind w:firstLine="434"/>
                    <w:jc w:val="both"/>
                    <w:rPr>
                      <w:b/>
                      <w:szCs w:val="24"/>
                    </w:rPr>
                  </w:pPr>
                  <w:sdt>
                    <w:sdtPr>
                      <w:alias w:val="Pavadinimas"/>
                      <w:tag w:val="title_839f9c5b61644db99b3656d8708fb396"/>
                      <w:lock w:val="sdtLocked"/>
                      <w:richText/>
                    </w:sdtPr>
                    <w:sdtContent>
                      <w:r>
                        <w:rPr>
                          <w:b/>
                          <w:szCs w:val="24"/>
                          <w:shd w:val="clear" w:color="auto" w:fill="FFFFFF"/>
                        </w:rPr>
                        <w:t>Sprendimo projekte numatytos naujos teisinio reglamentavimo nuostatos</w:t>
                      </w:r>
                      <w:r>
                        <w:rPr>
                          <w:b/>
                          <w:szCs w:val="24"/>
                        </w:rPr>
                        <w:t>.</w:t>
                      </w:r>
                    </w:sdtContent>
                  </w:sdt>
                </w:p>
                <w:p w14:paraId="2F360B2C" w14:textId="44E3DC91">
                  <w:pPr>
                    <w:shd w:val="clear" w:color="auto" w:fill="FFFFFF"/>
                    <w:tabs>
                      <w:tab w:val="left" w:pos="567"/>
                      <w:tab w:val="left" w:pos="958"/>
                    </w:tabs>
                    <w:spacing w:line="281" w:lineRule="exact"/>
                    <w:ind w:firstLine="434"/>
                    <w:jc w:val="both"/>
                    <w:rPr>
                      <w:szCs w:val="24"/>
                      <w:shd w:val="clear" w:color="auto" w:fill="FFFFFF"/>
                    </w:rPr>
                  </w:pPr>
                  <w:r>
                    <w:rPr>
                      <w:szCs w:val="24"/>
                      <w:shd w:val="clear" w:color="auto" w:fill="FFFFFF"/>
                    </w:rPr>
                    <w:t xml:space="preserve">Sprendimo projektu siūloma pakeisti Aprašą, kuriame būtų: </w:t>
                  </w:r>
                </w:p>
                <w:p w14:paraId="475766C8" w14:textId="044A91D9">
                  <w:pPr>
                    <w:widowControl w:val="0"/>
                    <w:shd w:val="clear" w:color="auto" w:fill="FFFFFF"/>
                    <w:tabs>
                      <w:tab w:val="left" w:pos="284"/>
                      <w:tab w:val="left" w:pos="567"/>
                      <w:tab w:val="left" w:pos="1102"/>
                    </w:tabs>
                    <w:ind w:firstLine="434"/>
                    <w:jc w:val="both"/>
                    <w:rPr>
                      <w:szCs w:val="24"/>
                    </w:rPr>
                  </w:pPr>
                  <w:r>
                    <w:rPr>
                      <w:szCs w:val="24"/>
                      <w:shd w:val="clear" w:color="auto" w:fill="FFFFFF"/>
                    </w:rPr>
                    <w:t xml:space="preserve">– padidintas </w:t>
                  </w:r>
                  <w:r>
                    <w:rPr>
                      <w:szCs w:val="24"/>
                    </w:rPr>
                    <w:t xml:space="preserve">atlyginimo dydis už ugdymo aplinkos išlaikymą  nuo 10,00 iki 15,00 eurų (tėvams tai sudarytų papildomus kaštus po 25 centus per dieną) – Aprašo 11 punktas; pažymėtina, kad išlaidos ugdymo aplinkai išlaikyti per pastaruosius trejus metus ženkliai išaugo: patalynė (pagalvės, antklodės, čiužiniai) brango 57 proc., užvalkalų komplektas – 120 proc., skalbimo paslaugos – 15 proc., higieninis popierius (popieriniai rankšluosčiai, tualetinis popierius, stalo servetėlės) – 46 proc., valikliai (universalus valiklis, skystas muilas, indų ploviklis, tualeto valiklis ir pan.) – 61 proc., paslaugos (termometrų,  gesintuvų,  žaidimų aikštelių patikra, varžų matavimas,  ŠGP atliekų išvežimas ir pan.) – 16 proc., dėl išaugusio minimalaus darbo užmokesčio 30 proc. brango remonto paslaugos. Ugdymo aplinkos išlaikymo išlaidos yra ženkliai didesnės nei nustatytas mėnesinio atlyginimo dydis. Todėl atsiranda būtinybė didinti atlyginimo dydį už vaikų išlaikymą ikimokyklinio ugdymo įstaigose.</w:t>
                  </w:r>
                </w:p>
                <w:p w14:paraId="6D97B074" w14:textId="1B44763A">
                  <w:pPr>
                    <w:widowControl w:val="0"/>
                    <w:shd w:val="clear" w:color="auto" w:fill="FFFFFF"/>
                    <w:tabs>
                      <w:tab w:val="left" w:pos="284"/>
                      <w:tab w:val="left" w:pos="567"/>
                      <w:tab w:val="left" w:pos="1102"/>
                    </w:tabs>
                    <w:ind w:firstLine="434"/>
                    <w:jc w:val="both"/>
                    <w:rPr>
                      <w:szCs w:val="24"/>
                    </w:rPr>
                  </w:pPr>
                  <w:r>
                    <w:rPr>
                      <w:szCs w:val="24"/>
                    </w:rPr>
                    <w:t>– patvirtintas negrąžinamas avansinis atlyginimas už vasaros mėnesius – Aprašo 27 punktas;</w:t>
                  </w:r>
                </w:p>
                <w:p w14:paraId="7F0EF1A6" w14:textId="3A8E5A50">
                  <w:pPr>
                    <w:widowControl w:val="0"/>
                    <w:shd w:val="clear" w:color="auto" w:fill="FFFFFF"/>
                    <w:tabs>
                      <w:tab w:val="left" w:pos="284"/>
                      <w:tab w:val="left" w:pos="567"/>
                      <w:tab w:val="left" w:pos="1102"/>
                    </w:tabs>
                    <w:ind w:firstLine="620"/>
                    <w:jc w:val="both"/>
                    <w:rPr>
                      <w:szCs w:val="24"/>
                    </w:rPr>
                  </w:pPr>
                  <w:r>
                    <w:rPr>
                      <w:szCs w:val="24"/>
                    </w:rPr>
                    <w:t>aktuali problema visiems Šiaulių miesto lopšeliams-darželiams yra darbas vasaros laikotarpiu. Vasaros mėnesiais sumažėja darželius lankančių vaikų skaičius, todėl įstaigos ruošiasi darbui vasarą iš anksto: priimami tėvų prašymai dėl lankymo visą vasarą arba atskirais vasaros mėnesiais. Pagal pateiktus prašymus įstaigos planuoja darbuotojų atostogas ir darbą, maitinimo organizavimą. Dažnu atveju įstaigos susiduria su tėvų atsakomybės stoka – dalis prašymus pateikusių tėvų neatveda vasaros metu vaikų į lopšelius-darželius, arba atveda tik pavienėmis dienomis (2-3 kartus per savaitę ar per mėnesį). Esant tokiai situacijai vietoj 15-20 grupėse būna gerokai mažiau vaikų, o, neturėdamos išankstinės informacijos apie vaikų lankomumą, įstaigos patiria nuostolius, negali tinkamai koordinuoti maitinimo organizavimo, grupių apjungimo vasaros laikotarpiu ir darbuotojų užimtumo. Siekiant išvengti nuostolingos situacijos ikimokyklinio ugdymo įstaigose, siūloma Aprašo 27 punktu patvirtinti negrąžinamą avansinį atlyginimą už vasaros mėnesius. Jei vaikas lanko ikimokyklinio ugdymo įstaigą kaip nurodyta tėvų prašyme, arba nelanko įstaigos dėl rimtos pateisinamos priežasties, 28 punktu siūloma avansinį atlyginimą įskaičiuoti į lankytų dienų atlyginimą. Jei vaikas nelanko ikimokyklinio ugdymo įstaigos be pateisinamos priežasties, avansinis atlyginimas negrąžinamas;</w:t>
                  </w:r>
                </w:p>
                <w:p w14:paraId="7B597C31" w14:textId="47A5E5DF">
                  <w:pPr>
                    <w:widowControl w:val="0"/>
                    <w:shd w:val="clear" w:color="auto" w:fill="FFFFFF"/>
                    <w:tabs>
                      <w:tab w:val="left" w:pos="1102"/>
                    </w:tabs>
                    <w:ind w:firstLine="434"/>
                    <w:jc w:val="both"/>
                    <w:rPr>
                      <w:rFonts w:eastAsia="HG Mincho Light J"/>
                      <w:color w:val="000000"/>
                      <w:szCs w:val="24"/>
                      <w:lang w:eastAsia="lt-LT"/>
                    </w:rPr>
                  </w:pPr>
                  <w:r>
                    <w:rPr>
                      <w:szCs w:val="24"/>
                      <w:shd w:val="clear" w:color="auto" w:fill="FFFFFF"/>
                    </w:rPr>
                    <w:t xml:space="preserve">– </w:t>
                  </w:r>
                  <w:r>
                    <w:rPr>
                      <w:rFonts w:eastAsia="HG Mincho Light J"/>
                      <w:color w:val="000000"/>
                      <w:szCs w:val="24"/>
                      <w:lang w:eastAsia="lt-LT"/>
                    </w:rPr>
                    <w:t xml:space="preserve">reglamentuota, kad  atlyginimas už</w:t>
                  </w:r>
                  <w:r>
                    <w:rPr>
                      <w:szCs w:val="24"/>
                    </w:rPr>
                    <w:t xml:space="preserve"> </w:t>
                  </w:r>
                  <w:r>
                    <w:rPr>
                      <w:rFonts w:eastAsia="HG Mincho Light J"/>
                      <w:color w:val="000000"/>
                      <w:szCs w:val="24"/>
                      <w:lang w:eastAsia="lt-LT"/>
                    </w:rPr>
                    <w:t xml:space="preserve">ugdymo aplinkos išlaikymą nemokamas vasaros mėnesiais, jei vaikas nelanko įstaigos (nepateiktas tėvų prašymas dėl lankymo vasarą) – Aprašo 16.1 papunktis; </w:t>
                  </w:r>
                </w:p>
                <w:p w14:paraId="7E7E2A21" w14:textId="69A6C4FE">
                  <w:pPr>
                    <w:widowControl w:val="0"/>
                    <w:shd w:val="clear" w:color="auto" w:fill="FFFFFF"/>
                    <w:tabs>
                      <w:tab w:val="left" w:pos="1102"/>
                    </w:tabs>
                    <w:ind w:firstLine="496"/>
                    <w:jc w:val="both"/>
                    <w:rPr>
                      <w:rFonts w:eastAsia="HG Mincho Light J"/>
                      <w:color w:val="000000"/>
                      <w:szCs w:val="24"/>
                      <w:lang w:eastAsia="lt-LT"/>
                    </w:rPr>
                  </w:pPr>
                  <w:r>
                    <w:rPr>
                      <w:rFonts w:eastAsia="HG Mincho Light J"/>
                      <w:color w:val="000000"/>
                      <w:szCs w:val="24"/>
                      <w:lang w:eastAsia="lt-LT"/>
                    </w:rPr>
                    <w:t xml:space="preserve">– panaikintas atleidimas nuo mokesčio vaikams, augantiems šeimose, kurioms taikoma atvejo vadyba; Aprašo 16 punkte, 18.3 papunktyje ir 24 punkte siūloma išbraukti lengvatų taikymą vaikams, augantiems šeimose, kurioms taikoma atvejo vadyba. Dažnu atveju minėtos šeimos nėra socialiai remtinos, be to yra galimybė vaikams, kurių šeimose taikoma atvejo vadyba, mokėti kompensaciją įgyvendinant ES lėšomis finansuojamo projekto „Ankstyvojo ugdymo užtikrinimas vaikams iš socialinę riziką patiriančių šeimų“ priemones. Pasibaigus projektui socialiai remtinų šeimų, kurioms taikoma atvejo vadyba, vaikų išlaikymas bus kompensuojamas vadovaujantis kitų Aprašo punktų nuostatomis.   </w:t>
                  </w:r>
                </w:p>
                <w:p w14:paraId="737AC343" w14:textId="0C30024B">
                  <w:pPr>
                    <w:widowControl w:val="0"/>
                    <w:shd w:val="clear" w:color="auto" w:fill="FFFFFF"/>
                    <w:tabs>
                      <w:tab w:val="left" w:pos="1102"/>
                    </w:tabs>
                    <w:ind w:firstLine="372"/>
                    <w:jc w:val="both"/>
                    <w:rPr>
                      <w:szCs w:val="24"/>
                    </w:rPr>
                  </w:pPr>
                  <w:r>
                    <w:rPr>
                      <w:rFonts w:eastAsia="HG Mincho Light J"/>
                      <w:color w:val="000000"/>
                      <w:szCs w:val="24"/>
                      <w:lang w:eastAsia="lt-LT"/>
                    </w:rPr>
                    <w:t xml:space="preserve">Aprašo 12.2 papunktyje atlyginimo dydis pakoreguotas pagal šiuo metu galiojantį atlyginimo dydį vadovaujantis šio papunkčio pastabomis. Nemokamo maitinimo kainos patvirtintos 2025 m. balandžio 7 d. Mero potvarkiu Nr. M-490 „Dėl lėšų nemokamo maitinimo produktams įsigyti Šiaulių miesto savivaldybės ir nevalstybinėse mokyklose dydžio nustatymo“. Nemokamo maitinimo kainos didinamos, kai keičiasi bazinės socialinės išmokos dydis, nustatytas 2023 m. gruodžio 6 d. Lietuvos Respublikos Vyriausybės nutarimu Nr. 946 „Dėl socialinės paramos išmokų ataskaitos rodiklių dydžių patvirtinimo“.           </w:t>
                  </w:r>
                </w:p>
              </w:sdtContent>
            </w:sdt>
            <w:sdt>
              <w:sdtPr>
                <w:alias w:val="poskyris"/>
                <w:tag w:val="part_3aea64140a944a7e8dc7b16153de4335"/>
                <w:lock w:val="sdtLocked"/>
                <w:richText/>
              </w:sdtPr>
              <w:sdtContent>
                <w:p w14:paraId="755DA23F" w14:textId="77777777">
                  <w:pPr>
                    <w:shd w:val="clear" w:color="auto" w:fill="FFFFFF"/>
                    <w:tabs>
                      <w:tab w:val="left" w:pos="958"/>
                    </w:tabs>
                    <w:spacing w:line="281" w:lineRule="exact"/>
                    <w:ind w:firstLine="434"/>
                    <w:jc w:val="both"/>
                    <w:rPr>
                      <w:i/>
                      <w:szCs w:val="24"/>
                      <w:shd w:val="clear" w:color="auto" w:fill="FFFFFF"/>
                    </w:rPr>
                  </w:pPr>
                  <w:sdt>
                    <w:sdtPr>
                      <w:alias w:val="Pavadinimas"/>
                      <w:tag w:val="title_3aea64140a944a7e8dc7b16153de4335"/>
                      <w:lock w:val="sdtLocked"/>
                      <w:richText/>
                    </w:sdtPr>
                    <w:sdtContent>
                      <w:r>
                        <w:rPr>
                          <w:b/>
                          <w:szCs w:val="24"/>
                          <w:shd w:val="clear" w:color="auto" w:fill="FFFFFF"/>
                        </w:rPr>
                        <w:t xml:space="preserve">Priėmus sprendimą, galimos pasekmės </w:t>
                      </w:r>
                    </w:sdtContent>
                  </w:sdt>
                </w:p>
                <w:p w14:paraId="24262FAB" w14:textId="7901ED24">
                  <w:pPr>
                    <w:shd w:val="clear" w:color="auto" w:fill="FFFFFF"/>
                    <w:tabs>
                      <w:tab w:val="left" w:pos="426"/>
                      <w:tab w:val="left" w:pos="958"/>
                    </w:tabs>
                    <w:spacing w:line="281" w:lineRule="exact"/>
                    <w:ind w:firstLine="434"/>
                    <w:jc w:val="both"/>
                    <w:rPr>
                      <w:szCs w:val="24"/>
                    </w:rPr>
                  </w:pPr>
                  <w:r>
                    <w:rPr>
                      <w:szCs w:val="24"/>
                      <w:shd w:val="clear" w:color="auto" w:fill="FFFFFF"/>
                    </w:rPr>
                    <w:t xml:space="preserve">Neigiamų pasekmių nenumatoma. Teigiamos pasekmės – Apraše reglamentuotos nuostatos atitiks pabrangusias </w:t>
                  </w:r>
                  <w:r>
                    <w:rPr>
                      <w:szCs w:val="24"/>
                    </w:rPr>
                    <w:t xml:space="preserve">ugdymo(si) aplinkos išlaikymo priemonių kainas. Sudarys galimybę tėvams </w:t>
                  </w:r>
                  <w:r>
                    <w:rPr>
                      <w:szCs w:val="24"/>
                      <w:shd w:val="clear" w:color="auto" w:fill="FFFFFF"/>
                    </w:rPr>
                    <w:t>nemokėti ugdymo(si) aplinkos išlaikymo atlyginimo už vasaros mėnesius, jei vaikas nelanko įstaigos.</w:t>
                  </w:r>
                  <w:r>
                    <w:rPr>
                      <w:szCs w:val="24"/>
                    </w:rPr>
                    <w:t xml:space="preserve"> </w:t>
                  </w:r>
                </w:p>
              </w:sdtContent>
            </w:sdt>
            <w:sdt>
              <w:sdtPr>
                <w:alias w:val="poskyris"/>
                <w:tag w:val="part_d14f0d47ea1b456c894c60aa588cfa42"/>
                <w:lock w:val="sdtLocked"/>
                <w:richText/>
              </w:sdtPr>
              <w:sdtContent>
                <w:p w14:paraId="67FF726F" w14:textId="59F38061">
                  <w:pPr>
                    <w:ind w:firstLine="426"/>
                    <w:jc w:val="both"/>
                    <w:rPr>
                      <w:b/>
                      <w:szCs w:val="24"/>
                    </w:rPr>
                  </w:pPr>
                  <w:sdt>
                    <w:sdtPr>
                      <w:alias w:val="Pavadinimas"/>
                      <w:tag w:val="title_d14f0d47ea1b456c894c60aa588cfa42"/>
                      <w:lock w:val="sdtLocked"/>
                      <w:richText/>
                    </w:sdtPr>
                    <w:sdtContent>
                      <w:r>
                        <w:rPr>
                          <w:b/>
                          <w:szCs w:val="24"/>
                          <w:shd w:val="clear" w:color="auto" w:fill="FFFFFF"/>
                        </w:rPr>
                        <w:t>Priėmus sprendimą, keičiami ar pripažįstami negaliojančiais teisės aktai</w:t>
                      </w:r>
                      <w:r>
                        <w:rPr>
                          <w:b/>
                          <w:szCs w:val="24"/>
                        </w:rPr>
                        <w:t xml:space="preserve">. </w:t>
                      </w:r>
                    </w:sdtContent>
                  </w:sdt>
                </w:p>
                <w:p w14:paraId="4DD5F8D2" w14:textId="1ECBFD03">
                  <w:pPr>
                    <w:tabs>
                      <w:tab w:val="left" w:pos="567"/>
                    </w:tabs>
                    <w:ind w:firstLine="426"/>
                    <w:jc w:val="both"/>
                    <w:rPr>
                      <w:szCs w:val="24"/>
                      <w:shd w:val="clear" w:color="auto" w:fill="FFFFFF"/>
                    </w:rPr>
                  </w:pPr>
                  <w:r>
                    <w:rPr>
                      <w:szCs w:val="24"/>
                    </w:rPr>
                    <w:t>Priėmus sprendimą nebus keičiami teisės aktai.</w:t>
                  </w:r>
                </w:p>
              </w:sdtContent>
            </w:sdt>
            <w:sdt>
              <w:sdtPr>
                <w:alias w:val="poskyris"/>
                <w:tag w:val="part_8bc4e96177f34559baa891f7257fc003"/>
                <w:lock w:val="sdtLocked"/>
                <w:richText/>
              </w:sdtPr>
              <w:sdtContent>
                <w:p w14:paraId="24B76ABB" w14:textId="74BD33CD">
                  <w:pPr>
                    <w:ind w:firstLine="434"/>
                    <w:jc w:val="both"/>
                    <w:rPr>
                      <w:szCs w:val="24"/>
                      <w:shd w:val="clear" w:color="auto" w:fill="FFFFFF"/>
                    </w:rPr>
                  </w:pPr>
                  <w:sdt>
                    <w:sdtPr>
                      <w:alias w:val="Pavadinimas"/>
                      <w:tag w:val="title_8bc4e96177f34559baa891f7257fc003"/>
                      <w:lock w:val="sdtLocked"/>
                      <w:richText/>
                    </w:sdtPr>
                    <w:sdtContent>
                      <w:r>
                        <w:rPr>
                          <w:b/>
                          <w:szCs w:val="24"/>
                          <w:shd w:val="clear" w:color="auto" w:fill="FFFFFF"/>
                        </w:rPr>
                        <w:t>Sprendimui įgyvendinti reikalingi priimti papildomi teisės aktai.</w:t>
                      </w:r>
                      <w:r>
                        <w:rPr>
                          <w:szCs w:val="24"/>
                          <w:shd w:val="clear" w:color="auto" w:fill="FFFFFF"/>
                        </w:rPr>
                        <w:t xml:space="preserve">  </w:t>
                      </w:r>
                    </w:sdtContent>
                  </w:sdt>
                </w:p>
                <w:p w14:paraId="2B8644A1" w14:textId="77777777">
                  <w:pPr>
                    <w:ind w:firstLine="434"/>
                    <w:jc w:val="both"/>
                    <w:rPr>
                      <w:szCs w:val="24"/>
                      <w:shd w:val="clear" w:color="auto" w:fill="FFFFFF"/>
                    </w:rPr>
                  </w:pPr>
                  <w:r>
                    <w:rPr>
                      <w:szCs w:val="24"/>
                      <w:shd w:val="clear" w:color="auto" w:fill="FFFFFF"/>
                    </w:rPr>
                    <w:t>Sprendimui įgyvendinti papildomų teisės aktų nereikės.</w:t>
                  </w:r>
                </w:p>
              </w:sdtContent>
            </w:sdt>
            <w:sdt>
              <w:sdtPr>
                <w:alias w:val="poskyris"/>
                <w:tag w:val="part_b368028671a641798e88074a7d1bb9de"/>
                <w:lock w:val="sdtLocked"/>
                <w:richText/>
              </w:sdtPr>
              <w:sdtContent>
                <w:p w14:paraId="59038CE8" w14:textId="77777777">
                  <w:pPr>
                    <w:ind w:firstLine="434"/>
                    <w:jc w:val="both"/>
                    <w:rPr>
                      <w:szCs w:val="24"/>
                      <w:shd w:val="clear" w:color="auto" w:fill="FFFFFF"/>
                    </w:rPr>
                  </w:pPr>
                  <w:sdt>
                    <w:sdtPr>
                      <w:alias w:val="Pavadinimas"/>
                      <w:tag w:val="title_b368028671a641798e88074a7d1bb9de"/>
                      <w:lock w:val="sdtLocked"/>
                      <w:richText/>
                    </w:sdtPr>
                    <w:sdtContent>
                      <w:r>
                        <w:rPr>
                          <w:b/>
                          <w:szCs w:val="24"/>
                          <w:shd w:val="clear" w:color="auto" w:fill="FFFFFF"/>
                        </w:rPr>
                        <w:t>Sprendimui įgyvendinti reikalingos lėšos.</w:t>
                      </w:r>
                      <w:r>
                        <w:rPr>
                          <w:szCs w:val="24"/>
                        </w:rPr>
                        <w:t xml:space="preserve"> </w:t>
                      </w:r>
                    </w:sdtContent>
                  </w:sdt>
                </w:p>
                <w:p w14:paraId="784197DD" w14:textId="3015AC71">
                  <w:pPr>
                    <w:tabs>
                      <w:tab w:val="left" w:pos="426"/>
                    </w:tabs>
                    <w:ind w:firstLine="434"/>
                    <w:jc w:val="both"/>
                    <w:rPr>
                      <w:strike/>
                      <w:szCs w:val="24"/>
                      <w:shd w:val="clear" w:color="auto" w:fill="FFFFFF"/>
                    </w:rPr>
                  </w:pPr>
                  <w:r>
                    <w:rPr>
                      <w:szCs w:val="24"/>
                    </w:rPr>
                    <w:t xml:space="preserve">Sprendimui įgyvendinti reikalingos lėšos numatytos Savivaldybės biudžete: 2026 m. Švietimo programos Nr. 08 priemonėje 08-04-09 „Kompensuoti tėvų atlyginimą už vaiko išlaikymą įstaigoje“ visoms lengvatoms kompensuoti už vaikų, </w:t>
                  </w:r>
                  <w:r>
                    <w:rPr>
                      <w:szCs w:val="24"/>
                      <w:shd w:val="clear" w:color="auto" w:fill="FFFFFF"/>
                    </w:rPr>
                    <w:t>ugdomų pagal ikimokyklinio ir priešmokyklinio ugdymo programas, išlaikymą Šiaulių miesto savivaldybės švietimo įstaigose skirta</w:t>
                  </w:r>
                  <w:r>
                    <w:rPr>
                      <w:szCs w:val="24"/>
                    </w:rPr>
                    <w:t xml:space="preserve"> 345,0 tūkst. eurų SB lėšų, kurių užteks iki metų pabaigos, padidinus atlyginimo dydį už ugdymo aplinkos išlaikymą  nuo 2026 m. sausio 1 d. </w:t>
                  </w:r>
                </w:p>
                <w:p w14:paraId="56A7C5D9" w14:textId="77777777">
                  <w:pPr>
                    <w:ind w:firstLine="434"/>
                    <w:jc w:val="both"/>
                    <w:rPr>
                      <w:szCs w:val="24"/>
                    </w:rPr>
                  </w:pPr>
                </w:p>
              </w:sdtContent>
            </w:sdt>
            <w:sdt>
              <w:sdtPr>
                <w:alias w:val="poskyris"/>
                <w:tag w:val="part_0404a658cf6448df97b0528d0710a25b"/>
                <w:lock w:val="sdtLocked"/>
                <w:richText/>
              </w:sdtPr>
              <w:sdtContent>
                <w:p w14:paraId="076BF598" w14:textId="0DBAEA6E">
                  <w:pPr>
                    <w:ind w:firstLine="434"/>
                    <w:jc w:val="both"/>
                    <w:rPr>
                      <w:b/>
                      <w:szCs w:val="24"/>
                      <w:shd w:val="clear" w:color="auto" w:fill="FFFFFF"/>
                    </w:rPr>
                  </w:pPr>
                  <w:sdt>
                    <w:sdtPr>
                      <w:alias w:val="Pavadinimas"/>
                      <w:tag w:val="title_0404a658cf6448df97b0528d0710a25b"/>
                      <w:lock w:val="sdtLocked"/>
                      <w:richText/>
                    </w:sdtPr>
                    <w:sdtContent>
                      <w:r>
                        <w:rPr>
                          <w:b/>
                          <w:szCs w:val="24"/>
                          <w:shd w:val="clear" w:color="auto" w:fill="FFFFFF"/>
                        </w:rPr>
                        <w:t xml:space="preserve">Sprendimo projekto antikorupcinis vertinimas </w:t>
                      </w:r>
                    </w:sdtContent>
                  </w:sdt>
                </w:p>
                <w:p w14:paraId="53B988E2" w14:textId="77777777">
                  <w:pPr>
                    <w:tabs>
                      <w:tab w:val="left" w:pos="426"/>
                    </w:tabs>
                    <w:ind w:firstLine="434"/>
                    <w:jc w:val="both"/>
                    <w:rPr>
                      <w:szCs w:val="24"/>
                    </w:rPr>
                  </w:pPr>
                  <w:r>
                    <w:rPr>
                      <w:szCs w:val="24"/>
                      <w:shd w:val="clear" w:color="auto" w:fill="FFFFFF"/>
                    </w:rPr>
                    <w:t xml:space="preserve">Vadovaujantis </w:t>
                  </w:r>
                  <w:r>
                    <w:rPr>
                      <w:szCs w:val="24"/>
                    </w:rPr>
                    <w:t xml:space="preserve">Teisės aktų ar jų projektų antikorupcinio vertinimo metodika, parengta sprendimo projekto antikorupcinio vertinimo pažyma. </w:t>
                  </w:r>
                </w:p>
                <w:p w14:paraId="41B77DA1" w14:textId="3D7F2A0D">
                  <w:pPr>
                    <w:tabs>
                      <w:tab w:val="left" w:pos="426"/>
                    </w:tabs>
                    <w:ind w:firstLine="434"/>
                    <w:jc w:val="both"/>
                    <w:rPr>
                      <w:bCs/>
                      <w:szCs w:val="24"/>
                      <w:shd w:val="clear" w:color="auto" w:fill="FFFFFF"/>
                    </w:rPr>
                  </w:pPr>
                  <w:r>
                    <w:rPr>
                      <w:b/>
                      <w:bCs/>
                      <w:szCs w:val="24"/>
                      <w:shd w:val="clear" w:color="auto" w:fill="FFFFFF"/>
                      <w:lang w:val="la-Latn"/>
                    </w:rPr>
                    <w:t>Sprendimo projektą parengė</w:t>
                  </w:r>
                  <w:r>
                    <w:rPr>
                      <w:szCs w:val="24"/>
                      <w:shd w:val="clear" w:color="auto" w:fill="FFFFFF"/>
                      <w:lang w:val="en-GB"/>
                    </w:rPr>
                    <w:t xml:space="preserve"> </w:t>
                  </w:r>
                  <w:r>
                    <w:rPr>
                      <w:bCs/>
                      <w:szCs w:val="24"/>
                      <w:shd w:val="clear" w:color="auto" w:fill="FFFFFF"/>
                      <w:lang w:val="en-GB"/>
                    </w:rPr>
                    <w:t xml:space="preserve">Šiaulių miesto savivaldybės administracijos </w:t>
                  </w:r>
                  <w:r>
                    <w:rPr>
                      <w:bCs/>
                      <w:szCs w:val="24"/>
                      <w:lang w:val="en-GB"/>
                    </w:rPr>
                    <w:t xml:space="preserve">Švietimo skyrius. Tiesioginis rengėjas – Švietimo skyriaus vyriausioji specialistė Silva Sabaliauskienė, </w:t>
                  </w:r>
                  <w:r>
                    <w:rPr>
                      <w:bCs/>
                      <w:color w:val="000000"/>
                      <w:szCs w:val="24"/>
                      <w:lang w:val="en-GB"/>
                    </w:rPr>
                    <w:t>tel. 38 64 75</w:t>
                  </w:r>
                  <w:r>
                    <w:rPr>
                      <w:bCs/>
                      <w:szCs w:val="24"/>
                      <w:lang w:val="en-GB"/>
                    </w:rPr>
                    <w:t>. Projekto iniciatoriai:</w:t>
                  </w:r>
                  <w:r>
                    <w:rPr>
                      <w:bCs/>
                      <w:szCs w:val="24"/>
                      <w:shd w:val="clear" w:color="auto" w:fill="FFFFFF"/>
                      <w:lang w:val="en-GB"/>
                    </w:rPr>
                    <w:t xml:space="preserve"> </w:t>
                  </w:r>
                  <w:r>
                    <w:rPr>
                      <w:bCs/>
                      <w:szCs w:val="24"/>
                      <w:shd w:val="clear" w:color="auto" w:fill="FFFFFF"/>
                    </w:rPr>
                    <w:t xml:space="preserve">administracijos </w:t>
                  </w:r>
                  <w:r>
                    <w:rPr>
                      <w:bCs/>
                      <w:szCs w:val="24"/>
                    </w:rPr>
                    <w:t>Švietimo skyrius</w:t>
                  </w:r>
                  <w:r>
                    <w:rPr>
                      <w:bCs/>
                      <w:szCs w:val="24"/>
                      <w:shd w:val="clear" w:color="auto" w:fill="FFFFFF"/>
                    </w:rPr>
                    <w:t xml:space="preserve"> ir ikimokyklinio ugdymo įstaigų vadovai. </w:t>
                  </w:r>
                </w:p>
                <w:p w14:paraId="0FC51694" w14:textId="67F1C8F6">
                  <w:pPr>
                    <w:tabs>
                      <w:tab w:val="left" w:pos="426"/>
                    </w:tabs>
                    <w:ind w:firstLine="426"/>
                    <w:jc w:val="both"/>
                    <w:rPr>
                      <w:bCs/>
                      <w:szCs w:val="24"/>
                      <w:shd w:val="clear" w:color="auto" w:fill="FFFFFF"/>
                    </w:rPr>
                  </w:pPr>
                </w:p>
                <w:p w14:paraId="3EBB7730" w14:textId="77777777">
                  <w:pPr>
                    <w:tabs>
                      <w:tab w:val="left" w:pos="855"/>
                    </w:tabs>
                    <w:ind w:firstLine="62"/>
                    <w:jc w:val="both"/>
                    <w:rPr>
                      <w:szCs w:val="24"/>
                      <w:shd w:val="clear" w:color="auto" w:fill="FFFFFF"/>
                    </w:rPr>
                  </w:pPr>
                </w:p>
                <w:p w14:paraId="5B3B0CE7" w14:textId="77777777">
                  <w:pPr>
                    <w:tabs>
                      <w:tab w:val="left" w:pos="855"/>
                    </w:tabs>
                    <w:jc w:val="both"/>
                    <w:rPr>
                      <w:szCs w:val="24"/>
                      <w:shd w:val="clear" w:color="auto" w:fill="FFFFFF"/>
                    </w:rPr>
                  </w:pPr>
                </w:p>
              </w:sdtContent>
            </w:sdt>
          </w:sdtContent>
        </w:sdt>
        <w:sdt>
          <w:sdtPr>
            <w:alias w:val="signatura"/>
            <w:tag w:val="part_9b705446a02d42819dded44be3550b39"/>
            <w:lock w:val="sdtLocked"/>
            <w:richText/>
          </w:sdtPr>
          <w:sdtContent>
            <w:p w14:paraId="22343068" w14:textId="38D840CF">
              <w:pPr>
                <w:tabs>
                  <w:tab w:val="left" w:pos="855"/>
                </w:tabs>
                <w:ind w:firstLine="62"/>
                <w:jc w:val="both"/>
                <w:rPr>
                  <w:rFonts w:ascii="Thorndale" w:eastAsia="HG Mincho Light J" w:hAnsi="Thorndale"/>
                  <w:color w:val="000000"/>
                  <w:szCs w:val="24"/>
                  <w:lang w:eastAsia="lt-LT"/>
                </w:rPr>
              </w:pPr>
              <w:r>
                <w:rPr>
                  <w:rFonts w:ascii="Thorndale" w:eastAsia="HG Mincho Light J" w:hAnsi="Thorndale"/>
                  <w:color w:val="000000"/>
                  <w:szCs w:val="24"/>
                  <w:lang w:eastAsia="lt-LT"/>
                </w:rPr>
                <w:t>L. e. p. Skyriaus ved</w:t>
              </w:r>
              <w:r>
                <w:rPr>
                  <w:rFonts w:ascii="Thorndale" w:eastAsia="HG Mincho Light J" w:hAnsi="Thorndale" w:hint="cs"/>
                  <w:color w:val="000000"/>
                  <w:szCs w:val="24"/>
                  <w:lang w:eastAsia="lt-LT"/>
                </w:rPr>
                <w:t>ė</w:t>
              </w:r>
              <w:r>
                <w:rPr>
                  <w:rFonts w:ascii="Thorndale" w:eastAsia="HG Mincho Light J" w:hAnsi="Thorndale"/>
                  <w:color w:val="000000"/>
                  <w:szCs w:val="24"/>
                  <w:lang w:eastAsia="lt-LT"/>
                </w:rPr>
                <w:t xml:space="preserve">ja                                                                                Ramut</w:t>
              </w:r>
              <w:r>
                <w:rPr>
                  <w:rFonts w:ascii="Thorndale" w:eastAsia="HG Mincho Light J" w:hAnsi="Thorndale" w:hint="cs"/>
                  <w:color w:val="000000"/>
                  <w:szCs w:val="24"/>
                  <w:lang w:eastAsia="lt-LT"/>
                </w:rPr>
                <w:t>ė</w:t>
              </w:r>
              <w:r>
                <w:rPr>
                  <w:rFonts w:ascii="Thorndale" w:eastAsia="HG Mincho Light J" w:hAnsi="Thorndale"/>
                  <w:color w:val="000000"/>
                  <w:szCs w:val="24"/>
                  <w:lang w:eastAsia="lt-LT"/>
                </w:rPr>
                <w:t xml:space="preserve"> Pilypien</w:t>
              </w:r>
              <w:r>
                <w:rPr>
                  <w:rFonts w:ascii="Thorndale" w:eastAsia="HG Mincho Light J" w:hAnsi="Thorndale" w:hint="cs"/>
                  <w:color w:val="000000"/>
                  <w:szCs w:val="24"/>
                  <w:lang w:eastAsia="lt-LT"/>
                </w:rPr>
                <w:t>ė</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code="9"/>
      <w:pgMar w:top="567" w:right="850" w:bottom="851" w:left="1701" w:header="380" w:footer="856" w:gutter="0"/>
      <w:cols w:space="720"/>
      <w:titlePg/>
      <w:docGrid w:linePitch="2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1F95962" w14:textId="77777777">
      <w:pPr>
        <w:rPr>
          <w:szCs w:val="24"/>
          <w:lang w:val="en-GB"/>
        </w:rPr>
      </w:pPr>
      <w:r>
        <w:rPr>
          <w:szCs w:val="24"/>
          <w:lang w:val="en-GB"/>
        </w:rPr>
        <w:separator/>
      </w:r>
    </w:p>
  </w:endnote>
  <w:endnote w:type="continuationSeparator" w:id="0">
    <w:p w14:paraId="22BFDFF1" w14:textId="77777777">
      <w:pPr>
        <w:rPr>
          <w:szCs w:val="24"/>
          <w:lang w:val="en-GB"/>
        </w:rPr>
      </w:pPr>
      <w:r>
        <w:rPr>
          <w:szCs w:val="24"/>
          <w:lang w:val="en-GB"/>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HG Mincho Light J">
    <w:altName w:val="Times New Roman"/>
    <w:charset w:val="BA"/>
    <w:family w:val="auto"/>
    <w:pitch w:val="variable"/>
  </w:font>
  <w:font w:name="Arial Unicode MS">
    <w:panose1 w:val="020B0604020202020204"/>
    <w:charset w:val="80"/>
    <w:family w:val="swiss"/>
    <w:pitch w:val="variable"/>
    <w:sig w:usb0="F7FFAFFF" w:usb1="E9DFFFFF" w:usb2="0000003F" w:usb3="00000000" w:csb0="003F01FF" w:csb1="00000000"/>
  </w:font>
  <w:font w:name="Thorndale">
    <w:altName w:val="Times New Roman"/>
    <w:charset w:val="BA"/>
    <w:family w:val="roman"/>
    <w:pitch w:val="variable"/>
  </w:font>
  <w:font w:name="Calibri Light">
    <w:panose1 w:val="020F0302020204030204"/>
    <w:charset w:val="BA"/>
    <w:family w:val="swiss"/>
    <w:pitch w:val="variable"/>
    <w:sig w:usb0="E4002EFF" w:usb1="C200247B" w:usb2="00000009" w:usb3="00000000" w:csb0="000001FF" w:csb1="00000000"/>
  </w:font>
  <w:font w:name="Calibri">
    <w:panose1 w:val="020F05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6C2E80" w14:textId="77777777">
    <w:pPr>
      <w:tabs>
        <w:tab w:val="center" w:pos="4986"/>
        <w:tab w:val="right" w:pos="9972"/>
      </w:tabs>
      <w:rPr>
        <w:szCs w:val="24"/>
        <w:lang w:val="en-GB"/>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DC09D12" w14:textId="77777777">
    <w:pPr>
      <w:tabs>
        <w:tab w:val="center" w:pos="4986"/>
        <w:tab w:val="right" w:pos="9972"/>
      </w:tabs>
      <w:rPr>
        <w:szCs w:val="24"/>
        <w:lang w:val="en-GB"/>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DC0E584" w14:textId="77777777">
    <w:pPr>
      <w:tabs>
        <w:tab w:val="center" w:pos="4986"/>
        <w:tab w:val="right" w:pos="9972"/>
      </w:tabs>
      <w:rPr>
        <w:szCs w:val="24"/>
        <w:lang w:val="en-GB"/>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B0059EA" w14:textId="77777777">
      <w:pPr>
        <w:rPr>
          <w:szCs w:val="24"/>
          <w:lang w:val="en-GB"/>
        </w:rPr>
      </w:pPr>
      <w:r>
        <w:rPr>
          <w:szCs w:val="24"/>
          <w:lang w:val="en-GB"/>
        </w:rPr>
        <w:separator/>
      </w:r>
    </w:p>
  </w:footnote>
  <w:footnote w:type="continuationSeparator" w:id="0">
    <w:p w14:paraId="5D9266F8" w14:textId="77777777">
      <w:pPr>
        <w:rPr>
          <w:szCs w:val="24"/>
          <w:lang w:val="en-GB"/>
        </w:rPr>
      </w:pPr>
      <w:r>
        <w:rPr>
          <w:szCs w:val="24"/>
          <w:lang w:val="en-GB"/>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EF31D2E" w14:textId="1FCFAF26">
    <w:pPr>
      <w:framePr w:wrap="auto" w:vAnchor="text" w:hAnchor="margin" w:xAlign="center" w:y="1"/>
      <w:tabs>
        <w:tab w:val="center" w:pos="4320"/>
        <w:tab w:val="right" w:pos="8640"/>
      </w:tabs>
      <w:rPr>
        <w:lang w:val="x-none" w:eastAsia="x-none"/>
      </w:rPr>
    </w:pPr>
    <w:r>
      <w:rPr>
        <w:lang w:val="x-none" w:eastAsia="x-none"/>
      </w:rPr>
      <w:fldChar w:fldCharType="begin"/>
    </w:r>
    <w:r>
      <w:rPr>
        <w:lang w:val="x-none" w:eastAsia="x-none"/>
      </w:rPr>
      <w:instrText xml:space="preserve">PAGE  </w:instrText>
    </w:r>
    <w:r>
      <w:rPr>
        <w:lang w:val="x-none" w:eastAsia="x-none"/>
      </w:rPr>
      <w:fldChar w:fldCharType="separate"/>
    </w:r>
    <w:r>
      <w:rPr>
        <w:lang w:val="x-none" w:eastAsia="x-none"/>
      </w:rPr>
      <w:t>2</w:t>
    </w:r>
    <w:r>
      <w:rPr>
        <w:lang w:val="x-none" w:eastAsia="x-none"/>
      </w:rPr>
      <w:fldChar w:fldCharType="end"/>
    </w:r>
  </w:p>
  <w:p w14:paraId="1FB333EC" w14:textId="77777777">
    <w:pPr>
      <w:tabs>
        <w:tab w:val="center" w:pos="4320"/>
        <w:tab w:val="right" w:pos="8640"/>
      </w:tabs>
      <w:rPr>
        <w:lang w:val="x-none" w:eastAsia="x-none"/>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8D743A" w14:textId="77777777">
    <w:pPr>
      <w:tabs>
        <w:tab w:val="center" w:pos="4320"/>
        <w:tab w:val="right" w:pos="8640"/>
      </w:tabs>
      <w:jc w:val="center"/>
      <w:rPr>
        <w:lang w:val="x-none" w:eastAsia="x-none"/>
      </w:rPr>
    </w:pPr>
    <w:r>
      <w:rPr>
        <w:lang w:val="x-none" w:eastAsia="x-none"/>
      </w:rPr>
      <w:fldChar w:fldCharType="begin"/>
    </w:r>
    <w:r>
      <w:rPr>
        <w:lang w:val="x-none" w:eastAsia="x-none"/>
      </w:rPr>
      <w:instrText>PAGE   \* MERGEFORMAT</w:instrText>
    </w:r>
    <w:r>
      <w:rPr>
        <w:lang w:val="x-none" w:eastAsia="x-none"/>
      </w:rPr>
      <w:fldChar w:fldCharType="separate"/>
    </w:r>
    <w:r>
      <w:rPr>
        <w:lang w:val="x-none" w:eastAsia="x-none"/>
      </w:rPr>
      <w:t>2</w:t>
    </w:r>
    <w:r>
      <w:rPr>
        <w:lang w:val="x-none" w:eastAsia="x-none"/>
      </w:rPr>
      <w:fldChar w:fldCharType="end"/>
    </w:r>
  </w:p>
  <w:p w14:paraId="39B0B43B" w14:textId="77777777">
    <w:pPr>
      <w:tabs>
        <w:tab w:val="center" w:pos="4320"/>
        <w:tab w:val="right" w:pos="8640"/>
      </w:tabs>
      <w:rPr>
        <w:lang w:val="x-none" w:eastAsia="x-none"/>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E85C040" w14:textId="77777777">
    <w:pPr>
      <w:tabs>
        <w:tab w:val="center" w:pos="4320"/>
        <w:tab w:val="right" w:pos="8640"/>
      </w:tabs>
      <w:rPr>
        <w:lang w:val="x-none" w:eastAsia="x-none"/>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5780F"/>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2E951E"/>
  <w15:chartTrackingRefBased/>
  <w15:docId w15:val="{0EEA48E8-9A65-4DCD-89D5-AA26F7AA724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318341002">
      <w:bodyDiv w:val="1"/>
      <w:marLeft w:val="0"/>
      <w:marRight w:val="0"/>
      <w:marTop w:val="0"/>
      <w:marBottom w:val="0"/>
      <w:divBdr>
        <w:top w:val="none" w:sz="0" w:space="0" w:color="auto"/>
        <w:left w:val="none" w:sz="0" w:space="0" w:color="auto"/>
        <w:bottom w:val="none" w:sz="0" w:space="0" w:color="auto"/>
        <w:right w:val="none" w:sz="0" w:space="0" w:color="auto"/>
      </w:divBdr>
    </w:div>
    <w:div w:id="454181004">
      <w:bodyDiv w:val="1"/>
      <w:marLeft w:val="0"/>
      <w:marRight w:val="0"/>
      <w:marTop w:val="0"/>
      <w:marBottom w:val="0"/>
      <w:divBdr>
        <w:top w:val="none" w:sz="0" w:space="0" w:color="auto"/>
        <w:left w:val="none" w:sz="0" w:space="0" w:color="auto"/>
        <w:bottom w:val="none" w:sz="0" w:space="0" w:color="auto"/>
        <w:right w:val="none" w:sz="0" w:space="0" w:color="auto"/>
      </w:divBdr>
    </w:div>
    <w:div w:id="10156926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578bdda3cf474643a596dbce8757f507" PartId="4b6a68ad58cf40098ab964e4ed8ccd1f">
    <Part Type="skyrius" Nr="999" Title="SPRENDIMO „DĖL ŠIAULIŲ MIESTO SAVIVALDYBĖS TARYBOS 2022 M. LIEPOS 7 D. SPRENDIMO NR. T-304 „DĖL ATLYGINIMO UŽ VAIKŲ, UGDOMŲ PAGAL IKIMOKYKLINIO IR PRIEŠMOKYKLINIO UGDYMO PROGRAMAS, IŠLAIKYMĄ ŠIAULIŲ MIESTO SAVIVALDYBĖS ŠVIETIMO ĮSTAIGOSE NUSTATYMO TVARKOS APRAŠO PATVIRTINIMO“ PAKEITIMO“ PROJEKTO AIŠKINAMASIS RAŠTAS" DocPartId="005bb7fc29554bee83d7b7c7f300b896" PartId="8cdbe7529857451eb3a0fc5e78a5f687">
      <Part Type="poskyris" Title="Parengto sprendimo projekto tikslai ir uždaviniai." DocPartId="0639be1b017f435090808ab78894d9df" PartId="5494c1877f8741328da1110619518f71"/>
      <Part Type="poskyris" Title="Dabartinis sprendimo projekte aptariamų klausimų reguliavimas." DocPartId="fe00805fc1534a7f953c5998ea4383a0" PartId="298de1efbfe3420ca38cbc18e076c29d"/>
      <Part Type="poskyris" Title="Sprendimo projekte numatytos naujos teisinio reglamentavimo nuostatos." DocPartId="588c8ae28a434bfd89e862253a285d6e" PartId="839f9c5b61644db99b3656d8708fb396"/>
      <Part Type="poskyris" Title="Priėmus sprendimą, galimos pasekmės" DocPartId="ecae34cefc7e42fc99160d42472bebe3" PartId="3aea64140a944a7e8dc7b16153de4335"/>
      <Part Type="poskyris" Title="Priėmus sprendimą, keičiami ar pripažįstami negaliojančiais teisės aktai." DocPartId="592fb15ca99b48a388fbda1278960d65" PartId="d14f0d47ea1b456c894c60aa588cfa42"/>
      <Part Type="poskyris" Title="Sprendimui įgyvendinti reikalingi priimti papildomi teisės aktai." DocPartId="7b9e018498174c9d97c10ee2309ca87b" PartId="8bc4e96177f34559baa891f7257fc003"/>
      <Part Type="poskyris" Title="Sprendimui įgyvendinti reikalingos lėšos." DocPartId="0243ad506e4c49adb05b2480aca8b788" PartId="b368028671a641798e88074a7d1bb9de"/>
      <Part Type="poskyris" Title="Sprendimo projekto antikorupcinis vertinimas" DocPartId="da2a868016e2499ba64667d3f87394bb" PartId="0404a658cf6448df97b0528d0710a25b"/>
    </Part>
    <Part Type="signatura" DocPartId="5ec159fd5ab243eeaeea34b12ffe2b91" PartId="9b705446a02d42819dded44be3550b39"/>
  </Part>
</Parts>
</file>

<file path=customXml/itemProps1.xml><?xml version="1.0" encoding="utf-8"?>
<ds:datastoreItem xmlns:ds="http://schemas.openxmlformats.org/officeDocument/2006/customXml" ds:itemID="{F11ED88E-A410-4C12-B991-140D62DEEAF5}">
  <ds:schemaRefs>
    <ds:schemaRef ds:uri="http://schemas.openxmlformats.org/officeDocument/2006/bibliography"/>
  </ds:schemaRefs>
</ds:datastoreItem>
</file>

<file path=customXml/itemProps2.xml><?xml version="1.0" encoding="utf-8"?>
<ds:datastoreItem xmlns:ds="http://schemas.openxmlformats.org/officeDocument/2006/customXml" ds:itemID="{6A1AC719-3E89-4890-8807-9529D102F47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1040</Words>
  <Characters>7479</Characters>
  <Application>Microsoft Office Word</Application>
  <DocSecurity>4</DocSecurity>
  <Lines>122</Lines>
  <Paragraphs>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ŠIAULIŲ MIESTO SAVIVALDYBĖS ADMINISTRACIJOS</vt:lpstr>
      <vt:lpstr>ŠIAULIŲ MIESTO SAVIVALDYBĖS ADMINISTRACIJOS</vt:lpstr>
    </vt:vector>
  </TitlesOfParts>
  <Company/>
  <LinksUpToDate>false</LinksUpToDate>
  <CharactersWithSpaces>8478</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2025-11-17T13:55:00Z</dcterms:created>
  <dc:creator>Dovilė Žukauskienė</dc:creator>
  <lastModifiedBy>adlibuser</lastModifiedBy>
  <lastPrinted>2025-11-13T14:13:00Z</lastPrinted>
  <dcterms:modified xsi:type="dcterms:W3CDTF">2025-11-17T13:55:00Z</dcterms:modified>
  <revision>2</revision>
  <dc:title>ŠIAULIŲ MIESTO SAVIVALDYBĖS ADMINISTRACIJOS</dc:title>
</coreProperties>
</file>