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38a1671d364d23a69a57af13da8425"/>
        <w:lock w:val="sdtLocked"/>
        <w:richText/>
      </w:sdtPr>
      <w:sdtContent>
        <w:p>
          <w:pPr>
            <w:tabs>
              <w:tab w:val="center" w:pos="4819"/>
              <w:tab w:val="right" w:pos="9638"/>
            </w:tabs>
          </w:pPr>
        </w:p>
        <w:p>
          <w:pPr>
            <w:jc w:val="center"/>
            <w:rPr>
              <w:b/>
              <w:szCs w:val="24"/>
            </w:rPr>
          </w:pPr>
          <w:r>
            <w:rPr>
              <w:b/>
              <w:szCs w:val="24"/>
            </w:rPr>
            <w:t>RADVILIŠKIO RAJONO SAVIVALDYBĖS</w:t>
          </w:r>
        </w:p>
        <w:p>
          <w:pPr>
            <w:jc w:val="center"/>
            <w:rPr>
              <w:szCs w:val="24"/>
            </w:rPr>
          </w:pPr>
          <w:r>
            <w:rPr>
              <w:b/>
              <w:szCs w:val="24"/>
            </w:rPr>
            <w:t>2025 M. VEIKLOS ATASKAITA</w:t>
          </w:r>
        </w:p>
        <w:p>
          <w:pPr>
            <w:jc w:val="center"/>
            <w:rPr>
              <w:szCs w:val="24"/>
            </w:rPr>
          </w:pPr>
        </w:p>
        <w:p>
          <w:pPr>
            <w:jc w:val="center"/>
            <w:rPr>
              <w:b/>
              <w:caps/>
              <w:szCs w:val="24"/>
            </w:rPr>
          </w:pPr>
          <w:r>
            <w:rPr>
              <w:b/>
              <w:caps/>
              <w:szCs w:val="24"/>
            </w:rPr>
            <w:t>Radviliškio rajono savivaldybės mero Kazimiero Račkauskio pranešimas</w:t>
          </w:r>
        </w:p>
        <w:p>
          <w:pPr>
            <w:jc w:val="center"/>
            <w:rPr>
              <w:b/>
              <w:caps/>
              <w:szCs w:val="24"/>
            </w:rPr>
          </w:pPr>
        </w:p>
        <w:p>
          <w:pPr>
            <w:jc w:val="center"/>
            <w:rPr>
              <w:b/>
              <w:bCs/>
              <w:szCs w:val="24"/>
            </w:rPr>
          </w:pPr>
          <w:r>
            <w:rPr>
              <w:b/>
              <w:bCs/>
              <w:szCs w:val="24"/>
            </w:rPr>
            <w:t>Radviliškio rajonas 2025-aisiais: investicijų proveržis ir kryptingas pasirengimas ateičiai</w:t>
          </w:r>
        </w:p>
        <w:p>
          <w:pPr>
            <w:rPr>
              <w:szCs w:val="24"/>
            </w:rPr>
          </w:pPr>
        </w:p>
        <w:p>
          <w:pPr>
            <w:jc w:val="center"/>
            <w:rPr>
              <w:szCs w:val="24"/>
            </w:rPr>
          </w:pPr>
          <w:r>
            <w:rPr>
              <w:szCs w:val="24"/>
              <w:lang w:val="en-US"/>
            </w:rPr>
            <w:drawing>
              <wp:inline distT="0" distB="0" distL="0" distR="0" wp14:anchorId="4ACF06B5" wp14:editId="5183FFD8">
                <wp:extent cx="3600450" cy="2722001"/>
                <wp:effectExtent l="0" t="0" r="0" b="2540"/>
                <wp:docPr id="413359449"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17927" cy="2735214"/>
                        </a:xfrm>
                        <a:prstGeom prst="rect">
                          <a:avLst/>
                        </a:prstGeom>
                        <a:noFill/>
                        <a:ln>
                          <a:noFill/>
                        </a:ln>
                      </pic:spPr>
                    </pic:pic>
                  </a:graphicData>
                </a:graphic>
              </wp:inline>
            </w:drawing>
          </w:r>
        </w:p>
        <w:p>
          <w:pPr>
            <w:rPr>
              <w:szCs w:val="24"/>
            </w:rPr>
          </w:pPr>
        </w:p>
        <w:sdt>
          <w:sdtPr>
            <w:alias w:val="preambule"/>
            <w:tag w:val="part_76866142d0b04783bb65c8059d53bdd6"/>
            <w:lock w:val="sdtLocked"/>
            <w:richText/>
          </w:sdtPr>
          <w:sdtContent>
            <w:p>
              <w:pPr>
                <w:rPr>
                  <w:szCs w:val="24"/>
                </w:rPr>
              </w:pPr>
              <w:r>
                <w:rPr>
                  <w:szCs w:val="24"/>
                </w:rPr>
                <w:t>2025 metai Radviliškio rajono savivaldybei buvo stabilūs ir rezultatyvūs. Įgyvendinant Strateginiame plėtros plane ir Strateginiame veiklos plane numatytas priemones, pasiekti pagrindiniai veiklos tikslai ir uždaviniai. Tai leido užtikrinti sklandų Savivaldybės įstaigų ir įmonių darbą, nepertraukiamą būtinųjų paslaugų teikimą gyventojams, laiku įvykdyti suplanuotus darbus ir finansinius metus užbaigti be įsiskolinimų.</w:t>
              </w:r>
            </w:p>
            <w:p>
              <w:pPr>
                <w:rPr>
                  <w:szCs w:val="24"/>
                </w:rPr>
              </w:pPr>
            </w:p>
          </w:sdtContent>
        </w:sdt>
        <w:sdt>
          <w:sdtPr>
            <w:alias w:val="pastraipa"/>
            <w:tag w:val="part_fcc27deb4d1c4ade9dc3f4c629ec45d2"/>
            <w:lock w:val="sdtLocked"/>
            <w:richText/>
          </w:sdtPr>
          <w:sdtContent>
            <w:p>
              <w:pPr>
                <w:rPr>
                  <w:szCs w:val="24"/>
                </w:rPr>
              </w:pPr>
              <w:r>
                <w:rPr>
                  <w:szCs w:val="24"/>
                </w:rPr>
                <w:t>Per ataskaitinį laikotarpį priimta daug rajono gyventojams svarbių sprendimų įvairiose srityse – nuo infrastruktūros ir ekonomikos iki socialinės apsaugos, švietimo bei sveikatos priežiūros. Šie sprendimai prisidėjo prie gyvenimo kokybės gerinimo ir nuoseklios rajono plėtros.</w:t>
              </w:r>
            </w:p>
            <w:p>
              <w:pPr>
                <w:rPr>
                  <w:szCs w:val="24"/>
                </w:rPr>
              </w:pPr>
            </w:p>
          </w:sdtContent>
        </w:sdt>
        <w:sdt>
          <w:sdtPr>
            <w:alias w:val="skirsnis"/>
            <w:tag w:val="part_589f8becd69644d4bd1244a35f452c41"/>
            <w:lock w:val="sdtLocked"/>
            <w:richText/>
          </w:sdtPr>
          <w:sdtContent>
            <w:p>
              <w:pPr>
                <w:jc w:val="center"/>
                <w:rPr>
                  <w:b/>
                  <w:bCs/>
                  <w:szCs w:val="24"/>
                </w:rPr>
              </w:pPr>
              <w:sdt>
                <w:sdtPr>
                  <w:alias w:val="Pavadinimas"/>
                  <w:tag w:val="title_589f8becd69644d4bd1244a35f452c41"/>
                  <w:lock w:val="sdtLocked"/>
                  <w:richText/>
                </w:sdtPr>
                <w:sdtContent>
                  <w:r>
                    <w:rPr>
                      <w:b/>
                      <w:bCs/>
                      <w:szCs w:val="24"/>
                    </w:rPr>
                    <w:t>Investicijų proveržis – reikšmingas žingsnis rajono ekonomikai</w:t>
                  </w:r>
                </w:sdtContent>
              </w:sdt>
            </w:p>
            <w:p>
              <w:pPr>
                <w:rPr>
                  <w:szCs w:val="24"/>
                </w:rPr>
              </w:pPr>
            </w:p>
            <w:p>
              <w:pPr>
                <w:rPr>
                  <w:szCs w:val="24"/>
                </w:rPr>
              </w:pPr>
              <w:r>
                <w:rPr>
                  <w:szCs w:val="24"/>
                </w:rPr>
                <w:t>2025 metai Radviliškio rajonui tapo lūžio tašku ekonominės plėtros srityje. Kryptingas darbas, siekiant pritraukti investicijas, davė aiškių rezultatų – rajone pradėjo veikti nauji pramonės objektai, o dalies jų statybos darbai jau įsibėgėja.</w:t>
              </w:r>
            </w:p>
            <w:p>
              <w:pPr>
                <w:rPr>
                  <w:szCs w:val="24"/>
                </w:rPr>
              </w:pPr>
            </w:p>
            <w:p>
              <w:pPr>
                <w:rPr>
                  <w:szCs w:val="24"/>
                </w:rPr>
              </w:pPr>
              <w:r>
                <w:rPr>
                  <w:szCs w:val="24"/>
                </w:rPr>
                <w:t xml:space="preserve">Gruodžio mėnesį Šeduvos pašonėje veiklą pradėjo gamykla „JPackaging“, į kurią investuota ne mažiau kaip 20 milijonų eurų ir kurioje dirbs apie 150 žmonių. </w:t>
              </w:r>
            </w:p>
            <w:p>
              <w:pPr>
                <w:rPr>
                  <w:szCs w:val="24"/>
                </w:rPr>
              </w:pPr>
            </w:p>
            <w:p>
              <w:pPr>
                <w:rPr>
                  <w:szCs w:val="24"/>
                </w:rPr>
              </w:pPr>
              <w:r>
                <w:rPr>
                  <w:szCs w:val="24"/>
                </w:rPr>
                <w:t xml:space="preserve">Metų pabaigoje duris atvėrė didžiausias ir moderniausias Europoje „Agrokoncerno grupės“ gyvulininkystės kompleksas, į kurį investuota 78 milijonai eurų ir bus sukurta 50 darbo vietų. </w:t>
              </w:r>
            </w:p>
            <w:p>
              <w:pPr>
                <w:rPr>
                  <w:szCs w:val="24"/>
                </w:rPr>
              </w:pPr>
            </w:p>
            <w:p>
              <w:pPr>
                <w:rPr>
                  <w:szCs w:val="24"/>
                </w:rPr>
              </w:pPr>
              <w:r>
                <w:rPr>
                  <w:szCs w:val="24"/>
                </w:rPr>
                <w:t>Lapkričio 4 dieną šalia Baisogalos pradėta statyti „Rheinmetall“ amunicijos gamykla – vienas didžiausių investicinių projektų Lietuvoje, kurio vertė siekia apie 300 milijonų eurų ir kuris sukurs dar 250 darbo vietų.</w:t>
              </w:r>
            </w:p>
            <w:p>
              <w:pPr>
                <w:rPr>
                  <w:szCs w:val="24"/>
                </w:rPr>
              </w:pPr>
            </w:p>
            <w:p>
              <w:pPr>
                <w:rPr>
                  <w:szCs w:val="24"/>
                </w:rPr>
              </w:pPr>
              <w:r>
                <w:rPr>
                  <w:szCs w:val="24"/>
                </w:rPr>
                <w:t>Šie projektai rodo, kad Radviliškio rajonas tampa patikima ir patrauklia vieta investuotojams. Tai įvertinta ir nacionaliniu mastu – Savivaldybei skirta „Auksinė krivūlė“ už atvirumą investicijoms. Šis įvertinimas liudija nuoseklų ir kryptingą darbą, stiprinant rajono ekonominį potencialą.</w:t>
              </w:r>
            </w:p>
            <w:p>
              <w:pPr>
                <w:rPr>
                  <w:szCs w:val="24"/>
                </w:rPr>
              </w:pPr>
            </w:p>
          </w:sdtContent>
        </w:sdt>
        <w:sdt>
          <w:sdtPr>
            <w:alias w:val="skirsnis"/>
            <w:tag w:val="part_2305c6b4558747d8916ec1189f62d715"/>
            <w:lock w:val="sdtLocked"/>
            <w:richText/>
          </w:sdtPr>
          <w:sdtContent>
            <w:p>
              <w:pPr>
                <w:jc w:val="center"/>
                <w:rPr>
                  <w:b/>
                  <w:bCs/>
                  <w:szCs w:val="24"/>
                </w:rPr>
              </w:pPr>
              <w:sdt>
                <w:sdtPr>
                  <w:alias w:val="Pavadinimas"/>
                  <w:tag w:val="title_2305c6b4558747d8916ec1189f62d715"/>
                  <w:lock w:val="sdtLocked"/>
                  <w:richText/>
                </w:sdtPr>
                <w:sdtContent>
                  <w:r>
                    <w:rPr>
                      <w:b/>
                      <w:bCs/>
                      <w:szCs w:val="24"/>
                    </w:rPr>
                    <w:t>Šeduvos muziejus – kultūrinė investicija su tarptautiniu rezonansu</w:t>
                  </w:r>
                </w:sdtContent>
              </w:sdt>
            </w:p>
            <w:p>
              <w:pPr>
                <w:rPr>
                  <w:szCs w:val="24"/>
                </w:rPr>
              </w:pPr>
            </w:p>
            <w:p>
              <w:pPr>
                <w:rPr>
                  <w:szCs w:val="24"/>
                </w:rPr>
              </w:pPr>
              <w:r>
                <w:rPr>
                  <w:szCs w:val="24"/>
                </w:rPr>
                <w:t>Vienu ryškiausių 2025 metų įvykių tapo Šeduvoje duris atvėręs muziejus „Dingęs štetlas“. Tai išskirtinis projektas ne tik rajono, bet ir visos Lietuvos mastu.</w:t>
              </w:r>
            </w:p>
            <w:p>
              <w:pPr>
                <w:rPr>
                  <w:szCs w:val="24"/>
                </w:rPr>
              </w:pPr>
            </w:p>
            <w:p>
              <w:pPr>
                <w:rPr>
                  <w:szCs w:val="24"/>
                </w:rPr>
              </w:pPr>
              <w:r>
                <w:rPr>
                  <w:szCs w:val="24"/>
                </w:rPr>
                <w:t>Šis muziejus jau dabar pritraukia lankytojus iš įvairių pasaulio šalių, o Šeduva tampa svarbiu traukos centru tarptautiniame turizmo žemėlapyje. Tai ne tik kultūros objektas, bet ir ilgalaikė investicija į rajono žinomumą, vietos ekonomikos skatinimą bei bendruomenės identiteto stiprinimą.</w:t>
              </w:r>
            </w:p>
            <w:p>
              <w:pPr>
                <w:rPr>
                  <w:szCs w:val="24"/>
                </w:rPr>
              </w:pPr>
            </w:p>
          </w:sdtContent>
        </w:sdt>
        <w:sdt>
          <w:sdtPr>
            <w:alias w:val="skirsnis"/>
            <w:tag w:val="part_093457c9671f477ab9dcf24ca974c9ae"/>
            <w:lock w:val="sdtLocked"/>
            <w:richText/>
          </w:sdtPr>
          <w:sdtContent>
            <w:p>
              <w:pPr>
                <w:jc w:val="center"/>
                <w:rPr>
                  <w:b/>
                  <w:bCs/>
                  <w:szCs w:val="24"/>
                </w:rPr>
              </w:pPr>
              <w:sdt>
                <w:sdtPr>
                  <w:alias w:val="Pavadinimas"/>
                  <w:tag w:val="title_093457c9671f477ab9dcf24ca974c9ae"/>
                  <w:lock w:val="sdtLocked"/>
                  <w:richText/>
                </w:sdtPr>
                <w:sdtContent>
                  <w:r>
                    <w:rPr>
                      <w:b/>
                      <w:bCs/>
                      <w:szCs w:val="24"/>
                    </w:rPr>
                    <w:t>Infrastruktūros gerinimas – dėmesys kasdieniams gyventojų poreikiams</w:t>
                  </w:r>
                </w:sdtContent>
              </w:sdt>
            </w:p>
            <w:p>
              <w:pPr>
                <w:rPr>
                  <w:szCs w:val="24"/>
                </w:rPr>
              </w:pPr>
            </w:p>
            <w:p>
              <w:pPr>
                <w:rPr>
                  <w:szCs w:val="24"/>
                </w:rPr>
              </w:pPr>
              <w:r>
                <w:rPr>
                  <w:szCs w:val="24"/>
                </w:rPr>
                <w:t>Didelis dėmesys 2025 metais skirtas viešosios infrastruktūros gerinimui. Siekta, kad pokyčiai būtų jaučiami kiekvienam gyventojui – tiek mieste, tiek kaimiškose vietovėse.</w:t>
              </w:r>
            </w:p>
            <w:p>
              <w:pPr>
                <w:rPr>
                  <w:szCs w:val="24"/>
                </w:rPr>
              </w:pPr>
            </w:p>
            <w:p>
              <w:pPr>
                <w:rPr>
                  <w:szCs w:val="24"/>
                </w:rPr>
              </w:pPr>
              <w:r>
                <w:rPr>
                  <w:szCs w:val="24"/>
                </w:rPr>
                <w:t>Į kelių priežiūrą, remontą ir plėtrą investuota apie 7,76 mln. eurų. Per metus rajone sutvarkyta beveik 11 kilometrų gatvių ir kelių, prioritetą teikiant gyvenvietėms ir intensyviausiai naudojamoms atkarpoms. Tai prisideda prie saugesnio ir patogesnio susisiekimo bei geresnės gyvenimo kokybės.</w:t>
              </w:r>
            </w:p>
            <w:p>
              <w:pPr>
                <w:rPr>
                  <w:szCs w:val="24"/>
                </w:rPr>
              </w:pPr>
            </w:p>
          </w:sdtContent>
        </w:sdt>
        <w:sdt>
          <w:sdtPr>
            <w:alias w:val="skirsnis"/>
            <w:tag w:val="part_e7a7f76ffb854d4da4b463e47bc77fad"/>
            <w:lock w:val="sdtLocked"/>
            <w:richText/>
          </w:sdtPr>
          <w:sdtContent>
            <w:p>
              <w:pPr>
                <w:jc w:val="center"/>
                <w:rPr>
                  <w:b/>
                  <w:bCs/>
                  <w:szCs w:val="24"/>
                </w:rPr>
              </w:pPr>
              <w:sdt>
                <w:sdtPr>
                  <w:alias w:val="Pavadinimas"/>
                  <w:tag w:val="title_e7a7f76ffb854d4da4b463e47bc77fad"/>
                  <w:lock w:val="sdtLocked"/>
                  <w:richText/>
                </w:sdtPr>
                <w:sdtContent>
                  <w:r>
                    <w:rPr>
                      <w:b/>
                      <w:bCs/>
                      <w:szCs w:val="24"/>
                    </w:rPr>
                    <w:t>Paslaugų kokybė ir prieinamumas – dėmesys žmogui</w:t>
                  </w:r>
                </w:sdtContent>
              </w:sdt>
            </w:p>
            <w:p>
              <w:pPr>
                <w:rPr>
                  <w:szCs w:val="24"/>
                </w:rPr>
              </w:pPr>
            </w:p>
            <w:p>
              <w:pPr>
                <w:rPr>
                  <w:szCs w:val="24"/>
                </w:rPr>
              </w:pPr>
              <w:r>
                <w:rPr>
                  <w:szCs w:val="24"/>
                </w:rPr>
                <w:t>Savivaldybės veikloje nuosekliai siekiama užtikrinti kokybiškas ir gyventojams prieinamas paslaugas.</w:t>
              </w:r>
            </w:p>
            <w:p>
              <w:pPr>
                <w:rPr>
                  <w:szCs w:val="24"/>
                </w:rPr>
              </w:pPr>
            </w:p>
            <w:p>
              <w:pPr>
                <w:rPr>
                  <w:szCs w:val="24"/>
                </w:rPr>
              </w:pPr>
              <w:r>
                <w:rPr>
                  <w:szCs w:val="24"/>
                </w:rPr>
                <w:t xml:space="preserve">Sveikatos apsaugos srityje 2025 metais stiprinta tiek infrastruktūra, tiek paslaugų prieinamumas. Radviliškio ligoninėje įsigyta nauja medicinos įranga akių ligų diagnostikai ir gydymui. Atnaujinta Radviliškio ligoninės virtuvė ir pagalbinės patalpos, nupirkta nauja virtuvės įranga ir indai, todėl gydymo įstaiga pati pradėjo ruošti maistą savo pacientams. </w:t>
              </w:r>
            </w:p>
            <w:p>
              <w:pPr>
                <w:rPr>
                  <w:szCs w:val="24"/>
                </w:rPr>
              </w:pPr>
            </w:p>
            <w:p>
              <w:pPr>
                <w:rPr>
                  <w:szCs w:val="24"/>
                </w:rPr>
              </w:pPr>
              <w:r>
                <w:rPr>
                  <w:szCs w:val="24"/>
                </w:rPr>
                <w:t xml:space="preserve">Radviliškio pirminės sveikatos priežiūros centre sustiprintos mobilios komandos – jos aprūpintos elektromobiliu ir modernia medicinos įranga, leidžiančia paslaugas teikti pacientų namuose. Numatytas ir tolesnis tokių paslaugų plėtimas Baisogaloje bei Šeduvoje. Atnaujintos Šeduvos pirminės sveikatos priežiūros centro patalpos. </w:t>
              </w:r>
            </w:p>
            <w:p>
              <w:pPr>
                <w:rPr>
                  <w:szCs w:val="24"/>
                </w:rPr>
              </w:pPr>
            </w:p>
            <w:p>
              <w:pPr>
                <w:rPr>
                  <w:szCs w:val="24"/>
                </w:rPr>
              </w:pPr>
              <w:r>
                <w:rPr>
                  <w:szCs w:val="24"/>
                </w:rPr>
                <w:t>Socialinėje srityje priimti sprendimai, orientuoti į šeimų gerovę, socialinių paslaugų plėtrą ir gyvenimo kokybės gerinimą.</w:t>
              </w:r>
            </w:p>
            <w:p>
              <w:pPr>
                <w:rPr>
                  <w:szCs w:val="24"/>
                </w:rPr>
              </w:pPr>
            </w:p>
          </w:sdtContent>
        </w:sdt>
        <w:sdt>
          <w:sdtPr>
            <w:alias w:val="skirsnis"/>
            <w:tag w:val="part_a81ba1414c904c469f4bf47927e08713"/>
            <w:lock w:val="sdtLocked"/>
            <w:richText/>
          </w:sdtPr>
          <w:sdtContent>
            <w:p>
              <w:pPr>
                <w:jc w:val="center"/>
                <w:rPr>
                  <w:b/>
                  <w:bCs/>
                  <w:szCs w:val="24"/>
                </w:rPr>
              </w:pPr>
              <w:sdt>
                <w:sdtPr>
                  <w:alias w:val="Pavadinimas"/>
                  <w:tag w:val="title_a81ba1414c904c469f4bf47927e08713"/>
                  <w:lock w:val="sdtLocked"/>
                  <w:richText/>
                </w:sdtPr>
                <w:sdtContent>
                  <w:r>
                    <w:rPr>
                      <w:b/>
                      <w:bCs/>
                      <w:szCs w:val="24"/>
                    </w:rPr>
                    <w:t>Švietimo įstaigose kuriamos šiuolaikiškos mokymosi erdvės</w:t>
                  </w:r>
                </w:sdtContent>
              </w:sdt>
            </w:p>
            <w:p>
              <w:pPr>
                <w:rPr>
                  <w:szCs w:val="24"/>
                </w:rPr>
              </w:pPr>
            </w:p>
            <w:p>
              <w:pPr>
                <w:rPr>
                  <w:szCs w:val="24"/>
                </w:rPr>
              </w:pPr>
              <w:r>
                <w:rPr>
                  <w:szCs w:val="24"/>
                </w:rPr>
                <w:t xml:space="preserve">Švietimo srityje tęsiamas nuoseklus ugdymo įstaigų atnaujinimas ir modernizavimas – investuojama į mokyklų infrastruktūrą, kuriamos šiuolaikiškos mokymosi erdvės, stiprinamos STEAM veiklos, diegiamos skaitmeninės priemonės. </w:t>
              </w:r>
            </w:p>
            <w:p>
              <w:pPr>
                <w:rPr>
                  <w:szCs w:val="24"/>
                </w:rPr>
              </w:pPr>
            </w:p>
            <w:p>
              <w:pPr>
                <w:rPr>
                  <w:szCs w:val="24"/>
                </w:rPr>
              </w:pPr>
              <w:r>
                <w:rPr>
                  <w:szCs w:val="24"/>
                </w:rPr>
                <w:t xml:space="preserve">Jau prasidėjo Radviliškio Vinco Kudirkos progimnazijos pastato modernizavimo darbai. Gražinos pagrindinėje mokykloje vykdomas projektas, kurio tikslas – pritaikyti visas mokyklos erdves ir aplinką negalią turintiems vaikams. </w:t>
              </w:r>
            </w:p>
            <w:p>
              <w:pPr>
                <w:rPr>
                  <w:szCs w:val="24"/>
                </w:rPr>
              </w:pPr>
            </w:p>
            <w:p>
              <w:pPr>
                <w:rPr>
                  <w:szCs w:val="24"/>
                </w:rPr>
              </w:pPr>
              <w:r>
                <w:rPr>
                  <w:szCs w:val="24"/>
                </w:rPr>
                <w:t xml:space="preserve">Modernizuojamos mokyklų erdvės Radviliškyje, Baisogaloje, Šiaulėnuose, atnaujinamos laboratorijos, įrengiamos naujos mokymosi ir kūrybinės erdvės. </w:t>
              </w:r>
            </w:p>
            <w:p>
              <w:pPr>
                <w:rPr>
                  <w:szCs w:val="24"/>
                </w:rPr>
              </w:pPr>
            </w:p>
            <w:p>
              <w:pPr>
                <w:rPr>
                  <w:szCs w:val="24"/>
                </w:rPr>
              </w:pPr>
              <w:r>
                <w:rPr>
                  <w:szCs w:val="24"/>
                </w:rPr>
                <w:t>Iš pagrindų atnaujinta Šeduvos gimnazija tapo pavyzdžiu visai Lietuvai, joje sukurtos puikios sąlygos ne tik mokytis mokiniams bet ir dirbti mokytojams.</w:t>
              </w:r>
            </w:p>
            <w:p>
              <w:pPr>
                <w:rPr>
                  <w:szCs w:val="24"/>
                </w:rPr>
              </w:pPr>
            </w:p>
          </w:sdtContent>
        </w:sdt>
        <w:sdt>
          <w:sdtPr>
            <w:alias w:val="skirsnis"/>
            <w:tag w:val="part_a0cfe7be139c4c8eae42bee16b5ff4ba"/>
            <w:lock w:val="sdtLocked"/>
            <w:richText/>
          </w:sdtPr>
          <w:sdtContent>
            <w:p>
              <w:pPr>
                <w:jc w:val="center"/>
                <w:rPr>
                  <w:b/>
                  <w:bCs/>
                  <w:szCs w:val="24"/>
                </w:rPr>
              </w:pPr>
              <w:sdt>
                <w:sdtPr>
                  <w:alias w:val="Pavadinimas"/>
                  <w:tag w:val="title_a0cfe7be139c4c8eae42bee16b5ff4ba"/>
                  <w:lock w:val="sdtLocked"/>
                  <w:richText/>
                </w:sdtPr>
                <w:sdtContent>
                  <w:r>
                    <w:rPr>
                      <w:b/>
                      <w:bCs/>
                      <w:szCs w:val="24"/>
                    </w:rPr>
                    <w:t>Vandentvarkos sprendimai – ilgalaikė investicija į gyvenimo kokybę</w:t>
                  </w:r>
                </w:sdtContent>
              </w:sdt>
            </w:p>
            <w:p>
              <w:pPr>
                <w:rPr>
                  <w:szCs w:val="24"/>
                </w:rPr>
              </w:pPr>
            </w:p>
            <w:p>
              <w:pPr>
                <w:rPr>
                  <w:szCs w:val="24"/>
                </w:rPr>
              </w:pPr>
              <w:r>
                <w:rPr>
                  <w:szCs w:val="24"/>
                </w:rPr>
                <w:t>Vandentvarkos srityje 2025 metais įgyvendinti ir suplanuoti darbai yra viena svarbiausių ilgalaikių investicijų į gyventojų gyvenimo kokybę.</w:t>
              </w:r>
            </w:p>
            <w:p>
              <w:pPr>
                <w:rPr>
                  <w:szCs w:val="24"/>
                </w:rPr>
              </w:pPr>
            </w:p>
            <w:p>
              <w:pPr>
                <w:rPr>
                  <w:szCs w:val="24"/>
                </w:rPr>
              </w:pPr>
              <w:r>
                <w:rPr>
                  <w:szCs w:val="24"/>
                </w:rPr>
                <w:t xml:space="preserve">Per metus reikšmingai išplėsti vandens tiekimo ir nuotekų tinklai įvairiose rajono vietose. „Vyturėlio“ sodų bendrijoje nutiesti beveik 9 kilometrai vandens ir nuotekų tinklų, suteikiant galimybę prie centralizuotų sistemų prisijungti daugiau kaip pusantro šimto gyventojų. </w:t>
              </w:r>
            </w:p>
            <w:p>
              <w:pPr>
                <w:rPr>
                  <w:szCs w:val="24"/>
                </w:rPr>
              </w:pPr>
            </w:p>
            <w:p>
              <w:pPr>
                <w:rPr>
                  <w:szCs w:val="24"/>
                </w:rPr>
              </w:pPr>
              <w:r>
                <w:rPr>
                  <w:szCs w:val="24"/>
                </w:rPr>
                <w:t>Nauji tinklai įrengti ir Šiaulėnų bei Polekėlės gyvenvietėse, kur sudarytos sąlygos patogesniam ir patikimesniam nuotekų tvarkymui bei vandens tiekimui.</w:t>
              </w:r>
            </w:p>
            <w:p>
              <w:pPr>
                <w:rPr>
                  <w:szCs w:val="24"/>
                </w:rPr>
              </w:pPr>
            </w:p>
            <w:p>
              <w:pPr>
                <w:rPr>
                  <w:szCs w:val="24"/>
                </w:rPr>
              </w:pPr>
              <w:r>
                <w:rPr>
                  <w:szCs w:val="24"/>
                </w:rPr>
                <w:t>Radviliškio mieste atnaujintos nusidėvėjusios vandentiekio trasos, o perėmus dalį infrastruktūros iš „Lietuvos geležinkelių“ sudarytos sąlygos plėsti tinklus ateityje.</w:t>
              </w:r>
            </w:p>
            <w:p>
              <w:pPr>
                <w:rPr>
                  <w:szCs w:val="24"/>
                </w:rPr>
              </w:pPr>
            </w:p>
            <w:p>
              <w:pPr>
                <w:rPr>
                  <w:szCs w:val="24"/>
                </w:rPr>
              </w:pPr>
              <w:r>
                <w:rPr>
                  <w:szCs w:val="24"/>
                </w:rPr>
                <w:t>Vandens kokybės gerinimo darbai vykdyti Baisogaloje, Pakiršinyje, Vainiūnuose ir Ilguočiuose – čia pradėti eksploatuoti nauji filtrai. Taip pat modernizuojamos vandenvietės Skėmiuose, Pociūnėliuose, Pašušvyje, Vaitiekūnuose ir Kairėnuose, diegiant automatizavimo sprendimus.</w:t>
              </w:r>
            </w:p>
            <w:p>
              <w:pPr>
                <w:rPr>
                  <w:szCs w:val="24"/>
                </w:rPr>
              </w:pPr>
            </w:p>
            <w:p>
              <w:pPr>
                <w:rPr>
                  <w:szCs w:val="24"/>
                </w:rPr>
              </w:pPr>
              <w:r>
                <w:rPr>
                  <w:szCs w:val="24"/>
                </w:rPr>
                <w:t>Šie darbai yra nuoseklios politikos dalis, siekiant užtikrinti, kad kokybiškos paslaugos pasiektų kuo daugiau rajono gyventojų, nepriklausomai nuo jų gyvenamosios vietos.</w:t>
              </w:r>
            </w:p>
            <w:p>
              <w:pPr>
                <w:rPr>
                  <w:szCs w:val="24"/>
                </w:rPr>
              </w:pPr>
            </w:p>
          </w:sdtContent>
        </w:sdt>
        <w:sdt>
          <w:sdtPr>
            <w:alias w:val="skirsnis"/>
            <w:tag w:val="part_5e24ae2352d944f8a72bde8ed3e273fd"/>
            <w:lock w:val="sdtLocked"/>
            <w:richText/>
          </w:sdtPr>
          <w:sdtContent>
            <w:p>
              <w:pPr>
                <w:jc w:val="center"/>
                <w:rPr>
                  <w:b/>
                  <w:bCs/>
                  <w:szCs w:val="24"/>
                </w:rPr>
              </w:pPr>
              <w:sdt>
                <w:sdtPr>
                  <w:alias w:val="Pavadinimas"/>
                  <w:tag w:val="title_5e24ae2352d944f8a72bde8ed3e273fd"/>
                  <w:lock w:val="sdtLocked"/>
                  <w:richText/>
                </w:sdtPr>
                <w:sdtContent>
                  <w:r>
                    <w:rPr>
                      <w:b/>
                      <w:bCs/>
                      <w:szCs w:val="24"/>
                    </w:rPr>
                    <w:t>Strateginis pasirengimas – pamatas būsimoms investicijoms</w:t>
                  </w:r>
                </w:sdtContent>
              </w:sdt>
            </w:p>
            <w:p>
              <w:pPr>
                <w:rPr>
                  <w:szCs w:val="24"/>
                </w:rPr>
              </w:pPr>
            </w:p>
            <w:p>
              <w:pPr>
                <w:rPr>
                  <w:szCs w:val="24"/>
                </w:rPr>
              </w:pPr>
              <w:r>
                <w:rPr>
                  <w:szCs w:val="24"/>
                </w:rPr>
                <w:t>2025-ieji buvo ne tik įgyvendintų projektų, bet ir intensyvaus pasirengimo laikotarpis. Didelis dėmesys skirtas projektams rengti, planuoti ir pasiruošti naujiems Europos Sąjungos finansuojamiems projektams.</w:t>
              </w:r>
            </w:p>
            <w:p>
              <w:pPr>
                <w:rPr>
                  <w:szCs w:val="24"/>
                </w:rPr>
              </w:pPr>
            </w:p>
            <w:p>
              <w:pPr>
                <w:rPr>
                  <w:szCs w:val="24"/>
                </w:rPr>
              </w:pPr>
              <w:r>
                <w:rPr>
                  <w:szCs w:val="24"/>
                </w:rPr>
                <w:t>Parengta daug svarbių projektų įvairiose srityse – nuo infrastruktūros ir viešųjų paslaugų iki švietimo ir sveikatos apsaugos. Turimi parengti projektai ir sukaupta patirtis leidžia tikėtis, kad suplanuoti darbai bus įgyvendinti laiku ir kokybiškai.</w:t>
              </w:r>
            </w:p>
            <w:p>
              <w:pPr>
                <w:rPr>
                  <w:szCs w:val="24"/>
                </w:rPr>
              </w:pPr>
            </w:p>
            <w:p>
              <w:pPr>
                <w:rPr>
                  <w:szCs w:val="24"/>
                </w:rPr>
              </w:pPr>
              <w:r>
                <w:rPr>
                  <w:szCs w:val="24"/>
                </w:rPr>
                <w:t>Dalis projektų jau pradėti įgyvendinti, tačiau didžiausia jų dalis startuos šiais metais.</w:t>
              </w:r>
            </w:p>
            <w:p>
              <w:pPr>
                <w:rPr>
                  <w:szCs w:val="24"/>
                </w:rPr>
              </w:pPr>
            </w:p>
            <w:p>
              <w:pPr>
                <w:rPr>
                  <w:szCs w:val="24"/>
                </w:rPr>
              </w:pPr>
              <w:r>
                <w:rPr>
                  <w:szCs w:val="24"/>
                </w:rPr>
                <w:t xml:space="preserve">Tarp svarbiausių parengtų darbų – buvusios Antaniškių parko vasaros estrados teritorijos atnaujinimas, Šeduvos autobusų stoties statyba, pėsčiųjų ir dviračių takų plėtra Šeduvoje bei Radviliškyje, viešojo transporto infrastruktūros modernizavimas, pasirengimas naujos pirties statybai Radviliškio mieste, dengto pripučiamo futbolo maniežo Radviliškyje projektavimas. </w:t>
              </w:r>
            </w:p>
            <w:p>
              <w:pPr>
                <w:rPr>
                  <w:szCs w:val="24"/>
                </w:rPr>
              </w:pPr>
            </w:p>
            <w:p>
              <w:pPr>
                <w:rPr>
                  <w:szCs w:val="24"/>
                </w:rPr>
              </w:pPr>
              <w:r>
                <w:rPr>
                  <w:szCs w:val="24"/>
                </w:rPr>
                <w:t>Planuojama asfaltuoti ir rekonstruoti svarbias kelių atkarpas, įskaitant susisiekimą su lankytinais objektais bei gyvenvietėmis.</w:t>
              </w:r>
            </w:p>
            <w:p>
              <w:pPr>
                <w:rPr>
                  <w:szCs w:val="24"/>
                </w:rPr>
              </w:pPr>
            </w:p>
            <w:p>
              <w:pPr>
                <w:rPr>
                  <w:szCs w:val="24"/>
                </w:rPr>
              </w:pPr>
              <w:r>
                <w:rPr>
                  <w:szCs w:val="24"/>
                </w:rPr>
                <w:t>Numatyta ir reikšmingų vandentvarkos projektų – numatyta nutiesti apie 16 kilometrų naujų vandens ir nuotekų tinklų Šeduvoje, Baisogaloje, Aukštelkuose ir kitose gyvenvietėse, rekonstruoti nuotekų valymo įrenginius Sidabrave bei stiprinti vandens tiekimo infrastruktūrą visame rajone.</w:t>
              </w:r>
            </w:p>
            <w:p>
              <w:pPr>
                <w:rPr>
                  <w:szCs w:val="24"/>
                </w:rPr>
              </w:pPr>
            </w:p>
            <w:p>
              <w:pPr>
                <w:rPr>
                  <w:szCs w:val="24"/>
                </w:rPr>
              </w:pPr>
              <w:r>
                <w:rPr>
                  <w:szCs w:val="24"/>
                </w:rPr>
                <w:t xml:space="preserve">Švietimo srityje suplanuota atnaujinti Šiaulėnų Marcelino Šikšnio gimnaziją, bus tęsiami Tūkstantmečio mokyklų projektai, kuriamos modernios ugdymo erdvės įvairiose rajono mokyklose. </w:t>
              </w:r>
            </w:p>
            <w:p>
              <w:pPr>
                <w:rPr>
                  <w:szCs w:val="24"/>
                </w:rPr>
              </w:pPr>
            </w:p>
            <w:p>
              <w:pPr>
                <w:rPr>
                  <w:szCs w:val="24"/>
                </w:rPr>
              </w:pPr>
              <w:r>
                <w:rPr>
                  <w:szCs w:val="24"/>
                </w:rPr>
                <w:t xml:space="preserve">Sveikatos apsaugos srityje suplanuota naujų paslaugų plėtra, įskaitant Psichiatrijos dienos stacionaro statybą Radviliškyje bei Radviliškio ligoninės Priėmimo–skubiosios pagalbos skyriaus atnaujinimą, gydymo įstaigų infrastruktūros gerinimą. </w:t>
              </w:r>
            </w:p>
            <w:p>
              <w:pPr>
                <w:rPr>
                  <w:szCs w:val="24"/>
                </w:rPr>
              </w:pPr>
            </w:p>
            <w:p>
              <w:pPr>
                <w:rPr>
                  <w:szCs w:val="24"/>
                </w:rPr>
              </w:pPr>
              <w:r>
                <w:rPr>
                  <w:szCs w:val="24"/>
                </w:rPr>
                <w:t>Šis nuoseklus pasirengimas sudaro prielaidas efektyviai panaudoti Europos Sąjungos lėšas ir užtikrinti ilgalaikę rajono plėtrą. 2026 metai numatomi kaip aktyvus įgyvendinimo etapas, kai planai virs realiais darbais.</w:t>
              </w:r>
            </w:p>
            <w:p>
              <w:pPr>
                <w:rPr>
                  <w:szCs w:val="24"/>
                </w:rPr>
              </w:pPr>
            </w:p>
          </w:sdtContent>
        </w:sdt>
        <w:sdt>
          <w:sdtPr>
            <w:alias w:val="skirsnis"/>
            <w:tag w:val="part_27c764c7a2564160bc62ca1c4be9fe93"/>
            <w:lock w:val="sdtLocked"/>
            <w:richText/>
          </w:sdtPr>
          <w:sdtContent>
            <w:p>
              <w:pPr>
                <w:jc w:val="center"/>
                <w:rPr>
                  <w:b/>
                  <w:bCs/>
                  <w:szCs w:val="24"/>
                </w:rPr>
              </w:pPr>
              <w:sdt>
                <w:sdtPr>
                  <w:alias w:val="Pavadinimas"/>
                  <w:tag w:val="title_27c764c7a2564160bc62ca1c4be9fe93"/>
                  <w:lock w:val="sdtLocked"/>
                  <w:richText/>
                </w:sdtPr>
                <w:sdtContent>
                  <w:r>
                    <w:rPr>
                      <w:b/>
                      <w:bCs/>
                      <w:szCs w:val="24"/>
                    </w:rPr>
                    <w:t>Kiekvieno indėlis buvo svarbus kuriant pokyčius</w:t>
                  </w:r>
                </w:sdtContent>
              </w:sdt>
            </w:p>
            <w:p>
              <w:pPr>
                <w:rPr>
                  <w:szCs w:val="24"/>
                </w:rPr>
              </w:pPr>
            </w:p>
            <w:p>
              <w:pPr>
                <w:rPr>
                  <w:szCs w:val="24"/>
                </w:rPr>
              </w:pPr>
              <w:r>
                <w:rPr>
                  <w:szCs w:val="24"/>
                </w:rPr>
                <w:t>Pasiekti rezultatai yra bendro darbo vaisius, todėl nuoširdi padėka skiriama valdančiosios koalicijos partneriams, rajono Tarybos nariams, Savivaldybės administracijos, seniūnijų, įstaigų ir įmonių darbuotojams už atsakingą darbą, konstruktyvų bendradarbiavimą ir įsipareigojimą savo kraštui. Kiekvieno indėlis buvo svarbus kuriant pokyčius, kurie šiandien yra matomi visame rajone.</w:t>
              </w:r>
            </w:p>
            <w:p>
              <w:pPr>
                <w:rPr>
                  <w:szCs w:val="24"/>
                </w:rPr>
              </w:pPr>
            </w:p>
            <w:p>
              <w:pPr>
                <w:rPr>
                  <w:szCs w:val="24"/>
                </w:rPr>
              </w:pPr>
              <w:r>
                <w:rPr>
                  <w:szCs w:val="24"/>
                </w:rPr>
                <w:t>2026-ieji metai pareikalaus dar didesnio susitelkimo ir atsakomybės. Pagrindinis uždavinys bus užtikrinti sklandų, savalaikį ir kokybišką parengtų projektų įgyvendinimą. Tai sudarys prielaidas tolesnei rajono plėtrai, stipresnei ekonomikai ir dar geresnei gyvenimo kokybei jo gyventojams.</w:t>
              </w:r>
            </w:p>
            <w:p>
              <w:pPr>
                <w:rPr>
                  <w:szCs w:val="24"/>
                </w:rPr>
              </w:pPr>
            </w:p>
            <w:p>
              <w:pPr>
                <w:rPr>
                  <w:i/>
                  <w:iCs/>
                  <w:szCs w:val="24"/>
                </w:rPr>
              </w:pPr>
              <w:r>
                <w:rPr>
                  <w:i/>
                  <w:iCs/>
                  <w:szCs w:val="24"/>
                </w:rPr>
                <w:t>Radviliškio rajono savivaldybės meras Kazimieras Račkauskis</w:t>
              </w:r>
            </w:p>
            <w:p>
              <w:pPr>
                <w:rPr>
                  <w:szCs w:val="24"/>
                </w:rPr>
              </w:pPr>
            </w:p>
          </w:sdtContent>
        </w:sdt>
        <w:sdt>
          <w:sdtPr>
            <w:alias w:val="skirsnis"/>
            <w:tag w:val="part_cb940220c7c04e1c88aba40f147f9154"/>
            <w:lock w:val="sdtLocked"/>
            <w:richText/>
          </w:sdtPr>
          <w:sdtContent>
            <w:p>
              <w:pPr>
                <w:spacing w:line="276" w:lineRule="auto"/>
                <w:jc w:val="center"/>
                <w:rPr>
                  <w:b/>
                  <w:bCs/>
                  <w:caps/>
                  <w:szCs w:val="24"/>
                  <w:lang w:eastAsia="lt-LT"/>
                </w:rPr>
              </w:pPr>
              <w:sdt>
                <w:sdtPr>
                  <w:alias w:val="Pavadinimas"/>
                  <w:tag w:val="title_cb940220c7c04e1c88aba40f147f9154"/>
                  <w:lock w:val="sdtLocked"/>
                  <w:richText/>
                </w:sdtPr>
                <w:sdtContent>
                  <w:r>
                    <w:rPr>
                      <w:b/>
                      <w:bCs/>
                      <w:caps/>
                      <w:szCs w:val="24"/>
                      <w:lang w:eastAsia="lt-LT"/>
                    </w:rPr>
                    <w:t>Radviliškio rajono savivaldybės taryba</w:t>
                  </w:r>
                </w:sdtContent>
              </w:sdt>
            </w:p>
            <w:p>
              <w:pPr>
                <w:spacing w:line="276" w:lineRule="auto"/>
                <w:rPr>
                  <w:caps/>
                  <w:szCs w:val="24"/>
                  <w:lang w:eastAsia="lt-LT"/>
                </w:rPr>
              </w:pPr>
            </w:p>
            <w:p>
              <w:pPr>
                <w:spacing w:line="276" w:lineRule="auto"/>
                <w:jc w:val="center"/>
                <w:rPr>
                  <w:szCs w:val="24"/>
                  <w:lang w:eastAsia="lt-LT"/>
                </w:rPr>
              </w:pPr>
              <w:r>
                <w:rPr>
                  <w:szCs w:val="24"/>
                  <w:lang w:val="en-US"/>
                </w:rPr>
                <w:drawing>
                  <wp:inline distT="0" distB="0" distL="0" distR="0" wp14:anchorId="79812E27" wp14:editId="6BD480F5">
                    <wp:extent cx="4600575" cy="2803091"/>
                    <wp:effectExtent l="0" t="0" r="0" b="0"/>
                    <wp:docPr id="281884218" name="Paveikslėlis 1" descr="Paveikslėlis, kuriame yra apranga, asmuo, vyras, avalynė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884218" name="Paveikslėlis 1" descr="Paveikslėlis, kuriame yra apranga, asmuo, vyras, avalynė  Dirbtinio intelekto sugeneruotas turinys gali būti neteising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02799" cy="2865375"/>
                            </a:xfrm>
                            <a:prstGeom prst="rect">
                              <a:avLst/>
                            </a:prstGeom>
                            <a:noFill/>
                            <a:ln>
                              <a:noFill/>
                            </a:ln>
                          </pic:spPr>
                        </pic:pic>
                      </a:graphicData>
                    </a:graphic>
                  </wp:inline>
                </w:drawing>
              </w:r>
            </w:p>
            <w:p>
              <w:pPr>
                <w:spacing w:line="276" w:lineRule="auto"/>
                <w:ind w:firstLine="709"/>
                <w:rPr>
                  <w:szCs w:val="24"/>
                  <w:lang w:eastAsia="lt-LT"/>
                </w:rPr>
              </w:pPr>
            </w:p>
            <w:p>
              <w:pPr>
                <w:ind w:firstLine="709"/>
                <w:rPr>
                  <w:szCs w:val="24"/>
                  <w:lang w:eastAsia="lt-LT"/>
                </w:rPr>
              </w:pPr>
              <w:r>
                <w:rPr>
                  <w:szCs w:val="24"/>
                  <w:lang w:eastAsia="lt-LT"/>
                </w:rPr>
                <w:t>2025 m. Radviliškio rajono savivaldybės mero pareigas ėjo Kazimieras Račkauskis. </w:t>
              </w:r>
            </w:p>
            <w:p>
              <w:pPr>
                <w:ind w:firstLine="709"/>
                <w:rPr>
                  <w:szCs w:val="24"/>
                  <w:lang w:eastAsia="lt-LT"/>
                </w:rPr>
              </w:pPr>
              <w:r>
                <w:rPr>
                  <w:szCs w:val="24"/>
                  <w:lang w:eastAsia="lt-LT"/>
                </w:rPr>
                <w:t xml:space="preserve">2025 m. Radviliškio rajono savivaldybės taryboje dirbo 25 2023–2027 metų kadencijos tarybos nariai: </w:t>
              </w:r>
            </w:p>
            <w:p>
              <w:pPr>
                <w:ind w:left="1429" w:hanging="360"/>
                <w:rPr>
                  <w:szCs w:val="24"/>
                  <w:lang w:eastAsia="lt-LT"/>
                </w:rPr>
              </w:pPr>
              <w:r>
                <w:rPr>
                  <w:rFonts w:ascii="Symbol" w:hAnsi="Symbol"/>
                  <w:szCs w:val="24"/>
                  <w:lang w:eastAsia="lt-LT"/>
                </w:rPr>
                <w:t></w:t>
                <w:tab/>
              </w:r>
              <w:r>
                <w:rPr>
                  <w:szCs w:val="24"/>
                  <w:lang w:eastAsia="lt-LT"/>
                </w:rPr>
                <w:t xml:space="preserve">pagal Tėvynės sąjungos-Lietuvos krikščionių demokratų partijos sąrašą išrinkti  nariai Jolanta Margaitienė, Skaidra Dišlė, Paulius Kablys, Darius Jurėnas, Romas Kalvaitis, Irena Palionienė;</w:t>
              </w:r>
            </w:p>
            <w:p>
              <w:pPr>
                <w:ind w:left="1429" w:hanging="360"/>
                <w:rPr>
                  <w:szCs w:val="24"/>
                  <w:lang w:eastAsia="lt-LT"/>
                </w:rPr>
              </w:pPr>
              <w:r>
                <w:rPr>
                  <w:rFonts w:ascii="Symbol" w:hAnsi="Symbol"/>
                  <w:szCs w:val="24"/>
                  <w:lang w:eastAsia="lt-LT"/>
                </w:rPr>
                <w:t></w:t>
                <w:tab/>
              </w:r>
              <w:r>
                <w:rPr>
                  <w:szCs w:val="24"/>
                  <w:lang w:eastAsia="lt-LT"/>
                </w:rPr>
                <w:t>pagal Lietuvos socialdemokratų partijos sąrašą išrinkti nariai Karolis Balsys, Laimutis Brunius, Jonas Pravilonis, Laima Škėmienė, Vilmutė Sprudzanienė;</w:t>
              </w:r>
            </w:p>
            <w:p>
              <w:pPr>
                <w:ind w:left="1429" w:hanging="360"/>
                <w:rPr>
                  <w:szCs w:val="24"/>
                  <w:lang w:eastAsia="lt-LT"/>
                </w:rPr>
              </w:pPr>
              <w:r>
                <w:rPr>
                  <w:rFonts w:ascii="Symbol" w:hAnsi="Symbol"/>
                  <w:szCs w:val="24"/>
                  <w:lang w:eastAsia="lt-LT"/>
                </w:rPr>
                <w:t></w:t>
                <w:tab/>
              </w:r>
              <w:r>
                <w:rPr>
                  <w:szCs w:val="24"/>
                  <w:lang w:eastAsia="lt-LT"/>
                </w:rPr>
                <w:t>pagal Demokratų sąjungos „Vardan Lietuvos“ partijos sąrašą išrinkti nariai Justas Malinauskas, Eduardas Martynkinas, Lina Mončauskienė;</w:t>
              </w:r>
            </w:p>
            <w:p>
              <w:pPr>
                <w:ind w:left="1429" w:hanging="360"/>
                <w:rPr>
                  <w:szCs w:val="24"/>
                  <w:lang w:eastAsia="lt-LT"/>
                </w:rPr>
              </w:pPr>
              <w:r>
                <w:rPr>
                  <w:rFonts w:ascii="Symbol" w:hAnsi="Symbol"/>
                  <w:szCs w:val="24"/>
                  <w:lang w:eastAsia="lt-LT"/>
                </w:rPr>
                <w:t></w:t>
                <w:tab/>
              </w:r>
              <w:r>
                <w:rPr>
                  <w:szCs w:val="24"/>
                  <w:lang w:eastAsia="lt-LT"/>
                </w:rPr>
                <w:t xml:space="preserve">pagal Lietuvos valstiečių ir žaliųjų sąjungos partijos sąrašą išrinkti nariai Vytautas Krikščiūnas, Aurimas Gaidžiūnas ir Jonas Povilaitis; </w:t>
              </w:r>
            </w:p>
            <w:p>
              <w:pPr>
                <w:ind w:left="1429" w:hanging="360"/>
                <w:rPr>
                  <w:szCs w:val="24"/>
                  <w:lang w:eastAsia="lt-LT"/>
                </w:rPr>
              </w:pPr>
              <w:r>
                <w:rPr>
                  <w:rFonts w:ascii="Symbol" w:hAnsi="Symbol"/>
                  <w:szCs w:val="24"/>
                  <w:lang w:eastAsia="lt-LT"/>
                </w:rPr>
                <w:t></w:t>
                <w:tab/>
              </w:r>
              <w:r>
                <w:rPr>
                  <w:szCs w:val="24"/>
                  <w:lang w:eastAsia="lt-LT"/>
                </w:rPr>
                <w:t xml:space="preserve">pagal Lietuvos regionų   partijos sąrašą išrinkti  nariai Gediminas Lipnevičius, Vilma Aleknienė, Vidmantas Bernotas;</w:t>
              </w:r>
            </w:p>
            <w:p>
              <w:pPr>
                <w:ind w:left="1429" w:hanging="360"/>
                <w:rPr>
                  <w:szCs w:val="24"/>
                  <w:lang w:eastAsia="lt-LT"/>
                </w:rPr>
              </w:pPr>
              <w:r>
                <w:rPr>
                  <w:rFonts w:ascii="Symbol" w:hAnsi="Symbol"/>
                  <w:szCs w:val="24"/>
                  <w:lang w:eastAsia="lt-LT"/>
                </w:rPr>
                <w:t></w:t>
                <w:tab/>
              </w:r>
              <w:r>
                <w:rPr>
                  <w:szCs w:val="24"/>
                  <w:lang w:eastAsia="lt-LT"/>
                </w:rPr>
                <w:t>pagal Liberalų sąjūdžio partijos sąrašą išrinkti nariai Rimantas Vaičiurgis, Algimantas Ruseckas;</w:t>
              </w:r>
            </w:p>
            <w:p>
              <w:pPr>
                <w:ind w:left="1429" w:hanging="360"/>
                <w:rPr>
                  <w:szCs w:val="24"/>
                  <w:lang w:eastAsia="lt-LT"/>
                </w:rPr>
              </w:pPr>
              <w:r>
                <w:rPr>
                  <w:rFonts w:ascii="Symbol" w:hAnsi="Symbol"/>
                  <w:szCs w:val="24"/>
                  <w:lang w:eastAsia="lt-LT"/>
                </w:rPr>
                <w:t></w:t>
                <w:tab/>
              </w:r>
              <w:r>
                <w:rPr>
                  <w:szCs w:val="24"/>
                  <w:lang w:eastAsia="lt-LT"/>
                </w:rPr>
                <w:t xml:space="preserve">pagal  Darbo partijos  sąrašą išrinkti  nariai Zita Žvikienė ir Jurgis Baublys;</w:t>
              </w:r>
            </w:p>
            <w:p>
              <w:pPr>
                <w:ind w:left="1429" w:hanging="360"/>
                <w:rPr>
                  <w:szCs w:val="24"/>
                  <w:lang w:eastAsia="lt-LT"/>
                </w:rPr>
              </w:pPr>
              <w:r>
                <w:rPr>
                  <w:rFonts w:ascii="Symbol" w:hAnsi="Symbol"/>
                  <w:szCs w:val="24"/>
                  <w:lang w:eastAsia="lt-LT"/>
                </w:rPr>
                <w:t></w:t>
                <w:tab/>
              </w:r>
              <w:r>
                <w:rPr>
                  <w:szCs w:val="24"/>
                  <w:lang w:eastAsia="lt-LT"/>
                </w:rPr>
                <w:t xml:space="preserve">pagal Lietuvos žaliųjų partijos sąrašą išrinktas narys Vytautas Simelis. </w:t>
              </w:r>
            </w:p>
            <w:p>
              <w:pPr>
                <w:ind w:firstLine="709"/>
                <w:rPr>
                  <w:szCs w:val="24"/>
                  <w:lang w:eastAsia="lt-LT"/>
                </w:rPr>
              </w:pPr>
            </w:p>
            <w:p>
              <w:pPr>
                <w:ind w:firstLine="709"/>
                <w:rPr>
                  <w:szCs w:val="24"/>
                  <w:lang w:eastAsia="lt-LT"/>
                </w:rPr>
              </w:pPr>
              <w:r>
                <w:rPr>
                  <w:szCs w:val="24"/>
                  <w:lang w:eastAsia="lt-LT"/>
                </w:rPr>
                <w:t>2025 m. Tarybą sudarė šešios frakcijos.</w:t>
              </w:r>
            </w:p>
            <w:p>
              <w:pPr>
                <w:ind w:firstLine="709"/>
                <w:rPr>
                  <w:szCs w:val="24"/>
                </w:rPr>
              </w:pPr>
              <w:r>
                <w:rPr>
                  <w:szCs w:val="24"/>
                </w:rPr>
                <w:t xml:space="preserve">Radviliškio rajono savivaldybės  tarybos dauguma:</w:t>
              </w:r>
            </w:p>
            <w:p>
              <w:pPr>
                <w:ind w:left="720" w:hanging="360"/>
                <w:rPr>
                  <w:szCs w:val="24"/>
                </w:rPr>
              </w:pPr>
              <w:r>
                <w:rPr>
                  <w:rFonts w:ascii="Symbol" w:hAnsi="Symbol"/>
                  <w:szCs w:val="24"/>
                </w:rPr>
                <w:t></w:t>
                <w:tab/>
              </w:r>
              <w:r>
                <w:rPr>
                  <w:szCs w:val="24"/>
                </w:rPr>
                <w:t xml:space="preserve">Socialdemokratų frakcija, kurios nariai Karolis Balsys, Jurgis Baublys, Vidmantas Bernotas, Laimutis Brunius,  Jonas Pravilonis, Vilmutė Sprudzanienė, Laima Škėmienė, Zita Žvikienė. Frakcijos seniūnė – Laima Škėmienė;</w:t>
              </w:r>
            </w:p>
            <w:p>
              <w:pPr>
                <w:ind w:left="720" w:hanging="360"/>
                <w:rPr>
                  <w:szCs w:val="24"/>
                </w:rPr>
              </w:pPr>
              <w:r>
                <w:rPr>
                  <w:rFonts w:ascii="Symbol" w:hAnsi="Symbol"/>
                  <w:szCs w:val="24"/>
                </w:rPr>
                <w:t></w:t>
                <w:tab/>
              </w:r>
              <w:r>
                <w:rPr>
                  <w:szCs w:val="24"/>
                </w:rPr>
                <w:t>Valstiečių ir žaliųjų frakcija, kurios nariai Aurimas Gaidžiūnas, Vytautas Krikščiūnas, Lina Mončauskienė, Jonas Povilaitis. Frakcijos seniūnas – Aurimas Gaidžiūnas;</w:t>
              </w:r>
            </w:p>
            <w:p>
              <w:pPr>
                <w:ind w:left="720" w:hanging="360"/>
                <w:rPr>
                  <w:szCs w:val="24"/>
                </w:rPr>
              </w:pPr>
              <w:r>
                <w:rPr>
                  <w:rFonts w:ascii="Symbol" w:hAnsi="Symbol"/>
                  <w:szCs w:val="24"/>
                </w:rPr>
                <w:t></w:t>
                <w:tab/>
              </w:r>
              <w:r>
                <w:rPr>
                  <w:szCs w:val="24"/>
                </w:rPr>
                <w:t>Demokratų sąjungos „Vardan Lietuvos“ frakcija, kurios nariai Justas Malinauskas, Eduardas Martynkinas, Vytautas Simelis. Frakcijos seniūnas – Justas Malinauskas;</w:t>
              </w:r>
            </w:p>
            <w:p>
              <w:pPr>
                <w:ind w:left="720" w:hanging="360"/>
                <w:rPr>
                  <w:szCs w:val="24"/>
                </w:rPr>
              </w:pPr>
              <w:r>
                <w:rPr>
                  <w:rFonts w:ascii="Symbol" w:hAnsi="Symbol"/>
                  <w:szCs w:val="24"/>
                </w:rPr>
                <w:t></w:t>
                <w:tab/>
              </w:r>
              <w:r>
                <w:rPr>
                  <w:szCs w:val="24"/>
                </w:rPr>
                <w:t>Liberalų sąjūdžio frakcija, kurios nariai Algimantas Ruseckas, Rimantas Vaičiurgis. Frakcijos seniūnas – Algimantas Ruseckas;</w:t>
              </w:r>
            </w:p>
            <w:p>
              <w:pPr>
                <w:ind w:left="720"/>
                <w:rPr>
                  <w:szCs w:val="24"/>
                </w:rPr>
              </w:pPr>
              <w:r>
                <w:rPr>
                  <w:szCs w:val="24"/>
                </w:rPr>
                <w:t>Tarybos mažuma:</w:t>
              </w:r>
            </w:p>
            <w:p>
              <w:pPr>
                <w:ind w:left="720" w:hanging="360"/>
                <w:rPr>
                  <w:szCs w:val="24"/>
                </w:rPr>
              </w:pPr>
              <w:r>
                <w:rPr>
                  <w:rFonts w:ascii="Symbol" w:hAnsi="Symbol"/>
                  <w:szCs w:val="24"/>
                </w:rPr>
                <w:t></w:t>
                <w:tab/>
              </w:r>
              <w:r>
                <w:rPr>
                  <w:szCs w:val="24"/>
                </w:rPr>
                <w:t>Tėvynės sąjungos-Lietuvos krikščionių demokratų frakcija, kurios nariai Skaidra Dišlė, Darius Jurėnas, Paulius Kablys, Romas Kalvaitis, Jolanta Margaitienė, Irena Palionienė. Frakcijos seniūnė – Skaidra Dišlė.</w:t>
              </w:r>
            </w:p>
            <w:p>
              <w:pPr>
                <w:ind w:left="720" w:hanging="360"/>
                <w:rPr>
                  <w:szCs w:val="24"/>
                </w:rPr>
              </w:pPr>
              <w:r>
                <w:rPr>
                  <w:rFonts w:ascii="Symbol" w:hAnsi="Symbol"/>
                  <w:szCs w:val="24"/>
                </w:rPr>
                <w:t></w:t>
                <w:tab/>
              </w:r>
              <w:r>
                <w:rPr>
                  <w:szCs w:val="24"/>
                </w:rPr>
                <w:t xml:space="preserve">Nepartinių frakcija, kurios nariai Gediminas Lipnevičius, Vilma Aleknienė. Frakcijos seniūnas – Gediminas Lipnevičius. </w:t>
              </w:r>
            </w:p>
            <w:p>
              <w:pPr>
                <w:ind w:right="-2" w:firstLine="709"/>
                <w:rPr>
                  <w:szCs w:val="24"/>
                </w:rPr>
              </w:pPr>
              <w:r>
                <w:rPr>
                  <w:szCs w:val="24"/>
                </w:rPr>
                <w:t xml:space="preserve">2023–2027 m. kadencijos Radviliškio rajono savivaldybės taryba 2025 m. rinkosi į 10 posėdžių, priimti 317  tarybos sprendimų. </w:t>
              </w:r>
            </w:p>
            <w:p>
              <w:pPr>
                <w:ind w:right="-2" w:firstLine="709"/>
                <w:rPr>
                  <w:szCs w:val="24"/>
                </w:rPr>
              </w:pPr>
            </w:p>
            <w:p>
              <w:pPr>
                <w:ind w:firstLine="709"/>
                <w:rPr>
                  <w:strike/>
                  <w:szCs w:val="24"/>
                  <w:lang w:eastAsia="lt-LT"/>
                </w:rPr>
              </w:pPr>
              <w:r>
                <w:rPr>
                  <w:szCs w:val="24"/>
                  <w:lang w:eastAsia="lt-LT"/>
                </w:rPr>
                <w:t>2025 m. dirbo penki Tarybos komitetai.</w:t>
              </w:r>
            </w:p>
            <w:p>
              <w:pPr>
                <w:ind w:firstLine="709"/>
                <w:rPr>
                  <w:szCs w:val="24"/>
                  <w:lang w:eastAsia="lt-LT"/>
                </w:rPr>
              </w:pPr>
              <w:r>
                <w:rPr>
                  <w:szCs w:val="24"/>
                  <w:lang w:eastAsia="lt-LT"/>
                </w:rPr>
                <w:t>Kontrolės komitete dirbo tarybos nariai Skaidra Dišlė, Rimantas Vaičiurgis,</w:t>
              </w:r>
              <w:r>
                <w:rPr>
                  <w:color w:val="EE0000"/>
                  <w:szCs w:val="24"/>
                  <w:lang w:eastAsia="lt-LT"/>
                </w:rPr>
                <w:t xml:space="preserve"> </w:t>
              </w:r>
              <w:r>
                <w:rPr>
                  <w:szCs w:val="24"/>
                  <w:lang w:eastAsia="lt-LT"/>
                </w:rPr>
                <w:t xml:space="preserve">Gediminas Lipnevičius, Aurimas Gaidžiūnas, Laima  Škėmienė, Eduardas Martynkinas. Šio komiteto pirmininkė – Skaidra Dišlė, pirmininkės pavaduotojas – Rimantas Vaičiurgis</w:t>
              </w:r>
            </w:p>
            <w:p>
              <w:pPr>
                <w:ind w:firstLine="709"/>
                <w:rPr>
                  <w:color w:val="EE0000"/>
                  <w:szCs w:val="24"/>
                </w:rPr>
              </w:pPr>
              <w:r>
                <w:rPr>
                  <w:szCs w:val="24"/>
                </w:rPr>
                <w:t xml:space="preserve">2025 m. vyko 4 komiteto posėdžiai. </w:t>
              </w:r>
            </w:p>
            <w:p>
              <w:pPr>
                <w:ind w:firstLine="709"/>
                <w:rPr>
                  <w:szCs w:val="24"/>
                  <w:lang w:eastAsia="lt-LT"/>
                </w:rPr>
              </w:pPr>
              <w:r>
                <w:rPr>
                  <w:szCs w:val="24"/>
                  <w:lang w:eastAsia="lt-LT"/>
                </w:rPr>
                <w:t>Biudžeto, ekonomikos ir ūkio reikalų komitete dirbo tarybos nariai Vidmantas Bernotas, Skaidra Dišlė, Darius Jurėnas, Vytautas Krikščiūnas, Jolanta Margaitienė, Eduardas Martynkinas, Jonas Povilaitis, Algimantas Ruseckas, Rimantas Vaičiurgis. Šio komiteto pirmininkas – Jonas Pravilonis, pirmininko pavaduotojas – Eduardas Martynkinas.</w:t>
              </w:r>
            </w:p>
            <w:p>
              <w:pPr>
                <w:ind w:firstLine="709"/>
                <w:rPr>
                  <w:szCs w:val="24"/>
                  <w:lang w:eastAsia="lt-LT"/>
                </w:rPr>
              </w:pPr>
              <w:r>
                <w:rPr>
                  <w:szCs w:val="24"/>
                  <w:lang w:eastAsia="lt-LT"/>
                </w:rPr>
                <w:t>2025 m. vyko 13 komiteto posėdžių.</w:t>
              </w:r>
            </w:p>
            <w:p>
              <w:pPr>
                <w:ind w:firstLine="709"/>
                <w:rPr>
                  <w:szCs w:val="24"/>
                  <w:lang w:eastAsia="lt-LT"/>
                </w:rPr>
              </w:pPr>
              <w:r>
                <w:rPr>
                  <w:szCs w:val="24"/>
                  <w:lang w:eastAsia="lt-LT"/>
                </w:rPr>
                <w:t>Investicijų ir kaimo reikalų komitete dirbo tarybos nariai Jurgis Baublys, Laimutis Brunius, Aurimas Gaidžiūnas, Romas Kalvaitis, Gediminas Lipnevičius, Justas Malinauskas. Šio komiteto pirmininkas – Aurimas Gaidžiūnas, pirmininko pavaduotojas – Justas Malinauskas.</w:t>
              </w:r>
            </w:p>
            <w:p>
              <w:pPr>
                <w:ind w:firstLine="709"/>
                <w:rPr>
                  <w:szCs w:val="24"/>
                  <w:lang w:eastAsia="lt-LT"/>
                </w:rPr>
              </w:pPr>
              <w:r>
                <w:rPr>
                  <w:szCs w:val="24"/>
                  <w:lang w:eastAsia="lt-LT"/>
                </w:rPr>
                <w:t>2025 m. vyko 10 komiteto posėdžių.</w:t>
              </w:r>
            </w:p>
            <w:p>
              <w:pPr>
                <w:ind w:firstLine="709"/>
                <w:rPr>
                  <w:szCs w:val="24"/>
                </w:rPr>
              </w:pPr>
              <w:r>
                <w:rPr>
                  <w:szCs w:val="24"/>
                </w:rPr>
                <w:t>Socialinių reikalų, sveikatos ir teisėtvarkos komitete dirbo tarybos nariai Vilma Aleknienė, Irena Palionienė, Vilmutė Sprudzanienė, Zita Žvikienė. Šio komiteto pirmininkė – Zita Žvikienė, pirmininkės pavaduotoja – Vilmutė Sprudzanienė.</w:t>
              </w:r>
            </w:p>
            <w:p>
              <w:pPr>
                <w:ind w:firstLine="709"/>
                <w:rPr>
                  <w:szCs w:val="24"/>
                  <w:lang w:eastAsia="lt-LT"/>
                </w:rPr>
              </w:pPr>
              <w:r>
                <w:rPr>
                  <w:szCs w:val="24"/>
                  <w:lang w:eastAsia="lt-LT"/>
                </w:rPr>
                <w:t>2025 m. vyko 12 komiteto posėdžių.</w:t>
              </w:r>
            </w:p>
            <w:p>
              <w:pPr>
                <w:ind w:firstLine="709"/>
                <w:rPr>
                  <w:szCs w:val="24"/>
                  <w:lang w:eastAsia="lt-LT"/>
                </w:rPr>
              </w:pPr>
              <w:r>
                <w:rPr>
                  <w:szCs w:val="24"/>
                  <w:lang w:eastAsia="lt-LT"/>
                </w:rPr>
                <w:t>Kultūros, švietimo ir sporto komitete dirbo tarybos nariai Karolis Balsys, Paulius Kablys, Laima Škėmienė, Lina Mončauskienė, Vytautas Simelis. Šio komiteto pirmininkas – Vytautas Simelis, pirmininko pavaduotoja – Laima Škėmienė.</w:t>
              </w:r>
            </w:p>
            <w:p>
              <w:pPr>
                <w:ind w:firstLine="709"/>
                <w:rPr>
                  <w:szCs w:val="24"/>
                  <w:lang w:eastAsia="lt-LT"/>
                </w:rPr>
              </w:pPr>
              <w:r>
                <w:rPr>
                  <w:szCs w:val="24"/>
                  <w:lang w:eastAsia="lt-LT"/>
                </w:rPr>
                <w:t>2025 m. vyko 10 komiteto posėdžių.</w:t>
              </w:r>
            </w:p>
            <w:p>
              <w:pPr>
                <w:ind w:firstLine="709"/>
                <w:rPr>
                  <w:szCs w:val="24"/>
                  <w:lang w:eastAsia="lt-LT"/>
                </w:rPr>
              </w:pPr>
              <w:r>
                <w:rPr>
                  <w:szCs w:val="24"/>
                  <w:lang w:eastAsia="lt-LT"/>
                </w:rPr>
                <w:t>Komitetų pirmininkų iniciatyva vyko keli neeiliniai komitetų posėdžiai.</w:t>
              </w:r>
            </w:p>
            <w:p>
              <w:pPr>
                <w:ind w:right="-2" w:firstLine="709"/>
                <w:rPr>
                  <w:szCs w:val="24"/>
                </w:rPr>
              </w:pPr>
              <w:r>
                <w:rPr>
                  <w:szCs w:val="24"/>
                </w:rPr>
                <w:t xml:space="preserve">Kultūros, švietimo ir sporto komiteto pirmininkas Vytautas Simelis ir komiteto nariai į Radviliškio rajono savivaldybę  pakvietė Pakruojo rajono savivaldybės tarybos Švietimo, kultūros ir sporto komiteto narius. Buvo pasidalinta gerąja komitetų darbo patirtimi, svečiai supažindinti su Daugyvenės kultūros istorijos muziejumi-draustiniu, Burbiškio dvaru ir Kleboniškių istoriniu kaimu.</w:t>
              </w:r>
            </w:p>
            <w:p>
              <w:pPr>
                <w:ind w:right="-2" w:firstLine="709"/>
                <w:rPr>
                  <w:szCs w:val="24"/>
                </w:rPr>
              </w:pPr>
              <w:r>
                <w:rPr>
                  <w:szCs w:val="24"/>
                </w:rPr>
                <w:t xml:space="preserve">Socialinių reikalų, sveikatos ir teisėtvarkos komiteto pirmininkė Zita Žvikienė ir komiteto narės sausio mėnesį organizavo neeilinį posėdį-diskusiją Radviliškio rajono savivaldybės Visuomenės sveikatos stebėsenai ir Radviliškio rajono savivaldybės medicinos punktų veiklai  aptarti.</w:t>
              </w:r>
            </w:p>
            <w:p>
              <w:pPr>
                <w:ind w:right="-2" w:firstLine="709"/>
                <w:rPr>
                  <w:szCs w:val="24"/>
                </w:rPr>
              </w:pPr>
              <w:r>
                <w:rPr>
                  <w:szCs w:val="24"/>
                </w:rPr>
                <w:t>Liepos mėnesį Socialinių reikalų, sveikatos ir teisėtvarkos komitetas organizavo apvaliojo stalo diskusiją su Radviliškio rajono savivaldybės medicinos įstaigų ir Radviliškio rajono savivaldybės sveikatos biuro atstovais. Buvo aptartas odontologinių paslaugų teikimas Radviliškio rajono savivaldybėje.</w:t>
              </w:r>
            </w:p>
            <w:p>
              <w:pPr>
                <w:ind w:right="-2" w:firstLine="709"/>
                <w:rPr>
                  <w:color w:val="C00000"/>
                  <w:szCs w:val="24"/>
                </w:rPr>
              </w:pPr>
              <w:r>
                <w:rPr>
                  <w:szCs w:val="24"/>
                </w:rPr>
                <w:t>Investicijų ir kaimo reikalų komiteto pirmininkas Aurimas Gaidžiūnas ir komiteto nariai vyko į VŠĮ „Šeduvos paslaugų centrą“, domėjosi jo reorganizavimo galimybėmis.</w:t>
              </w:r>
            </w:p>
            <w:p>
              <w:pPr>
                <w:ind w:right="-2" w:firstLine="709"/>
                <w:rPr>
                  <w:szCs w:val="24"/>
                </w:rPr>
              </w:pPr>
              <w:r>
                <w:rPr>
                  <w:szCs w:val="24"/>
                </w:rPr>
                <w:t>2025 m. dirbo 2023–2027 m. kadencijos Radviliškio rajono savivaldybės tarybos sudarytos komisijos.</w:t>
              </w:r>
            </w:p>
            <w:p>
              <w:pPr>
                <w:ind w:firstLine="709"/>
                <w:rPr>
                  <w:szCs w:val="24"/>
                </w:rPr>
              </w:pPr>
              <w:r>
                <w:rPr>
                  <w:szCs w:val="24"/>
                </w:rPr>
                <w:t xml:space="preserve">Etikos komisijoje dirbo komisijos pirmininkas Romas Kalvaitis, pirmininko pavaduotojas Jonas Povilaitis ir nariai: Vilma Aleknienė, Jurgis Baublys, Justas Malinauskas, Jonas Pravilonis, Rimantas Vaičiurgis. </w:t>
              </w:r>
            </w:p>
            <w:p>
              <w:pPr>
                <w:ind w:firstLine="709"/>
                <w:rPr>
                  <w:szCs w:val="24"/>
                </w:rPr>
              </w:pPr>
              <w:r>
                <w:rPr>
                  <w:szCs w:val="24"/>
                </w:rPr>
                <w:t>Per ataskaitinį laikotarpį buvo sušaukti 2 Komisijos posėdžiai.</w:t>
              </w:r>
            </w:p>
            <w:p>
              <w:pPr>
                <w:ind w:firstLine="709"/>
                <w:rPr>
                  <w:szCs w:val="24"/>
                </w:rPr>
              </w:pPr>
              <w:r>
                <w:rPr>
                  <w:szCs w:val="24"/>
                </w:rPr>
                <w:t xml:space="preserve">Radviliškio rajono savivaldybės tarybos Antikorupcijos komisijoje dirbo  pirmininkas Darius Jurėnas, pavaduotojas Laimutis Brunius, nariai: Vytautas Krikščiūnas, Gediminas Lipnevičius, Eduardas Martynkinas, Vytautas Simelis. </w:t>
              </w:r>
            </w:p>
            <w:p>
              <w:pPr>
                <w:ind w:firstLine="709"/>
                <w:rPr>
                  <w:szCs w:val="24"/>
                </w:rPr>
              </w:pPr>
              <w:r>
                <w:rPr>
                  <w:szCs w:val="24"/>
                </w:rPr>
                <w:t xml:space="preserve">Siekiant užtikrinti savivaldybės veiklos tęstinumą, tikslų įgyvendinimą, rajonui aktualių klausimų svarstymą, išvadų bei pasiūlymų teikimą sprendimų projektų rengėjams dirbo ir kitos  Tarybos komisijos ir tarybos, kurioms pirmininkavo ir nariais buvo savivaldybės tarybos nariai.</w:t>
              </w: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5805"/>
              </w:tblGrid>
              <w:tr>
                <w:tc>
                  <w:tcPr>
                    <w:tcW w:w="3823" w:type="dxa"/>
                  </w:tcPr>
                  <w:p>
                    <w:pPr>
                      <w:rPr>
                        <w:b/>
                        <w:bCs/>
                        <w:szCs w:val="24"/>
                      </w:rPr>
                    </w:pPr>
                    <w:r>
                      <w:rPr>
                        <w:b/>
                        <w:bCs/>
                        <w:szCs w:val="24"/>
                      </w:rPr>
                      <w:t>Komisijos/tarybos pavadinimas</w:t>
                    </w:r>
                  </w:p>
                </w:tc>
                <w:tc>
                  <w:tcPr>
                    <w:tcW w:w="5805" w:type="dxa"/>
                  </w:tcPr>
                  <w:p>
                    <w:pPr>
                      <w:rPr>
                        <w:b/>
                        <w:bCs/>
                        <w:szCs w:val="24"/>
                      </w:rPr>
                    </w:pPr>
                    <w:r>
                      <w:rPr>
                        <w:b/>
                        <w:bCs/>
                        <w:szCs w:val="24"/>
                      </w:rPr>
                      <w:t>Tarybos nariai, priklausantys komisijai/tarybai</w:t>
                    </w:r>
                  </w:p>
                </w:tc>
              </w:tr>
              <w:tr>
                <w:tc>
                  <w:tcPr>
                    <w:tcW w:w="3823" w:type="dxa"/>
                  </w:tcPr>
                  <w:p>
                    <w:pPr>
                      <w:rPr>
                        <w:szCs w:val="24"/>
                      </w:rPr>
                    </w:pPr>
                    <w:r>
                      <w:rPr>
                        <w:szCs w:val="24"/>
                      </w:rPr>
                      <w:t>Peticijų komisija</w:t>
                    </w:r>
                  </w:p>
                </w:tc>
                <w:tc>
                  <w:tcPr>
                    <w:tcW w:w="5805" w:type="dxa"/>
                  </w:tcPr>
                  <w:p>
                    <w:pPr>
                      <w:rPr>
                        <w:szCs w:val="24"/>
                      </w:rPr>
                    </w:pPr>
                    <w:r>
                      <w:rPr>
                        <w:szCs w:val="24"/>
                      </w:rPr>
                      <w:t>Komisijos pirmininkas – Lina Mončauskienė; pirmininko pavaduotojas – Algimantas Ruseckas; nariai: Skaidra Dišlė, Gediminas Lipnevičius, Vilmutė Sprudzanienė, Vytautas Simelis.</w:t>
                    </w:r>
                  </w:p>
                </w:tc>
              </w:tr>
              <w:tr>
                <w:tc>
                  <w:tcPr>
                    <w:tcW w:w="3823" w:type="dxa"/>
                  </w:tcPr>
                  <w:p>
                    <w:pPr>
                      <w:rPr>
                        <w:szCs w:val="24"/>
                      </w:rPr>
                    </w:pPr>
                    <w:r>
                      <w:rPr>
                        <w:szCs w:val="24"/>
                      </w:rPr>
                      <w:t>Narkotikų kontrolės komisija</w:t>
                    </w:r>
                  </w:p>
                </w:tc>
                <w:tc>
                  <w:tcPr>
                    <w:tcW w:w="5805" w:type="dxa"/>
                  </w:tcPr>
                  <w:p>
                    <w:pPr>
                      <w:rPr>
                        <w:szCs w:val="24"/>
                      </w:rPr>
                    </w:pPr>
                    <w:r>
                      <w:rPr>
                        <w:color w:val="000000"/>
                        <w:szCs w:val="24"/>
                        <w:lang w:eastAsia="lt-LT"/>
                      </w:rPr>
                      <w:t>Komisijos pirmininkas – Eduardas Martynkinas.</w:t>
                    </w:r>
                  </w:p>
                </w:tc>
              </w:tr>
              <w:tr>
                <w:tc>
                  <w:tcPr>
                    <w:tcW w:w="3823" w:type="dxa"/>
                  </w:tcPr>
                  <w:p>
                    <w:pPr>
                      <w:rPr>
                        <w:szCs w:val="24"/>
                      </w:rPr>
                    </w:pPr>
                    <w:r>
                      <w:rPr>
                        <w:color w:val="000000"/>
                        <w:szCs w:val="24"/>
                        <w:lang w:eastAsia="lt-LT"/>
                      </w:rPr>
                      <w:t>Mažmeninės prekybos alkoholiniais gėrimais ribojimo komisija</w:t>
                    </w:r>
                  </w:p>
                </w:tc>
                <w:tc>
                  <w:tcPr>
                    <w:tcW w:w="5805" w:type="dxa"/>
                  </w:tcPr>
                  <w:p>
                    <w:pPr>
                      <w:rPr>
                        <w:szCs w:val="24"/>
                      </w:rPr>
                    </w:pPr>
                    <w:r>
                      <w:rPr>
                        <w:color w:val="000000"/>
                        <w:szCs w:val="24"/>
                        <w:lang w:eastAsia="lt-LT"/>
                      </w:rPr>
                      <w:t xml:space="preserve">Komisijos pirmininkas – Vidmantas </w:t>
                    </w:r>
                    <w:r>
                      <w:rPr>
                        <w:bCs/>
                        <w:color w:val="000000"/>
                        <w:szCs w:val="24"/>
                        <w:lang w:eastAsia="lt-LT"/>
                      </w:rPr>
                      <w:t>B</w:t>
                    </w:r>
                    <w:r>
                      <w:rPr>
                        <w:color w:val="000000"/>
                        <w:szCs w:val="24"/>
                        <w:lang w:eastAsia="lt-LT"/>
                      </w:rPr>
                      <w:t>ernotas.</w:t>
                    </w:r>
                  </w:p>
                </w:tc>
              </w:tr>
              <w:tr>
                <w:tc>
                  <w:tcPr>
                    <w:tcW w:w="3823" w:type="dxa"/>
                  </w:tcPr>
                  <w:p>
                    <w:pPr>
                      <w:rPr>
                        <w:szCs w:val="24"/>
                      </w:rPr>
                    </w:pPr>
                    <w:r>
                      <w:rPr>
                        <w:szCs w:val="24"/>
                      </w:rPr>
                      <w:t>Istorinės atminties įamžinimo komisija</w:t>
                    </w:r>
                  </w:p>
                </w:tc>
                <w:tc>
                  <w:tcPr>
                    <w:tcW w:w="5805" w:type="dxa"/>
                  </w:tcPr>
                  <w:p>
                    <w:pPr>
                      <w:rPr>
                        <w:szCs w:val="24"/>
                      </w:rPr>
                    </w:pPr>
                    <w:r>
                      <w:rPr>
                        <w:color w:val="000000"/>
                        <w:szCs w:val="24"/>
                        <w:lang w:eastAsia="lt-LT"/>
                      </w:rPr>
                      <w:t>Komisijos pirmininkė – Laima Škėmienė.</w:t>
                    </w:r>
                  </w:p>
                </w:tc>
              </w:tr>
              <w:tr>
                <w:tc>
                  <w:tcPr>
                    <w:tcW w:w="3823" w:type="dxa"/>
                  </w:tcPr>
                  <w:p>
                    <w:pPr>
                      <w:rPr>
                        <w:szCs w:val="24"/>
                      </w:rPr>
                    </w:pPr>
                    <w:r>
                      <w:rPr>
                        <w:szCs w:val="24"/>
                      </w:rPr>
                      <w:t xml:space="preserve">Turizmo taryba </w:t>
                    </w:r>
                  </w:p>
                </w:tc>
                <w:tc>
                  <w:tcPr>
                    <w:tcW w:w="5805" w:type="dxa"/>
                  </w:tcPr>
                  <w:p>
                    <w:pPr>
                      <w:rPr>
                        <w:szCs w:val="24"/>
                      </w:rPr>
                    </w:pPr>
                    <w:r>
                      <w:rPr>
                        <w:color w:val="000000"/>
                        <w:szCs w:val="24"/>
                        <w:lang w:eastAsia="lt-LT"/>
                      </w:rPr>
                      <w:t xml:space="preserve">Komisijos pirmininkas – Vytautas Simelis; pirmininko pavaduotojas – Algimantas Ruseckas; narys – Justas Malinauskas. </w:t>
                    </w:r>
                  </w:p>
                </w:tc>
              </w:tr>
              <w:tr>
                <w:tc>
                  <w:tcPr>
                    <w:tcW w:w="3823" w:type="dxa"/>
                  </w:tcPr>
                  <w:p>
                    <w:pPr>
                      <w:rPr>
                        <w:szCs w:val="24"/>
                      </w:rPr>
                    </w:pPr>
                    <w:r>
                      <w:rPr>
                        <w:szCs w:val="24"/>
                      </w:rPr>
                      <w:t xml:space="preserve">Komisija Radviliškio rajono savivaldybės tarybos veiklos reglamento pakeitimams koordinuoti </w:t>
                    </w:r>
                  </w:p>
                </w:tc>
                <w:tc>
                  <w:tcPr>
                    <w:tcW w:w="5805" w:type="dxa"/>
                  </w:tcPr>
                  <w:p>
                    <w:pPr>
                      <w:rPr>
                        <w:szCs w:val="24"/>
                      </w:rPr>
                    </w:pPr>
                    <w:r>
                      <w:rPr>
                        <w:szCs w:val="24"/>
                      </w:rPr>
                      <w:t xml:space="preserve">Komisijos pirmininkė – Zita Žvikienė; pirmininkės pavaduotojas – Jonas Pravilonis; nariai: Skaidra Dišlė, Gediminas Lipnevičius, Justas Malinauskas, Jonas Povilaitis, Rimantas Vaičiurgis. </w:t>
                    </w:r>
                  </w:p>
                </w:tc>
              </w:tr>
              <w:tr>
                <w:tc>
                  <w:tcPr>
                    <w:tcW w:w="3823" w:type="dxa"/>
                  </w:tcPr>
                  <w:p>
                    <w:pPr>
                      <w:rPr>
                        <w:szCs w:val="24"/>
                      </w:rPr>
                    </w:pPr>
                    <w:r>
                      <w:rPr>
                        <w:szCs w:val="24"/>
                      </w:rPr>
                      <w:t>Švietimo taryba</w:t>
                    </w:r>
                  </w:p>
                </w:tc>
                <w:tc>
                  <w:tcPr>
                    <w:tcW w:w="5805" w:type="dxa"/>
                  </w:tcPr>
                  <w:p>
                    <w:pPr>
                      <w:rPr>
                        <w:szCs w:val="24"/>
                      </w:rPr>
                    </w:pPr>
                    <w:r>
                      <w:rPr>
                        <w:color w:val="000000"/>
                        <w:szCs w:val="24"/>
                        <w:lang w:eastAsia="lt-LT"/>
                      </w:rPr>
                      <w:t>Komisijos pirmininkė – Laima Škėmienė.</w:t>
                    </w:r>
                  </w:p>
                </w:tc>
              </w:tr>
            </w:tbl>
            <w:p>
              <w:pPr>
                <w:ind w:right="-2" w:firstLine="709"/>
                <w:rPr>
                  <w:color w:val="000000"/>
                  <w:szCs w:val="24"/>
                  <w:lang w:eastAsia="lt-LT"/>
                </w:rPr>
              </w:pPr>
            </w:p>
            <w:p>
              <w:pPr>
                <w:ind w:right="-2" w:firstLine="709"/>
                <w:rPr>
                  <w:color w:val="000000"/>
                  <w:szCs w:val="24"/>
                  <w:lang w:eastAsia="lt-LT"/>
                </w:rPr>
              </w:pPr>
              <w:r>
                <w:rPr>
                  <w:color w:val="000000"/>
                  <w:szCs w:val="24"/>
                  <w:lang w:eastAsia="lt-LT"/>
                </w:rPr>
                <w:t>2025 m. Radviliškio rajono savivaldybės psichoaktyvių medžiagų vartojimo prevencijos 2023–2025 metų veiksmų planą įgyvendino</w:t>
              </w:r>
              <w:r>
                <w:rPr>
                  <w:b/>
                  <w:bCs/>
                  <w:color w:val="000000"/>
                  <w:szCs w:val="24"/>
                  <w:lang w:eastAsia="lt-LT"/>
                </w:rPr>
                <w:t xml:space="preserve"> </w:t>
              </w:r>
              <w:r>
                <w:rPr>
                  <w:color w:val="000000"/>
                  <w:szCs w:val="24"/>
                  <w:lang w:eastAsia="lt-LT"/>
                </w:rPr>
                <w:t>Narkotikų kontrolės komisija. Lankytasi Radviliškio rajono švietimo įstaigose, domėtasi taikomomis prevencinėmis priemonėmis, organizuotas posėdis.</w:t>
              </w:r>
            </w:p>
            <w:p>
              <w:pPr>
                <w:ind w:right="-2" w:firstLine="709"/>
                <w:rPr>
                  <w:color w:val="000000"/>
                  <w:szCs w:val="24"/>
                  <w:lang w:eastAsia="lt-LT"/>
                </w:rPr>
              </w:pPr>
              <w:r>
                <w:rPr>
                  <w:color w:val="000000"/>
                  <w:szCs w:val="24"/>
                  <w:lang w:eastAsia="lt-LT"/>
                </w:rPr>
                <w:t>Mažmeninės prekybos alkoholiniais gėrimais ribojimo komisija teikė aktualius pasiūlymus merui ir Tarybai dėl prekybos alkoholiniais gėrimais ribojimo.</w:t>
              </w:r>
            </w:p>
            <w:p>
              <w:pPr>
                <w:ind w:right="-2" w:firstLine="709"/>
                <w:rPr>
                  <w:color w:val="000000"/>
                  <w:szCs w:val="24"/>
                  <w:lang w:eastAsia="lt-LT"/>
                </w:rPr>
              </w:pPr>
              <w:r>
                <w:rPr>
                  <w:color w:val="000000"/>
                  <w:szCs w:val="24"/>
                  <w:lang w:eastAsia="lt-LT"/>
                </w:rPr>
                <w:t xml:space="preserve">Istorinės atminties įamžinimo komisija koordinavo rajono istorinės atminties išsaugojimo ir įprasminimo politikos strategiją,  prioritetines istorinės atminties išsaugojimo ir įprasminimo rajone kryptis, užtikrindama efektyvų istorinės atminties išsaugojimo ir įprasminimo politikos įgyvendinimą rajone, organizavo komisijos posėdį.</w:t>
              </w:r>
            </w:p>
            <w:p>
              <w:pPr>
                <w:ind w:right="-2" w:firstLine="709"/>
                <w:rPr>
                  <w:color w:val="000000"/>
                  <w:szCs w:val="24"/>
                  <w:lang w:eastAsia="lt-LT"/>
                </w:rPr>
              </w:pPr>
              <w:r>
                <w:rPr>
                  <w:color w:val="000000"/>
                  <w:szCs w:val="24"/>
                  <w:lang w:eastAsia="lt-LT"/>
                </w:rPr>
                <w:t xml:space="preserve">Turizmo taryba nagrinėjo rajono turizmo plėtros ir turizmo skatinimo klausimus, teikė pasiūlymus dėl rajono turizmo politikos, sudarančios palankesnes sąlygas turizmo verslui, formavimo. </w:t>
              </w:r>
            </w:p>
            <w:p>
              <w:pPr>
                <w:ind w:right="-2" w:firstLine="709"/>
                <w:rPr>
                  <w:szCs w:val="24"/>
                </w:rPr>
              </w:pPr>
              <w:r>
                <w:rPr>
                  <w:color w:val="000000"/>
                  <w:szCs w:val="24"/>
                  <w:lang w:eastAsia="lt-LT"/>
                </w:rPr>
                <w:t>Švietimo taryba analizuoja aktualias rajono švietimo problemas</w:t>
              </w:r>
              <w:r>
                <w:rPr>
                  <w:szCs w:val="24"/>
                </w:rPr>
                <w:t xml:space="preserve">, analizuoja, kaip vykdoma bendroji švietimo politika rajone. </w:t>
              </w:r>
            </w:p>
            <w:p>
              <w:pPr>
                <w:ind w:right="-2" w:firstLine="709"/>
                <w:rPr>
                  <w:color w:val="000000"/>
                  <w:szCs w:val="24"/>
                  <w:lang w:eastAsia="lt-LT"/>
                </w:rPr>
              </w:pPr>
              <w:r>
                <w:rPr>
                  <w:color w:val="000000"/>
                  <w:szCs w:val="24"/>
                  <w:lang w:eastAsia="lt-LT"/>
                </w:rPr>
                <w:t>Reglamento komisija nustatė Radviliškio rajono savivaldybės tarybos, Radviliškio rajono savivaldybės mero, vicemero, tarybos komitetų, komisijų, kolegijų, frakcijų, grupių, į jokias frakcijas ar grupes nesusivienijusių bei atskirų Tarybos narių veiklos tvarką ir formas, vadovaudamasi aukštesniais teisės aktais.</w:t>
              </w:r>
            </w:p>
            <w:p>
              <w:pPr>
                <w:rPr>
                  <w:szCs w:val="24"/>
                </w:rPr>
              </w:pPr>
            </w:p>
          </w:sdtContent>
        </w:sdt>
        <w:sdt>
          <w:sdtPr>
            <w:alias w:val="skirsnis"/>
            <w:tag w:val="part_0439fca723d644ae99eca1072a4e5692"/>
            <w:lock w:val="sdtLocked"/>
            <w:richText/>
          </w:sdtPr>
          <w:sdtContent>
            <w:p>
              <w:pPr>
                <w:keepLines/>
                <w:tabs>
                  <w:tab w:val="left" w:pos="7020"/>
                </w:tabs>
                <w:suppressAutoHyphens/>
                <w:spacing w:line="276" w:lineRule="auto"/>
                <w:jc w:val="center"/>
                <w:textAlignment w:val="baseline"/>
                <w:rPr>
                  <w:b/>
                  <w:szCs w:val="24"/>
                </w:rPr>
              </w:pPr>
              <w:sdt>
                <w:sdtPr>
                  <w:alias w:val="Pavadinimas"/>
                  <w:tag w:val="title_0439fca723d644ae99eca1072a4e5692"/>
                  <w:lock w:val="sdtLocked"/>
                  <w:richText/>
                </w:sdtPr>
                <w:sdtContent>
                  <w:r>
                    <w:rPr>
                      <w:b/>
                      <w:szCs w:val="24"/>
                    </w:rPr>
                    <w:t>RADVILIŠKIO RAJONO SAVIVALDYBĖS ADMINISTRACIJA</w:t>
                  </w:r>
                </w:sdtContent>
              </w:sdt>
            </w:p>
            <w:p>
              <w:pPr>
                <w:jc w:val="center"/>
                <w:rPr>
                  <w:szCs w:val="24"/>
                </w:rPr>
              </w:pPr>
            </w:p>
          </w:sdtContent>
        </w:sdt>
        <w:sdt>
          <w:sdtPr>
            <w:alias w:val="skyrius"/>
            <w:tag w:val="part_26a9336027884dbf877d495fdf75eadc"/>
            <w:lock w:val="sdtLocked"/>
            <w:richText/>
          </w:sdtPr>
          <w:sdtContent>
            <w:p>
              <w:pPr>
                <w:suppressAutoHyphens/>
                <w:spacing w:line="276" w:lineRule="auto"/>
                <w:jc w:val="center"/>
                <w:textAlignment w:val="baseline"/>
                <w:rPr>
                  <w:rFonts w:eastAsia="Calibri"/>
                  <w:b/>
                  <w:iCs/>
                  <w:szCs w:val="24"/>
                </w:rPr>
              </w:pPr>
              <w:sdt>
                <w:sdtPr>
                  <w:alias w:val="Numeris"/>
                  <w:tag w:val="nr_26a9336027884dbf877d495fdf75eadc"/>
                  <w:lock w:val="sdtLocked"/>
                  <w:richText/>
                </w:sdtPr>
                <w:sdtContent>
                  <w:r>
                    <w:rPr>
                      <w:rFonts w:eastAsia="Calibri"/>
                      <w:b/>
                      <w:iCs/>
                      <w:szCs w:val="24"/>
                    </w:rPr>
                    <w:t>I</w:t>
                  </w:r>
                </w:sdtContent>
              </w:sdt>
              <w:r>
                <w:rPr>
                  <w:rFonts w:eastAsia="Calibri"/>
                  <w:b/>
                  <w:iCs/>
                  <w:szCs w:val="24"/>
                </w:rPr>
                <w:t xml:space="preserve"> SKYRIUS</w:t>
              </w:r>
            </w:p>
            <w:p>
              <w:pPr>
                <w:suppressAutoHyphens/>
                <w:spacing w:line="276" w:lineRule="auto"/>
                <w:jc w:val="center"/>
                <w:textAlignment w:val="baseline"/>
                <w:rPr>
                  <w:rFonts w:eastAsia="Calibri"/>
                  <w:b/>
                  <w:iCs/>
                  <w:szCs w:val="24"/>
                </w:rPr>
              </w:pPr>
              <w:sdt>
                <w:sdtPr>
                  <w:alias w:val="Pavadinimas"/>
                  <w:tag w:val="title_26a9336027884dbf877d495fdf75eadc"/>
                  <w:lock w:val="sdtLocked"/>
                  <w:richText/>
                </w:sdtPr>
                <w:sdtContent>
                  <w:r>
                    <w:rPr>
                      <w:rFonts w:eastAsia="Calibri"/>
                      <w:b/>
                      <w:iCs/>
                      <w:szCs w:val="24"/>
                    </w:rPr>
                    <w:t>BENDROJI INFORMACIJA APIE ĮSTAIGĄ</w:t>
                  </w:r>
                </w:sdtContent>
              </w:sdt>
            </w:p>
            <w:p>
              <w:pPr>
                <w:suppressAutoHyphens/>
                <w:spacing w:line="276" w:lineRule="auto"/>
                <w:textAlignment w:val="baseline"/>
                <w:rPr>
                  <w:rFonts w:eastAsia="Calibri"/>
                  <w:b/>
                  <w:iCs/>
                  <w:szCs w:val="24"/>
                </w:rPr>
              </w:pPr>
            </w:p>
            <w:p>
              <w:pPr>
                <w:suppressAutoHyphens/>
                <w:ind w:firstLine="720"/>
                <w:textAlignment w:val="baseline"/>
                <w:rPr>
                  <w:color w:val="000000"/>
                  <w:szCs w:val="24"/>
                  <w:shd w:val="clear" w:color="auto" w:fill="FFFFFF"/>
                </w:rPr>
              </w:pPr>
              <w:r>
                <w:rPr>
                  <w:color w:val="000000"/>
                  <w:szCs w:val="24"/>
                  <w:shd w:val="clear" w:color="auto" w:fill="FFFFFF"/>
                </w:rPr>
                <w:t>Radviliškio rajono savivaldybės administracija (toliau – Administracija) yra Radviliškio rajono savivaldybės biudžetinė įstaiga (d</w:t>
              </w:r>
              <w:r>
                <w:rPr>
                  <w:rFonts w:eastAsia="Calibri"/>
                  <w:bCs/>
                  <w:iCs/>
                  <w:szCs w:val="24"/>
                </w:rPr>
                <w:t xml:space="preserve">uomenys apie įstaigą kaupiami ir saugomi Juridinių asmenų registre). </w:t>
              </w:r>
              <w:r>
                <w:rPr>
                  <w:color w:val="000000"/>
                  <w:szCs w:val="24"/>
                  <w:shd w:val="clear" w:color="auto" w:fill="FFFFFF"/>
                </w:rPr>
                <w:t>Ją sudaro struktūriniai padaliniai (14 skyrių), į struktūrinius padalinius neįeinantys valstybės tarnautojai (3) ir struktūriniai teritoriniai padaliniai – 12 seniūnijų.</w:t>
              </w:r>
            </w:p>
            <w:p>
              <w:pPr>
                <w:suppressAutoHyphens/>
                <w:ind w:firstLine="720"/>
                <w:textAlignment w:val="baseline"/>
                <w:rPr>
                  <w:rFonts w:eastAsia="Calibri"/>
                  <w:bCs/>
                  <w:iCs/>
                  <w:szCs w:val="24"/>
                </w:rPr>
              </w:pPr>
              <w:r>
                <w:rPr>
                  <w:color w:val="000000"/>
                  <w:szCs w:val="24"/>
                  <w:shd w:val="clear" w:color="auto" w:fill="FFFFFF"/>
                </w:rPr>
                <w:t>Administracijos buveinės adresas – Aušros a. 10, LT – 82123, Radviliškis. Pagrindinė veiklos rūšis: Lietuvos Respublikos savivaldybių veikla (ekonominės veiklos rūšių klasifikatorius (EVRK) kodas 84.11.20).</w:t>
              </w:r>
            </w:p>
            <w:p>
              <w:pPr>
                <w:suppressAutoHyphens/>
                <w:ind w:firstLine="720"/>
                <w:textAlignment w:val="baseline"/>
                <w:rPr>
                  <w:rFonts w:eastAsia="Calibri"/>
                  <w:bCs/>
                  <w:iCs/>
                  <w:szCs w:val="24"/>
                </w:rPr>
              </w:pPr>
              <w:r>
                <w:rPr>
                  <w:color w:val="000000"/>
                  <w:szCs w:val="24"/>
                </w:rPr>
                <w:t>Administracijos savininkė – Radviliškio rajono savivaldybė, identifikavimo kodas 111101539, adresas: Aušros a. 10, LT–82123, Radviliškis. Savininko teises ir pareigas įgyvendinančios institucijos teisės ir pareigos nustatytos Vietos savivaldos, </w:t>
              </w:r>
              <w:r>
                <w:rPr>
                  <w:color w:val="000000"/>
                  <w:szCs w:val="24"/>
                  <w:shd w:val="clear" w:color="auto" w:fill="FFFFFF"/>
                </w:rPr>
                <w:t>Biudžetinių įstaigų įstatymuose </w:t>
              </w:r>
              <w:r>
                <w:rPr>
                  <w:color w:val="000000"/>
                  <w:szCs w:val="24"/>
                </w:rPr>
                <w:t>ir atitinka šiuose teisės aktuose nustatytas kompetencijas.</w:t>
              </w:r>
            </w:p>
            <w:p>
              <w:pPr>
                <w:suppressAutoHyphens/>
                <w:ind w:firstLine="720"/>
                <w:textAlignment w:val="baseline"/>
                <w:rPr>
                  <w:rFonts w:eastAsia="Calibri"/>
                  <w:bCs/>
                  <w:iCs/>
                  <w:szCs w:val="24"/>
                </w:rPr>
              </w:pPr>
              <w:r>
                <w:rPr>
                  <w:rFonts w:eastAsia="Calibri"/>
                  <w:bCs/>
                  <w:iCs/>
                  <w:szCs w:val="24"/>
                </w:rPr>
                <w:t>Paskutinė ataskaitinio laikotarpio diena – 2025 m. gruodžio 31 d. Laikotarpis, už kurį teikiama veiklos ataskaita – 2025 m. sausio 1 d. – 2025 m. gruodžio 31 d.</w:t>
              </w:r>
            </w:p>
            <w:p>
              <w:pPr>
                <w:suppressAutoHyphens/>
                <w:ind w:firstLine="720"/>
                <w:textAlignment w:val="baseline"/>
                <w:rPr>
                  <w:rFonts w:eastAsia="Calibri"/>
                  <w:bCs/>
                  <w:iCs/>
                  <w:szCs w:val="24"/>
                </w:rPr>
              </w:pPr>
              <w:r>
                <w:rPr>
                  <w:rFonts w:eastAsia="Calibri"/>
                  <w:bCs/>
                  <w:iCs/>
                  <w:szCs w:val="24"/>
                </w:rPr>
                <w:t>Administracijai nuo 2023 m. gegužės 9 d. vadovauja Administracijos direktorė Eglė Ivanauskytė. Nuo 2025 m. lapkričio 21 d. iki ataskaitinio laikotarpio pabaigos laikinai Administracijos direktorės pareigas ėjo Raimonda Balinskienė, Administracijos direktoriaus pavaduotoja.</w:t>
              </w:r>
            </w:p>
            <w:p>
              <w:pPr>
                <w:suppressAutoHyphens/>
                <w:spacing w:line="276" w:lineRule="auto"/>
                <w:ind w:firstLine="720"/>
                <w:textAlignment w:val="baseline"/>
                <w:rPr>
                  <w:rFonts w:eastAsia="Calibri"/>
                  <w:bCs/>
                  <w:i/>
                  <w:color w:val="808080"/>
                  <w:szCs w:val="24"/>
                </w:rPr>
              </w:pPr>
            </w:p>
          </w:sdtContent>
        </w:sdt>
        <w:sdt>
          <w:sdtPr>
            <w:alias w:val="skyrius"/>
            <w:tag w:val="part_a235855d5d32449782457500403db91f"/>
            <w:lock w:val="sdtLocked"/>
            <w:richText/>
          </w:sdtPr>
          <w:sdtContent>
            <w:p>
              <w:pPr>
                <w:suppressAutoHyphens/>
                <w:spacing w:line="276" w:lineRule="auto"/>
                <w:jc w:val="center"/>
                <w:textAlignment w:val="baseline"/>
                <w:rPr>
                  <w:rFonts w:eastAsia="Calibri"/>
                  <w:b/>
                  <w:iCs/>
                  <w:szCs w:val="24"/>
                </w:rPr>
              </w:pPr>
              <w:sdt>
                <w:sdtPr>
                  <w:alias w:val="Numeris"/>
                  <w:tag w:val="nr_a235855d5d32449782457500403db91f"/>
                  <w:lock w:val="sdtLocked"/>
                  <w:richText/>
                </w:sdtPr>
                <w:sdtContent>
                  <w:r>
                    <w:rPr>
                      <w:rFonts w:eastAsia="Calibri"/>
                      <w:b/>
                      <w:iCs/>
                      <w:szCs w:val="24"/>
                    </w:rPr>
                    <w:t>II</w:t>
                  </w:r>
                </w:sdtContent>
              </w:sdt>
              <w:r>
                <w:rPr>
                  <w:rFonts w:eastAsia="Calibri"/>
                  <w:b/>
                  <w:iCs/>
                  <w:szCs w:val="24"/>
                </w:rPr>
                <w:t xml:space="preserve"> SKYRIUS</w:t>
              </w:r>
            </w:p>
            <w:p>
              <w:pPr>
                <w:suppressAutoHyphens/>
                <w:spacing w:line="276" w:lineRule="auto"/>
                <w:jc w:val="center"/>
                <w:textAlignment w:val="baseline"/>
                <w:rPr>
                  <w:rFonts w:eastAsia="Calibri"/>
                  <w:b/>
                  <w:iCs/>
                  <w:szCs w:val="24"/>
                </w:rPr>
              </w:pPr>
              <w:sdt>
                <w:sdtPr>
                  <w:alias w:val="Pavadinimas"/>
                  <w:tag w:val="title_a235855d5d32449782457500403db91f"/>
                  <w:lock w:val="sdtLocked"/>
                  <w:richText/>
                </w:sdtPr>
                <w:sdtContent>
                  <w:r>
                    <w:rPr>
                      <w:rFonts w:eastAsia="Calibri"/>
                      <w:b/>
                      <w:iCs/>
                      <w:szCs w:val="24"/>
                    </w:rPr>
                    <w:t>ŽMOGIŠKŲJŲ IŠTEKLIŲ VALDYMAS</w:t>
                  </w:r>
                </w:sdtContent>
              </w:sdt>
            </w:p>
            <w:p>
              <w:pPr>
                <w:suppressAutoHyphens/>
                <w:spacing w:line="276" w:lineRule="auto"/>
                <w:textAlignment w:val="baseline"/>
                <w:rPr>
                  <w:rFonts w:eastAsia="Calibri"/>
                  <w:b/>
                  <w:iCs/>
                  <w:szCs w:val="24"/>
                </w:rPr>
              </w:pPr>
            </w:p>
            <w:p>
              <w:pPr>
                <w:tabs>
                  <w:tab w:val="left" w:pos="741"/>
                  <w:tab w:val="left" w:pos="798"/>
                </w:tabs>
                <w:ind w:firstLine="851"/>
                <w:rPr>
                  <w:szCs w:val="24"/>
                  <w:lang w:eastAsia="lt-LT"/>
                </w:rPr>
              </w:pPr>
              <w:r>
                <w:rPr>
                  <w:szCs w:val="24"/>
                  <w:lang w:eastAsia="lt-LT"/>
                </w:rPr>
                <w:t>Administracijoje ataskaitiniu laikotarpiu dirbo – 272 (nuo 2025 m. kovo 1 d.) darbuotojai. 2025 m. gegužės mėnesį šis skaičius buvo 277 (padidėjo), nes Savivaldybės administracijos pareigybių sąrašą papildė Radviliškio miesto seniūnijos darbininkų pareigybės, kurių prireikė Radviliškio miesto viešųjų erdvių tvarkymo darbams atlikti. 2025 m. pabaigoje Savivaldybės administracijoje dirbo 71 Valstybės tarnautojas ir 196 darbuotojai, dirbantys pagal darbo sutartį.</w:t>
              </w:r>
            </w:p>
            <w:p>
              <w:pPr>
                <w:ind w:firstLine="851"/>
                <w:rPr>
                  <w:color w:val="000000"/>
                  <w:szCs w:val="24"/>
                  <w:lang w:eastAsia="lt-LT"/>
                </w:rPr>
              </w:pPr>
              <w:r>
                <w:rPr>
                  <w:color w:val="000000"/>
                  <w:szCs w:val="24"/>
                  <w:lang w:eastAsia="lt-LT"/>
                </w:rPr>
                <w:t xml:space="preserve">Organizuodamas Savivaldybės administracijos darbą, Savivaldybės direktorius išleido 402 įsakymus personalo klausimais, 721 – atostogų ir komandiruočių klausimais. </w:t>
              </w:r>
            </w:p>
            <w:p>
              <w:pPr>
                <w:ind w:firstLine="851"/>
                <w:rPr>
                  <w:color w:val="000000"/>
                  <w:szCs w:val="24"/>
                  <w:shd w:val="clear" w:color="auto" w:fill="FFFFFF"/>
                </w:rPr>
              </w:pPr>
              <w:r>
                <w:rPr>
                  <w:color w:val="000000"/>
                  <w:szCs w:val="24"/>
                  <w:shd w:val="clear" w:color="auto" w:fill="FFFFFF"/>
                </w:rPr>
                <w:t xml:space="preserve">Įgyvendinant Savivaldybei nustatytus tikslus ir uždavinius, prireikus darbuotojams įgyti naujų žinių ar kompetencijų, buvo užtikrinamas darbuotojų kvalifikacijos tobulinimo finansavimas iš valstybės ir savivaldybei skiriamų valstybės biudžeto asignavimų ir kitų teisėtų lėšų. </w:t>
              </w:r>
              <w:r>
                <w:rPr>
                  <w:color w:val="000000"/>
                  <w:szCs w:val="24"/>
                </w:rPr>
                <w:t>Valstybės tarnautojų kvalifikacijos tobulinimo prioritetai yra šie: lyderystės įgūdžių tobulinimas; finansinių-analitinių kompetencijų tobulinimas; skaitmeninių kompetencijų tobulinimas. 1</w:t>
              </w:r>
              <w:r>
                <w:rPr>
                  <w:color w:val="000000"/>
                  <w:szCs w:val="24"/>
                  <w:shd w:val="clear" w:color="auto" w:fill="FFFFFF"/>
                </w:rPr>
                <w:t xml:space="preserve">10 įstaigos darbuotojų (įskaitant seniūnijų valstybės tarnautojus) išklausė 151 seminarą. </w:t>
              </w:r>
            </w:p>
            <w:p>
              <w:pPr>
                <w:ind w:firstLine="851"/>
                <w:rPr>
                  <w:b/>
                  <w:szCs w:val="24"/>
                </w:rPr>
              </w:pPr>
            </w:p>
          </w:sdtContent>
        </w:sdt>
        <w:sdt>
          <w:sdtPr>
            <w:alias w:val="skyrius"/>
            <w:tag w:val="part_79d8565948624cfe9feceb25c10a566b"/>
            <w:lock w:val="sdtLocked"/>
            <w:richText/>
          </w:sdtPr>
          <w:sdtContent>
            <w:p>
              <w:pPr>
                <w:suppressAutoHyphens/>
                <w:jc w:val="center"/>
                <w:textAlignment w:val="baseline"/>
                <w:rPr>
                  <w:b/>
                  <w:strike/>
                  <w:szCs w:val="24"/>
                </w:rPr>
              </w:pPr>
              <w:sdt>
                <w:sdtPr>
                  <w:alias w:val="Numeris"/>
                  <w:tag w:val="nr_79d8565948624cfe9feceb25c10a566b"/>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79d8565948624cfe9feceb25c10a566b"/>
                  <w:lock w:val="sdtLocked"/>
                  <w:richText/>
                </w:sdtPr>
                <w:sdtContent>
                  <w:r>
                    <w:rPr>
                      <w:b/>
                      <w:szCs w:val="24"/>
                    </w:rPr>
                    <w:t>PROGRAMŲ, STRATEGINIŲ IR METŲ VEIKLOS TIKSLŲ ĮGYVENDINIMAS</w:t>
                  </w:r>
                </w:sdtContent>
              </w:sdt>
            </w:p>
            <w:p>
              <w:pPr>
                <w:suppressAutoHyphens/>
                <w:jc w:val="center"/>
                <w:textAlignment w:val="baseline"/>
                <w:rPr>
                  <w:b/>
                  <w:szCs w:val="24"/>
                </w:rPr>
              </w:pPr>
            </w:p>
            <w:p>
              <w:pPr>
                <w:ind w:firstLine="851"/>
                <w:rPr>
                  <w:bCs/>
                  <w:szCs w:val="24"/>
                </w:rPr>
              </w:pPr>
              <w:r>
                <w:rPr>
                  <w:bCs/>
                  <w:szCs w:val="24"/>
                </w:rPr>
                <w:t xml:space="preserve">Radviliškio rajono savivaldybės administracija ir seniūnijos veiklą planuoja ir vykdo pagal 6 programas. Metų veiklos tikslai ir uždaviniai buvo susieti su 2025–2027 m. Savivaldybės strateginiame veiklos plane (toliau – SVP) numatytais tikslais, uždaviniais ir priemonėmis. Šiame veiklos ataskaitos skyriuje pateikiami 2025 metų veiklos rezultatai, įvykdytos svarbiausios priemonės, atlikti darbai. Pateikiama informacija ir apie atskirų priemonių įgyvendinimui planuotas ir panaudotas lėšas, tačiau šiame ataskaitos skyriuje pateikiama finansinė informacija nėra asignavimų plano ir panaudojimo suvestinė. Išsami finansinė informacija pateikiama Savivaldybės administracijos finansinių ataskaitų ir biudžeto vykdymo ataskaitų rinkiniuose. Ataskaitinio laikotarpio veiklos rodikliai Ataskaitoje palyginti su 2023 m., 2024 m. rodikliais, kurie paimti iš nurodytų metų veiklos ataskaitų. </w:t>
              </w:r>
            </w:p>
            <w:p>
              <w:pPr>
                <w:ind w:firstLine="851"/>
                <w:rPr>
                  <w:kern w:val="2"/>
                  <w:szCs w:val="24"/>
                  <w14:ligatures w14:val="standardContextual"/>
                </w:rPr>
              </w:pPr>
              <w:r>
                <w:rPr>
                  <w:kern w:val="2"/>
                  <w:szCs w:val="24"/>
                  <w14:ligatures w14:val="standardContextual"/>
                </w:rPr>
                <w:t>Ataskaita parengta vadovaujantis Radviliškio rajono savivaldybės biudžetinių, viešųjų įstaigų ir savivaldybės valdomų įmonių metinių veiklos planų ir ataskaitų, ataskaitų rinkinių rengimo, teikimo tvirtinimui ir paskelbimo tvarkos aprašu, patvirtintu Savivaldybės mero 2025 m. sausio 22 d. potvarkiu M-32 (2.5 E).</w:t>
              </w:r>
            </w:p>
            <w:p>
              <w:pPr>
                <w:suppressAutoHyphens/>
                <w:textAlignment w:val="baseline"/>
                <w:rPr>
                  <w:bCs/>
                  <w:szCs w:val="24"/>
                </w:rPr>
              </w:pPr>
            </w:p>
            <w:p>
              <w:pPr>
                <w:suppressAutoHyphens/>
                <w:spacing w:line="276" w:lineRule="auto"/>
                <w:textAlignment w:val="baseline"/>
                <w:rPr>
                  <w:b/>
                  <w:szCs w:val="24"/>
                </w:rPr>
                <w:sectPr>
                  <w:headerReference w:type="even" r:id="rId9"/>
                  <w:headerReference w:type="default" r:id="rId10"/>
                  <w:footerReference w:type="even" r:id="rId11"/>
                  <w:footerReference w:type="default" r:id="rId12"/>
                  <w:headerReference w:type="first" r:id="rId13"/>
                  <w:footerReference w:type="first" r:id="rId14"/>
                  <w:type w:val="nextColumn"/>
                  <w:pgSz w:w="11907" w:h="16840" w:code="9"/>
                  <w:pgMar w:top="709" w:right="567" w:bottom="1134" w:left="1701" w:header="567" w:footer="567" w:gutter="0"/>
                  <w:pgNumType w:start="1"/>
                  <w:cols w:space="1296"/>
                  <w:formProt w:val="0"/>
                  <w:titlePg/>
                  <w:docGrid w:linePitch="326"/>
                </w:sectPr>
              </w:pPr>
            </w:p>
            <w:p>
              <w:pPr>
                <w:tabs>
                  <w:tab w:val="center" w:pos="4819"/>
                  <w:tab w:val="right" w:pos="9638"/>
                </w:tabs>
              </w:pPr>
            </w:p>
            <w:sdt>
              <w:sdtPr>
                <w:alias w:val="poskyris"/>
                <w:tag w:val="part_3fa1073050894c00aa29198891493261"/>
                <w:lock w:val="sdtLocked"/>
                <w:richText/>
              </w:sdtPr>
              <w:sdtContent>
                <w:p>
                  <w:pPr>
                    <w:suppressAutoHyphens/>
                    <w:textAlignment w:val="baseline"/>
                    <w:rPr>
                      <w:b/>
                      <w:szCs w:val="24"/>
                    </w:rPr>
                  </w:pPr>
                  <w:sdt>
                    <w:sdtPr>
                      <w:alias w:val="Pavadinimas"/>
                      <w:tag w:val="title_3fa1073050894c00aa29198891493261"/>
                      <w:lock w:val="sdtLocked"/>
                      <w:richText/>
                    </w:sdtPr>
                    <w:sdtContent>
                      <w:r>
                        <w:rPr>
                          <w:b/>
                          <w:szCs w:val="24"/>
                        </w:rPr>
                        <w:t>1 programa: Savivaldybės valdymo programa</w:t>
                      </w:r>
                    </w:sdtContent>
                  </w:sdt>
                </w:p>
                <w:p>
                  <w:pPr>
                    <w:suppressAutoHyphens/>
                    <w:textAlignment w:val="baseline"/>
                    <w:rPr>
                      <w:b/>
                      <w:szCs w:val="24"/>
                    </w:rPr>
                  </w:pPr>
                </w:p>
                <w:p>
                  <w:pPr>
                    <w:suppressAutoHyphens/>
                    <w:textAlignment w:val="baseline"/>
                    <w:rPr>
                      <w:bCs/>
                      <w:szCs w:val="24"/>
                    </w:rPr>
                  </w:pPr>
                  <w:r>
                    <w:rPr>
                      <w:bCs/>
                      <w:szCs w:val="24"/>
                    </w:rPr>
                    <w:t xml:space="preserve">Vykdydama Savivaldybės valdymo programą, Administracija vykdo valstybės deleguotas ir savarankiškąsias savivaldybių funkcijas, teikia paslaugas gyventojams, siekia užtikrinti efektyvų finansinių įsipareigojimų vykdymą. Siekiama veiklos efektyvumo, ekonomiškumo ir rezultatyvumo. </w:t>
                  </w:r>
                </w:p>
                <w:p>
                  <w:pPr>
                    <w:suppressAutoHyphens/>
                    <w:textAlignment w:val="baseline"/>
                    <w:rPr>
                      <w:b/>
                      <w:szCs w:val="24"/>
                    </w:rPr>
                  </w:pPr>
                </w:p>
              </w:sdtContent>
            </w:sdt>
            <w:sdt>
              <w:sdtPr>
                <w:alias w:val="poskyris"/>
                <w:tag w:val="part_5b540a0e74d44207b73ff9ce49657478"/>
                <w:lock w:val="sdtLocked"/>
                <w:richText/>
              </w:sdtPr>
              <w:sdtContent>
                <w:p>
                  <w:pPr>
                    <w:rPr>
                      <w:b/>
                      <w:bCs/>
                      <w:iCs/>
                      <w:szCs w:val="24"/>
                    </w:rPr>
                  </w:pPr>
                  <w:sdt>
                    <w:sdtPr>
                      <w:alias w:val="Pavadinimas"/>
                      <w:tag w:val="title_5b540a0e74d44207b73ff9ce49657478"/>
                      <w:lock w:val="sdtLocked"/>
                      <w:richText/>
                    </w:sdtPr>
                    <w:sdtContent>
                      <w:r>
                        <w:rPr>
                          <w:b/>
                          <w:szCs w:val="24"/>
                        </w:rPr>
                        <w:t>1 lentelė.</w:t>
                      </w:r>
                      <w:r>
                        <w:rPr>
                          <w:i/>
                          <w:szCs w:val="24"/>
                        </w:rPr>
                        <w:t xml:space="preserve"> </w:t>
                      </w:r>
                      <w:r>
                        <w:rPr>
                          <w:b/>
                          <w:bCs/>
                          <w:iCs/>
                          <w:szCs w:val="24"/>
                        </w:rPr>
                        <w:t>1 programos strateginių ir metų veiklos tikslų įgyvendinimo rodikliai.</w:t>
                      </w:r>
                    </w:sdtContent>
                  </w:sdt>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851"/>
                    <w:gridCol w:w="850"/>
                    <w:gridCol w:w="851"/>
                    <w:gridCol w:w="850"/>
                    <w:gridCol w:w="851"/>
                    <w:gridCol w:w="850"/>
                    <w:gridCol w:w="5245"/>
                  </w:tblGrid>
                  <w:tr>
                    <w:tc>
                      <w:tcPr>
                        <w:tcW w:w="4820" w:type="dxa"/>
                        <w:vMerge w:val="restart"/>
                        <w:shd w:val="clear" w:color="auto" w:fill="DBE5F1"/>
                        <w:vAlign w:val="center"/>
                      </w:tcPr>
                      <w:p>
                        <w:pPr>
                          <w:rPr>
                            <w:b/>
                            <w:color w:val="000000"/>
                            <w:szCs w:val="24"/>
                          </w:rPr>
                        </w:pPr>
                        <w:r>
                          <w:rPr>
                            <w:b/>
                            <w:color w:val="000000"/>
                            <w:szCs w:val="24"/>
                          </w:rPr>
                          <w:t>Priemonės ir (arba) rodiklio kodas ir pavadinimas</w:t>
                        </w:r>
                      </w:p>
                      <w:p>
                        <w:pPr>
                          <w:rPr>
                            <w:b/>
                            <w:color w:val="000000"/>
                            <w:szCs w:val="24"/>
                          </w:rPr>
                        </w:pPr>
                        <w:r>
                          <w:rPr>
                            <w:b/>
                            <w:color w:val="000000"/>
                            <w:szCs w:val="24"/>
                          </w:rPr>
                          <w:t>(Sąsaja su Savivaldybės planavimo dokumentais)</w:t>
                        </w:r>
                      </w:p>
                    </w:tc>
                    <w:tc>
                      <w:tcPr>
                        <w:tcW w:w="851" w:type="dxa"/>
                        <w:vMerge w:val="restart"/>
                        <w:shd w:val="clear" w:color="auto" w:fill="DBE5F1"/>
                        <w:textDirection w:val="btLr"/>
                        <w:vAlign w:val="center"/>
                      </w:tcPr>
                      <w:p>
                        <w:pPr>
                          <w:ind w:left="113" w:right="113"/>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701" w:type="dxa"/>
                        <w:gridSpan w:val="2"/>
                        <w:shd w:val="clear" w:color="auto" w:fill="DBE5F1"/>
                        <w:vAlign w:val="center"/>
                      </w:tcPr>
                      <w:p>
                        <w:pPr>
                          <w:rPr>
                            <w:b/>
                            <w:color w:val="000000"/>
                            <w:szCs w:val="24"/>
                          </w:rPr>
                        </w:pPr>
                        <w:r>
                          <w:rPr>
                            <w:b/>
                            <w:color w:val="000000"/>
                            <w:szCs w:val="24"/>
                          </w:rPr>
                          <w:t>Finansavimas</w:t>
                        </w:r>
                      </w:p>
                      <w:p>
                        <w:pPr>
                          <w:rPr>
                            <w:b/>
                            <w:color w:val="000000"/>
                            <w:szCs w:val="24"/>
                          </w:rPr>
                        </w:pPr>
                        <w:r>
                          <w:rPr>
                            <w:b/>
                            <w:color w:val="000000"/>
                            <w:szCs w:val="24"/>
                          </w:rPr>
                          <w:t xml:space="preserve">(tūkst. Eur), </w:t>
                        </w:r>
                      </w:p>
                      <w:p>
                        <w:pPr>
                          <w:rPr>
                            <w:b/>
                            <w:color w:val="000000"/>
                            <w:szCs w:val="24"/>
                          </w:rPr>
                        </w:pPr>
                        <w:r>
                          <w:rPr>
                            <w:b/>
                            <w:color w:val="000000"/>
                            <w:szCs w:val="24"/>
                          </w:rPr>
                          <w:t xml:space="preserve">asignavimų šaltinis </w:t>
                        </w:r>
                      </w:p>
                    </w:tc>
                    <w:tc>
                      <w:tcPr>
                        <w:tcW w:w="5245"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rPr>
                      <w:trHeight w:val="1213"/>
                    </w:trPr>
                    <w:tc>
                      <w:tcPr>
                        <w:tcW w:w="4820" w:type="dxa"/>
                        <w:vMerge/>
                        <w:tcBorders>
                          <w:bottom w:val="single" w:sz="4" w:space="0" w:color="auto"/>
                        </w:tcBorders>
                        <w:shd w:val="clear" w:color="auto" w:fill="DBE5F1"/>
                        <w:vAlign w:val="center"/>
                      </w:tcPr>
                      <w:p>
                        <w:pPr>
                          <w:rPr>
                            <w:b/>
                            <w:color w:val="000000"/>
                            <w:szCs w:val="24"/>
                          </w:rPr>
                        </w:pPr>
                      </w:p>
                    </w:tc>
                    <w:tc>
                      <w:tcPr>
                        <w:tcW w:w="851" w:type="dxa"/>
                        <w:vMerge/>
                        <w:tcBorders>
                          <w:bottom w:val="single" w:sz="4" w:space="0" w:color="auto"/>
                        </w:tcBorders>
                        <w:shd w:val="clear" w:color="auto" w:fill="DBE5F1"/>
                        <w:vAlign w:val="center"/>
                      </w:tcPr>
                      <w:p>
                        <w:pPr>
                          <w:rPr>
                            <w:b/>
                            <w:color w:val="000000"/>
                            <w:szCs w:val="24"/>
                          </w:rPr>
                        </w:pPr>
                      </w:p>
                    </w:tc>
                    <w:tc>
                      <w:tcPr>
                        <w:tcW w:w="850" w:type="dxa"/>
                        <w:tcBorders>
                          <w:bottom w:val="single" w:sz="4" w:space="0" w:color="auto"/>
                        </w:tcBorders>
                        <w:shd w:val="clear" w:color="auto" w:fill="DBE5F1"/>
                        <w:vAlign w:val="center"/>
                      </w:tcPr>
                      <w:p>
                        <w:pPr>
                          <w:rPr>
                            <w:b/>
                            <w:color w:val="000000"/>
                            <w:szCs w:val="24"/>
                          </w:rPr>
                        </w:pPr>
                        <w:r>
                          <w:rPr>
                            <w:b/>
                            <w:color w:val="000000"/>
                            <w:szCs w:val="24"/>
                          </w:rPr>
                          <w:t>2023 metai</w:t>
                        </w:r>
                      </w:p>
                    </w:tc>
                    <w:tc>
                      <w:tcPr>
                        <w:tcW w:w="851" w:type="dxa"/>
                        <w:tcBorders>
                          <w:bottom w:val="single" w:sz="4" w:space="0" w:color="auto"/>
                        </w:tcBorders>
                        <w:shd w:val="clear" w:color="auto" w:fill="DBE5F1"/>
                        <w:vAlign w:val="center"/>
                      </w:tcPr>
                      <w:p>
                        <w:pPr>
                          <w:rPr>
                            <w:b/>
                            <w:color w:val="000000"/>
                            <w:szCs w:val="24"/>
                          </w:rPr>
                        </w:pPr>
                        <w:r>
                          <w:rPr>
                            <w:b/>
                            <w:color w:val="000000"/>
                            <w:szCs w:val="24"/>
                          </w:rPr>
                          <w:t>2024 metai</w:t>
                        </w:r>
                      </w:p>
                    </w:tc>
                    <w:tc>
                      <w:tcPr>
                        <w:tcW w:w="850" w:type="dxa"/>
                        <w:tcBorders>
                          <w:bottom w:val="single" w:sz="4" w:space="0" w:color="auto"/>
                        </w:tcBorders>
                        <w:shd w:val="clear" w:color="auto" w:fill="DBE5F1"/>
                        <w:vAlign w:val="center"/>
                      </w:tcPr>
                      <w:p>
                        <w:pPr>
                          <w:rPr>
                            <w:b/>
                            <w:color w:val="000000"/>
                            <w:szCs w:val="24"/>
                          </w:rPr>
                        </w:pPr>
                        <w:r>
                          <w:rPr>
                            <w:b/>
                            <w:color w:val="000000"/>
                            <w:szCs w:val="24"/>
                          </w:rPr>
                          <w:t>2025 metai</w:t>
                        </w:r>
                      </w:p>
                    </w:tc>
                    <w:tc>
                      <w:tcPr>
                        <w:tcW w:w="851"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 xml:space="preserve">Patvirtintas planas </w:t>
                        </w:r>
                      </w:p>
                    </w:tc>
                    <w:tc>
                      <w:tcPr>
                        <w:tcW w:w="850"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Įvykdymas</w:t>
                        </w:r>
                      </w:p>
                    </w:tc>
                    <w:tc>
                      <w:tcPr>
                        <w:tcW w:w="5245" w:type="dxa"/>
                        <w:vMerge/>
                        <w:tcBorders>
                          <w:bottom w:val="single" w:sz="4" w:space="0" w:color="auto"/>
                        </w:tcBorders>
                        <w:shd w:val="clear" w:color="auto" w:fill="DBE5F1"/>
                        <w:vAlign w:val="center"/>
                      </w:tcPr>
                      <w:p>
                        <w:pPr>
                          <w:rPr>
                            <w:b/>
                            <w:color w:val="000000"/>
                            <w:szCs w:val="24"/>
                          </w:rPr>
                        </w:pPr>
                      </w:p>
                    </w:tc>
                  </w:tr>
                  <w:tr>
                    <w:trPr>
                      <w:trHeight w:val="108"/>
                    </w:trPr>
                    <w:tc>
                      <w:tcPr>
                        <w:tcW w:w="4820" w:type="dxa"/>
                        <w:shd w:val="clear" w:color="auto" w:fill="DBE5F1"/>
                      </w:tcPr>
                      <w:p>
                        <w:pPr>
                          <w:rPr>
                            <w:color w:val="000000"/>
                            <w:szCs w:val="24"/>
                          </w:rPr>
                        </w:pPr>
                        <w:r>
                          <w:rPr>
                            <w:color w:val="000000"/>
                            <w:szCs w:val="24"/>
                          </w:rPr>
                          <w:t>1</w:t>
                        </w:r>
                      </w:p>
                    </w:tc>
                    <w:tc>
                      <w:tcPr>
                        <w:tcW w:w="851" w:type="dxa"/>
                        <w:shd w:val="clear" w:color="auto" w:fill="DBE5F1"/>
                      </w:tcPr>
                      <w:p>
                        <w:pPr>
                          <w:rPr>
                            <w:color w:val="000000"/>
                            <w:szCs w:val="24"/>
                          </w:rPr>
                        </w:pPr>
                        <w:r>
                          <w:rPr>
                            <w:color w:val="000000"/>
                            <w:szCs w:val="24"/>
                          </w:rPr>
                          <w:t>2</w:t>
                        </w:r>
                      </w:p>
                    </w:tc>
                    <w:tc>
                      <w:tcPr>
                        <w:tcW w:w="850" w:type="dxa"/>
                        <w:shd w:val="clear" w:color="auto" w:fill="DBE5F1"/>
                      </w:tcPr>
                      <w:p>
                        <w:pPr>
                          <w:rPr>
                            <w:color w:val="000000"/>
                            <w:szCs w:val="24"/>
                          </w:rPr>
                        </w:pPr>
                        <w:r>
                          <w:rPr>
                            <w:color w:val="000000"/>
                            <w:szCs w:val="24"/>
                          </w:rPr>
                          <w:t>3</w:t>
                        </w:r>
                      </w:p>
                    </w:tc>
                    <w:tc>
                      <w:tcPr>
                        <w:tcW w:w="851" w:type="dxa"/>
                        <w:shd w:val="clear" w:color="auto" w:fill="DBE5F1"/>
                      </w:tcPr>
                      <w:p>
                        <w:pPr>
                          <w:rPr>
                            <w:color w:val="000000"/>
                            <w:szCs w:val="24"/>
                          </w:rPr>
                        </w:pPr>
                        <w:r>
                          <w:rPr>
                            <w:color w:val="000000"/>
                            <w:szCs w:val="24"/>
                          </w:rPr>
                          <w:t>4</w:t>
                        </w:r>
                      </w:p>
                    </w:tc>
                    <w:tc>
                      <w:tcPr>
                        <w:tcW w:w="850" w:type="dxa"/>
                        <w:shd w:val="clear" w:color="auto" w:fill="DBE5F1"/>
                      </w:tcPr>
                      <w:p>
                        <w:pPr>
                          <w:rPr>
                            <w:color w:val="000000"/>
                            <w:szCs w:val="24"/>
                          </w:rPr>
                        </w:pPr>
                        <w:r>
                          <w:rPr>
                            <w:color w:val="000000"/>
                            <w:szCs w:val="24"/>
                          </w:rPr>
                          <w:t>5</w:t>
                        </w:r>
                      </w:p>
                    </w:tc>
                    <w:tc>
                      <w:tcPr>
                        <w:tcW w:w="851" w:type="dxa"/>
                        <w:shd w:val="clear" w:color="auto" w:fill="DBE5F1"/>
                      </w:tcPr>
                      <w:p>
                        <w:pPr>
                          <w:rPr>
                            <w:color w:val="000000"/>
                            <w:szCs w:val="24"/>
                          </w:rPr>
                        </w:pPr>
                        <w:r>
                          <w:rPr>
                            <w:color w:val="000000"/>
                            <w:szCs w:val="24"/>
                          </w:rPr>
                          <w:t>6</w:t>
                        </w:r>
                      </w:p>
                    </w:tc>
                    <w:tc>
                      <w:tcPr>
                        <w:tcW w:w="850" w:type="dxa"/>
                        <w:shd w:val="clear" w:color="auto" w:fill="DBE5F1"/>
                      </w:tcPr>
                      <w:p>
                        <w:pPr>
                          <w:rPr>
                            <w:color w:val="000000"/>
                            <w:szCs w:val="24"/>
                          </w:rPr>
                        </w:pPr>
                        <w:r>
                          <w:rPr>
                            <w:color w:val="000000"/>
                            <w:szCs w:val="24"/>
                          </w:rPr>
                          <w:t>7</w:t>
                        </w:r>
                      </w:p>
                    </w:tc>
                    <w:tc>
                      <w:tcPr>
                        <w:tcW w:w="5245" w:type="dxa"/>
                        <w:shd w:val="clear" w:color="auto" w:fill="DBE5F1"/>
                      </w:tcPr>
                      <w:p>
                        <w:pPr>
                          <w:rPr>
                            <w:color w:val="000000"/>
                            <w:szCs w:val="24"/>
                          </w:rPr>
                        </w:pPr>
                        <w:r>
                          <w:rPr>
                            <w:color w:val="000000"/>
                            <w:szCs w:val="24"/>
                          </w:rPr>
                          <w:t>8</w:t>
                        </w:r>
                      </w:p>
                    </w:tc>
                  </w:tr>
                  <w:tr>
                    <w:trPr>
                      <w:trHeight w:val="108"/>
                    </w:trPr>
                    <w:tc>
                      <w:tcPr>
                        <w:tcW w:w="15168" w:type="dxa"/>
                        <w:gridSpan w:val="8"/>
                      </w:tcPr>
                      <w:p>
                        <w:pPr>
                          <w:rPr>
                            <w:color w:val="000000"/>
                            <w:szCs w:val="24"/>
                          </w:rPr>
                        </w:pPr>
                        <w:r>
                          <w:rPr>
                            <w:color w:val="000000"/>
                            <w:szCs w:val="24"/>
                          </w:rPr>
                          <w:t xml:space="preserve">1. Tikslas: Vietos savivaldos stiprinimas, atvirumo didinimas. </w:t>
                        </w:r>
                      </w:p>
                    </w:tc>
                  </w:tr>
                  <w:tr>
                    <w:trPr>
                      <w:trHeight w:val="108"/>
                    </w:trPr>
                    <w:tc>
                      <w:tcPr>
                        <w:tcW w:w="15168" w:type="dxa"/>
                        <w:gridSpan w:val="8"/>
                      </w:tcPr>
                      <w:p>
                        <w:pPr>
                          <w:rPr>
                            <w:color w:val="000000"/>
                            <w:szCs w:val="24"/>
                          </w:rPr>
                        </w:pPr>
                        <w:r>
                          <w:rPr>
                            <w:color w:val="000000"/>
                            <w:szCs w:val="24"/>
                          </w:rPr>
                          <w:t xml:space="preserve">1.1.Uždavinys: Užtikrinti efektyvų viešąjį valdymą, gerinti paslaugų kokybę ir prieinamumą. </w:t>
                        </w:r>
                      </w:p>
                    </w:tc>
                  </w:tr>
                  <w:tr>
                    <w:trPr>
                      <w:trHeight w:val="817"/>
                    </w:trPr>
                    <w:tc>
                      <w:tcPr>
                        <w:tcW w:w="4820" w:type="dxa"/>
                      </w:tcPr>
                      <w:p>
                        <w:pPr>
                          <w:rPr>
                            <w:bCs/>
                            <w:i/>
                            <w:iCs/>
                            <w:color w:val="808080"/>
                            <w:szCs w:val="24"/>
                          </w:rPr>
                        </w:pPr>
                        <w:r>
                          <w:rPr>
                            <w:szCs w:val="24"/>
                          </w:rPr>
                          <w:t>1.1.1.7. Pažangos finansavimas erdvinių duomenų rinkinio (GIS) funkcijai (SVP 1-1-1-29)</w:t>
                        </w:r>
                      </w:p>
                    </w:tc>
                    <w:tc>
                      <w:tcPr>
                        <w:tcW w:w="851" w:type="dxa"/>
                      </w:tcPr>
                      <w:p>
                        <w:pPr>
                          <w:rPr>
                            <w:iCs/>
                            <w:color w:val="808080"/>
                            <w:szCs w:val="24"/>
                          </w:rPr>
                        </w:pPr>
                        <w:r>
                          <w:rPr>
                            <w:iCs/>
                            <w:color w:val="000000"/>
                            <w:szCs w:val="24"/>
                          </w:rPr>
                          <w:t>450 vnt.</w:t>
                        </w:r>
                      </w:p>
                    </w:tc>
                    <w:tc>
                      <w:tcPr>
                        <w:tcW w:w="850" w:type="dxa"/>
                      </w:tcPr>
                      <w:p>
                        <w:pPr>
                          <w:rPr>
                            <w:iCs/>
                            <w:color w:val="808080"/>
                            <w:szCs w:val="24"/>
                          </w:rPr>
                        </w:pPr>
                        <w:r>
                          <w:rPr>
                            <w:iCs/>
                            <w:color w:val="000000"/>
                            <w:szCs w:val="24"/>
                          </w:rPr>
                          <w:t>506 vnt.</w:t>
                        </w:r>
                      </w:p>
                    </w:tc>
                    <w:tc>
                      <w:tcPr>
                        <w:tcW w:w="851" w:type="dxa"/>
                      </w:tcPr>
                      <w:p>
                        <w:pPr>
                          <w:rPr>
                            <w:iCs/>
                            <w:color w:val="808080"/>
                            <w:szCs w:val="24"/>
                          </w:rPr>
                        </w:pPr>
                        <w:r>
                          <w:rPr>
                            <w:iCs/>
                            <w:color w:val="000000"/>
                            <w:szCs w:val="24"/>
                          </w:rPr>
                          <w:t>708 vnt.</w:t>
                        </w:r>
                      </w:p>
                    </w:tc>
                    <w:tc>
                      <w:tcPr>
                        <w:tcW w:w="850" w:type="dxa"/>
                      </w:tcPr>
                      <w:p>
                        <w:pPr>
                          <w:rPr>
                            <w:iCs/>
                            <w:color w:val="000000"/>
                            <w:szCs w:val="24"/>
                          </w:rPr>
                        </w:pPr>
                        <w:r>
                          <w:rPr>
                            <w:iCs/>
                            <w:color w:val="000000"/>
                            <w:szCs w:val="24"/>
                          </w:rPr>
                          <w:t>497 vnt.</w:t>
                        </w:r>
                      </w:p>
                    </w:tc>
                    <w:tc>
                      <w:tcPr>
                        <w:tcW w:w="851" w:type="dxa"/>
                      </w:tcPr>
                      <w:p>
                        <w:pPr>
                          <w:rPr>
                            <w:iCs/>
                            <w:color w:val="808080"/>
                            <w:szCs w:val="24"/>
                          </w:rPr>
                        </w:pPr>
                        <w:r>
                          <w:rPr>
                            <w:iCs/>
                            <w:color w:val="000000"/>
                            <w:szCs w:val="24"/>
                          </w:rPr>
                          <w:t>11 VB</w:t>
                        </w:r>
                      </w:p>
                    </w:tc>
                    <w:tc>
                      <w:tcPr>
                        <w:tcW w:w="850" w:type="dxa"/>
                      </w:tcPr>
                      <w:p>
                        <w:pPr>
                          <w:rPr>
                            <w:i/>
                            <w:color w:val="808080"/>
                            <w:szCs w:val="24"/>
                          </w:rPr>
                        </w:pPr>
                        <w:r>
                          <w:rPr>
                            <w:iCs/>
                            <w:color w:val="000000"/>
                            <w:szCs w:val="24"/>
                          </w:rPr>
                          <w:t>11 VB</w:t>
                        </w:r>
                      </w:p>
                    </w:tc>
                    <w:tc>
                      <w:tcPr>
                        <w:tcW w:w="5245" w:type="dxa"/>
                      </w:tcPr>
                      <w:p>
                        <w:pPr>
                          <w:rPr>
                            <w:color w:val="000000"/>
                            <w:szCs w:val="24"/>
                          </w:rPr>
                        </w:pPr>
                        <w:r>
                          <w:rPr>
                            <w:color w:val="000000"/>
                            <w:szCs w:val="24"/>
                          </w:rPr>
                          <w:t>Į Savivaldybės erdvinių duomenų rinkinio bazę pateikta 621 ha matuotos teritorijos (atlikti 497 darbai). (Architektūros ir urbanistikos skyrius).</w:t>
                        </w:r>
                      </w:p>
                    </w:tc>
                  </w:tr>
                  <w:tr>
                    <w:trPr>
                      <w:trHeight w:val="698"/>
                    </w:trPr>
                    <w:tc>
                      <w:tcPr>
                        <w:tcW w:w="4820" w:type="dxa"/>
                      </w:tcPr>
                      <w:p>
                        <w:pPr>
                          <w:rPr>
                            <w:bCs/>
                            <w:color w:val="808080"/>
                            <w:szCs w:val="24"/>
                          </w:rPr>
                        </w:pPr>
                        <w:r>
                          <w:rPr>
                            <w:color w:val="000000"/>
                            <w:szCs w:val="24"/>
                            <w:lang w:eastAsia="lt-LT"/>
                          </w:rPr>
                          <w:t>1.1.1.8. Geografinės informacinės sistemos plėtra (vnt.)</w:t>
                        </w:r>
                      </w:p>
                    </w:tc>
                    <w:tc>
                      <w:tcPr>
                        <w:tcW w:w="851" w:type="dxa"/>
                      </w:tcPr>
                      <w:p>
                        <w:pPr>
                          <w:rPr>
                            <w:iCs/>
                            <w:color w:val="808080"/>
                            <w:szCs w:val="24"/>
                          </w:rPr>
                        </w:pPr>
                        <w:r>
                          <w:rPr>
                            <w:iCs/>
                            <w:color w:val="000000"/>
                            <w:szCs w:val="24"/>
                          </w:rPr>
                          <w:t>1 vnt.</w:t>
                        </w:r>
                      </w:p>
                    </w:tc>
                    <w:tc>
                      <w:tcPr>
                        <w:tcW w:w="850" w:type="dxa"/>
                      </w:tcPr>
                      <w:p>
                        <w:pPr>
                          <w:rPr>
                            <w:iCs/>
                            <w:color w:val="000000"/>
                            <w:szCs w:val="24"/>
                          </w:rPr>
                        </w:pPr>
                        <w:r>
                          <w:rPr>
                            <w:iCs/>
                            <w:color w:val="000000"/>
                            <w:szCs w:val="24"/>
                          </w:rPr>
                          <w:t>-</w:t>
                        </w:r>
                      </w:p>
                    </w:tc>
                    <w:tc>
                      <w:tcPr>
                        <w:tcW w:w="851" w:type="dxa"/>
                      </w:tcPr>
                      <w:p>
                        <w:pPr>
                          <w:rPr>
                            <w:iCs/>
                            <w:color w:val="000000"/>
                            <w:szCs w:val="24"/>
                          </w:rPr>
                        </w:pPr>
                        <w:r>
                          <w:rPr>
                            <w:iCs/>
                            <w:color w:val="000000"/>
                            <w:szCs w:val="24"/>
                          </w:rPr>
                          <w:t>1 vnt.</w:t>
                        </w:r>
                      </w:p>
                    </w:tc>
                    <w:tc>
                      <w:tcPr>
                        <w:tcW w:w="850" w:type="dxa"/>
                      </w:tcPr>
                      <w:p>
                        <w:pPr>
                          <w:rPr>
                            <w:i/>
                            <w:color w:val="808080"/>
                            <w:szCs w:val="24"/>
                          </w:rPr>
                        </w:pPr>
                        <w:r>
                          <w:rPr>
                            <w:iCs/>
                            <w:color w:val="000000"/>
                            <w:szCs w:val="24"/>
                          </w:rPr>
                          <w:t>1 vnt.</w:t>
                        </w:r>
                      </w:p>
                    </w:tc>
                    <w:tc>
                      <w:tcPr>
                        <w:tcW w:w="851" w:type="dxa"/>
                      </w:tcPr>
                      <w:p>
                        <w:pPr>
                          <w:rPr>
                            <w:iCs/>
                            <w:color w:val="808080"/>
                            <w:szCs w:val="24"/>
                          </w:rPr>
                        </w:pPr>
                        <w:r>
                          <w:rPr>
                            <w:iCs/>
                            <w:color w:val="000000"/>
                            <w:szCs w:val="24"/>
                          </w:rPr>
                          <w:t>8 SB</w:t>
                        </w:r>
                      </w:p>
                    </w:tc>
                    <w:tc>
                      <w:tcPr>
                        <w:tcW w:w="850" w:type="dxa"/>
                      </w:tcPr>
                      <w:p>
                        <w:pPr>
                          <w:rPr>
                            <w:i/>
                            <w:color w:val="808080"/>
                            <w:szCs w:val="24"/>
                          </w:rPr>
                        </w:pPr>
                        <w:r>
                          <w:rPr>
                            <w:iCs/>
                            <w:color w:val="000000"/>
                            <w:szCs w:val="24"/>
                          </w:rPr>
                          <w:t>8 SB</w:t>
                        </w:r>
                      </w:p>
                    </w:tc>
                    <w:tc>
                      <w:tcPr>
                        <w:tcW w:w="5245" w:type="dxa"/>
                      </w:tcPr>
                      <w:p>
                        <w:pPr>
                          <w:rPr>
                            <w:iCs/>
                            <w:color w:val="000000"/>
                            <w:szCs w:val="24"/>
                          </w:rPr>
                        </w:pPr>
                        <w:r>
                          <w:rPr>
                            <w:iCs/>
                            <w:color w:val="000000"/>
                            <w:szCs w:val="24"/>
                          </w:rPr>
                          <w:t>Įsigyta ESRI programinės įrangos SLG-ELA licencija su naujumo garantija. Įdiegtas Custom widget (valdiklis) visuose žemėlapiuose. (Architektūros ir urbanistikos skyrius).</w:t>
                        </w:r>
                      </w:p>
                    </w:tc>
                  </w:tr>
                  <w:tr>
                    <w:trPr>
                      <w:trHeight w:val="571"/>
                    </w:trPr>
                    <w:tc>
                      <w:tcPr>
                        <w:tcW w:w="4820" w:type="dxa"/>
                      </w:tcPr>
                      <w:p>
                        <w:pPr>
                          <w:rPr>
                            <w:bCs/>
                            <w:iCs/>
                            <w:color w:val="000000"/>
                            <w:szCs w:val="24"/>
                          </w:rPr>
                        </w:pPr>
                        <w:r>
                          <w:rPr>
                            <w:bCs/>
                            <w:iCs/>
                            <w:color w:val="000000"/>
                            <w:szCs w:val="24"/>
                          </w:rPr>
                          <w:t>1.1.1.9. Dokumentų, reikalingų Adresų registro tvarkymo įstaigai, rengimas</w:t>
                        </w:r>
                      </w:p>
                    </w:tc>
                    <w:tc>
                      <w:tcPr>
                        <w:tcW w:w="851" w:type="dxa"/>
                      </w:tcPr>
                      <w:p>
                        <w:pPr>
                          <w:rPr>
                            <w:iCs/>
                            <w:color w:val="000000"/>
                            <w:szCs w:val="24"/>
                          </w:rPr>
                        </w:pPr>
                        <w:r>
                          <w:rPr>
                            <w:iCs/>
                            <w:color w:val="000000"/>
                            <w:szCs w:val="24"/>
                          </w:rPr>
                          <w:t>15 vnt.</w:t>
                        </w:r>
                      </w:p>
                    </w:tc>
                    <w:tc>
                      <w:tcPr>
                        <w:tcW w:w="850" w:type="dxa"/>
                      </w:tcPr>
                      <w:p>
                        <w:pPr>
                          <w:rPr>
                            <w:iCs/>
                            <w:color w:val="000000"/>
                            <w:szCs w:val="24"/>
                          </w:rPr>
                        </w:pPr>
                        <w:r>
                          <w:rPr>
                            <w:iCs/>
                            <w:color w:val="000000"/>
                            <w:szCs w:val="24"/>
                          </w:rPr>
                          <w:t>23 vnt.</w:t>
                        </w:r>
                      </w:p>
                    </w:tc>
                    <w:tc>
                      <w:tcPr>
                        <w:tcW w:w="851" w:type="dxa"/>
                      </w:tcPr>
                      <w:p>
                        <w:pPr>
                          <w:rPr>
                            <w:iCs/>
                            <w:color w:val="000000"/>
                            <w:szCs w:val="24"/>
                          </w:rPr>
                        </w:pPr>
                        <w:r>
                          <w:rPr>
                            <w:iCs/>
                            <w:color w:val="000000"/>
                            <w:szCs w:val="24"/>
                          </w:rPr>
                          <w:t>27 vnt.</w:t>
                        </w:r>
                      </w:p>
                    </w:tc>
                    <w:tc>
                      <w:tcPr>
                        <w:tcW w:w="850" w:type="dxa"/>
                      </w:tcPr>
                      <w:p>
                        <w:pPr>
                          <w:rPr>
                            <w:iCs/>
                            <w:color w:val="808080"/>
                            <w:szCs w:val="24"/>
                          </w:rPr>
                        </w:pPr>
                        <w:r>
                          <w:rPr>
                            <w:iCs/>
                            <w:color w:val="000000"/>
                            <w:szCs w:val="24"/>
                          </w:rPr>
                          <w:t>29 vnt.</w:t>
                        </w:r>
                      </w:p>
                    </w:tc>
                    <w:tc>
                      <w:tcPr>
                        <w:tcW w:w="851" w:type="dxa"/>
                      </w:tcPr>
                      <w:p>
                        <w:pPr>
                          <w:rPr>
                            <w:i/>
                            <w:color w:val="000000"/>
                            <w:szCs w:val="24"/>
                          </w:rPr>
                        </w:pPr>
                        <w:r>
                          <w:rPr>
                            <w:i/>
                            <w:color w:val="000000"/>
                            <w:szCs w:val="24"/>
                          </w:rPr>
                          <w:t>-</w:t>
                        </w:r>
                      </w:p>
                    </w:tc>
                    <w:tc>
                      <w:tcPr>
                        <w:tcW w:w="850" w:type="dxa"/>
                      </w:tcPr>
                      <w:p>
                        <w:pPr>
                          <w:rPr>
                            <w:i/>
                            <w:color w:val="000000"/>
                            <w:szCs w:val="24"/>
                          </w:rPr>
                        </w:pPr>
                        <w:r>
                          <w:rPr>
                            <w:i/>
                            <w:color w:val="000000"/>
                            <w:szCs w:val="24"/>
                          </w:rPr>
                          <w:t>-</w:t>
                        </w:r>
                      </w:p>
                    </w:tc>
                    <w:tc>
                      <w:tcPr>
                        <w:tcW w:w="5245" w:type="dxa"/>
                      </w:tcPr>
                      <w:p>
                        <w:pPr>
                          <w:rPr>
                            <w:iCs/>
                            <w:color w:val="000000"/>
                            <w:szCs w:val="24"/>
                          </w:rPr>
                        </w:pPr>
                        <w:r>
                          <w:rPr>
                            <w:iCs/>
                            <w:color w:val="000000"/>
                            <w:szCs w:val="24"/>
                          </w:rPr>
                          <w:t>2025 m. parengti 3 tarybos sprendimų projektai dėl 6 gatvių įteisinimo. Parengti 26 mero potvarkiai dėl 122 naujų adresų suteikimo. (Architektūros ir urbanistikos skyrius).</w:t>
                        </w:r>
                      </w:p>
                    </w:tc>
                  </w:tr>
                  <w:tr>
                    <w:trPr>
                      <w:trHeight w:val="571"/>
                    </w:trPr>
                    <w:tc>
                      <w:tcPr>
                        <w:tcW w:w="4820" w:type="dxa"/>
                      </w:tcPr>
                      <w:p>
                        <w:pPr>
                          <w:rPr>
                            <w:bCs/>
                            <w:color w:val="000000"/>
                            <w:szCs w:val="24"/>
                          </w:rPr>
                        </w:pPr>
                        <w:r>
                          <w:rPr>
                            <w:bCs/>
                            <w:color w:val="000000"/>
                            <w:szCs w:val="24"/>
                          </w:rPr>
                          <w:t>1.1.1.10. Statybą leidžiančių dokumentų rengimas ir išdavimas</w:t>
                        </w:r>
                      </w:p>
                    </w:tc>
                    <w:tc>
                      <w:tcPr>
                        <w:tcW w:w="851"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000"/>
                        </w:tblGrid>
                        <w:tr>
                          <w:tc>
                            <w:tcPr>
                              <w:tcW w:w="3000" w:type="dxa"/>
                              <w:tcBorders>
                                <w:top w:val="nil"/>
                                <w:left w:val="nil"/>
                                <w:bottom w:val="nil"/>
                                <w:right w:val="nil"/>
                              </w:tcBorders>
                              <w:vAlign w:val="center"/>
                              <w:hideMark/>
                            </w:tcPr>
                            <w:p>
                              <w:pPr>
                                <w:rPr>
                                  <w:szCs w:val="24"/>
                                  <w:lang w:eastAsia="lt-LT"/>
                                </w:rPr>
                              </w:pPr>
                              <w:r>
                                <w:rPr>
                                  <w:color w:val="000000"/>
                                  <w:szCs w:val="24"/>
                                  <w:lang w:eastAsia="lt-LT"/>
                                </w:rPr>
                                <w:t>100%</w:t>
                              </w:r>
                            </w:p>
                          </w:tc>
                        </w:tr>
                      </w:tbl>
                      <w:p>
                        <w:pPr>
                          <w:rPr>
                            <w:iCs/>
                            <w:color w:val="000000"/>
                            <w:szCs w:val="24"/>
                          </w:rPr>
                        </w:pPr>
                      </w:p>
                    </w:tc>
                    <w:tc>
                      <w:tcPr>
                        <w:tcW w:w="850" w:type="dxa"/>
                      </w:tcPr>
                      <w:p>
                        <w:pPr>
                          <w:rPr>
                            <w:szCs w:val="24"/>
                          </w:rPr>
                        </w:pPr>
                        <w:r>
                          <w:rPr>
                            <w:color w:val="000000"/>
                            <w:szCs w:val="24"/>
                          </w:rPr>
                          <w:t>100%</w:t>
                        </w:r>
                      </w:p>
                      <w:p>
                        <w:pPr>
                          <w:rPr>
                            <w:iCs/>
                            <w:color w:val="000000"/>
                            <w:szCs w:val="24"/>
                          </w:rPr>
                        </w:pPr>
                      </w:p>
                    </w:tc>
                    <w:tc>
                      <w:tcPr>
                        <w:tcW w:w="851" w:type="dxa"/>
                      </w:tcPr>
                      <w:p>
                        <w:pPr>
                          <w:rPr>
                            <w:szCs w:val="24"/>
                          </w:rPr>
                        </w:pPr>
                        <w:r>
                          <w:rPr>
                            <w:color w:val="000000"/>
                            <w:szCs w:val="24"/>
                          </w:rPr>
                          <w:t>100%</w:t>
                        </w:r>
                      </w:p>
                      <w:p>
                        <w:pPr>
                          <w:rPr>
                            <w:i/>
                            <w:color w:val="808080"/>
                            <w:szCs w:val="24"/>
                          </w:rPr>
                        </w:pPr>
                      </w:p>
                    </w:tc>
                    <w:tc>
                      <w:tcPr>
                        <w:tcW w:w="850" w:type="dxa"/>
                      </w:tcPr>
                      <w:p>
                        <w:pPr>
                          <w:rPr>
                            <w:szCs w:val="24"/>
                          </w:rPr>
                        </w:pPr>
                        <w:r>
                          <w:rPr>
                            <w:color w:val="000000"/>
                            <w:szCs w:val="24"/>
                          </w:rPr>
                          <w:t>100%</w:t>
                        </w:r>
                      </w:p>
                      <w:p>
                        <w:pPr>
                          <w:rPr>
                            <w:i/>
                            <w:color w:val="808080"/>
                            <w:szCs w:val="24"/>
                          </w:rPr>
                        </w:pP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Išduoti 84 statybą leidžiantys dokumentai. Už statybą leidžiančių dokumentų išdavimą ir (ar) savavališkos statybos įteisinimą 2025 m. buvo surinkta 6621 Eur rinkliavos mokesčio, iš šios sumos – 6646 Eur (į VTPSI sąskaitą) už savavališkų statybų įteisinimą (Architektūros ir urbanistikos skyrius).</w:t>
                        </w:r>
                      </w:p>
                    </w:tc>
                  </w:tr>
                  <w:tr>
                    <w:trPr>
                      <w:trHeight w:val="571"/>
                    </w:trPr>
                    <w:tc>
                      <w:tcPr>
                        <w:tcW w:w="4820" w:type="dxa"/>
                      </w:tcPr>
                      <w:p>
                        <w:pPr>
                          <w:rPr>
                            <w:color w:val="000000"/>
                            <w:szCs w:val="24"/>
                            <w:lang w:eastAsia="lt-LT"/>
                          </w:rPr>
                        </w:pPr>
                        <w:r>
                          <w:rPr>
                            <w:color w:val="000000"/>
                            <w:szCs w:val="24"/>
                            <w:lang w:eastAsia="lt-LT"/>
                          </w:rPr>
                          <w:t>1.1.1.11. Dokumentų, reikalingų žemės sklypų paskirčiai ir naudojimo būdui pakeisti, rengimas</w:t>
                        </w:r>
                      </w:p>
                    </w:tc>
                    <w:tc>
                      <w:tcPr>
                        <w:tcW w:w="851" w:type="dxa"/>
                      </w:tcPr>
                      <w:p>
                        <w:pPr>
                          <w:rPr>
                            <w:color w:val="000000"/>
                            <w:szCs w:val="24"/>
                            <w:lang w:eastAsia="lt-LT"/>
                          </w:rPr>
                        </w:pPr>
                        <w:r>
                          <w:rPr>
                            <w:color w:val="000000"/>
                            <w:szCs w:val="24"/>
                            <w:lang w:eastAsia="lt-LT"/>
                          </w:rPr>
                          <w:t>100%</w:t>
                        </w:r>
                      </w:p>
                    </w:tc>
                    <w:tc>
                      <w:tcPr>
                        <w:tcW w:w="850" w:type="dxa"/>
                      </w:tcPr>
                      <w:p>
                        <w:pPr>
                          <w:rPr>
                            <w:color w:val="000000"/>
                            <w:szCs w:val="24"/>
                          </w:rPr>
                        </w:pPr>
                        <w:r>
                          <w:rPr>
                            <w:color w:val="000000"/>
                            <w:szCs w:val="24"/>
                            <w:lang w:eastAsia="lt-LT"/>
                          </w:rPr>
                          <w:t>100%</w:t>
                        </w:r>
                      </w:p>
                    </w:tc>
                    <w:tc>
                      <w:tcPr>
                        <w:tcW w:w="851" w:type="dxa"/>
                      </w:tcPr>
                      <w:p>
                        <w:pPr>
                          <w:rPr>
                            <w:color w:val="000000"/>
                            <w:szCs w:val="24"/>
                          </w:rPr>
                        </w:pPr>
                        <w:r>
                          <w:rPr>
                            <w:color w:val="000000"/>
                            <w:szCs w:val="24"/>
                            <w:lang w:eastAsia="lt-LT"/>
                          </w:rPr>
                          <w:t>100%</w:t>
                        </w:r>
                      </w:p>
                    </w:tc>
                    <w:tc>
                      <w:tcPr>
                        <w:tcW w:w="850" w:type="dxa"/>
                      </w:tcPr>
                      <w:p>
                        <w:pPr>
                          <w:rPr>
                            <w:szCs w:val="24"/>
                          </w:rPr>
                        </w:pPr>
                        <w:r>
                          <w:rPr>
                            <w:color w:val="000000"/>
                            <w:szCs w:val="24"/>
                          </w:rPr>
                          <w:t>100%</w:t>
                        </w:r>
                      </w:p>
                      <w:p>
                        <w:pPr>
                          <w:rPr>
                            <w:i/>
                            <w:color w:val="808080"/>
                            <w:szCs w:val="24"/>
                          </w:rPr>
                        </w:pP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Parengti 32 dokumentai, keičiantys žemės sklypų paskirtį ir (ar) naudojimo būdą. (Architektūros ir urbanistikos skyrius)</w:t>
                        </w:r>
                      </w:p>
                    </w:tc>
                  </w:tr>
                  <w:tr>
                    <w:trPr>
                      <w:trHeight w:val="571"/>
                    </w:trPr>
                    <w:tc>
                      <w:tcPr>
                        <w:tcW w:w="4820" w:type="dxa"/>
                      </w:tcPr>
                      <w:p>
                        <w:pPr>
                          <w:rPr>
                            <w:color w:val="000000"/>
                            <w:szCs w:val="24"/>
                            <w:lang w:eastAsia="lt-LT"/>
                          </w:rPr>
                        </w:pPr>
                        <w:r>
                          <w:rPr>
                            <w:color w:val="000000"/>
                            <w:szCs w:val="24"/>
                            <w:lang w:eastAsia="lt-LT"/>
                          </w:rPr>
                          <w:t>1.1.1.12. Žemės sklypų formavimo ir pertvarkymo projektų rengimo organizavimas</w:t>
                        </w:r>
                      </w:p>
                    </w:tc>
                    <w:tc>
                      <w:tcPr>
                        <w:tcW w:w="851" w:type="dxa"/>
                      </w:tcPr>
                      <w:p>
                        <w:pPr>
                          <w:rPr>
                            <w:color w:val="000000"/>
                            <w:szCs w:val="24"/>
                            <w:lang w:eastAsia="lt-LT"/>
                          </w:rPr>
                        </w:pPr>
                        <w:r>
                          <w:rPr>
                            <w:szCs w:val="24"/>
                          </w:rPr>
                          <w:t>100%</w:t>
                        </w:r>
                      </w:p>
                    </w:tc>
                    <w:tc>
                      <w:tcPr>
                        <w:tcW w:w="850" w:type="dxa"/>
                      </w:tcPr>
                      <w:p>
                        <w:pPr>
                          <w:rPr>
                            <w:color w:val="000000"/>
                            <w:szCs w:val="24"/>
                            <w:lang w:eastAsia="lt-LT"/>
                          </w:rPr>
                        </w:pPr>
                        <w:r>
                          <w:rPr>
                            <w:szCs w:val="24"/>
                          </w:rPr>
                          <w:t>100%</w:t>
                        </w:r>
                      </w:p>
                    </w:tc>
                    <w:tc>
                      <w:tcPr>
                        <w:tcW w:w="851" w:type="dxa"/>
                      </w:tcPr>
                      <w:p>
                        <w:pPr>
                          <w:rPr>
                            <w:color w:val="000000"/>
                            <w:szCs w:val="24"/>
                            <w:lang w:eastAsia="lt-LT"/>
                          </w:rPr>
                        </w:pPr>
                        <w:r>
                          <w:rPr>
                            <w:szCs w:val="24"/>
                          </w:rPr>
                          <w:t>100%</w:t>
                        </w:r>
                      </w:p>
                    </w:tc>
                    <w:tc>
                      <w:tcPr>
                        <w:tcW w:w="850" w:type="dxa"/>
                      </w:tcPr>
                      <w:p>
                        <w:pPr>
                          <w:rPr>
                            <w:color w:val="000000"/>
                            <w:szCs w:val="24"/>
                          </w:rPr>
                        </w:pPr>
                        <w:r>
                          <w:rPr>
                            <w:szCs w:val="24"/>
                          </w:rPr>
                          <w:t>100%</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Priimti 87 prašymai žemės sklypų formavimo ir</w:t>
                        </w:r>
                      </w:p>
                      <w:p>
                        <w:pPr>
                          <w:rPr>
                            <w:iCs/>
                            <w:color w:val="000000"/>
                            <w:szCs w:val="24"/>
                          </w:rPr>
                        </w:pPr>
                        <w:r>
                          <w:rPr>
                            <w:iCs/>
                            <w:color w:val="000000"/>
                            <w:szCs w:val="24"/>
                          </w:rPr>
                          <w:t>pertvarkymo projektams rengti, pagal tris prašymus projektų rengimui buvo nepritarta, pagal vieną prašymą žemės sklypai buvo suformuoti detaliuose planuose. Parengti 83 įsakymai projektams rengti, 52 potvarkiai ir įsakymai projektams tvirtinti. (Architektūros ir urbanistikos skyrius).</w:t>
                        </w:r>
                      </w:p>
                    </w:tc>
                  </w:tr>
                  <w:tr>
                    <w:trPr>
                      <w:trHeight w:val="571"/>
                    </w:trPr>
                    <w:tc>
                      <w:tcPr>
                        <w:tcW w:w="4820" w:type="dxa"/>
                      </w:tcPr>
                      <w:p>
                        <w:pPr>
                          <w:rPr>
                            <w:color w:val="000000"/>
                            <w:szCs w:val="24"/>
                            <w:lang w:eastAsia="lt-LT"/>
                          </w:rPr>
                        </w:pPr>
                        <w:r>
                          <w:rPr>
                            <w:color w:val="000000"/>
                            <w:szCs w:val="24"/>
                            <w:lang w:eastAsia="lt-LT"/>
                          </w:rPr>
                          <w:t>1.1.1.13. Žemės sklypų formavimo ir pertvarkymo projektų rengimo ir žemės reformos žemėtvarkos projektų rengimo reikalavimų išdavimas</w:t>
                        </w:r>
                      </w:p>
                    </w:tc>
                    <w:tc>
                      <w:tcPr>
                        <w:tcW w:w="851" w:type="dxa"/>
                      </w:tcPr>
                      <w:p>
                        <w:pPr>
                          <w:rPr>
                            <w:color w:val="000000"/>
                            <w:szCs w:val="24"/>
                            <w:lang w:eastAsia="lt-LT"/>
                          </w:rPr>
                        </w:pPr>
                        <w:r>
                          <w:rPr>
                            <w:szCs w:val="24"/>
                          </w:rPr>
                          <w:t>100%</w:t>
                        </w:r>
                      </w:p>
                    </w:tc>
                    <w:tc>
                      <w:tcPr>
                        <w:tcW w:w="850" w:type="dxa"/>
                      </w:tcPr>
                      <w:p>
                        <w:pPr>
                          <w:rPr>
                            <w:color w:val="000000"/>
                            <w:szCs w:val="24"/>
                            <w:lang w:eastAsia="lt-LT"/>
                          </w:rPr>
                        </w:pPr>
                        <w:r>
                          <w:rPr>
                            <w:szCs w:val="24"/>
                          </w:rPr>
                          <w:t>100%</w:t>
                        </w:r>
                      </w:p>
                    </w:tc>
                    <w:tc>
                      <w:tcPr>
                        <w:tcW w:w="851" w:type="dxa"/>
                      </w:tcPr>
                      <w:p>
                        <w:pPr>
                          <w:rPr>
                            <w:color w:val="000000"/>
                            <w:szCs w:val="24"/>
                            <w:lang w:eastAsia="lt-LT"/>
                          </w:rPr>
                        </w:pPr>
                        <w:r>
                          <w:rPr>
                            <w:szCs w:val="24"/>
                          </w:rPr>
                          <w:t>100%</w:t>
                        </w:r>
                      </w:p>
                    </w:tc>
                    <w:tc>
                      <w:tcPr>
                        <w:tcW w:w="850" w:type="dxa"/>
                      </w:tcPr>
                      <w:p>
                        <w:pPr>
                          <w:rPr>
                            <w:color w:val="000000"/>
                            <w:szCs w:val="24"/>
                          </w:rPr>
                        </w:pPr>
                        <w:r>
                          <w:rPr>
                            <w:szCs w:val="24"/>
                          </w:rPr>
                          <w:t>100%</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Pateikta 119</w:t>
                        </w:r>
                        <w:r>
                          <w:rPr>
                            <w:iCs/>
                            <w:color w:val="EE0000"/>
                            <w:szCs w:val="24"/>
                          </w:rPr>
                          <w:t xml:space="preserve"> </w:t>
                        </w:r>
                        <w:r>
                          <w:rPr>
                            <w:iCs/>
                            <w:color w:val="000000"/>
                            <w:szCs w:val="24"/>
                          </w:rPr>
                          <w:t>žemės sklypų formavimo ir pertvarkymo projektų rengimo ir žemės reformos žemėtvarkos projektų rengimo reikalavimų. (Architektūros ir urbanistikos skyrius)</w:t>
                        </w:r>
                      </w:p>
                    </w:tc>
                  </w:tr>
                  <w:tr>
                    <w:trPr>
                      <w:trHeight w:val="571"/>
                    </w:trPr>
                    <w:tc>
                      <w:tcPr>
                        <w:tcW w:w="4820" w:type="dxa"/>
                      </w:tcPr>
                      <w:p>
                        <w:pPr>
                          <w:rPr>
                            <w:color w:val="000000"/>
                            <w:szCs w:val="24"/>
                            <w:lang w:eastAsia="lt-LT"/>
                          </w:rPr>
                        </w:pPr>
                        <w:r>
                          <w:rPr>
                            <w:color w:val="000000"/>
                            <w:szCs w:val="24"/>
                            <w:lang w:eastAsia="lt-LT"/>
                          </w:rPr>
                          <w:t>1.1.1.14. Leidimų įrengti išorinę reklamą išdavimas.</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Priimtas 91 prašymas ir išduoti 88 leidimai išorinei</w:t>
                        </w:r>
                      </w:p>
                      <w:p>
                        <w:pPr>
                          <w:rPr>
                            <w:iCs/>
                            <w:color w:val="000000"/>
                            <w:szCs w:val="24"/>
                          </w:rPr>
                        </w:pPr>
                        <w:r>
                          <w:rPr>
                            <w:iCs/>
                            <w:color w:val="000000"/>
                            <w:szCs w:val="24"/>
                          </w:rPr>
                          <w:t>reklamai įrengti. Surinkta vietinės rinkliavos mokesčio už leidimų išdavimą – 13 397,34 Eur. Trims prašymams nepritarta dėl reikalingų dokumentų. (Architektūros ir urbanistikos skyrius).</w:t>
                        </w:r>
                      </w:p>
                    </w:tc>
                  </w:tr>
                  <w:tr>
                    <w:trPr>
                      <w:trHeight w:val="571"/>
                    </w:trPr>
                    <w:tc>
                      <w:tcPr>
                        <w:tcW w:w="4820" w:type="dxa"/>
                      </w:tcPr>
                      <w:p>
                        <w:pPr>
                          <w:rPr>
                            <w:color w:val="000000"/>
                            <w:szCs w:val="24"/>
                            <w:lang w:eastAsia="lt-LT"/>
                          </w:rPr>
                        </w:pPr>
                        <w:r>
                          <w:rPr>
                            <w:color w:val="000000"/>
                            <w:szCs w:val="24"/>
                            <w:lang w:eastAsia="lt-LT"/>
                          </w:rPr>
                          <w:t>1.1.1.15. Inžinierinių tinklų įrengimo valstybinėje žemėje planų derinimas pagal gautus prašymus</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Suderinta inžinierinių tinklų įrengimo planų: dujotiekio tinklų –23 vnt.; elektros tinklų – 151 vnt.; ryšių tinklų – 16 vnt.; vandentiekio ir nuotekų tinklų – 13 vnt. (Architektūros ir urbanistikos skyrius).</w:t>
                        </w:r>
                      </w:p>
                    </w:tc>
                  </w:tr>
                  <w:tr>
                    <w:trPr>
                      <w:trHeight w:val="571"/>
                    </w:trPr>
                    <w:tc>
                      <w:tcPr>
                        <w:tcW w:w="4820" w:type="dxa"/>
                      </w:tcPr>
                      <w:p>
                        <w:pPr>
                          <w:rPr>
                            <w:color w:val="000000"/>
                            <w:szCs w:val="24"/>
                            <w:lang w:eastAsia="lt-LT"/>
                          </w:rPr>
                        </w:pPr>
                        <w:r>
                          <w:rPr>
                            <w:color w:val="000000"/>
                            <w:szCs w:val="24"/>
                            <w:lang w:eastAsia="lt-LT"/>
                          </w:rPr>
                          <w:t>1.1.1.16. Žemės sklypo vertės padidėjimo dėl inžinerinių statinių apskaičiavimas</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Apskaičiuotas 18 žemės sklypų vertės padidėjimas</w:t>
                        </w:r>
                      </w:p>
                      <w:p>
                        <w:pPr>
                          <w:rPr>
                            <w:iCs/>
                            <w:color w:val="000000"/>
                            <w:szCs w:val="24"/>
                          </w:rPr>
                        </w:pPr>
                        <w:r>
                          <w:rPr>
                            <w:iCs/>
                            <w:color w:val="000000"/>
                            <w:szCs w:val="24"/>
                          </w:rPr>
                          <w:t>iš Radviliškio ir Šeduvos miestų. (Architektūros ir urbanistikos skyrius).</w:t>
                        </w:r>
                      </w:p>
                    </w:tc>
                  </w:tr>
                  <w:tr>
                    <w:trPr>
                      <w:trHeight w:val="571"/>
                    </w:trPr>
                    <w:tc>
                      <w:tcPr>
                        <w:tcW w:w="4820" w:type="dxa"/>
                      </w:tcPr>
                      <w:p>
                        <w:pPr>
                          <w:rPr>
                            <w:color w:val="000000"/>
                            <w:szCs w:val="24"/>
                            <w:lang w:eastAsia="lt-LT"/>
                          </w:rPr>
                        </w:pPr>
                        <w:r>
                          <w:rPr>
                            <w:color w:val="000000"/>
                            <w:szCs w:val="24"/>
                            <w:lang w:eastAsia="lt-LT"/>
                          </w:rPr>
                          <w:t>1.1.1.17. Topografinių ir inžinerinių tinklų planų tikrinimas ir derinimas informacinėse sistemos</w:t>
                        </w:r>
                      </w:p>
                    </w:tc>
                    <w:tc>
                      <w:tcPr>
                        <w:tcW w:w="851" w:type="dxa"/>
                      </w:tcPr>
                      <w:p>
                        <w:pPr>
                          <w:rPr>
                            <w:szCs w:val="24"/>
                          </w:rPr>
                        </w:pPr>
                        <w:r>
                          <w:rPr>
                            <w:szCs w:val="24"/>
                          </w:rPr>
                          <w:t>600</w:t>
                        </w:r>
                      </w:p>
                      <w:p>
                        <w:pPr>
                          <w:rPr>
                            <w:szCs w:val="24"/>
                          </w:rPr>
                        </w:pPr>
                        <w:r>
                          <w:rPr>
                            <w:szCs w:val="24"/>
                          </w:rPr>
                          <w:t>vnt.</w:t>
                        </w:r>
                      </w:p>
                    </w:tc>
                    <w:tc>
                      <w:tcPr>
                        <w:tcW w:w="850" w:type="dxa"/>
                      </w:tcPr>
                      <w:p>
                        <w:pPr>
                          <w:rPr>
                            <w:szCs w:val="24"/>
                          </w:rPr>
                        </w:pPr>
                        <w:r>
                          <w:rPr>
                            <w:szCs w:val="24"/>
                          </w:rPr>
                          <w:t>686 vnt.</w:t>
                        </w:r>
                      </w:p>
                    </w:tc>
                    <w:tc>
                      <w:tcPr>
                        <w:tcW w:w="851" w:type="dxa"/>
                      </w:tcPr>
                      <w:p>
                        <w:pPr>
                          <w:rPr>
                            <w:szCs w:val="24"/>
                          </w:rPr>
                        </w:pPr>
                        <w:r>
                          <w:rPr>
                            <w:szCs w:val="24"/>
                          </w:rPr>
                          <w:t>986 vnt.</w:t>
                        </w:r>
                      </w:p>
                    </w:tc>
                    <w:tc>
                      <w:tcPr>
                        <w:tcW w:w="850" w:type="dxa"/>
                      </w:tcPr>
                      <w:p>
                        <w:pPr>
                          <w:rPr>
                            <w:szCs w:val="24"/>
                          </w:rPr>
                        </w:pPr>
                        <w:r>
                          <w:rPr>
                            <w:szCs w:val="24"/>
                          </w:rPr>
                          <w:t>1116 vnt.</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Patikrinta ir suderinta: topografinių planų – 502</w:t>
                        </w:r>
                        <w:r>
                          <w:rPr>
                            <w:iCs/>
                            <w:color w:val="EE0000"/>
                            <w:szCs w:val="24"/>
                          </w:rPr>
                          <w:t xml:space="preserve"> </w:t>
                        </w:r>
                        <w:r>
                          <w:rPr>
                            <w:iCs/>
                            <w:color w:val="000000"/>
                            <w:szCs w:val="24"/>
                          </w:rPr>
                          <w:t>vnt.;</w:t>
                        </w:r>
                      </w:p>
                      <w:p>
                        <w:pPr>
                          <w:rPr>
                            <w:iCs/>
                            <w:color w:val="000000"/>
                            <w:szCs w:val="24"/>
                          </w:rPr>
                        </w:pPr>
                        <w:r>
                          <w:rPr>
                            <w:iCs/>
                            <w:color w:val="000000"/>
                            <w:szCs w:val="24"/>
                          </w:rPr>
                          <w:t>inžinerinių tinklų planų – 527vnt; inžinerinių įvadų į statinius ir pastatus – 87. Pateikta erdvinių duomenų – 494 vnt., išduota prisijungimų prie WebGIS sistemos – 20 vnt. (Architektūros ir urbanistikos skyrius).</w:t>
                        </w:r>
                      </w:p>
                    </w:tc>
                  </w:tr>
                  <w:tr>
                    <w:trPr>
                      <w:trHeight w:val="571"/>
                    </w:trPr>
                    <w:tc>
                      <w:tcPr>
                        <w:tcW w:w="4820" w:type="dxa"/>
                      </w:tcPr>
                      <w:p>
                        <w:pPr>
                          <w:rPr>
                            <w:color w:val="000000"/>
                            <w:szCs w:val="24"/>
                            <w:lang w:eastAsia="lt-LT"/>
                          </w:rPr>
                        </w:pPr>
                        <w:r>
                          <w:rPr>
                            <w:color w:val="000000"/>
                            <w:szCs w:val="24"/>
                            <w:lang w:eastAsia="lt-LT"/>
                          </w:rPr>
                          <w:t>1.1.1.18. Sutarčių dėl valstybinės žemės nuomos / nuomos teisės perleidimo / perdavimo neatlygintinai naudotis / leidimų laikinai naudotis administravimas. Žemės servitutų valstybinėje žemėje nustatymas.</w:t>
                        </w:r>
                      </w:p>
                      <w:p>
                        <w:pPr>
                          <w:rPr>
                            <w:color w:val="000000"/>
                            <w:szCs w:val="24"/>
                            <w:lang w:eastAsia="lt-LT"/>
                          </w:rPr>
                        </w:pPr>
                        <w:r>
                          <w:rPr>
                            <w:color w:val="000000"/>
                            <w:szCs w:val="24"/>
                            <w:lang w:eastAsia="lt-LT"/>
                          </w:rPr>
                          <w:t>(SVP 1-1-1-04 B)</w:t>
                        </w:r>
                      </w:p>
                    </w:tc>
                    <w:tc>
                      <w:tcPr>
                        <w:tcW w:w="851" w:type="dxa"/>
                      </w:tcPr>
                      <w:p>
                        <w:pPr>
                          <w:rPr>
                            <w:szCs w:val="24"/>
                          </w:rPr>
                        </w:pPr>
                        <w:r>
                          <w:rPr>
                            <w:szCs w:val="24"/>
                          </w:rPr>
                          <w:t>100%</w:t>
                        </w:r>
                      </w:p>
                    </w:tc>
                    <w:tc>
                      <w:tcPr>
                        <w:tcW w:w="850" w:type="dxa"/>
                      </w:tcPr>
                      <w:p>
                        <w:pPr>
                          <w:rPr>
                            <w:szCs w:val="24"/>
                          </w:rPr>
                        </w:pPr>
                        <w:r>
                          <w:rPr>
                            <w:szCs w:val="24"/>
                          </w:rPr>
                          <w:t>-</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i/>
                            <w:color w:val="808080"/>
                            <w:szCs w:val="24"/>
                          </w:rPr>
                        </w:pPr>
                        <w:r>
                          <w:rPr>
                            <w:i/>
                            <w:color w:val="808080"/>
                            <w:szCs w:val="24"/>
                          </w:rPr>
                          <w:t>-</w:t>
                        </w:r>
                      </w:p>
                    </w:tc>
                    <w:tc>
                      <w:tcPr>
                        <w:tcW w:w="850" w:type="dxa"/>
                      </w:tcPr>
                      <w:p>
                        <w:pPr>
                          <w:rPr>
                            <w:i/>
                            <w:color w:val="808080"/>
                            <w:szCs w:val="24"/>
                          </w:rPr>
                        </w:pPr>
                        <w:r>
                          <w:rPr>
                            <w:i/>
                            <w:color w:val="808080"/>
                            <w:szCs w:val="24"/>
                          </w:rPr>
                          <w:t>-</w:t>
                        </w:r>
                      </w:p>
                    </w:tc>
                    <w:tc>
                      <w:tcPr>
                        <w:tcW w:w="5245" w:type="dxa"/>
                      </w:tcPr>
                      <w:p>
                        <w:pPr>
                          <w:rPr>
                            <w:iCs/>
                            <w:color w:val="000000"/>
                            <w:szCs w:val="24"/>
                          </w:rPr>
                        </w:pPr>
                        <w:r>
                          <w:rPr>
                            <w:iCs/>
                            <w:color w:val="000000"/>
                            <w:szCs w:val="24"/>
                          </w:rPr>
                          <w:t>Parengtas 61 tarybos sprendimas dėl valstybinės žemės valdymo, naudojimo ir disponavimo ja patikėjimo teise. Atlikti 29 faktiniai duomenų patikrinimai vietovėje Sudarytos 32 nuomos sutartys. Nutrauktos 29 nuomos sutartys. Parengta: 3 sutikimai įkeisti nuomos teisę; 19 sutikimų perleisti nuomos teisę; 5 tarybos sprendimai dėl valstybinės žemės sklypų perdavimo neatlygintinai naudotis. Sudarytos 3 panaudos sutartys. Parengti 2 įsakymai (potvarkiai), leidžiantys laikinai naudotis valstybine žeme ž. ū. veiklai. Parengta 14 įsakymų (potvarkių) ir sudaryta 14 sandorių dėl žemės servitutų valstybinėje žemėje nustatymo. (Architektūros ir urbanistikos skyrius).</w:t>
                        </w:r>
                      </w:p>
                    </w:tc>
                  </w:tr>
                  <w:tr>
                    <w:trPr>
                      <w:trHeight w:val="571"/>
                    </w:trPr>
                    <w:tc>
                      <w:tcPr>
                        <w:tcW w:w="4820" w:type="dxa"/>
                      </w:tcPr>
                      <w:p>
                        <w:pPr>
                          <w:rPr>
                            <w:color w:val="000000"/>
                            <w:szCs w:val="24"/>
                            <w:lang w:eastAsia="lt-LT"/>
                          </w:rPr>
                        </w:pPr>
                        <w:r>
                          <w:rPr>
                            <w:color w:val="000000"/>
                            <w:szCs w:val="24"/>
                            <w:lang w:eastAsia="lt-LT"/>
                          </w:rPr>
                          <w:t>1.1.1.19. Sutikimai tiesti susisiekimo komunikacijas, inžinerinius tinklus, statyti laikinuosius nesudėtinguosius statinius, statyti valstybinės reikšmės paviršiniuose vandens telkiniuose laikinuosius nesudėtinguosius statinius, statyti / rekonstruoti statinius žemės sklypuose, besiribojančiuose su valstybinės žemės sklypais ar valstybine žeme, laikinai naudotis valstybine žeme statybos metu. (SVP 1.1.1.04B)</w:t>
                        </w:r>
                      </w:p>
                    </w:tc>
                    <w:tc>
                      <w:tcPr>
                        <w:tcW w:w="851" w:type="dxa"/>
                      </w:tcPr>
                      <w:p>
                        <w:pPr>
                          <w:rPr>
                            <w:szCs w:val="24"/>
                          </w:rPr>
                        </w:pPr>
                        <w:r>
                          <w:rPr>
                            <w:szCs w:val="24"/>
                          </w:rPr>
                          <w:t>100%</w:t>
                        </w:r>
                      </w:p>
                    </w:tc>
                    <w:tc>
                      <w:tcPr>
                        <w:tcW w:w="850" w:type="dxa"/>
                      </w:tcPr>
                      <w:p>
                        <w:pPr>
                          <w:rPr>
                            <w:szCs w:val="24"/>
                          </w:rPr>
                        </w:pPr>
                        <w:r>
                          <w:rPr>
                            <w:szCs w:val="24"/>
                          </w:rPr>
                          <w:t>-</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iCs/>
                            <w:color w:val="000000"/>
                            <w:szCs w:val="24"/>
                          </w:rPr>
                        </w:pPr>
                        <w:r>
                          <w:rPr>
                            <w:iCs/>
                            <w:color w:val="000000"/>
                            <w:szCs w:val="24"/>
                          </w:rPr>
                          <w:t>-</w:t>
                        </w:r>
                      </w:p>
                    </w:tc>
                    <w:tc>
                      <w:tcPr>
                        <w:tcW w:w="850" w:type="dxa"/>
                      </w:tcPr>
                      <w:p>
                        <w:pPr>
                          <w:rPr>
                            <w:iCs/>
                            <w:color w:val="000000"/>
                            <w:szCs w:val="24"/>
                          </w:rPr>
                        </w:pPr>
                        <w:r>
                          <w:rPr>
                            <w:iCs/>
                            <w:color w:val="000000"/>
                            <w:szCs w:val="24"/>
                          </w:rPr>
                          <w:t>-</w:t>
                        </w:r>
                      </w:p>
                    </w:tc>
                    <w:tc>
                      <w:tcPr>
                        <w:tcW w:w="5245" w:type="dxa"/>
                      </w:tcPr>
                      <w:p>
                        <w:pPr>
                          <w:rPr>
                            <w:iCs/>
                            <w:color w:val="000000"/>
                            <w:szCs w:val="24"/>
                          </w:rPr>
                        </w:pPr>
                        <w:r>
                          <w:rPr>
                            <w:iCs/>
                            <w:color w:val="000000"/>
                            <w:szCs w:val="24"/>
                          </w:rPr>
                          <w:t xml:space="preserve">Parengti 144 sutikimai. </w:t>
                        </w:r>
                      </w:p>
                      <w:p>
                        <w:pPr>
                          <w:rPr>
                            <w:b/>
                            <w:bCs/>
                            <w:iCs/>
                            <w:color w:val="000000"/>
                            <w:szCs w:val="24"/>
                          </w:rPr>
                        </w:pPr>
                      </w:p>
                      <w:p>
                        <w:pPr>
                          <w:rPr>
                            <w:b/>
                            <w:bCs/>
                            <w:iCs/>
                            <w:color w:val="000000"/>
                            <w:szCs w:val="24"/>
                          </w:rPr>
                        </w:pPr>
                        <w:r>
                          <w:rPr>
                            <w:b/>
                            <w:bCs/>
                            <w:iCs/>
                            <w:color w:val="000000"/>
                            <w:szCs w:val="24"/>
                          </w:rPr>
                          <w:t>Pastaba. Dėl techninės klaidos 1.1.1.7–1.1.1.19 priemonės nebuvo įtrauktos į MVP.</w:t>
                        </w:r>
                      </w:p>
                      <w:p>
                        <w:pPr>
                          <w:rPr>
                            <w:iCs/>
                            <w:color w:val="000000"/>
                            <w:szCs w:val="24"/>
                          </w:rPr>
                        </w:pPr>
                        <w:r>
                          <w:rPr>
                            <w:iCs/>
                            <w:color w:val="000000"/>
                            <w:szCs w:val="24"/>
                          </w:rPr>
                          <w:t>(Architektūros ir urbanistikos skyrius).</w:t>
                        </w:r>
                      </w:p>
                    </w:tc>
                  </w:tr>
                  <w:tr>
                    <w:trPr>
                      <w:trHeight w:val="863"/>
                    </w:trPr>
                    <w:tc>
                      <w:tcPr>
                        <w:tcW w:w="4820" w:type="dxa"/>
                      </w:tcPr>
                      <w:p>
                        <w:pPr>
                          <w:rPr>
                            <w:bCs/>
                            <w:szCs w:val="24"/>
                          </w:rPr>
                        </w:pPr>
                        <w:r>
                          <w:rPr>
                            <w:bCs/>
                            <w:szCs w:val="24"/>
                          </w:rPr>
                          <w:t>2.1.1.1 Asmenų prašymų dėl dokumentų, patvirtinančių juridinius faktus, išdavimo nagrinėjimas (SVP 1-1-1-23.1)</w:t>
                        </w:r>
                      </w:p>
                    </w:tc>
                    <w:tc>
                      <w:tcPr>
                        <w:tcW w:w="851" w:type="dxa"/>
                      </w:tcPr>
                      <w:p>
                        <w:pPr>
                          <w:rPr>
                            <w:szCs w:val="24"/>
                          </w:rPr>
                        </w:pPr>
                        <w:r>
                          <w:rPr>
                            <w:szCs w:val="24"/>
                          </w:rPr>
                          <w:t>100 %</w:t>
                        </w:r>
                      </w:p>
                    </w:tc>
                    <w:tc>
                      <w:tcPr>
                        <w:tcW w:w="850" w:type="dxa"/>
                      </w:tcPr>
                      <w:p>
                        <w:pPr>
                          <w:rPr>
                            <w:szCs w:val="24"/>
                          </w:rPr>
                        </w:pPr>
                        <w:r>
                          <w:rPr>
                            <w:szCs w:val="24"/>
                          </w:rPr>
                          <w:t xml:space="preserve">75 </w:t>
                        </w:r>
                        <w:r>
                          <w:rPr>
                            <w:szCs w:val="24"/>
                            <w:lang w:val="en-US"/>
                          </w:rPr>
                          <w:t>%</w:t>
                        </w:r>
                      </w:p>
                    </w:tc>
                    <w:tc>
                      <w:tcPr>
                        <w:tcW w:w="851" w:type="dxa"/>
                      </w:tcPr>
                      <w:p>
                        <w:pPr>
                          <w:rPr>
                            <w:szCs w:val="24"/>
                          </w:rPr>
                        </w:pPr>
                        <w:r>
                          <w:rPr>
                            <w:szCs w:val="24"/>
                          </w:rPr>
                          <w:t xml:space="preserve">80 </w:t>
                        </w:r>
                        <w:r>
                          <w:rPr>
                            <w:szCs w:val="24"/>
                            <w:lang w:val="en-US"/>
                          </w:rPr>
                          <w:t>%</w:t>
                        </w:r>
                      </w:p>
                    </w:tc>
                    <w:tc>
                      <w:tcPr>
                        <w:tcW w:w="850" w:type="dxa"/>
                      </w:tcPr>
                      <w:p>
                        <w:pPr>
                          <w:rPr>
                            <w:szCs w:val="24"/>
                          </w:rPr>
                        </w:pPr>
                        <w:r>
                          <w:rPr>
                            <w:szCs w:val="24"/>
                          </w:rPr>
                          <w:t xml:space="preserve">100 </w:t>
                        </w:r>
                        <w:r>
                          <w:rPr>
                            <w:szCs w:val="24"/>
                            <w:lang w:val="en-US"/>
                          </w:rPr>
                          <w:t>%</w:t>
                        </w:r>
                      </w:p>
                    </w:tc>
                    <w:tc>
                      <w:tcPr>
                        <w:tcW w:w="851" w:type="dxa"/>
                      </w:tcPr>
                      <w:p>
                        <w:pPr>
                          <w:rPr>
                            <w:szCs w:val="24"/>
                            <w:highlight w:val="yellow"/>
                          </w:rPr>
                        </w:pPr>
                      </w:p>
                    </w:tc>
                    <w:tc>
                      <w:tcPr>
                        <w:tcW w:w="850" w:type="dxa"/>
                      </w:tcPr>
                      <w:p>
                        <w:pPr>
                          <w:rPr>
                            <w:szCs w:val="24"/>
                          </w:rPr>
                        </w:pPr>
                      </w:p>
                    </w:tc>
                    <w:tc>
                      <w:tcPr>
                        <w:tcW w:w="5245" w:type="dxa"/>
                      </w:tcPr>
                      <w:p>
                        <w:pPr>
                          <w:rPr>
                            <w:iCs/>
                            <w:szCs w:val="24"/>
                          </w:rPr>
                        </w:pPr>
                        <w:r>
                          <w:rPr>
                            <w:iCs/>
                            <w:szCs w:val="24"/>
                          </w:rPr>
                          <w:t>Gauti 682 prašymai. Per 10 d. d. išnagrinėti visi prašymai ir pateikti tai įrodantys dokumentai.</w:t>
                        </w:r>
                      </w:p>
                      <w:p>
                        <w:pPr>
                          <w:rPr>
                            <w:szCs w:val="24"/>
                          </w:rPr>
                        </w:pPr>
                        <w:r>
                          <w:rPr>
                            <w:iCs/>
                            <w:szCs w:val="24"/>
                          </w:rPr>
                          <w:t>(Bendrųjų reikalų skyrius)</w:t>
                        </w:r>
                      </w:p>
                    </w:tc>
                  </w:tr>
                  <w:tr>
                    <w:trPr>
                      <w:trHeight w:val="848"/>
                    </w:trPr>
                    <w:tc>
                      <w:tcPr>
                        <w:tcW w:w="4820" w:type="dxa"/>
                      </w:tcPr>
                      <w:p>
                        <w:pPr>
                          <w:rPr>
                            <w:bCs/>
                            <w:color w:val="808080"/>
                            <w:szCs w:val="24"/>
                          </w:rPr>
                        </w:pPr>
                        <w:r>
                          <w:rPr>
                            <w:bCs/>
                            <w:szCs w:val="24"/>
                          </w:rPr>
                          <w:t>2.1.1.2. Dokumentų, patvirtinančių juridinius faktus, išdavimas iš likviduotų įmonių dokumentų (SVP</w:t>
                        </w:r>
                        <w:r>
                          <w:rPr>
                            <w:szCs w:val="24"/>
                          </w:rPr>
                          <w:t xml:space="preserve"> 1-1-1-23.2)</w:t>
                        </w:r>
                      </w:p>
                    </w:tc>
                    <w:tc>
                      <w:tcPr>
                        <w:tcW w:w="851" w:type="dxa"/>
                      </w:tcPr>
                      <w:p>
                        <w:pPr>
                          <w:rPr>
                            <w:color w:val="808080"/>
                            <w:szCs w:val="24"/>
                          </w:rPr>
                        </w:pPr>
                        <w:r>
                          <w:rPr>
                            <w:szCs w:val="24"/>
                          </w:rPr>
                          <w:t>90 %</w:t>
                        </w:r>
                      </w:p>
                    </w:tc>
                    <w:tc>
                      <w:tcPr>
                        <w:tcW w:w="850" w:type="dxa"/>
                      </w:tcPr>
                      <w:p>
                        <w:pPr>
                          <w:rPr>
                            <w:color w:val="808080"/>
                            <w:szCs w:val="24"/>
                          </w:rPr>
                        </w:pPr>
                        <w:r>
                          <w:rPr>
                            <w:szCs w:val="24"/>
                          </w:rPr>
                          <w:t>85 %</w:t>
                        </w:r>
                      </w:p>
                    </w:tc>
                    <w:tc>
                      <w:tcPr>
                        <w:tcW w:w="851" w:type="dxa"/>
                      </w:tcPr>
                      <w:p>
                        <w:pPr>
                          <w:rPr>
                            <w:color w:val="808080"/>
                            <w:szCs w:val="24"/>
                          </w:rPr>
                        </w:pPr>
                        <w:r>
                          <w:rPr>
                            <w:szCs w:val="24"/>
                          </w:rPr>
                          <w:t>90 %</w:t>
                        </w:r>
                      </w:p>
                    </w:tc>
                    <w:tc>
                      <w:tcPr>
                        <w:tcW w:w="850" w:type="dxa"/>
                      </w:tcPr>
                      <w:p>
                        <w:pPr>
                          <w:rPr>
                            <w:color w:val="808080"/>
                            <w:szCs w:val="24"/>
                          </w:rPr>
                        </w:pPr>
                        <w:r>
                          <w:rPr>
                            <w:szCs w:val="24"/>
                          </w:rPr>
                          <w:t>95 %</w:t>
                        </w:r>
                      </w:p>
                    </w:tc>
                    <w:tc>
                      <w:tcPr>
                        <w:tcW w:w="851" w:type="dxa"/>
                      </w:tcPr>
                      <w:p>
                        <w:pPr>
                          <w:rPr>
                            <w:color w:val="808080"/>
                            <w:szCs w:val="24"/>
                          </w:rPr>
                        </w:pPr>
                      </w:p>
                    </w:tc>
                    <w:tc>
                      <w:tcPr>
                        <w:tcW w:w="850" w:type="dxa"/>
                      </w:tcPr>
                      <w:p>
                        <w:pPr>
                          <w:rPr>
                            <w:color w:val="808080"/>
                            <w:szCs w:val="24"/>
                          </w:rPr>
                        </w:pPr>
                        <w:r>
                          <w:rPr>
                            <w:color w:val="808080"/>
                            <w:szCs w:val="24"/>
                          </w:rPr>
                          <w:t>-</w:t>
                        </w:r>
                      </w:p>
                    </w:tc>
                    <w:tc>
                      <w:tcPr>
                        <w:tcW w:w="5245" w:type="dxa"/>
                      </w:tcPr>
                      <w:p>
                        <w:pPr>
                          <w:rPr>
                            <w:szCs w:val="24"/>
                          </w:rPr>
                        </w:pPr>
                        <w:r>
                          <w:rPr>
                            <w:szCs w:val="24"/>
                          </w:rPr>
                          <w:t>Išduotų kopijų skaičius – 4455.</w:t>
                        </w:r>
                      </w:p>
                      <w:p>
                        <w:pPr>
                          <w:rPr>
                            <w:szCs w:val="24"/>
                          </w:rPr>
                        </w:pPr>
                      </w:p>
                      <w:p>
                        <w:pPr>
                          <w:rPr>
                            <w:szCs w:val="24"/>
                          </w:rPr>
                        </w:pPr>
                        <w:r>
                          <w:rPr>
                            <w:szCs w:val="24"/>
                          </w:rPr>
                          <w:t>(Bendrųjų reikalų skyrius)</w:t>
                        </w:r>
                      </w:p>
                    </w:tc>
                  </w:tr>
                  <w:tr>
                    <w:trPr>
                      <w:trHeight w:val="571"/>
                    </w:trPr>
                    <w:tc>
                      <w:tcPr>
                        <w:tcW w:w="4820" w:type="dxa"/>
                      </w:tcPr>
                      <w:p>
                        <w:pPr>
                          <w:rPr>
                            <w:bCs/>
                            <w:color w:val="808080"/>
                            <w:szCs w:val="24"/>
                          </w:rPr>
                        </w:pPr>
                        <w:r>
                          <w:rPr>
                            <w:bCs/>
                            <w:szCs w:val="24"/>
                          </w:rPr>
                          <w:t>2.1.1.3. Likviduotų įmonių saugomų dokumentų atrinkimas naikinti (atrinktų naikinti dokumentų tiesiniais metrais)</w:t>
                        </w:r>
                        <w:r>
                          <w:rPr>
                            <w:szCs w:val="24"/>
                          </w:rPr>
                          <w:t xml:space="preserve"> (SVP 1-1-1-23.3)</w:t>
                        </w:r>
                      </w:p>
                    </w:tc>
                    <w:tc>
                      <w:tcPr>
                        <w:tcW w:w="851" w:type="dxa"/>
                      </w:tcPr>
                      <w:p>
                        <w:pPr>
                          <w:rPr>
                            <w:szCs w:val="24"/>
                          </w:rPr>
                        </w:pPr>
                        <w:r>
                          <w:rPr>
                            <w:szCs w:val="24"/>
                          </w:rPr>
                          <w:t>11,00</w:t>
                        </w:r>
                      </w:p>
                      <w:p>
                        <w:pPr>
                          <w:rPr>
                            <w:color w:val="808080"/>
                            <w:szCs w:val="24"/>
                          </w:rPr>
                        </w:pPr>
                      </w:p>
                    </w:tc>
                    <w:tc>
                      <w:tcPr>
                        <w:tcW w:w="850" w:type="dxa"/>
                      </w:tcPr>
                      <w:p>
                        <w:pPr>
                          <w:rPr>
                            <w:color w:val="808080"/>
                            <w:szCs w:val="24"/>
                          </w:rPr>
                        </w:pPr>
                        <w:r>
                          <w:rPr>
                            <w:szCs w:val="24"/>
                          </w:rPr>
                          <w:t>127,04</w:t>
                        </w:r>
                      </w:p>
                    </w:tc>
                    <w:tc>
                      <w:tcPr>
                        <w:tcW w:w="851" w:type="dxa"/>
                      </w:tcPr>
                      <w:p>
                        <w:pPr>
                          <w:rPr>
                            <w:color w:val="808080"/>
                            <w:szCs w:val="24"/>
                          </w:rPr>
                        </w:pPr>
                        <w:r>
                          <w:rPr>
                            <w:szCs w:val="24"/>
                          </w:rPr>
                          <w:t>11,44</w:t>
                        </w:r>
                      </w:p>
                    </w:tc>
                    <w:tc>
                      <w:tcPr>
                        <w:tcW w:w="850" w:type="dxa"/>
                      </w:tcPr>
                      <w:p>
                        <w:pPr>
                          <w:rPr>
                            <w:color w:val="808080"/>
                            <w:szCs w:val="24"/>
                          </w:rPr>
                        </w:pPr>
                        <w:r>
                          <w:rPr>
                            <w:szCs w:val="24"/>
                          </w:rPr>
                          <w:t>11,00</w:t>
                        </w:r>
                      </w:p>
                    </w:tc>
                    <w:tc>
                      <w:tcPr>
                        <w:tcW w:w="851" w:type="dxa"/>
                      </w:tcPr>
                      <w:p>
                        <w:pPr>
                          <w:rPr>
                            <w:color w:val="808080"/>
                            <w:szCs w:val="24"/>
                          </w:rPr>
                        </w:pPr>
                      </w:p>
                    </w:tc>
                    <w:tc>
                      <w:tcPr>
                        <w:tcW w:w="850" w:type="dxa"/>
                      </w:tcPr>
                      <w:p>
                        <w:pPr>
                          <w:rPr>
                            <w:color w:val="808080"/>
                            <w:szCs w:val="24"/>
                          </w:rPr>
                        </w:pPr>
                      </w:p>
                    </w:tc>
                    <w:tc>
                      <w:tcPr>
                        <w:tcW w:w="5245" w:type="dxa"/>
                      </w:tcPr>
                      <w:p>
                        <w:pPr>
                          <w:rPr>
                            <w:szCs w:val="24"/>
                          </w:rPr>
                        </w:pPr>
                      </w:p>
                      <w:p>
                        <w:pPr>
                          <w:rPr>
                            <w:szCs w:val="24"/>
                          </w:rPr>
                        </w:pPr>
                      </w:p>
                      <w:p>
                        <w:pPr>
                          <w:rPr>
                            <w:szCs w:val="24"/>
                          </w:rPr>
                        </w:pPr>
                      </w:p>
                      <w:p>
                        <w:pPr>
                          <w:rPr>
                            <w:color w:val="808080"/>
                            <w:szCs w:val="24"/>
                          </w:rPr>
                        </w:pPr>
                        <w:r>
                          <w:rPr>
                            <w:szCs w:val="24"/>
                          </w:rPr>
                          <w:t>(Bendrųjų reikalų skyrius)</w:t>
                        </w:r>
                      </w:p>
                    </w:tc>
                  </w:tr>
                  <w:tr>
                    <w:trPr>
                      <w:trHeight w:val="1266"/>
                    </w:trPr>
                    <w:tc>
                      <w:tcPr>
                        <w:tcW w:w="4820" w:type="dxa"/>
                      </w:tcPr>
                      <w:p>
                        <w:pPr>
                          <w:rPr>
                            <w:szCs w:val="24"/>
                          </w:rPr>
                        </w:pPr>
                        <w:r>
                          <w:rPr>
                            <w:szCs w:val="24"/>
                          </w:rPr>
                          <w:t>3.1.1.1. Savivaldybės administracijos buhalterinės apskaitos tvarkymas (SVP 01 programa).</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iCs/>
                            <w:color w:val="808080"/>
                            <w:szCs w:val="24"/>
                          </w:rPr>
                        </w:pPr>
                      </w:p>
                    </w:tc>
                    <w:tc>
                      <w:tcPr>
                        <w:tcW w:w="850" w:type="dxa"/>
                      </w:tcPr>
                      <w:p>
                        <w:pPr>
                          <w:rPr>
                            <w:i/>
                            <w:color w:val="808080"/>
                            <w:szCs w:val="24"/>
                          </w:rPr>
                        </w:pPr>
                      </w:p>
                    </w:tc>
                    <w:tc>
                      <w:tcPr>
                        <w:tcW w:w="5245" w:type="dxa"/>
                        <w:vMerge w:val="restart"/>
                      </w:tcPr>
                      <w:p>
                        <w:pPr>
                          <w:rPr>
                            <w:b/>
                            <w:bCs/>
                            <w:szCs w:val="24"/>
                          </w:rPr>
                        </w:pPr>
                        <w:r>
                          <w:rPr>
                            <w:szCs w:val="24"/>
                          </w:rPr>
                          <w:t xml:space="preserve">Savivaldybės administracijos veiklai užtikrinti panaudota </w:t>
                        </w:r>
                        <w:r>
                          <w:rPr>
                            <w:b/>
                            <w:bCs/>
                            <w:szCs w:val="24"/>
                          </w:rPr>
                          <w:t>2248,3 tūkst. Eurų</w:t>
                        </w:r>
                        <w:r>
                          <w:rPr>
                            <w:szCs w:val="24"/>
                          </w:rPr>
                          <w:t xml:space="preserve">. Lėšos skirtos darbo užmokesčio, komunalinių, ryšių, transporto, kitų prekių bei ilgalaikio turto išlaidoms padengti. Savivaldybės administracijos buhalterinė apskaita buvo tvarkoma tinkamai, ataskaitinių duomenų teisingumas užtikrintas, duomenys pateikti laiku. </w:t>
                        </w:r>
                        <w:r>
                          <w:rPr>
                            <w:b/>
                            <w:bCs/>
                            <w:szCs w:val="24"/>
                          </w:rPr>
                          <w:t xml:space="preserve">Uždavinys ir priemonės įgyvendinti 100 %, pasiektas siekiamas rodiklis. </w:t>
                        </w:r>
                        <w:r>
                          <w:rPr>
                            <w:szCs w:val="24"/>
                          </w:rPr>
                          <w:t>(Centralizuotas buhalterinės apskaitos skyrius)</w:t>
                        </w:r>
                      </w:p>
                    </w:tc>
                  </w:tr>
                  <w:tr>
                    <w:trPr>
                      <w:trHeight w:val="985"/>
                    </w:trPr>
                    <w:tc>
                      <w:tcPr>
                        <w:tcW w:w="4820" w:type="dxa"/>
                      </w:tcPr>
                      <w:p>
                        <w:pPr>
                          <w:rPr>
                            <w:szCs w:val="24"/>
                          </w:rPr>
                        </w:pPr>
                        <w:r>
                          <w:rPr>
                            <w:szCs w:val="24"/>
                          </w:rPr>
                          <w:t>3.1.1.2. Ataskaitinių duomenų teisingumo užtikrinimas ir jų pateikimas laiku (SVP 1-1-1-3a.).</w:t>
                        </w:r>
                      </w:p>
                    </w:tc>
                    <w:tc>
                      <w:tcPr>
                        <w:tcW w:w="851" w:type="dxa"/>
                      </w:tcPr>
                      <w:p>
                        <w:pPr>
                          <w:rPr>
                            <w:i/>
                            <w:iCs/>
                            <w:szCs w:val="24"/>
                          </w:rPr>
                        </w:pPr>
                        <w:r>
                          <w:rPr>
                            <w:szCs w:val="24"/>
                          </w:rPr>
                          <w:t>100%</w:t>
                        </w:r>
                      </w:p>
                    </w:tc>
                    <w:tc>
                      <w:tcPr>
                        <w:tcW w:w="850" w:type="dxa"/>
                      </w:tcPr>
                      <w:p>
                        <w:pPr>
                          <w:rPr>
                            <w:i/>
                            <w:color w:val="808080"/>
                            <w:szCs w:val="24"/>
                          </w:rPr>
                        </w:pPr>
                        <w:r>
                          <w:rPr>
                            <w:szCs w:val="24"/>
                          </w:rPr>
                          <w:t>100%</w:t>
                        </w:r>
                      </w:p>
                    </w:tc>
                    <w:tc>
                      <w:tcPr>
                        <w:tcW w:w="851" w:type="dxa"/>
                      </w:tcPr>
                      <w:p>
                        <w:pPr>
                          <w:rPr>
                            <w:i/>
                            <w:color w:val="808080"/>
                            <w:szCs w:val="24"/>
                          </w:rPr>
                        </w:pPr>
                        <w:r>
                          <w:rPr>
                            <w:szCs w:val="24"/>
                          </w:rPr>
                          <w:t>100%</w:t>
                        </w:r>
                      </w:p>
                    </w:tc>
                    <w:tc>
                      <w:tcPr>
                        <w:tcW w:w="850" w:type="dxa"/>
                      </w:tcPr>
                      <w:p>
                        <w:pPr>
                          <w:rPr>
                            <w:i/>
                            <w:szCs w:val="24"/>
                          </w:rPr>
                        </w:pPr>
                        <w:r>
                          <w:rPr>
                            <w:szCs w:val="24"/>
                          </w:rPr>
                          <w:t>100%</w:t>
                        </w:r>
                      </w:p>
                    </w:tc>
                    <w:tc>
                      <w:tcPr>
                        <w:tcW w:w="851" w:type="dxa"/>
                      </w:tcPr>
                      <w:p>
                        <w:pPr>
                          <w:rPr>
                            <w:i/>
                            <w:szCs w:val="24"/>
                          </w:rPr>
                        </w:pPr>
                      </w:p>
                    </w:tc>
                    <w:tc>
                      <w:tcPr>
                        <w:tcW w:w="850" w:type="dxa"/>
                      </w:tcPr>
                      <w:p>
                        <w:pPr>
                          <w:rPr>
                            <w:i/>
                            <w:szCs w:val="24"/>
                          </w:rPr>
                        </w:pPr>
                      </w:p>
                    </w:tc>
                    <w:tc>
                      <w:tcPr>
                        <w:tcW w:w="5245" w:type="dxa"/>
                        <w:vMerge/>
                      </w:tcPr>
                      <w:p>
                        <w:pPr>
                          <w:rPr>
                            <w:szCs w:val="24"/>
                          </w:rPr>
                        </w:pPr>
                      </w:p>
                    </w:tc>
                  </w:tr>
                  <w:tr>
                    <w:trPr>
                      <w:trHeight w:val="983"/>
                    </w:trPr>
                    <w:tc>
                      <w:tcPr>
                        <w:tcW w:w="4820" w:type="dxa"/>
                      </w:tcPr>
                      <w:p>
                        <w:pPr>
                          <w:rPr>
                            <w:i/>
                            <w:iCs/>
                            <w:color w:val="808080"/>
                            <w:szCs w:val="24"/>
                          </w:rPr>
                        </w:pPr>
                        <w:r>
                          <w:rPr>
                            <w:szCs w:val="24"/>
                          </w:rPr>
                          <w:t xml:space="preserve">4.1.1.1. Atliktų Savivaldybės viešųjų juridinių asmenų vidaus auditų skaičius </w:t>
                        </w:r>
                      </w:p>
                    </w:tc>
                    <w:tc>
                      <w:tcPr>
                        <w:tcW w:w="851" w:type="dxa"/>
                      </w:tcPr>
                      <w:p>
                        <w:pPr>
                          <w:rPr>
                            <w:szCs w:val="24"/>
                          </w:rPr>
                        </w:pPr>
                        <w:r>
                          <w:rPr>
                            <w:szCs w:val="24"/>
                          </w:rPr>
                          <w:t>9 vnt.</w:t>
                        </w:r>
                      </w:p>
                    </w:tc>
                    <w:tc>
                      <w:tcPr>
                        <w:tcW w:w="850" w:type="dxa"/>
                      </w:tcPr>
                      <w:p>
                        <w:pPr>
                          <w:rPr>
                            <w:szCs w:val="24"/>
                          </w:rPr>
                        </w:pPr>
                        <w:r>
                          <w:rPr>
                            <w:szCs w:val="24"/>
                          </w:rPr>
                          <w:t>4 vnt.</w:t>
                        </w:r>
                      </w:p>
                    </w:tc>
                    <w:tc>
                      <w:tcPr>
                        <w:tcW w:w="851" w:type="dxa"/>
                      </w:tcPr>
                      <w:p>
                        <w:pPr>
                          <w:rPr>
                            <w:szCs w:val="24"/>
                          </w:rPr>
                        </w:pPr>
                        <w:r>
                          <w:rPr>
                            <w:szCs w:val="24"/>
                          </w:rPr>
                          <w:t>3 vnt.</w:t>
                        </w:r>
                      </w:p>
                    </w:tc>
                    <w:tc>
                      <w:tcPr>
                        <w:tcW w:w="850" w:type="dxa"/>
                      </w:tcPr>
                      <w:p>
                        <w:pPr>
                          <w:rPr>
                            <w:szCs w:val="24"/>
                          </w:rPr>
                        </w:pPr>
                        <w:r>
                          <w:rPr>
                            <w:szCs w:val="24"/>
                          </w:rPr>
                          <w:t>6 vnt.</w:t>
                        </w:r>
                      </w:p>
                    </w:tc>
                    <w:tc>
                      <w:tcPr>
                        <w:tcW w:w="851" w:type="dxa"/>
                      </w:tcPr>
                      <w:p>
                        <w:pPr>
                          <w:rPr>
                            <w:szCs w:val="24"/>
                          </w:rPr>
                        </w:pPr>
                        <w:r>
                          <w:rPr>
                            <w:szCs w:val="24"/>
                          </w:rPr>
                          <w:t>-</w:t>
                        </w:r>
                      </w:p>
                    </w:tc>
                    <w:tc>
                      <w:tcPr>
                        <w:tcW w:w="850" w:type="dxa"/>
                      </w:tcPr>
                      <w:p>
                        <w:pPr>
                          <w:rPr>
                            <w:szCs w:val="24"/>
                          </w:rPr>
                        </w:pPr>
                        <w:r>
                          <w:rPr>
                            <w:szCs w:val="24"/>
                          </w:rPr>
                          <w:t>-</w:t>
                        </w:r>
                      </w:p>
                    </w:tc>
                    <w:tc>
                      <w:tcPr>
                        <w:tcW w:w="5245" w:type="dxa"/>
                      </w:tcPr>
                      <w:p>
                        <w:pPr>
                          <w:rPr>
                            <w:szCs w:val="24"/>
                          </w:rPr>
                        </w:pPr>
                        <w:r>
                          <w:rPr>
                            <w:szCs w:val="24"/>
                          </w:rPr>
                          <w:t>Buvo koreguojamas planas, atliekamas neplaninis auditas. 3planuoti auditai perkelti į 2026 m. (Centralizuotas vidaus audito skyrius)</w:t>
                        </w:r>
                      </w:p>
                    </w:tc>
                  </w:tr>
                  <w:tr>
                    <w:trPr>
                      <w:trHeight w:val="1266"/>
                    </w:trPr>
                    <w:tc>
                      <w:tcPr>
                        <w:tcW w:w="4820" w:type="dxa"/>
                      </w:tcPr>
                      <w:p>
                        <w:pPr>
                          <w:rPr>
                            <w:szCs w:val="24"/>
                          </w:rPr>
                        </w:pPr>
                        <w:r>
                          <w:rPr>
                            <w:szCs w:val="24"/>
                          </w:rPr>
                          <w:t>5.1.1.1. Sklandžiai veikiančios informacinės sistemos, telekomunikacinė ir kompiuterinė įranga</w:t>
                        </w:r>
                      </w:p>
                      <w:p>
                        <w:pPr>
                          <w:rPr>
                            <w:bCs/>
                            <w:szCs w:val="24"/>
                          </w:rPr>
                        </w:pPr>
                        <w:r>
                          <w:rPr>
                            <w:bCs/>
                            <w:szCs w:val="24"/>
                          </w:rPr>
                          <w:t>(SVP 1 programa)</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73 SB</w:t>
                        </w:r>
                      </w:p>
                    </w:tc>
                    <w:tc>
                      <w:tcPr>
                        <w:tcW w:w="850" w:type="dxa"/>
                      </w:tcPr>
                      <w:p>
                        <w:pPr>
                          <w:rPr>
                            <w:szCs w:val="24"/>
                          </w:rPr>
                        </w:pPr>
                        <w:r>
                          <w:rPr>
                            <w:color w:val="000000"/>
                            <w:szCs w:val="24"/>
                          </w:rPr>
                          <w:t>62</w:t>
                        </w:r>
                        <w:r>
                          <w:rPr>
                            <w:szCs w:val="24"/>
                          </w:rPr>
                          <w:t xml:space="preserve">  SB</w:t>
                        </w:r>
                      </w:p>
                    </w:tc>
                    <w:tc>
                      <w:tcPr>
                        <w:tcW w:w="5245" w:type="dxa"/>
                      </w:tcPr>
                      <w:p>
                        <w:pPr>
                          <w:rPr>
                            <w:color w:val="000000"/>
                            <w:szCs w:val="24"/>
                          </w:rPr>
                        </w:pPr>
                        <w:r>
                          <w:rPr>
                            <w:iCs/>
                            <w:color w:val="000000"/>
                            <w:szCs w:val="24"/>
                          </w:rPr>
                          <w:t>Iš šių lėšų aptarnaujamos Savivaldybės informacinės sistemos (IS), nuomojami 8 virtualūs serveriai, palaikomi IS moduliai, remontuojama kompiuterinė, ryšių ir biuro technika.</w:t>
                        </w:r>
                        <w:r>
                          <w:rPr>
                            <w:szCs w:val="24"/>
                          </w:rPr>
                          <w:t>(Civilinės metrikacijos, informacinių technologijų ir komunikacijos skyrius)</w:t>
                        </w:r>
                      </w:p>
                    </w:tc>
                  </w:tr>
                  <w:tr>
                    <w:trPr>
                      <w:trHeight w:val="848"/>
                    </w:trPr>
                    <w:tc>
                      <w:tcPr>
                        <w:tcW w:w="4820" w:type="dxa"/>
                      </w:tcPr>
                      <w:p>
                        <w:pPr>
                          <w:rPr>
                            <w:szCs w:val="24"/>
                          </w:rPr>
                        </w:pPr>
                        <w:r>
                          <w:rPr>
                            <w:szCs w:val="24"/>
                          </w:rPr>
                          <w:t>5.1.1.2. Per 1 darbo dieną pašalintų informacinių sistemų gedimų dalis</w:t>
                        </w:r>
                      </w:p>
                      <w:p>
                        <w:pPr>
                          <w:rPr>
                            <w:bCs/>
                            <w:szCs w:val="24"/>
                          </w:rPr>
                        </w:pPr>
                        <w:r>
                          <w:rPr>
                            <w:bCs/>
                            <w:szCs w:val="24"/>
                          </w:rPr>
                          <w:t>(SVP 1 programa)</w:t>
                        </w:r>
                      </w:p>
                    </w:tc>
                    <w:tc>
                      <w:tcPr>
                        <w:tcW w:w="851" w:type="dxa"/>
                      </w:tcPr>
                      <w:p>
                        <w:pPr>
                          <w:rPr>
                            <w:szCs w:val="24"/>
                          </w:rPr>
                        </w:pPr>
                        <w:r>
                          <w:rPr>
                            <w:szCs w:val="24"/>
                          </w:rPr>
                          <w:t>80%</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rPr>
                        </w:pPr>
                        <w:r>
                          <w:rPr>
                            <w:szCs w:val="24"/>
                          </w:rPr>
                          <w:t>85%</w:t>
                        </w:r>
                      </w:p>
                    </w:tc>
                    <w:tc>
                      <w:tcPr>
                        <w:tcW w:w="851" w:type="dxa"/>
                      </w:tcPr>
                      <w:p>
                        <w:pPr>
                          <w:rPr>
                            <w:szCs w:val="24"/>
                          </w:rPr>
                        </w:pPr>
                        <w:r>
                          <w:rPr>
                            <w:szCs w:val="24"/>
                          </w:rPr>
                          <w:t>-</w:t>
                        </w:r>
                      </w:p>
                    </w:tc>
                    <w:tc>
                      <w:tcPr>
                        <w:tcW w:w="850" w:type="dxa"/>
                      </w:tcPr>
                      <w:p>
                        <w:pPr>
                          <w:rPr>
                            <w:szCs w:val="24"/>
                          </w:rPr>
                        </w:pPr>
                        <w:r>
                          <w:rPr>
                            <w:szCs w:val="24"/>
                          </w:rPr>
                          <w:t>-</w:t>
                        </w:r>
                      </w:p>
                    </w:tc>
                    <w:tc>
                      <w:tcPr>
                        <w:tcW w:w="5245" w:type="dxa"/>
                      </w:tcPr>
                      <w:p>
                        <w:pPr>
                          <w:rPr>
                            <w:color w:val="000000"/>
                            <w:szCs w:val="24"/>
                          </w:rPr>
                        </w:pPr>
                        <w:r>
                          <w:rPr>
                            <w:color w:val="000000"/>
                            <w:szCs w:val="24"/>
                          </w:rPr>
                          <w:t>Dažniausias gedimas – sulėtėjęs informacinių sistemų darbas arba sutrikęs interneto ryšys.</w:t>
                        </w:r>
                      </w:p>
                      <w:p>
                        <w:pPr>
                          <w:rPr>
                            <w:szCs w:val="24"/>
                          </w:rPr>
                        </w:pPr>
                        <w:r>
                          <w:rPr>
                            <w:szCs w:val="24"/>
                          </w:rPr>
                          <w:t>(Civilinės metrikacijos, informacinių technologijų ir komunikacijos skyrius)</w:t>
                        </w:r>
                      </w:p>
                    </w:tc>
                  </w:tr>
                  <w:tr>
                    <w:trPr>
                      <w:trHeight w:val="571"/>
                    </w:trPr>
                    <w:tc>
                      <w:tcPr>
                        <w:tcW w:w="4820" w:type="dxa"/>
                      </w:tcPr>
                      <w:p>
                        <w:pPr>
                          <w:rPr>
                            <w:szCs w:val="24"/>
                          </w:rPr>
                        </w:pPr>
                        <w:r>
                          <w:rPr>
                            <w:szCs w:val="24"/>
                          </w:rPr>
                          <w:t>5.1.1.3. Veikiančių sistemų papildymas naujais moduliais ir (arba) naujų sistemų diegimas</w:t>
                        </w:r>
                      </w:p>
                      <w:p>
                        <w:pPr>
                          <w:rPr>
                            <w:bCs/>
                            <w:szCs w:val="24"/>
                          </w:rPr>
                        </w:pPr>
                        <w:r>
                          <w:rPr>
                            <w:bCs/>
                            <w:szCs w:val="24"/>
                          </w:rPr>
                          <w:t>(SVP 1 programa)</w:t>
                        </w:r>
                      </w:p>
                    </w:tc>
                    <w:tc>
                      <w:tcPr>
                        <w:tcW w:w="851" w:type="dxa"/>
                      </w:tcPr>
                      <w:p>
                        <w:pPr>
                          <w:rPr>
                            <w:szCs w:val="24"/>
                          </w:rPr>
                        </w:pPr>
                        <w:r>
                          <w:rPr>
                            <w:szCs w:val="24"/>
                          </w:rPr>
                          <w:t>1</w:t>
                        </w:r>
                      </w:p>
                    </w:tc>
                    <w:tc>
                      <w:tcPr>
                        <w:tcW w:w="850" w:type="dxa"/>
                      </w:tcPr>
                      <w:p>
                        <w:pPr>
                          <w:rPr>
                            <w:szCs w:val="24"/>
                          </w:rPr>
                        </w:pPr>
                        <w:r>
                          <w:rPr>
                            <w:szCs w:val="24"/>
                          </w:rPr>
                          <w:t>4</w:t>
                        </w:r>
                      </w:p>
                    </w:tc>
                    <w:tc>
                      <w:tcPr>
                        <w:tcW w:w="851" w:type="dxa"/>
                      </w:tcPr>
                      <w:p>
                        <w:pPr>
                          <w:rPr>
                            <w:szCs w:val="24"/>
                          </w:rPr>
                        </w:pPr>
                        <w:r>
                          <w:rPr>
                            <w:szCs w:val="24"/>
                          </w:rPr>
                          <w:t>2</w:t>
                        </w:r>
                      </w:p>
                    </w:tc>
                    <w:tc>
                      <w:tcPr>
                        <w:tcW w:w="850" w:type="dxa"/>
                      </w:tcPr>
                      <w:p>
                        <w:pPr>
                          <w:rPr>
                            <w:szCs w:val="24"/>
                          </w:rPr>
                        </w:pPr>
                        <w:r>
                          <w:rPr>
                            <w:szCs w:val="24"/>
                          </w:rPr>
                          <w:t>9</w:t>
                        </w:r>
                      </w:p>
                    </w:tc>
                    <w:tc>
                      <w:tcPr>
                        <w:tcW w:w="851" w:type="dxa"/>
                      </w:tcPr>
                      <w:p>
                        <w:pPr>
                          <w:rPr>
                            <w:szCs w:val="24"/>
                          </w:rPr>
                        </w:pPr>
                        <w:r>
                          <w:rPr>
                            <w:szCs w:val="24"/>
                          </w:rPr>
                          <w:t>91,12 SB</w:t>
                        </w:r>
                      </w:p>
                    </w:tc>
                    <w:tc>
                      <w:tcPr>
                        <w:tcW w:w="850" w:type="dxa"/>
                      </w:tcPr>
                      <w:p>
                        <w:pPr>
                          <w:rPr>
                            <w:szCs w:val="24"/>
                          </w:rPr>
                        </w:pPr>
                        <w:r>
                          <w:rPr>
                            <w:szCs w:val="24"/>
                          </w:rPr>
                          <w:t>45 SB</w:t>
                        </w:r>
                      </w:p>
                    </w:tc>
                    <w:tc>
                      <w:tcPr>
                        <w:tcW w:w="5245" w:type="dxa"/>
                      </w:tcPr>
                      <w:p>
                        <w:pPr>
                          <w:rPr>
                            <w:color w:val="000000"/>
                            <w:szCs w:val="24"/>
                          </w:rPr>
                        </w:pPr>
                        <w:r>
                          <w:rPr>
                            <w:color w:val="000000"/>
                            <w:szCs w:val="24"/>
                          </w:rPr>
                          <w:t>Finansų ir apskaitos valdymo, strateginio veiklos planavimo ir optimizavimo programinė įranga „MyLOBster“ papildyta 6 moduliais. www.radviliskis.lt automatizuotas dirbtinio intelekto naujienų straipsnių įgarsinimo sprendimas. DVS papildyta 2 moduliais. 1 modulio įsigijimas perkeltas į 2026 m.</w:t>
                        </w:r>
                        <w:r>
                          <w:rPr>
                            <w:szCs w:val="24"/>
                          </w:rPr>
                          <w:t>(Civilinės metrikacijos, informacinių technologijų ir komunikacijos skyrius)</w:t>
                        </w:r>
                      </w:p>
                    </w:tc>
                  </w:tr>
                  <w:tr>
                    <w:trPr>
                      <w:trHeight w:val="571"/>
                    </w:trPr>
                    <w:tc>
                      <w:tcPr>
                        <w:tcW w:w="4820" w:type="dxa"/>
                      </w:tcPr>
                      <w:p>
                        <w:pPr>
                          <w:rPr>
                            <w:bCs/>
                            <w:szCs w:val="24"/>
                          </w:rPr>
                        </w:pPr>
                        <w:r>
                          <w:rPr>
                            <w:szCs w:val="24"/>
                          </w:rPr>
                          <w:t xml:space="preserve">5.1.1.4. </w:t>
                        </w:r>
                        <w:r>
                          <w:rPr>
                            <w:bCs/>
                            <w:szCs w:val="24"/>
                          </w:rPr>
                          <w:t>Naujos kompiuterinės, telekomunikacinės ir biuro įrangos skaičius</w:t>
                        </w:r>
                      </w:p>
                      <w:p>
                        <w:pPr>
                          <w:rPr>
                            <w:bCs/>
                            <w:szCs w:val="24"/>
                          </w:rPr>
                        </w:pPr>
                        <w:r>
                          <w:rPr>
                            <w:bCs/>
                            <w:szCs w:val="24"/>
                          </w:rPr>
                          <w:t>(SVP 1 programa)</w:t>
                        </w:r>
                      </w:p>
                    </w:tc>
                    <w:tc>
                      <w:tcPr>
                        <w:tcW w:w="851" w:type="dxa"/>
                      </w:tcPr>
                      <w:p>
                        <w:pPr>
                          <w:rPr>
                            <w:szCs w:val="24"/>
                          </w:rPr>
                        </w:pPr>
                        <w:r>
                          <w:rPr>
                            <w:szCs w:val="24"/>
                          </w:rPr>
                          <w:t>50 vnt.</w:t>
                        </w:r>
                      </w:p>
                    </w:tc>
                    <w:tc>
                      <w:tcPr>
                        <w:tcW w:w="850" w:type="dxa"/>
                      </w:tcPr>
                      <w:p>
                        <w:pPr>
                          <w:rPr>
                            <w:szCs w:val="24"/>
                          </w:rPr>
                        </w:pPr>
                        <w:r>
                          <w:rPr>
                            <w:szCs w:val="24"/>
                          </w:rPr>
                          <w:t>22 vnt.</w:t>
                        </w:r>
                      </w:p>
                    </w:tc>
                    <w:tc>
                      <w:tcPr>
                        <w:tcW w:w="851" w:type="dxa"/>
                      </w:tcPr>
                      <w:p>
                        <w:pPr>
                          <w:rPr>
                            <w:szCs w:val="24"/>
                          </w:rPr>
                        </w:pPr>
                        <w:r>
                          <w:rPr>
                            <w:szCs w:val="24"/>
                          </w:rPr>
                          <w:t>61 vnt.</w:t>
                        </w:r>
                      </w:p>
                    </w:tc>
                    <w:tc>
                      <w:tcPr>
                        <w:tcW w:w="850" w:type="dxa"/>
                      </w:tcPr>
                      <w:p>
                        <w:pPr>
                          <w:rPr>
                            <w:szCs w:val="24"/>
                          </w:rPr>
                        </w:pPr>
                        <w:r>
                          <w:rPr>
                            <w:szCs w:val="24"/>
                          </w:rPr>
                          <w:t>70 vnt.</w:t>
                        </w:r>
                      </w:p>
                    </w:tc>
                    <w:tc>
                      <w:tcPr>
                        <w:tcW w:w="851" w:type="dxa"/>
                      </w:tcPr>
                      <w:p>
                        <w:pPr>
                          <w:rPr>
                            <w:szCs w:val="24"/>
                          </w:rPr>
                        </w:pPr>
                        <w:r>
                          <w:rPr>
                            <w:szCs w:val="24"/>
                          </w:rPr>
                          <w:t>50 SB</w:t>
                        </w:r>
                      </w:p>
                    </w:tc>
                    <w:tc>
                      <w:tcPr>
                        <w:tcW w:w="850" w:type="dxa"/>
                      </w:tcPr>
                      <w:p>
                        <w:pPr>
                          <w:rPr>
                            <w:szCs w:val="24"/>
                          </w:rPr>
                        </w:pPr>
                        <w:r>
                          <w:rPr>
                            <w:szCs w:val="24"/>
                          </w:rPr>
                          <w:t>20,5 SB</w:t>
                        </w:r>
                      </w:p>
                    </w:tc>
                    <w:tc>
                      <w:tcPr>
                        <w:tcW w:w="5245" w:type="dxa"/>
                      </w:tcPr>
                      <w:p>
                        <w:pPr>
                          <w:rPr>
                            <w:szCs w:val="24"/>
                          </w:rPr>
                        </w:pPr>
                        <w:r>
                          <w:rPr>
                            <w:szCs w:val="24"/>
                          </w:rPr>
                          <w:t xml:space="preserve">Įsigyta kompiuterinė, telekomunikacinė ir biuro įranga. (Civilinės metrikacijos, informacinių technologijų ir komunikacijos skyrius) </w:t>
                        </w:r>
                      </w:p>
                    </w:tc>
                  </w:tr>
                  <w:tr>
                    <w:trPr>
                      <w:trHeight w:val="571"/>
                    </w:trPr>
                    <w:tc>
                      <w:tcPr>
                        <w:tcW w:w="4820" w:type="dxa"/>
                      </w:tcPr>
                      <w:p>
                        <w:pPr>
                          <w:rPr>
                            <w:szCs w:val="24"/>
                          </w:rPr>
                        </w:pPr>
                        <w:r>
                          <w:rPr>
                            <w:szCs w:val="24"/>
                          </w:rPr>
                          <w:t>5.1.1.5. Informacijos apie Savivaldybės veiklą viešinimo įvairiose visuomenės informavimo priemonėse (laikraščiuose, interneto portaluose, televizijose) užtikrinimas (pagal poreikį)</w:t>
                        </w:r>
                      </w:p>
                      <w:p>
                        <w:pPr>
                          <w:rPr>
                            <w:bCs/>
                            <w:szCs w:val="24"/>
                          </w:rPr>
                        </w:pPr>
                        <w:r>
                          <w:rPr>
                            <w:bCs/>
                            <w:szCs w:val="24"/>
                          </w:rPr>
                          <w:t>(SVP 1 programa)</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50 SB</w:t>
                        </w:r>
                      </w:p>
                    </w:tc>
                    <w:tc>
                      <w:tcPr>
                        <w:tcW w:w="850" w:type="dxa"/>
                      </w:tcPr>
                      <w:p>
                        <w:pPr>
                          <w:rPr>
                            <w:szCs w:val="24"/>
                          </w:rPr>
                        </w:pPr>
                        <w:r>
                          <w:rPr>
                            <w:szCs w:val="24"/>
                          </w:rPr>
                          <w:t>38,7 SB</w:t>
                        </w:r>
                      </w:p>
                    </w:tc>
                    <w:tc>
                      <w:tcPr>
                        <w:tcW w:w="5245" w:type="dxa"/>
                      </w:tcPr>
                      <w:p>
                        <w:pPr>
                          <w:rPr>
                            <w:szCs w:val="24"/>
                          </w:rPr>
                        </w:pPr>
                        <w:r>
                          <w:rPr>
                            <w:szCs w:val="24"/>
                          </w:rPr>
                          <w:t xml:space="preserve">Pagal sutartis su televizijomis parengta ir parodyta 14 laidų ir 26 reportažai, parengta ir paskelbta apie 115 įvairių pranešimų atskirose visuomenės informavimo priemonėse (išlaidos skelbiamos </w:t>
                        </w:r>
                        <w:r>
                          <w:rPr>
                            <w:color w:val="467886"/>
                            <w:szCs w:val="24"/>
                            <w:u w:val="single"/>
                          </w:rPr>
                          <w:t>www.radviliskis.lt</w:t>
                        </w:r>
                        <w:r>
                          <w:rPr>
                            <w:szCs w:val="24"/>
                          </w:rPr>
                          <w:t xml:space="preserve">). </w:t>
                        </w:r>
                      </w:p>
                      <w:p>
                        <w:pPr>
                          <w:rPr>
                            <w:szCs w:val="24"/>
                          </w:rPr>
                        </w:pPr>
                        <w:r>
                          <w:rPr>
                            <w:szCs w:val="24"/>
                          </w:rPr>
                          <w:t>(Civilinės metrikacijos, informacinių technologijų ir komunikacijos skyrius)</w:t>
                        </w:r>
                      </w:p>
                    </w:tc>
                  </w:tr>
                  <w:tr>
                    <w:trPr>
                      <w:trHeight w:val="571"/>
                    </w:trPr>
                    <w:tc>
                      <w:tcPr>
                        <w:tcW w:w="4820" w:type="dxa"/>
                      </w:tcPr>
                      <w:p>
                        <w:pPr>
                          <w:rPr>
                            <w:szCs w:val="24"/>
                          </w:rPr>
                        </w:pPr>
                        <w:r>
                          <w:rPr>
                            <w:szCs w:val="24"/>
                          </w:rPr>
                          <w:t xml:space="preserve">5.1.1.6. Parengtų ir redaguotų pranešimų, skelbiamų Savivaldybės interneto svetainėje, skaičius </w:t>
                        </w:r>
                        <w:r>
                          <w:rPr>
                            <w:bCs/>
                            <w:szCs w:val="24"/>
                          </w:rPr>
                          <w:t>(SVP 1 programa)</w:t>
                        </w:r>
                      </w:p>
                    </w:tc>
                    <w:tc>
                      <w:tcPr>
                        <w:tcW w:w="851" w:type="dxa"/>
                      </w:tcPr>
                      <w:p>
                        <w:pPr>
                          <w:rPr>
                            <w:szCs w:val="24"/>
                          </w:rPr>
                        </w:pPr>
                        <w:r>
                          <w:rPr>
                            <w:szCs w:val="24"/>
                          </w:rPr>
                          <w:t>1000 vnt.</w:t>
                        </w:r>
                      </w:p>
                    </w:tc>
                    <w:tc>
                      <w:tcPr>
                        <w:tcW w:w="850" w:type="dxa"/>
                      </w:tcPr>
                      <w:p>
                        <w:pPr>
                          <w:rPr>
                            <w:szCs w:val="24"/>
                          </w:rPr>
                        </w:pPr>
                        <w:r>
                          <w:rPr>
                            <w:szCs w:val="24"/>
                          </w:rPr>
                          <w:t>1316</w:t>
                        </w:r>
                      </w:p>
                      <w:p>
                        <w:pPr>
                          <w:rPr>
                            <w:szCs w:val="24"/>
                          </w:rPr>
                        </w:pPr>
                        <w:r>
                          <w:rPr>
                            <w:szCs w:val="24"/>
                          </w:rPr>
                          <w:t>vnt.</w:t>
                        </w:r>
                      </w:p>
                    </w:tc>
                    <w:tc>
                      <w:tcPr>
                        <w:tcW w:w="851" w:type="dxa"/>
                      </w:tcPr>
                      <w:p>
                        <w:pPr>
                          <w:rPr>
                            <w:szCs w:val="24"/>
                          </w:rPr>
                        </w:pPr>
                        <w:r>
                          <w:rPr>
                            <w:szCs w:val="24"/>
                          </w:rPr>
                          <w:t>1218</w:t>
                        </w:r>
                      </w:p>
                      <w:p>
                        <w:pPr>
                          <w:rPr>
                            <w:szCs w:val="24"/>
                          </w:rPr>
                        </w:pPr>
                        <w:r>
                          <w:rPr>
                            <w:szCs w:val="24"/>
                          </w:rPr>
                          <w:t>vnt.</w:t>
                        </w:r>
                      </w:p>
                    </w:tc>
                    <w:tc>
                      <w:tcPr>
                        <w:tcW w:w="850" w:type="dxa"/>
                      </w:tcPr>
                      <w:p>
                        <w:pPr>
                          <w:rPr>
                            <w:szCs w:val="24"/>
                          </w:rPr>
                        </w:pPr>
                        <w:r>
                          <w:rPr>
                            <w:szCs w:val="24"/>
                          </w:rPr>
                          <w:t>1753</w:t>
                        </w:r>
                      </w:p>
                      <w:p>
                        <w:pPr>
                          <w:rPr>
                            <w:szCs w:val="24"/>
                          </w:rPr>
                        </w:pPr>
                        <w:r>
                          <w:rPr>
                            <w:szCs w:val="24"/>
                          </w:rPr>
                          <w:t>vnt.</w:t>
                        </w:r>
                      </w:p>
                    </w:tc>
                    <w:tc>
                      <w:tcPr>
                        <w:tcW w:w="851" w:type="dxa"/>
                      </w:tcPr>
                      <w:p>
                        <w:pPr>
                          <w:rPr>
                            <w:szCs w:val="24"/>
                          </w:rPr>
                        </w:pPr>
                        <w:r>
                          <w:rPr>
                            <w:szCs w:val="24"/>
                          </w:rPr>
                          <w:t>-</w:t>
                        </w:r>
                      </w:p>
                    </w:tc>
                    <w:tc>
                      <w:tcPr>
                        <w:tcW w:w="850" w:type="dxa"/>
                      </w:tcPr>
                      <w:p>
                        <w:pPr>
                          <w:rPr>
                            <w:szCs w:val="24"/>
                          </w:rPr>
                        </w:pPr>
                        <w:r>
                          <w:rPr>
                            <w:szCs w:val="24"/>
                          </w:rPr>
                          <w:t>-</w:t>
                        </w:r>
                      </w:p>
                    </w:tc>
                    <w:tc>
                      <w:tcPr>
                        <w:tcW w:w="5245" w:type="dxa"/>
                      </w:tcPr>
                      <w:p>
                        <w:pPr>
                          <w:rPr>
                            <w:szCs w:val="24"/>
                          </w:rPr>
                        </w:pPr>
                        <w:r>
                          <w:rPr>
                            <w:szCs w:val="24"/>
                          </w:rPr>
                          <w:t>Švietimo naujienos – 259, Sporto naujienos 89, Kultūros naujienos – 417, Sveikatos naujienos – 63, Naujienos – 546, Skelbimai – 379. (Civilinės metrikacijos, informacinių technologijų ir komunikacijos skyrius)</w:t>
                        </w:r>
                      </w:p>
                    </w:tc>
                  </w:tr>
                  <w:tr>
                    <w:trPr>
                      <w:trHeight w:val="571"/>
                    </w:trPr>
                    <w:tc>
                      <w:tcPr>
                        <w:tcW w:w="4820" w:type="dxa"/>
                      </w:tcPr>
                      <w:p>
                        <w:pPr>
                          <w:rPr>
                            <w:szCs w:val="24"/>
                          </w:rPr>
                        </w:pPr>
                        <w:r>
                          <w:rPr>
                            <w:szCs w:val="24"/>
                          </w:rPr>
                          <w:t>5.1.1.7. Vykdomų priemonių, užtikrinančių valstybinės kalbos vartojimo taisyklingumo kontrolę, skaičius</w:t>
                        </w:r>
                      </w:p>
                      <w:p>
                        <w:pPr>
                          <w:rPr>
                            <w:bCs/>
                            <w:szCs w:val="24"/>
                          </w:rPr>
                        </w:pPr>
                        <w:r>
                          <w:rPr>
                            <w:szCs w:val="24"/>
                          </w:rPr>
                          <w:t>(SVP 1-1-1-22)</w:t>
                        </w:r>
                      </w:p>
                    </w:tc>
                    <w:tc>
                      <w:tcPr>
                        <w:tcW w:w="851" w:type="dxa"/>
                      </w:tcPr>
                      <w:p>
                        <w:pPr>
                          <w:rPr>
                            <w:szCs w:val="24"/>
                          </w:rPr>
                        </w:pPr>
                        <w:r>
                          <w:rPr>
                            <w:szCs w:val="24"/>
                          </w:rPr>
                          <w:t>5 vnt.</w:t>
                        </w:r>
                      </w:p>
                    </w:tc>
                    <w:tc>
                      <w:tcPr>
                        <w:tcW w:w="850" w:type="dxa"/>
                      </w:tcPr>
                      <w:p>
                        <w:pPr>
                          <w:rPr>
                            <w:szCs w:val="24"/>
                          </w:rPr>
                        </w:pPr>
                        <w:r>
                          <w:rPr>
                            <w:szCs w:val="24"/>
                          </w:rPr>
                          <w:t>5 vnt.</w:t>
                        </w:r>
                      </w:p>
                    </w:tc>
                    <w:tc>
                      <w:tcPr>
                        <w:tcW w:w="851" w:type="dxa"/>
                      </w:tcPr>
                      <w:p>
                        <w:pPr>
                          <w:rPr>
                            <w:szCs w:val="24"/>
                          </w:rPr>
                        </w:pPr>
                        <w:r>
                          <w:rPr>
                            <w:szCs w:val="24"/>
                          </w:rPr>
                          <w:t>5 vnt.</w:t>
                        </w:r>
                      </w:p>
                    </w:tc>
                    <w:tc>
                      <w:tcPr>
                        <w:tcW w:w="850" w:type="dxa"/>
                      </w:tcPr>
                      <w:p>
                        <w:pPr>
                          <w:rPr>
                            <w:szCs w:val="24"/>
                          </w:rPr>
                        </w:pPr>
                        <w:r>
                          <w:rPr>
                            <w:szCs w:val="24"/>
                          </w:rPr>
                          <w:t>5 vnt.</w:t>
                        </w:r>
                      </w:p>
                    </w:tc>
                    <w:tc>
                      <w:tcPr>
                        <w:tcW w:w="851" w:type="dxa"/>
                      </w:tcPr>
                      <w:p>
                        <w:pPr>
                          <w:rPr>
                            <w:szCs w:val="24"/>
                          </w:rPr>
                        </w:pPr>
                        <w:r>
                          <w:rPr>
                            <w:szCs w:val="24"/>
                          </w:rPr>
                          <w:t>2 SB</w:t>
                        </w:r>
                      </w:p>
                    </w:tc>
                    <w:tc>
                      <w:tcPr>
                        <w:tcW w:w="850" w:type="dxa"/>
                      </w:tcPr>
                      <w:p>
                        <w:pPr>
                          <w:rPr>
                            <w:szCs w:val="24"/>
                          </w:rPr>
                        </w:pPr>
                        <w:r>
                          <w:rPr>
                            <w:szCs w:val="24"/>
                          </w:rPr>
                          <w:t>1 SB</w:t>
                        </w:r>
                      </w:p>
                    </w:tc>
                    <w:tc>
                      <w:tcPr>
                        <w:tcW w:w="5245" w:type="dxa"/>
                      </w:tcPr>
                      <w:p>
                        <w:pPr>
                          <w:rPr>
                            <w:szCs w:val="24"/>
                          </w:rPr>
                        </w:pPr>
                        <w:r>
                          <w:rPr>
                            <w:szCs w:val="24"/>
                          </w:rPr>
                          <w:t xml:space="preserve">Fizinių ir juridinių asmenų konsultavimas – apie 180; viešų užrašų (reklamų, iškabų) kalbos tikrinimas ir derinimas – 86; įstaigų viešai skelbiamos informacijos, periodinės spaudos tikrinimas ir pastabų pateikimas – 23; neperiodinės spaudos leidinių tikrinimas ir redagavimas – 1 vnt.; atsiųstos informacijos redagavimas ir rengiamų teisės aktų redagavimas; švietėjiška veikla (informacijos apie valstybinę kalbą atnaujinimas interneto svetainėje </w:t>
                        </w:r>
                        <w:r>
                          <w:rPr>
                            <w:color w:val="467886"/>
                            <w:szCs w:val="24"/>
                            <w:u w:val="single"/>
                          </w:rPr>
                          <w:t>www.radviliskis.lt</w:t>
                        </w:r>
                        <w:r>
                          <w:rPr>
                            <w:szCs w:val="24"/>
                          </w:rPr>
                          <w:t>, atmintinių rengimas – 6 vnt.) ir kt. (Civilinės metrikacijos, informacinių technologijų ir komunikacijos skyrius)</w:t>
                        </w:r>
                      </w:p>
                    </w:tc>
                  </w:tr>
                  <w:tr>
                    <w:trPr>
                      <w:trHeight w:val="571"/>
                    </w:trPr>
                    <w:tc>
                      <w:tcPr>
                        <w:tcW w:w="4820" w:type="dxa"/>
                      </w:tcPr>
                      <w:p>
                        <w:pPr>
                          <w:rPr>
                            <w:color w:val="000000"/>
                            <w:szCs w:val="24"/>
                          </w:rPr>
                        </w:pPr>
                        <w:r>
                          <w:rPr>
                            <w:color w:val="000000"/>
                            <w:szCs w:val="24"/>
                          </w:rPr>
                          <w:t>5.1.1.8. Tęstinės civilinės būklės aktų registravimo funkcijos užtikrinimas</w:t>
                        </w:r>
                      </w:p>
                      <w:p>
                        <w:pPr>
                          <w:rPr>
                            <w:bCs/>
                            <w:color w:val="000000"/>
                            <w:szCs w:val="24"/>
                          </w:rPr>
                        </w:pPr>
                        <w:r>
                          <w:rPr>
                            <w:color w:val="000000"/>
                            <w:szCs w:val="24"/>
                          </w:rPr>
                          <w:t>(SVP 1-1-1-21)</w:t>
                        </w:r>
                      </w:p>
                    </w:tc>
                    <w:tc>
                      <w:tcPr>
                        <w:tcW w:w="851" w:type="dxa"/>
                      </w:tcPr>
                      <w:p>
                        <w:pPr>
                          <w:rPr>
                            <w:color w:val="000000"/>
                            <w:szCs w:val="24"/>
                          </w:rPr>
                        </w:pPr>
                        <w:r>
                          <w:rPr>
                            <w:color w:val="000000"/>
                            <w:szCs w:val="24"/>
                          </w:rPr>
                          <w:t>100%</w:t>
                        </w:r>
                      </w:p>
                    </w:tc>
                    <w:tc>
                      <w:tcPr>
                        <w:tcW w:w="850" w:type="dxa"/>
                      </w:tcPr>
                      <w:p>
                        <w:pPr>
                          <w:rPr>
                            <w:color w:val="000000"/>
                            <w:szCs w:val="24"/>
                          </w:rPr>
                        </w:pPr>
                        <w:r>
                          <w:rPr>
                            <w:color w:val="000000"/>
                            <w:szCs w:val="24"/>
                          </w:rPr>
                          <w:t>100%</w:t>
                        </w:r>
                      </w:p>
                    </w:tc>
                    <w:tc>
                      <w:tcPr>
                        <w:tcW w:w="851" w:type="dxa"/>
                      </w:tcPr>
                      <w:p>
                        <w:pPr>
                          <w:rPr>
                            <w:color w:val="000000"/>
                            <w:szCs w:val="24"/>
                          </w:rPr>
                        </w:pPr>
                        <w:r>
                          <w:rPr>
                            <w:color w:val="000000"/>
                            <w:szCs w:val="24"/>
                          </w:rPr>
                          <w:t>100%</w:t>
                        </w:r>
                      </w:p>
                    </w:tc>
                    <w:tc>
                      <w:tcPr>
                        <w:tcW w:w="850" w:type="dxa"/>
                      </w:tcPr>
                      <w:p>
                        <w:pPr>
                          <w:rPr>
                            <w:color w:val="000000"/>
                            <w:szCs w:val="24"/>
                          </w:rPr>
                        </w:pPr>
                        <w:r>
                          <w:rPr>
                            <w:color w:val="000000"/>
                            <w:szCs w:val="24"/>
                          </w:rPr>
                          <w:t>100%</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w:t>
                        </w:r>
                      </w:p>
                    </w:tc>
                    <w:tc>
                      <w:tcPr>
                        <w:tcW w:w="5245" w:type="dxa"/>
                      </w:tcPr>
                      <w:p>
                        <w:pPr>
                          <w:rPr>
                            <w:iCs/>
                            <w:color w:val="000000"/>
                            <w:szCs w:val="24"/>
                          </w:rPr>
                        </w:pPr>
                        <w:r>
                          <w:rPr>
                            <w:iCs/>
                            <w:color w:val="000000"/>
                            <w:szCs w:val="24"/>
                          </w:rPr>
                          <w:t xml:space="preserve">Iš viso įregistruota 1071 civilinės būklės aktų. Iš jų: gimimų – 212; mirčių – 600; santuokų – 106 (iš jų 4 išvykose); santuokų nutraukimo – 91; papildymų, pakeitimų – 62. Administruoti 1694 prašymai įvairiais civilinės būklės aktų registravimo klausimais. </w:t>
                        </w:r>
                        <w:r>
                          <w:rPr>
                            <w:color w:val="000000"/>
                            <w:szCs w:val="24"/>
                          </w:rPr>
                          <w:t>(Civilinės metrikacijos, informacinių technologijų ir komunikacijos skyrius)</w:t>
                        </w:r>
                      </w:p>
                    </w:tc>
                  </w:tr>
                  <w:tr>
                    <w:trPr>
                      <w:trHeight w:val="571"/>
                    </w:trPr>
                    <w:tc>
                      <w:tcPr>
                        <w:tcW w:w="4820" w:type="dxa"/>
                      </w:tcPr>
                      <w:p>
                        <w:pPr>
                          <w:rPr>
                            <w:bCs/>
                            <w:szCs w:val="24"/>
                          </w:rPr>
                        </w:pPr>
                        <w:r>
                          <w:rPr>
                            <w:szCs w:val="24"/>
                          </w:rPr>
                          <w:t>5.1.1.9. Per 1 darbo dieną</w:t>
                        </w:r>
                        <w:r>
                          <w:rPr>
                            <w:bCs/>
                            <w:color w:val="000000"/>
                            <w:szCs w:val="24"/>
                          </w:rPr>
                          <w:t xml:space="preserve"> </w:t>
                        </w:r>
                        <w:r>
                          <w:rPr>
                            <w:bCs/>
                            <w:szCs w:val="24"/>
                          </w:rPr>
                          <w:t>išduotų pakartotinių civilinės būklės aktų išrašų dalis</w:t>
                        </w:r>
                      </w:p>
                      <w:p>
                        <w:pPr>
                          <w:rPr>
                            <w:bCs/>
                            <w:szCs w:val="24"/>
                          </w:rPr>
                        </w:pPr>
                        <w:r>
                          <w:rPr>
                            <w:szCs w:val="24"/>
                          </w:rPr>
                          <w:t>(SVP 1-1-1-21.1)</w:t>
                        </w:r>
                      </w:p>
                    </w:tc>
                    <w:tc>
                      <w:tcPr>
                        <w:tcW w:w="851" w:type="dxa"/>
                      </w:tcPr>
                      <w:p>
                        <w:pPr>
                          <w:rPr>
                            <w:szCs w:val="24"/>
                          </w:rPr>
                        </w:pPr>
                        <w:r>
                          <w:rPr>
                            <w:szCs w:val="24"/>
                          </w:rPr>
                          <w:t>80%</w:t>
                        </w:r>
                      </w:p>
                    </w:tc>
                    <w:tc>
                      <w:tcPr>
                        <w:tcW w:w="850" w:type="dxa"/>
                      </w:tcPr>
                      <w:p>
                        <w:pPr>
                          <w:rPr>
                            <w:szCs w:val="24"/>
                          </w:rPr>
                        </w:pPr>
                        <w:r>
                          <w:rPr>
                            <w:szCs w:val="24"/>
                          </w:rPr>
                          <w:t>-</w:t>
                        </w:r>
                      </w:p>
                    </w:tc>
                    <w:tc>
                      <w:tcPr>
                        <w:tcW w:w="851" w:type="dxa"/>
                      </w:tcPr>
                      <w:p>
                        <w:pPr>
                          <w:rPr>
                            <w:szCs w:val="24"/>
                          </w:rPr>
                        </w:pPr>
                        <w:r>
                          <w:rPr>
                            <w:szCs w:val="24"/>
                          </w:rPr>
                          <w:t>75%</w:t>
                        </w:r>
                      </w:p>
                    </w:tc>
                    <w:tc>
                      <w:tcPr>
                        <w:tcW w:w="850" w:type="dxa"/>
                      </w:tcPr>
                      <w:p>
                        <w:pPr>
                          <w:rPr>
                            <w:szCs w:val="24"/>
                          </w:rPr>
                        </w:pPr>
                        <w:r>
                          <w:rPr>
                            <w:szCs w:val="24"/>
                          </w:rPr>
                          <w:t>83%</w:t>
                        </w:r>
                      </w:p>
                    </w:tc>
                    <w:tc>
                      <w:tcPr>
                        <w:tcW w:w="851" w:type="dxa"/>
                      </w:tcPr>
                      <w:p>
                        <w:pPr>
                          <w:rPr>
                            <w:szCs w:val="24"/>
                          </w:rPr>
                        </w:pPr>
                        <w:r>
                          <w:rPr>
                            <w:szCs w:val="24"/>
                          </w:rPr>
                          <w:t>-</w:t>
                        </w:r>
                      </w:p>
                    </w:tc>
                    <w:tc>
                      <w:tcPr>
                        <w:tcW w:w="850" w:type="dxa"/>
                      </w:tcPr>
                      <w:p>
                        <w:pPr>
                          <w:rPr>
                            <w:szCs w:val="24"/>
                          </w:rPr>
                        </w:pPr>
                        <w:r>
                          <w:rPr>
                            <w:szCs w:val="24"/>
                          </w:rPr>
                          <w:t>-</w:t>
                        </w:r>
                      </w:p>
                    </w:tc>
                    <w:tc>
                      <w:tcPr>
                        <w:tcW w:w="5245" w:type="dxa"/>
                      </w:tcPr>
                      <w:p>
                        <w:pPr>
                          <w:rPr>
                            <w:iCs/>
                            <w:szCs w:val="24"/>
                          </w:rPr>
                        </w:pPr>
                        <w:r>
                          <w:rPr>
                            <w:szCs w:val="24"/>
                          </w:rPr>
                          <w:t xml:space="preserve">Iš viso </w:t>
                        </w:r>
                        <w:r>
                          <w:rPr>
                            <w:color w:val="000000"/>
                            <w:szCs w:val="24"/>
                          </w:rPr>
                          <w:t xml:space="preserve">gauta 327 </w:t>
                        </w:r>
                        <w:r>
                          <w:rPr>
                            <w:szCs w:val="24"/>
                          </w:rPr>
                          <w:t>pakartotinių prašymų civilinės būklės aktų registravimo klausimais, iš jų</w:t>
                        </w:r>
                        <w:r>
                          <w:rPr>
                            <w:iCs/>
                            <w:szCs w:val="24"/>
                          </w:rPr>
                          <w:t xml:space="preserve"> per 1 d. d. </w:t>
                        </w:r>
                        <w:r>
                          <w:rPr>
                            <w:iCs/>
                            <w:color w:val="000000"/>
                            <w:szCs w:val="24"/>
                          </w:rPr>
                          <w:t xml:space="preserve">išduota – 274. </w:t>
                        </w:r>
                        <w:r>
                          <w:rPr>
                            <w:szCs w:val="24"/>
                          </w:rPr>
                          <w:t>(Civilinės metrikacijos, informacinių technologijų ir komunikacijos skyrius)</w:t>
                        </w:r>
                      </w:p>
                    </w:tc>
                  </w:tr>
                  <w:tr>
                    <w:trPr>
                      <w:trHeight w:val="571"/>
                    </w:trPr>
                    <w:tc>
                      <w:tcPr>
                        <w:tcW w:w="4820" w:type="dxa"/>
                      </w:tcPr>
                      <w:p>
                        <w:pPr>
                          <w:rPr>
                            <w:szCs w:val="24"/>
                          </w:rPr>
                        </w:pPr>
                        <w:r>
                          <w:rPr>
                            <w:szCs w:val="24"/>
                          </w:rPr>
                          <w:t xml:space="preserve">5.1.1.10. Archyvinių dokumentų saugojimas  ir pateikimas Lietuvos valstybės el. archyvui už praėjusius kalendorinius metus</w:t>
                        </w:r>
                      </w:p>
                      <w:p>
                        <w:pPr>
                          <w:rPr>
                            <w:bCs/>
                            <w:szCs w:val="24"/>
                          </w:rPr>
                        </w:pPr>
                        <w:r>
                          <w:rPr>
                            <w:szCs w:val="24"/>
                          </w:rPr>
                          <w:t>(SVP 1-1-1-23)</w:t>
                        </w:r>
                      </w:p>
                    </w:tc>
                    <w:tc>
                      <w:tcPr>
                        <w:tcW w:w="851" w:type="dxa"/>
                      </w:tcPr>
                      <w:p>
                        <w:pPr>
                          <w:rPr>
                            <w:szCs w:val="24"/>
                          </w:rPr>
                        </w:pPr>
                        <w:r>
                          <w:rPr>
                            <w:szCs w:val="24"/>
                          </w:rPr>
                          <w:t>100%</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rPr>
                        </w:pPr>
                        <w:r>
                          <w:rPr>
                            <w:szCs w:val="24"/>
                          </w:rPr>
                          <w:t>100%</w:t>
                        </w:r>
                      </w:p>
                    </w:tc>
                    <w:tc>
                      <w:tcPr>
                        <w:tcW w:w="851" w:type="dxa"/>
                      </w:tcPr>
                      <w:p>
                        <w:pPr>
                          <w:rPr>
                            <w:szCs w:val="24"/>
                          </w:rPr>
                        </w:pPr>
                        <w:r>
                          <w:rPr>
                            <w:szCs w:val="24"/>
                          </w:rPr>
                          <w:t>-</w:t>
                        </w:r>
                      </w:p>
                    </w:tc>
                    <w:tc>
                      <w:tcPr>
                        <w:tcW w:w="850" w:type="dxa"/>
                      </w:tcPr>
                      <w:p>
                        <w:pPr>
                          <w:rPr>
                            <w:szCs w:val="24"/>
                          </w:rPr>
                        </w:pPr>
                        <w:r>
                          <w:rPr>
                            <w:szCs w:val="24"/>
                          </w:rPr>
                          <w:t>-</w:t>
                        </w:r>
                      </w:p>
                    </w:tc>
                    <w:tc>
                      <w:tcPr>
                        <w:tcW w:w="5245" w:type="dxa"/>
                      </w:tcPr>
                      <w:p>
                        <w:pPr>
                          <w:tabs>
                            <w:tab w:val="left" w:pos="720"/>
                          </w:tabs>
                          <w:ind w:right="191"/>
                          <w:rPr>
                            <w:szCs w:val="24"/>
                          </w:rPr>
                        </w:pPr>
                        <w:r>
                          <w:rPr>
                            <w:szCs w:val="24"/>
                          </w:rPr>
                          <w:t>2024 metų apyrašo Nr. 4 tęsinį įrašyti 7 apskaitos vienetai. Iš viso apyraše yra 312</w:t>
                        </w:r>
                        <w:r>
                          <w:rPr>
                            <w:color w:val="000000"/>
                            <w:szCs w:val="24"/>
                          </w:rPr>
                          <w:t xml:space="preserve"> </w:t>
                        </w:r>
                        <w:r>
                          <w:rPr>
                            <w:szCs w:val="24"/>
                          </w:rPr>
                          <w:t xml:space="preserve">apskaitos vienetų, kurių chronologinės ribos </w:t>
                        </w:r>
                        <w:r>
                          <w:rPr>
                            <w:color w:val="000000"/>
                            <w:szCs w:val="24"/>
                          </w:rPr>
                          <w:t>1990–2024</w:t>
                        </w:r>
                        <w:r>
                          <w:rPr>
                            <w:color w:val="FF0000"/>
                            <w:szCs w:val="24"/>
                          </w:rPr>
                          <w:t xml:space="preserve"> </w:t>
                        </w:r>
                        <w:r>
                          <w:rPr>
                            <w:szCs w:val="24"/>
                          </w:rPr>
                          <w:t>metai. Nr. 5 yra nurodyti metai, kurių civilinės būklės aktų įrašams rodyklė buvo sudaryta. Iš viso į apyrašą yra įrašyti 35 apskaitos vienetai. Į Nr. 6 tęsinį įrašyti 5 apskaitos vienetai: gimimo įrašų registras, santuokos sudarymo įrašų registras, santuokos nutraukimo įrašų registras, mirties įrašų registras, civilinės būklės aktų įrašų papildymo, pakeitimo, ištaisymo įrašų registras. Iš viso apyraše yra įrašyta 209 apskaitos vienetai, kurių chronologinės ribos 1992–2024 metai.(Civilinės metrikacijos, informacinių technologijų ir komunikacijos skyrius)</w:t>
                        </w:r>
                      </w:p>
                    </w:tc>
                  </w:tr>
                  <w:tr>
                    <w:trPr>
                      <w:trHeight w:val="571"/>
                    </w:trPr>
                    <w:tc>
                      <w:tcPr>
                        <w:tcW w:w="4820" w:type="dxa"/>
                      </w:tcPr>
                      <w:p>
                        <w:pPr>
                          <w:rPr>
                            <w:bCs/>
                            <w:szCs w:val="24"/>
                          </w:rPr>
                        </w:pPr>
                        <w:r>
                          <w:rPr>
                            <w:bCs/>
                            <w:szCs w:val="24"/>
                          </w:rPr>
                          <w:t>7.1.1.1. Gaunančių būsto nuomos dalies kompensaciją skaičius</w:t>
                        </w:r>
                      </w:p>
                      <w:p>
                        <w:pPr>
                          <w:rPr>
                            <w:szCs w:val="24"/>
                          </w:rPr>
                        </w:pPr>
                        <w:r>
                          <w:rPr>
                            <w:bCs/>
                            <w:szCs w:val="24"/>
                          </w:rPr>
                          <w:t>(SVP R-01-01-01-30)</w:t>
                        </w:r>
                      </w:p>
                    </w:tc>
                    <w:tc>
                      <w:tcPr>
                        <w:tcW w:w="851" w:type="dxa"/>
                      </w:tcPr>
                      <w:p>
                        <w:pPr>
                          <w:rPr>
                            <w:color w:val="000000"/>
                            <w:szCs w:val="24"/>
                          </w:rPr>
                        </w:pPr>
                        <w:r>
                          <w:rPr>
                            <w:color w:val="000000"/>
                            <w:szCs w:val="24"/>
                          </w:rPr>
                          <w:t xml:space="preserve">10 vnt. </w:t>
                        </w:r>
                      </w:p>
                      <w:p>
                        <w:pPr>
                          <w:rPr>
                            <w:szCs w:val="24"/>
                          </w:rPr>
                        </w:pPr>
                      </w:p>
                    </w:tc>
                    <w:tc>
                      <w:tcPr>
                        <w:tcW w:w="850" w:type="dxa"/>
                      </w:tcPr>
                      <w:p>
                        <w:pPr>
                          <w:rPr>
                            <w:color w:val="000000"/>
                            <w:szCs w:val="24"/>
                          </w:rPr>
                        </w:pPr>
                        <w:r>
                          <w:rPr>
                            <w:iCs/>
                            <w:color w:val="000000"/>
                            <w:szCs w:val="24"/>
                          </w:rPr>
                          <w:t xml:space="preserve">8 </w:t>
                        </w:r>
                        <w:r>
                          <w:rPr>
                            <w:color w:val="000000"/>
                            <w:szCs w:val="24"/>
                          </w:rPr>
                          <w:t xml:space="preserve">vnt. </w:t>
                        </w:r>
                      </w:p>
                      <w:p>
                        <w:pPr>
                          <w:rPr>
                            <w:szCs w:val="24"/>
                          </w:rPr>
                        </w:pPr>
                      </w:p>
                    </w:tc>
                    <w:tc>
                      <w:tcPr>
                        <w:tcW w:w="851" w:type="dxa"/>
                      </w:tcPr>
                      <w:p>
                        <w:pPr>
                          <w:rPr>
                            <w:color w:val="000000"/>
                            <w:szCs w:val="24"/>
                          </w:rPr>
                        </w:pPr>
                        <w:r>
                          <w:rPr>
                            <w:iCs/>
                            <w:color w:val="000000"/>
                            <w:szCs w:val="24"/>
                          </w:rPr>
                          <w:t>11</w:t>
                        </w:r>
                        <w:r>
                          <w:rPr>
                            <w:color w:val="000000"/>
                            <w:szCs w:val="24"/>
                          </w:rPr>
                          <w:t xml:space="preserve"> vnt. </w:t>
                        </w:r>
                      </w:p>
                      <w:p>
                        <w:pPr>
                          <w:rPr>
                            <w:szCs w:val="24"/>
                          </w:rPr>
                        </w:pPr>
                      </w:p>
                    </w:tc>
                    <w:tc>
                      <w:tcPr>
                        <w:tcW w:w="850" w:type="dxa"/>
                      </w:tcPr>
                      <w:p>
                        <w:pPr>
                          <w:rPr>
                            <w:color w:val="000000"/>
                            <w:szCs w:val="24"/>
                          </w:rPr>
                        </w:pPr>
                        <w:r>
                          <w:rPr>
                            <w:iCs/>
                            <w:color w:val="000000"/>
                            <w:szCs w:val="24"/>
                          </w:rPr>
                          <w:t xml:space="preserve">9 </w:t>
                        </w:r>
                        <w:r>
                          <w:rPr>
                            <w:color w:val="000000"/>
                            <w:szCs w:val="24"/>
                          </w:rPr>
                          <w:t xml:space="preserve">vnt. </w:t>
                        </w:r>
                      </w:p>
                      <w:p>
                        <w:pPr>
                          <w:rPr>
                            <w:szCs w:val="24"/>
                          </w:rPr>
                        </w:pPr>
                      </w:p>
                    </w:tc>
                    <w:tc>
                      <w:tcPr>
                        <w:tcW w:w="851" w:type="dxa"/>
                      </w:tcPr>
                      <w:p>
                        <w:pPr>
                          <w:rPr>
                            <w:color w:val="000000"/>
                            <w:szCs w:val="24"/>
                          </w:rPr>
                        </w:pPr>
                        <w:r>
                          <w:rPr>
                            <w:color w:val="000000"/>
                            <w:szCs w:val="24"/>
                          </w:rPr>
                          <w:t>40 VB</w:t>
                        </w:r>
                      </w:p>
                      <w:p>
                        <w:pPr>
                          <w:rPr>
                            <w:szCs w:val="24"/>
                          </w:rPr>
                        </w:pPr>
                      </w:p>
                    </w:tc>
                    <w:tc>
                      <w:tcPr>
                        <w:tcW w:w="850" w:type="dxa"/>
                      </w:tcPr>
                      <w:p>
                        <w:pPr>
                          <w:rPr>
                            <w:szCs w:val="24"/>
                          </w:rPr>
                        </w:pPr>
                        <w:r>
                          <w:rPr>
                            <w:iCs/>
                            <w:szCs w:val="24"/>
                          </w:rPr>
                          <w:t xml:space="preserve">6,6 VB </w:t>
                        </w:r>
                      </w:p>
                    </w:tc>
                    <w:tc>
                      <w:tcPr>
                        <w:tcW w:w="5245" w:type="dxa"/>
                      </w:tcPr>
                      <w:p>
                        <w:pPr>
                          <w:rPr>
                            <w:szCs w:val="24"/>
                          </w:rPr>
                        </w:pPr>
                        <w:r>
                          <w:rPr>
                            <w:szCs w:val="24"/>
                          </w:rPr>
                          <w:t>Vykdyta tęstinė būsto nuomos ar išperkamosios nuomos mokesčių dalies kompensavimo veikla</w:t>
                        </w:r>
                      </w:p>
                      <w:p>
                        <w:pPr>
                          <w:tabs>
                            <w:tab w:val="left" w:pos="720"/>
                          </w:tabs>
                          <w:ind w:right="191"/>
                          <w:rPr>
                            <w:szCs w:val="24"/>
                          </w:rPr>
                        </w:pPr>
                        <w:r>
                          <w:rPr>
                            <w:szCs w:val="24"/>
                          </w:rPr>
                          <w:t>(Investicijų ir turto valdymo skyrius)</w:t>
                        </w:r>
                      </w:p>
                    </w:tc>
                  </w:tr>
                  <w:tr>
                    <w:trPr>
                      <w:trHeight w:val="571"/>
                    </w:trPr>
                    <w:tc>
                      <w:tcPr>
                        <w:tcW w:w="4820" w:type="dxa"/>
                      </w:tcPr>
                      <w:p>
                        <w:pPr>
                          <w:rPr>
                            <w:bCs/>
                            <w:szCs w:val="24"/>
                          </w:rPr>
                        </w:pPr>
                        <w:r>
                          <w:rPr>
                            <w:bCs/>
                            <w:color w:val="000000"/>
                            <w:szCs w:val="24"/>
                          </w:rPr>
                          <w:t>8.1.1.1. Parengtas Teisės aktų projektų antikorupcinio vertinimo tvarkos aprašą</w:t>
                        </w:r>
                      </w:p>
                    </w:tc>
                    <w:tc>
                      <w:tcPr>
                        <w:tcW w:w="851" w:type="dxa"/>
                      </w:tcPr>
                      <w:p>
                        <w:pPr>
                          <w:rPr>
                            <w:color w:val="000000"/>
                            <w:szCs w:val="24"/>
                          </w:rPr>
                        </w:pPr>
                        <w:r>
                          <w:rPr>
                            <w:color w:val="000000"/>
                            <w:szCs w:val="24"/>
                          </w:rPr>
                          <w:t>1 vnt.</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color w:val="000000"/>
                            <w:szCs w:val="24"/>
                          </w:rPr>
                          <w:t>1 vnt.</w:t>
                        </w:r>
                      </w:p>
                    </w:tc>
                    <w:tc>
                      <w:tcPr>
                        <w:tcW w:w="851" w:type="dxa"/>
                      </w:tcPr>
                      <w:p>
                        <w:pPr>
                          <w:rPr>
                            <w:color w:val="000000"/>
                            <w:szCs w:val="24"/>
                          </w:rPr>
                        </w:pPr>
                        <w:r>
                          <w:rPr>
                            <w:color w:val="000000"/>
                            <w:szCs w:val="24"/>
                          </w:rPr>
                          <w:t>-</w:t>
                        </w:r>
                      </w:p>
                    </w:tc>
                    <w:tc>
                      <w:tcPr>
                        <w:tcW w:w="850" w:type="dxa"/>
                      </w:tcPr>
                      <w:p>
                        <w:pPr>
                          <w:rPr>
                            <w:iCs/>
                            <w:szCs w:val="24"/>
                          </w:rPr>
                        </w:pPr>
                        <w:r>
                          <w:rPr>
                            <w:color w:val="000000"/>
                            <w:szCs w:val="24"/>
                          </w:rPr>
                          <w:t>-</w:t>
                        </w:r>
                      </w:p>
                    </w:tc>
                    <w:tc>
                      <w:tcPr>
                        <w:tcW w:w="5245" w:type="dxa"/>
                      </w:tcPr>
                      <w:p>
                        <w:pPr>
                          <w:rPr>
                            <w:color w:val="000000"/>
                            <w:szCs w:val="24"/>
                          </w:rPr>
                        </w:pPr>
                        <w:r>
                          <w:rPr>
                            <w:szCs w:val="24"/>
                          </w:rPr>
                          <w:t xml:space="preserve">Aprašas patvirtintas Radviliškio rajono savivaldybės administracijos direktoriaus 2025 m. gegužės 28 d. įsakymu Nr. A-269 (8.2 E) „Dėl norminių teisės aktų projektų antikorupcinio vertinimo Radviliškio rajono savivaldybės administracijoje tvarkos“. </w:t>
                        </w:r>
                        <w:r>
                          <w:rPr>
                            <w:color w:val="000000"/>
                            <w:szCs w:val="24"/>
                          </w:rPr>
                          <w:t>(Juridinis skyrius)</w:t>
                        </w:r>
                      </w:p>
                    </w:tc>
                  </w:tr>
                  <w:tr>
                    <w:trPr>
                      <w:trHeight w:val="571"/>
                    </w:trPr>
                    <w:tc>
                      <w:tcPr>
                        <w:tcW w:w="4820" w:type="dxa"/>
                      </w:tcPr>
                      <w:p>
                        <w:pPr>
                          <w:rPr>
                            <w:bCs/>
                            <w:szCs w:val="24"/>
                          </w:rPr>
                        </w:pPr>
                        <w:r>
                          <w:rPr>
                            <w:bCs/>
                            <w:color w:val="000000"/>
                            <w:szCs w:val="24"/>
                          </w:rPr>
                          <w:t>8.1.1.2. Darbuotojų švietimas korupcijos prevencijos temomis, formaliomis priemonėmis ir neformaliomis priemonėmis</w:t>
                        </w:r>
                      </w:p>
                    </w:tc>
                    <w:tc>
                      <w:tcPr>
                        <w:tcW w:w="851" w:type="dxa"/>
                      </w:tcPr>
                      <w:p>
                        <w:pPr>
                          <w:rPr>
                            <w:color w:val="000000"/>
                            <w:szCs w:val="24"/>
                          </w:rPr>
                        </w:pPr>
                        <w:r>
                          <w:rPr>
                            <w:color w:val="000000"/>
                            <w:szCs w:val="24"/>
                          </w:rPr>
                          <w:t>15 %</w:t>
                        </w:r>
                      </w:p>
                    </w:tc>
                    <w:tc>
                      <w:tcPr>
                        <w:tcW w:w="850" w:type="dxa"/>
                      </w:tcPr>
                      <w:p>
                        <w:pPr>
                          <w:rPr>
                            <w:iCs/>
                            <w:szCs w:val="24"/>
                          </w:rPr>
                        </w:pPr>
                        <w:r>
                          <w:rPr>
                            <w:szCs w:val="24"/>
                          </w:rPr>
                          <w:t>-</w:t>
                        </w:r>
                      </w:p>
                    </w:tc>
                    <w:tc>
                      <w:tcPr>
                        <w:tcW w:w="851" w:type="dxa"/>
                      </w:tcPr>
                      <w:p>
                        <w:pPr>
                          <w:rPr>
                            <w:iCs/>
                            <w:szCs w:val="24"/>
                          </w:rPr>
                        </w:pPr>
                        <w:r>
                          <w:rPr>
                            <w:color w:val="000000"/>
                            <w:szCs w:val="24"/>
                          </w:rPr>
                          <w:t xml:space="preserve">17 </w:t>
                        </w:r>
                        <w:r>
                          <w:rPr>
                            <w:szCs w:val="24"/>
                          </w:rPr>
                          <w:t>%</w:t>
                        </w:r>
                        <w:r>
                          <w:rPr>
                            <w:color w:val="000000"/>
                            <w:szCs w:val="24"/>
                          </w:rPr>
                          <w:t xml:space="preserve"> </w:t>
                        </w:r>
                      </w:p>
                    </w:tc>
                    <w:tc>
                      <w:tcPr>
                        <w:tcW w:w="850" w:type="dxa"/>
                      </w:tcPr>
                      <w:p>
                        <w:pPr>
                          <w:rPr>
                            <w:iCs/>
                            <w:szCs w:val="24"/>
                          </w:rPr>
                        </w:pPr>
                        <w:r>
                          <w:rPr>
                            <w:color w:val="000000"/>
                            <w:szCs w:val="24"/>
                          </w:rPr>
                          <w:t xml:space="preserve">15 </w:t>
                        </w:r>
                        <w:r>
                          <w:rPr>
                            <w:szCs w:val="24"/>
                          </w:rPr>
                          <w:t>%</w:t>
                        </w:r>
                      </w:p>
                    </w:tc>
                    <w:tc>
                      <w:tcPr>
                        <w:tcW w:w="851" w:type="dxa"/>
                      </w:tcPr>
                      <w:p>
                        <w:pPr>
                          <w:rPr>
                            <w:color w:val="000000"/>
                            <w:szCs w:val="24"/>
                          </w:rPr>
                        </w:pPr>
                        <w:r>
                          <w:rPr>
                            <w:color w:val="000000"/>
                            <w:szCs w:val="24"/>
                          </w:rPr>
                          <w:t>-</w:t>
                        </w:r>
                      </w:p>
                    </w:tc>
                    <w:tc>
                      <w:tcPr>
                        <w:tcW w:w="850" w:type="dxa"/>
                      </w:tcPr>
                      <w:p>
                        <w:pPr>
                          <w:rPr>
                            <w:iCs/>
                            <w:szCs w:val="24"/>
                          </w:rPr>
                        </w:pPr>
                        <w:r>
                          <w:rPr>
                            <w:color w:val="000000"/>
                            <w:szCs w:val="24"/>
                          </w:rPr>
                          <w:t>-</w:t>
                        </w:r>
                      </w:p>
                    </w:tc>
                    <w:tc>
                      <w:tcPr>
                        <w:tcW w:w="5245" w:type="dxa"/>
                      </w:tcPr>
                      <w:p>
                        <w:pPr>
                          <w:rPr>
                            <w:szCs w:val="24"/>
                          </w:rPr>
                        </w:pPr>
                        <w:r>
                          <w:rPr>
                            <w:color w:val="000000"/>
                            <w:szCs w:val="24"/>
                          </w:rPr>
                          <w:t>Korupcijos prevencijos mokymuose dalyvavo 39 administracijos darbuotojai (kartu su seniūnijų darbuotojais). (Juridinis skyrius)</w:t>
                        </w:r>
                      </w:p>
                    </w:tc>
                  </w:tr>
                  <w:tr>
                    <w:trPr>
                      <w:trHeight w:val="571"/>
                    </w:trPr>
                    <w:tc>
                      <w:tcPr>
                        <w:tcW w:w="4820" w:type="dxa"/>
                      </w:tcPr>
                      <w:p>
                        <w:pPr>
                          <w:rPr>
                            <w:bCs/>
                            <w:color w:val="000000"/>
                            <w:szCs w:val="24"/>
                          </w:rPr>
                        </w:pPr>
                        <w:r>
                          <w:rPr>
                            <w:bCs/>
                            <w:color w:val="000000"/>
                            <w:szCs w:val="24"/>
                          </w:rPr>
                          <w:t>8.1.1.3. Pagal poreikį atlikti rengiamų teisės aktų antikorupcinį vertinimą.</w:t>
                        </w:r>
                      </w:p>
                      <w:p>
                        <w:pPr>
                          <w:rPr>
                            <w:bCs/>
                            <w:szCs w:val="24"/>
                          </w:rPr>
                        </w:pPr>
                        <w:r>
                          <w:rPr>
                            <w:bCs/>
                            <w:color w:val="000000"/>
                            <w:szCs w:val="24"/>
                          </w:rPr>
                          <w:t xml:space="preserve">(SVP 1 programa, </w:t>
                        </w:r>
                        <w:r>
                          <w:rPr>
                            <w:szCs w:val="24"/>
                          </w:rPr>
                          <w:t>2024–2026 m. korupcijos prevencijos priemonių planas, patvirtintas 2024-10- 23 Direkt. įsak. Nr. A-546)</w:t>
                        </w:r>
                      </w:p>
                    </w:tc>
                    <w:tc>
                      <w:tcPr>
                        <w:tcW w:w="851" w:type="dxa"/>
                      </w:tcPr>
                      <w:p>
                        <w:pPr>
                          <w:rPr>
                            <w:color w:val="000000"/>
                            <w:szCs w:val="24"/>
                          </w:rPr>
                        </w:pPr>
                        <w:r>
                          <w:rPr>
                            <w:color w:val="000000"/>
                            <w:szCs w:val="24"/>
                          </w:rPr>
                          <w:t>100 %</w:t>
                        </w:r>
                      </w:p>
                    </w:tc>
                    <w:tc>
                      <w:tcPr>
                        <w:tcW w:w="850" w:type="dxa"/>
                      </w:tcPr>
                      <w:p>
                        <w:pPr>
                          <w:rPr>
                            <w:iCs/>
                            <w:szCs w:val="24"/>
                          </w:rPr>
                        </w:pPr>
                      </w:p>
                    </w:tc>
                    <w:tc>
                      <w:tcPr>
                        <w:tcW w:w="851" w:type="dxa"/>
                      </w:tcPr>
                      <w:p>
                        <w:pPr>
                          <w:rPr>
                            <w:iCs/>
                            <w:szCs w:val="24"/>
                          </w:rPr>
                        </w:pPr>
                        <w:r>
                          <w:rPr>
                            <w:color w:val="000000"/>
                            <w:szCs w:val="24"/>
                          </w:rPr>
                          <w:t xml:space="preserve">100 </w:t>
                        </w:r>
                        <w:r>
                          <w:rPr>
                            <w:szCs w:val="24"/>
                          </w:rPr>
                          <w:t>%</w:t>
                        </w:r>
                      </w:p>
                    </w:tc>
                    <w:tc>
                      <w:tcPr>
                        <w:tcW w:w="850" w:type="dxa"/>
                      </w:tcPr>
                      <w:p>
                        <w:pPr>
                          <w:rPr>
                            <w:iCs/>
                            <w:szCs w:val="24"/>
                          </w:rPr>
                        </w:pPr>
                        <w:r>
                          <w:rPr>
                            <w:color w:val="000000"/>
                            <w:szCs w:val="24"/>
                          </w:rPr>
                          <w:t xml:space="preserve">100 </w:t>
                        </w:r>
                        <w:r>
                          <w:rPr>
                            <w:szCs w:val="24"/>
                          </w:rPr>
                          <w:t>%</w:t>
                        </w:r>
                      </w:p>
                    </w:tc>
                    <w:tc>
                      <w:tcPr>
                        <w:tcW w:w="851" w:type="dxa"/>
                      </w:tcPr>
                      <w:p>
                        <w:pPr>
                          <w:rPr>
                            <w:color w:val="000000"/>
                            <w:szCs w:val="24"/>
                          </w:rPr>
                        </w:pPr>
                        <w:r>
                          <w:rPr>
                            <w:color w:val="000000"/>
                            <w:szCs w:val="24"/>
                          </w:rPr>
                          <w:t>-</w:t>
                        </w:r>
                      </w:p>
                    </w:tc>
                    <w:tc>
                      <w:tcPr>
                        <w:tcW w:w="850" w:type="dxa"/>
                      </w:tcPr>
                      <w:p>
                        <w:pPr>
                          <w:rPr>
                            <w:iCs/>
                            <w:szCs w:val="24"/>
                          </w:rPr>
                        </w:pPr>
                        <w:r>
                          <w:rPr>
                            <w:color w:val="000000"/>
                            <w:szCs w:val="24"/>
                          </w:rPr>
                          <w:t>-</w:t>
                        </w:r>
                      </w:p>
                    </w:tc>
                    <w:tc>
                      <w:tcPr>
                        <w:tcW w:w="5245" w:type="dxa"/>
                      </w:tcPr>
                      <w:p>
                        <w:pPr>
                          <w:rPr>
                            <w:szCs w:val="24"/>
                          </w:rPr>
                        </w:pPr>
                        <w:r>
                          <w:rPr>
                            <w:color w:val="000000"/>
                            <w:szCs w:val="24"/>
                          </w:rPr>
                          <w:t>(Juridinis skyrius)</w:t>
                        </w:r>
                      </w:p>
                    </w:tc>
                  </w:tr>
                  <w:tr>
                    <w:trPr>
                      <w:trHeight w:val="571"/>
                    </w:trPr>
                    <w:tc>
                      <w:tcPr>
                        <w:tcW w:w="4820" w:type="dxa"/>
                      </w:tcPr>
                      <w:p>
                        <w:pPr>
                          <w:rPr>
                            <w:bCs/>
                            <w:color w:val="000000"/>
                            <w:szCs w:val="24"/>
                          </w:rPr>
                        </w:pPr>
                        <w:r>
                          <w:rPr>
                            <w:color w:val="000000"/>
                            <w:szCs w:val="24"/>
                          </w:rPr>
                          <w:t>8.1.2.1. Kokybiškų, operatyvių pirminės teisinės pagalbos paslaugų, prieinamų visiems rajono gyventojams, teikimas</w:t>
                        </w:r>
                      </w:p>
                    </w:tc>
                    <w:tc>
                      <w:tcPr>
                        <w:tcW w:w="851" w:type="dxa"/>
                      </w:tcPr>
                      <w:p>
                        <w:pPr>
                          <w:rPr>
                            <w:color w:val="000000"/>
                            <w:szCs w:val="24"/>
                          </w:rPr>
                        </w:pPr>
                        <w:r>
                          <w:rPr>
                            <w:color w:val="000000"/>
                            <w:szCs w:val="24"/>
                          </w:rPr>
                          <w:t>100 %</w:t>
                        </w:r>
                      </w:p>
                    </w:tc>
                    <w:tc>
                      <w:tcPr>
                        <w:tcW w:w="850" w:type="dxa"/>
                      </w:tcPr>
                      <w:p>
                        <w:pPr>
                          <w:rPr>
                            <w:iCs/>
                            <w:szCs w:val="24"/>
                          </w:rPr>
                        </w:pPr>
                      </w:p>
                    </w:tc>
                    <w:tc>
                      <w:tcPr>
                        <w:tcW w:w="851" w:type="dxa"/>
                      </w:tcPr>
                      <w:p>
                        <w:pPr>
                          <w:rPr>
                            <w:color w:val="000000"/>
                            <w:szCs w:val="24"/>
                          </w:rPr>
                        </w:pPr>
                        <w:r>
                          <w:rPr>
                            <w:color w:val="000000"/>
                            <w:szCs w:val="24"/>
                          </w:rPr>
                          <w:t xml:space="preserve">100 </w:t>
                        </w:r>
                        <w:r>
                          <w:rPr>
                            <w:szCs w:val="24"/>
                          </w:rPr>
                          <w:t>%</w:t>
                        </w:r>
                      </w:p>
                    </w:tc>
                    <w:tc>
                      <w:tcPr>
                        <w:tcW w:w="850" w:type="dxa"/>
                      </w:tcPr>
                      <w:p>
                        <w:pPr>
                          <w:rPr>
                            <w:color w:val="000000"/>
                            <w:szCs w:val="24"/>
                          </w:rPr>
                        </w:pPr>
                        <w:r>
                          <w:rPr>
                            <w:color w:val="000000"/>
                            <w:szCs w:val="24"/>
                          </w:rPr>
                          <w:t xml:space="preserve">100 </w:t>
                        </w:r>
                        <w:r>
                          <w:rPr>
                            <w:szCs w:val="24"/>
                          </w:rPr>
                          <w: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w:t>
                        </w:r>
                      </w:p>
                    </w:tc>
                    <w:tc>
                      <w:tcPr>
                        <w:tcW w:w="5245" w:type="dxa"/>
                      </w:tcPr>
                      <w:p>
                        <w:pPr>
                          <w:rPr>
                            <w:color w:val="000000"/>
                            <w:szCs w:val="24"/>
                          </w:rPr>
                        </w:pPr>
                        <w:r>
                          <w:rPr>
                            <w:color w:val="000000"/>
                            <w:szCs w:val="24"/>
                          </w:rPr>
                          <w:t xml:space="preserve">Pirminė teisinė pagalba suteikta 351 asmenims (visiems besikreipusiems). (Juridinis skyrius)  </w:t>
                        </w:r>
                      </w:p>
                    </w:tc>
                  </w:tr>
                  <w:tr>
                    <w:trPr>
                      <w:trHeight w:val="571"/>
                    </w:trPr>
                    <w:tc>
                      <w:tcPr>
                        <w:tcW w:w="4820" w:type="dxa"/>
                      </w:tcPr>
                      <w:p>
                        <w:pPr>
                          <w:rPr>
                            <w:bCs/>
                            <w:color w:val="000000"/>
                            <w:szCs w:val="24"/>
                          </w:rPr>
                        </w:pPr>
                        <w:r>
                          <w:rPr>
                            <w:color w:val="000000"/>
                            <w:szCs w:val="24"/>
                          </w:rPr>
                          <w:t>8.1.2.2. Įstaigos atitikties BDAR reikalavimams vertinimo atlikimas</w:t>
                        </w:r>
                      </w:p>
                    </w:tc>
                    <w:tc>
                      <w:tcPr>
                        <w:tcW w:w="851" w:type="dxa"/>
                      </w:tcPr>
                      <w:p>
                        <w:pPr>
                          <w:rPr>
                            <w:color w:val="000000"/>
                            <w:szCs w:val="24"/>
                          </w:rPr>
                        </w:pPr>
                        <w:r>
                          <w:rPr>
                            <w:color w:val="000000"/>
                            <w:szCs w:val="24"/>
                          </w:rPr>
                          <w:t>1 vnt.</w:t>
                        </w:r>
                      </w:p>
                    </w:tc>
                    <w:tc>
                      <w:tcPr>
                        <w:tcW w:w="850" w:type="dxa"/>
                      </w:tcPr>
                      <w:p>
                        <w:pPr>
                          <w:rPr>
                            <w:iCs/>
                            <w:szCs w:val="24"/>
                          </w:rPr>
                        </w:pP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1 vnt.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w:t>
                        </w:r>
                      </w:p>
                    </w:tc>
                    <w:tc>
                      <w:tcPr>
                        <w:tcW w:w="5245" w:type="dxa"/>
                      </w:tcPr>
                      <w:p>
                        <w:pPr>
                          <w:rPr>
                            <w:color w:val="000000"/>
                            <w:szCs w:val="24"/>
                          </w:rPr>
                        </w:pPr>
                        <w:r>
                          <w:rPr>
                            <w:color w:val="000000"/>
                            <w:szCs w:val="24"/>
                          </w:rPr>
                          <w:t>(Juridinis skyrius)</w:t>
                        </w:r>
                      </w:p>
                    </w:tc>
                  </w:tr>
                  <w:tr>
                    <w:trPr>
                      <w:trHeight w:val="571"/>
                    </w:trPr>
                    <w:tc>
                      <w:tcPr>
                        <w:tcW w:w="4820" w:type="dxa"/>
                      </w:tcPr>
                      <w:p>
                        <w:pPr>
                          <w:rPr>
                            <w:bCs/>
                            <w:color w:val="000000"/>
                            <w:szCs w:val="24"/>
                          </w:rPr>
                        </w:pPr>
                        <w:r>
                          <w:rPr>
                            <w:color w:val="000000"/>
                            <w:szCs w:val="24"/>
                          </w:rPr>
                          <w:t>8.1.2.3. Parengti teisės aktus, užtikrinančius atitiktį BDAR reikalavimams</w:t>
                        </w:r>
                      </w:p>
                    </w:tc>
                    <w:tc>
                      <w:tcPr>
                        <w:tcW w:w="851" w:type="dxa"/>
                      </w:tcPr>
                      <w:p>
                        <w:pPr>
                          <w:rPr>
                            <w:color w:val="000000"/>
                            <w:szCs w:val="24"/>
                          </w:rPr>
                        </w:pPr>
                        <w:r>
                          <w:rPr>
                            <w:color w:val="000000"/>
                            <w:szCs w:val="24"/>
                          </w:rPr>
                          <w:t>50 %</w:t>
                        </w:r>
                      </w:p>
                    </w:tc>
                    <w:tc>
                      <w:tcPr>
                        <w:tcW w:w="850" w:type="dxa"/>
                      </w:tcPr>
                      <w:p>
                        <w:pPr>
                          <w:rPr>
                            <w:iCs/>
                            <w:szCs w:val="24"/>
                          </w:rPr>
                        </w:pPr>
                      </w:p>
                    </w:tc>
                    <w:tc>
                      <w:tcPr>
                        <w:tcW w:w="851" w:type="dxa"/>
                      </w:tcPr>
                      <w:p>
                        <w:pPr>
                          <w:rPr>
                            <w:color w:val="000000"/>
                            <w:szCs w:val="24"/>
                          </w:rPr>
                        </w:pPr>
                        <w:r>
                          <w:rPr>
                            <w:color w:val="000000"/>
                            <w:szCs w:val="24"/>
                          </w:rPr>
                          <w:t xml:space="preserve">100 </w:t>
                        </w:r>
                        <w:r>
                          <w:rPr>
                            <w:szCs w:val="24"/>
                          </w:rPr>
                          <w:t>%</w:t>
                        </w:r>
                      </w:p>
                    </w:tc>
                    <w:tc>
                      <w:tcPr>
                        <w:tcW w:w="850" w:type="dxa"/>
                      </w:tcPr>
                      <w:p>
                        <w:pPr>
                          <w:rPr>
                            <w:color w:val="000000"/>
                            <w:szCs w:val="24"/>
                          </w:rPr>
                        </w:pPr>
                        <w:r>
                          <w:rPr>
                            <w:color w:val="000000"/>
                            <w:szCs w:val="24"/>
                          </w:rPr>
                          <w:t xml:space="preserve">100 </w:t>
                        </w:r>
                        <w:r>
                          <w:rPr>
                            <w:szCs w:val="24"/>
                          </w:rPr>
                          <w: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w:t>
                        </w:r>
                      </w:p>
                    </w:tc>
                    <w:tc>
                      <w:tcPr>
                        <w:tcW w:w="5245" w:type="dxa"/>
                      </w:tcPr>
                      <w:p>
                        <w:pPr>
                          <w:rPr>
                            <w:color w:val="000000"/>
                            <w:szCs w:val="24"/>
                          </w:rPr>
                        </w:pPr>
                        <w:r>
                          <w:rPr>
                            <w:color w:val="000000"/>
                            <w:szCs w:val="24"/>
                          </w:rPr>
                          <w:t>(Juridinis skyrius)</w:t>
                        </w:r>
                      </w:p>
                    </w:tc>
                  </w:tr>
                  <w:tr>
                    <w:trPr>
                      <w:trHeight w:val="274"/>
                    </w:trPr>
                    <w:tc>
                      <w:tcPr>
                        <w:tcW w:w="4820" w:type="dxa"/>
                      </w:tcPr>
                      <w:p>
                        <w:pPr>
                          <w:rPr>
                            <w:szCs w:val="24"/>
                          </w:rPr>
                        </w:pPr>
                        <w:r>
                          <w:rPr>
                            <w:szCs w:val="24"/>
                          </w:rPr>
                          <w:t>10.3.1.1.1. Butų ir kitų patalpų savininkų bendrijų valdymo organų, jungtinės veiklos sutartimi įgaliotų asmenų ir mero paskirtų bendrojo naudojimo objektų administratorių priežiūra ir kontrolė pagal Vyriausybės įgaliotos institucijos patvirtintas pavyzdines taisykles. Planinių patikrinimų skaičius (SVP 01-01-01)</w:t>
                        </w:r>
                      </w:p>
                    </w:tc>
                    <w:tc>
                      <w:tcPr>
                        <w:tcW w:w="851" w:type="dxa"/>
                      </w:tcPr>
                      <w:p>
                        <w:pPr>
                          <w:rPr>
                            <w:color w:val="000000"/>
                            <w:szCs w:val="24"/>
                          </w:rPr>
                        </w:pPr>
                        <w:r>
                          <w:rPr>
                            <w:color w:val="000000"/>
                            <w:szCs w:val="24"/>
                          </w:rPr>
                          <w:t>12</w:t>
                        </w:r>
                      </w:p>
                    </w:tc>
                    <w:tc>
                      <w:tcPr>
                        <w:tcW w:w="850" w:type="dxa"/>
                      </w:tcPr>
                      <w:p>
                        <w:pPr>
                          <w:rPr>
                            <w:szCs w:val="24"/>
                          </w:rPr>
                        </w:pPr>
                        <w:r>
                          <w:rPr>
                            <w:szCs w:val="24"/>
                          </w:rPr>
                          <w:t>14</w:t>
                        </w:r>
                      </w:p>
                    </w:tc>
                    <w:tc>
                      <w:tcPr>
                        <w:tcW w:w="851" w:type="dxa"/>
                      </w:tcPr>
                      <w:p>
                        <w:pPr>
                          <w:rPr>
                            <w:szCs w:val="24"/>
                          </w:rPr>
                        </w:pPr>
                        <w:r>
                          <w:rPr>
                            <w:szCs w:val="24"/>
                          </w:rPr>
                          <w:t>12</w:t>
                        </w:r>
                      </w:p>
                    </w:tc>
                    <w:tc>
                      <w:tcPr>
                        <w:tcW w:w="850" w:type="dxa"/>
                      </w:tcPr>
                      <w:p>
                        <w:pPr>
                          <w:rPr>
                            <w:szCs w:val="24"/>
                          </w:rPr>
                        </w:pPr>
                        <w:r>
                          <w:rPr>
                            <w:szCs w:val="24"/>
                          </w:rPr>
                          <w:t>12</w:t>
                        </w:r>
                      </w:p>
                    </w:tc>
                    <w:tc>
                      <w:tcPr>
                        <w:tcW w:w="851" w:type="dxa"/>
                      </w:tcPr>
                      <w:p>
                        <w:pPr>
                          <w:rPr>
                            <w:color w:val="000000"/>
                            <w:szCs w:val="24"/>
                          </w:rPr>
                        </w:pPr>
                      </w:p>
                    </w:tc>
                    <w:tc>
                      <w:tcPr>
                        <w:tcW w:w="850" w:type="dxa"/>
                      </w:tcPr>
                      <w:p>
                        <w:pPr>
                          <w:rPr>
                            <w:iCs/>
                            <w:szCs w:val="24"/>
                          </w:rPr>
                        </w:pPr>
                      </w:p>
                    </w:tc>
                    <w:tc>
                      <w:tcPr>
                        <w:tcW w:w="5245" w:type="dxa"/>
                      </w:tcPr>
                      <w:p>
                        <w:pPr>
                          <w:rPr>
                            <w:iCs/>
                            <w:szCs w:val="24"/>
                          </w:rPr>
                        </w:pPr>
                        <w:r>
                          <w:rPr>
                            <w:iCs/>
                            <w:szCs w:val="24"/>
                          </w:rPr>
                          <w:t>Atlikta 12 patikrinimų vadovaujantis gautais gyventojų pranešimais</w:t>
                        </w:r>
                      </w:p>
                      <w:p>
                        <w:pPr>
                          <w:rPr>
                            <w:szCs w:val="24"/>
                          </w:rPr>
                        </w:pPr>
                        <w:r>
                          <w:rPr>
                            <w:iCs/>
                            <w:szCs w:val="24"/>
                          </w:rPr>
                          <w:t>(Statybos ir viešosios tvarkos skyrius)</w:t>
                        </w:r>
                      </w:p>
                    </w:tc>
                  </w:tr>
                  <w:tr>
                    <w:trPr>
                      <w:trHeight w:val="571"/>
                    </w:trPr>
                    <w:tc>
                      <w:tcPr>
                        <w:tcW w:w="4820" w:type="dxa"/>
                      </w:tcPr>
                      <w:p>
                        <w:pPr>
                          <w:rPr>
                            <w:szCs w:val="24"/>
                          </w:rPr>
                        </w:pPr>
                        <w:r>
                          <w:rPr>
                            <w:szCs w:val="24"/>
                          </w:rPr>
                          <w:t>10.3.1.1.2. Radviliškio rajone esančių ypatingų statinių naudojimo priežiūros patikrinimai. Planinių patikrinimų skaičius. (SVP 01-01-01)</w:t>
                        </w:r>
                      </w:p>
                    </w:tc>
                    <w:tc>
                      <w:tcPr>
                        <w:tcW w:w="851" w:type="dxa"/>
                      </w:tcPr>
                      <w:p>
                        <w:pPr>
                          <w:rPr>
                            <w:color w:val="000000"/>
                            <w:szCs w:val="24"/>
                          </w:rPr>
                        </w:pPr>
                        <w:r>
                          <w:rPr>
                            <w:color w:val="000000"/>
                            <w:szCs w:val="24"/>
                          </w:rPr>
                          <w:t>60</w:t>
                        </w:r>
                      </w:p>
                    </w:tc>
                    <w:tc>
                      <w:tcPr>
                        <w:tcW w:w="850" w:type="dxa"/>
                      </w:tcPr>
                      <w:p>
                        <w:pPr>
                          <w:rPr>
                            <w:szCs w:val="24"/>
                          </w:rPr>
                        </w:pPr>
                        <w:r>
                          <w:rPr>
                            <w:szCs w:val="24"/>
                          </w:rPr>
                          <w:t>77</w:t>
                        </w:r>
                      </w:p>
                    </w:tc>
                    <w:tc>
                      <w:tcPr>
                        <w:tcW w:w="851" w:type="dxa"/>
                      </w:tcPr>
                      <w:p>
                        <w:pPr>
                          <w:rPr>
                            <w:szCs w:val="24"/>
                          </w:rPr>
                        </w:pPr>
                        <w:r>
                          <w:rPr>
                            <w:szCs w:val="24"/>
                          </w:rPr>
                          <w:t>106</w:t>
                        </w:r>
                      </w:p>
                    </w:tc>
                    <w:tc>
                      <w:tcPr>
                        <w:tcW w:w="850" w:type="dxa"/>
                      </w:tcPr>
                      <w:p>
                        <w:pPr>
                          <w:rPr>
                            <w:szCs w:val="24"/>
                          </w:rPr>
                        </w:pPr>
                        <w:r>
                          <w:rPr>
                            <w:szCs w:val="24"/>
                          </w:rPr>
                          <w:t>146</w:t>
                        </w:r>
                      </w:p>
                    </w:tc>
                    <w:tc>
                      <w:tcPr>
                        <w:tcW w:w="851" w:type="dxa"/>
                      </w:tcPr>
                      <w:p>
                        <w:pPr>
                          <w:rPr>
                            <w:color w:val="000000"/>
                            <w:szCs w:val="24"/>
                          </w:rPr>
                        </w:pPr>
                      </w:p>
                    </w:tc>
                    <w:tc>
                      <w:tcPr>
                        <w:tcW w:w="850" w:type="dxa"/>
                      </w:tcPr>
                      <w:p>
                        <w:pPr>
                          <w:rPr>
                            <w:szCs w:val="24"/>
                          </w:rPr>
                        </w:pPr>
                      </w:p>
                    </w:tc>
                    <w:tc>
                      <w:tcPr>
                        <w:tcW w:w="5245" w:type="dxa"/>
                      </w:tcPr>
                      <w:p>
                        <w:pPr>
                          <w:rPr>
                            <w:iCs/>
                            <w:szCs w:val="24"/>
                          </w:rPr>
                        </w:pPr>
                      </w:p>
                      <w:p>
                        <w:pPr>
                          <w:rPr>
                            <w:iCs/>
                            <w:szCs w:val="24"/>
                          </w:rPr>
                        </w:pPr>
                        <w:r>
                          <w:rPr>
                            <w:iCs/>
                            <w:szCs w:val="24"/>
                          </w:rPr>
                          <w:t>(Statybos ir viešosios tvarkos skyrius)</w:t>
                        </w:r>
                      </w:p>
                    </w:tc>
                  </w:tr>
                  <w:tr>
                    <w:trPr>
                      <w:trHeight w:val="571"/>
                    </w:trPr>
                    <w:tc>
                      <w:tcPr>
                        <w:tcW w:w="4820" w:type="dxa"/>
                      </w:tcPr>
                      <w:p>
                        <w:pPr>
                          <w:rPr>
                            <w:szCs w:val="24"/>
                          </w:rPr>
                        </w:pPr>
                        <w:r>
                          <w:rPr>
                            <w:szCs w:val="24"/>
                          </w:rPr>
                          <w:t>10.3.1.2. Tęstinė daugiabučių namų savininkų bendrijų rėmimo veikla. Gautų paraiškų vertinimas ir finansavimo skyrimas (skirto finansavimo ribose) (SVP 1-1-1-31)</w:t>
                        </w:r>
                      </w:p>
                    </w:tc>
                    <w:tc>
                      <w:tcPr>
                        <w:tcW w:w="851" w:type="dxa"/>
                      </w:tcPr>
                      <w:p>
                        <w:pPr>
                          <w:rPr>
                            <w:color w:val="000000"/>
                            <w:szCs w:val="24"/>
                          </w:rPr>
                        </w:pPr>
                        <w:r>
                          <w:rPr>
                            <w:color w:val="000000"/>
                            <w:szCs w:val="24"/>
                          </w:rPr>
                          <w:t>100</w:t>
                        </w:r>
                        <w:r>
                          <w:rPr>
                            <w:color w:val="000000"/>
                            <w:szCs w:val="24"/>
                            <w:lang w:val="en-US"/>
                          </w:rPr>
                          <w:t>%</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color w:val="000000"/>
                            <w:szCs w:val="24"/>
                          </w:rPr>
                        </w:pPr>
                        <w:r>
                          <w:rPr>
                            <w:color w:val="000000"/>
                            <w:szCs w:val="24"/>
                          </w:rPr>
                          <w:t>7 SB</w:t>
                        </w:r>
                      </w:p>
                    </w:tc>
                    <w:tc>
                      <w:tcPr>
                        <w:tcW w:w="850" w:type="dxa"/>
                      </w:tcPr>
                      <w:p>
                        <w:pPr>
                          <w:rPr>
                            <w:szCs w:val="24"/>
                          </w:rPr>
                        </w:pPr>
                        <w:r>
                          <w:rPr>
                            <w:szCs w:val="24"/>
                          </w:rPr>
                          <w:t>7 SB</w:t>
                        </w:r>
                      </w:p>
                    </w:tc>
                    <w:tc>
                      <w:tcPr>
                        <w:tcW w:w="5245" w:type="dxa"/>
                      </w:tcPr>
                      <w:p>
                        <w:pPr>
                          <w:rPr>
                            <w:iCs/>
                            <w:szCs w:val="24"/>
                          </w:rPr>
                        </w:pPr>
                        <w:r>
                          <w:rPr>
                            <w:iCs/>
                            <w:szCs w:val="24"/>
                          </w:rPr>
                          <w:t>Pateiktos 5 paraiškos, kurias įvertinus buvo skirtas finansavimas.</w:t>
                        </w:r>
                      </w:p>
                      <w:p>
                        <w:pPr>
                          <w:rPr>
                            <w:iCs/>
                            <w:szCs w:val="24"/>
                          </w:rPr>
                        </w:pPr>
                      </w:p>
                      <w:p>
                        <w:pPr>
                          <w:rPr>
                            <w:iCs/>
                            <w:szCs w:val="24"/>
                          </w:rPr>
                        </w:pPr>
                        <w:r>
                          <w:rPr>
                            <w:iCs/>
                            <w:szCs w:val="24"/>
                          </w:rPr>
                          <w:t>(Statybos ir viešosios tvarkos skyrius)</w:t>
                        </w:r>
                      </w:p>
                    </w:tc>
                  </w:tr>
                  <w:tr>
                    <w:trPr>
                      <w:trHeight w:val="571"/>
                    </w:trPr>
                    <w:tc>
                      <w:tcPr>
                        <w:tcW w:w="4820" w:type="dxa"/>
                      </w:tcPr>
                      <w:p>
                        <w:pPr>
                          <w:rPr>
                            <w:szCs w:val="24"/>
                            <w14:ligatures w14:val="standardContextual"/>
                          </w:rPr>
                        </w:pPr>
                        <w:r>
                          <w:rPr>
                            <w:szCs w:val="24"/>
                            <w14:ligatures w14:val="standardContextual"/>
                          </w:rPr>
                          <w:t xml:space="preserve">13.1.4.1.2. Žaliųjų pirkimų dalis organizuojant savivaldybės viešuosius pirkimus </w:t>
                        </w:r>
                        <w:r>
                          <w:rPr>
                            <w:szCs w:val="24"/>
                          </w:rPr>
                          <w:t>(SVP V-1-1-1-03a.1)</w:t>
                        </w:r>
                      </w:p>
                    </w:tc>
                    <w:tc>
                      <w:tcPr>
                        <w:tcW w:w="851" w:type="dxa"/>
                      </w:tcPr>
                      <w:p>
                        <w:pPr>
                          <w:rPr>
                            <w:color w:val="000000"/>
                            <w:szCs w:val="24"/>
                          </w:rPr>
                        </w:pPr>
                        <w:r>
                          <w:rPr>
                            <w:color w:val="000000"/>
                            <w:szCs w:val="24"/>
                          </w:rPr>
                          <w:t>80%</w:t>
                        </w:r>
                      </w:p>
                    </w:tc>
                    <w:tc>
                      <w:tcPr>
                        <w:tcW w:w="850" w:type="dxa"/>
                      </w:tcPr>
                      <w:p>
                        <w:pPr>
                          <w:rPr>
                            <w:szCs w:val="24"/>
                          </w:rPr>
                        </w:pPr>
                        <w:r>
                          <w:rPr>
                            <w:szCs w:val="24"/>
                          </w:rPr>
                          <w:t>80,6%</w:t>
                        </w:r>
                      </w:p>
                    </w:tc>
                    <w:tc>
                      <w:tcPr>
                        <w:tcW w:w="851" w:type="dxa"/>
                      </w:tcPr>
                      <w:p>
                        <w:pPr>
                          <w:rPr>
                            <w:szCs w:val="24"/>
                          </w:rPr>
                        </w:pPr>
                        <w:r>
                          <w:rPr>
                            <w:szCs w:val="24"/>
                          </w:rPr>
                          <w:t>94,4%</w:t>
                        </w:r>
                      </w:p>
                    </w:tc>
                    <w:tc>
                      <w:tcPr>
                        <w:tcW w:w="850" w:type="dxa"/>
                      </w:tcPr>
                      <w:p>
                        <w:pPr>
                          <w:rPr>
                            <w:szCs w:val="24"/>
                          </w:rPr>
                        </w:pPr>
                        <w:r>
                          <w:rPr>
                            <w:szCs w:val="24"/>
                          </w:rPr>
                          <w:t>98,8%</w:t>
                        </w:r>
                      </w:p>
                    </w:tc>
                    <w:tc>
                      <w:tcPr>
                        <w:tcW w:w="851" w:type="dxa"/>
                      </w:tcPr>
                      <w:p>
                        <w:pPr>
                          <w:rPr>
                            <w:color w:val="000000"/>
                            <w:szCs w:val="24"/>
                          </w:rPr>
                        </w:pPr>
                      </w:p>
                    </w:tc>
                    <w:tc>
                      <w:tcPr>
                        <w:tcW w:w="850" w:type="dxa"/>
                      </w:tcPr>
                      <w:p>
                        <w:pPr>
                          <w:rPr>
                            <w:szCs w:val="24"/>
                          </w:rPr>
                        </w:pPr>
                      </w:p>
                    </w:tc>
                    <w:tc>
                      <w:tcPr>
                        <w:tcW w:w="5245" w:type="dxa"/>
                      </w:tcPr>
                      <w:p>
                        <w:pPr>
                          <w:rPr>
                            <w:szCs w:val="24"/>
                          </w:rPr>
                        </w:pPr>
                        <w:r>
                          <w:rPr>
                            <w:szCs w:val="24"/>
                          </w:rPr>
                          <w:t>2025 m. atlikta 2727 vnt. viešųjų pirkimų, iš jų 2694 pirkimai yra žalieji. (Viešųjų pirkimų skyrius)</w:t>
                        </w:r>
                      </w:p>
                    </w:tc>
                  </w:tr>
                  <w:tr>
                    <w:trPr>
                      <w:trHeight w:val="571"/>
                    </w:trPr>
                    <w:tc>
                      <w:tcPr>
                        <w:tcW w:w="4820" w:type="dxa"/>
                      </w:tcPr>
                      <w:p>
                        <w:pPr>
                          <w:rPr>
                            <w:szCs w:val="24"/>
                          </w:rPr>
                        </w:pPr>
                        <w:r>
                          <w:rPr>
                            <w:szCs w:val="24"/>
                          </w:rPr>
                          <w:t>14.1.1.1.Žemės ūkio ir kaimo plėtros savivaldybėje administravimas.</w:t>
                        </w:r>
                      </w:p>
                      <w:p>
                        <w:pPr>
                          <w:rPr>
                            <w:szCs w:val="24"/>
                            <w14:ligatures w14:val="standardContextual"/>
                          </w:rPr>
                        </w:pPr>
                        <w:r>
                          <w:rPr>
                            <w:szCs w:val="24"/>
                          </w:rPr>
                          <w:t>Žemės ūkio veiklos funkcijų vykdymas procentais (SVP 1-1-1-44A)</w:t>
                        </w:r>
                      </w:p>
                    </w:tc>
                    <w:tc>
                      <w:tcPr>
                        <w:tcW w:w="851" w:type="dxa"/>
                      </w:tcPr>
                      <w:p>
                        <w:pPr>
                          <w:rPr>
                            <w:color w:val="000000"/>
                            <w:szCs w:val="24"/>
                          </w:rPr>
                        </w:pPr>
                        <w:r>
                          <w:rPr>
                            <w:szCs w:val="24"/>
                          </w:rPr>
                          <w:t xml:space="preserve">100 </w:t>
                        </w:r>
                        <w:r>
                          <w:rPr>
                            <w:color w:val="000000"/>
                            <w:szCs w:val="24"/>
                          </w:rPr>
                          <w:t>%</w:t>
                        </w:r>
                      </w:p>
                    </w:tc>
                    <w:tc>
                      <w:tcPr>
                        <w:tcW w:w="850" w:type="dxa"/>
                      </w:tcPr>
                      <w:p>
                        <w:pPr>
                          <w:rPr>
                            <w:szCs w:val="24"/>
                          </w:rPr>
                        </w:pPr>
                        <w:r>
                          <w:rPr>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tcPr>
                      <w:p>
                        <w:pPr>
                          <w:rPr>
                            <w:color w:val="000000"/>
                            <w:szCs w:val="24"/>
                          </w:rPr>
                        </w:pPr>
                        <w:r>
                          <w:rPr>
                            <w:szCs w:val="24"/>
                          </w:rPr>
                          <w:t>244.0 VB</w:t>
                        </w:r>
                      </w:p>
                    </w:tc>
                    <w:tc>
                      <w:tcPr>
                        <w:tcW w:w="850" w:type="dxa"/>
                      </w:tcPr>
                      <w:p>
                        <w:pPr>
                          <w:rPr>
                            <w:szCs w:val="24"/>
                          </w:rPr>
                        </w:pPr>
                        <w:r>
                          <w:rPr>
                            <w:szCs w:val="24"/>
                          </w:rPr>
                          <w:t>244,0 VB</w:t>
                        </w:r>
                      </w:p>
                    </w:tc>
                    <w:tc>
                      <w:tcPr>
                        <w:tcW w:w="5245" w:type="dxa"/>
                      </w:tcPr>
                      <w:p>
                        <w:pPr>
                          <w:rPr>
                            <w:szCs w:val="24"/>
                          </w:rPr>
                        </w:pPr>
                        <w:r>
                          <w:rPr>
                            <w:szCs w:val="24"/>
                          </w:rPr>
                          <w:t>Įregistruota / išregistruota 47 vnt. ūkininkų ūkių;</w:t>
                        </w:r>
                      </w:p>
                      <w:p>
                        <w:pPr>
                          <w:rPr>
                            <w:szCs w:val="24"/>
                          </w:rPr>
                        </w:pPr>
                        <w:r>
                          <w:rPr>
                            <w:szCs w:val="24"/>
                          </w:rPr>
                          <w:t xml:space="preserve">įregistruota / išregistruota/ atnaujinta žemės ūkio valdų – 61 vnt.; priimta 50 vnt. paraiškų dėl papildomų bičių maitinimo; priimta ir administruota  paraiškų pagal priemonę „Rizikos valdymas“ susijusios su  augalų ir ūkinių gyvūnų draudimo įmokų kompensavimu  - 142 vnt.; priimta ir administruota 1 paraiška pagal priemonę „Atlyginti nuostolius, kuriuos patyrė ūkinių gyvūnų savininkai, vykdydami gyvūnų užkrečiamųjų ligų židinių likvidavimo ir (ar) prevencijos priemones“; priimta ir administruota 7 prašymų pagal priemonę „Medžiojamųjų gyvūnų padarytos žalos žemės ūkio pasėliams, ūkiniams gyvūnams, miškui ir hidrotechnikos įrenginiams“ kompensacijos dydžio paskaičiavimui; priimta ir administruota 41 vnt. ūkinių gyvūnų registravimo pranešimų, pieno gamybos  metinių realizavimo paraiškų; priimta ir pateikta institucijoms 5  prašymai „Dėl pavasarinių šalnų, stipraus vėjo (uraganų), sausros padarytų nuostolių“; parengta, suderinta ir pasirašyta su tiekėjais, rangovais ir kt. įstaigomis 15 darbų atlikimo sutarčių (Žemės ūkio skyrius).</w:t>
                        </w:r>
                      </w:p>
                    </w:tc>
                  </w:tr>
                  <w:tr>
                    <w:trPr>
                      <w:trHeight w:val="571"/>
                    </w:trPr>
                    <w:tc>
                      <w:tcPr>
                        <w:tcW w:w="4820" w:type="dxa"/>
                      </w:tcPr>
                      <w:p>
                        <w:pPr>
                          <w:rPr>
                            <w:szCs w:val="24"/>
                            <w14:ligatures w14:val="standardContextual"/>
                          </w:rPr>
                        </w:pPr>
                        <w:r>
                          <w:rPr>
                            <w:szCs w:val="24"/>
                          </w:rPr>
                          <w:t>14.1.1.2. Žemės ūkio technikos įregistravimas / išregistravimas / techninių apžiūrų vykdymas</w:t>
                        </w:r>
                      </w:p>
                    </w:tc>
                    <w:tc>
                      <w:tcPr>
                        <w:tcW w:w="851" w:type="dxa"/>
                      </w:tcPr>
                      <w:p>
                        <w:pPr>
                          <w:rPr>
                            <w:color w:val="000000"/>
                            <w:szCs w:val="24"/>
                          </w:rPr>
                        </w:pPr>
                        <w:r>
                          <w:rPr>
                            <w:szCs w:val="24"/>
                          </w:rPr>
                          <w:t xml:space="preserve">100 </w:t>
                        </w:r>
                        <w:r>
                          <w:rPr>
                            <w:color w:val="000000"/>
                            <w:szCs w:val="24"/>
                          </w:rPr>
                          <w:t>%</w:t>
                        </w:r>
                      </w:p>
                    </w:tc>
                    <w:tc>
                      <w:tcPr>
                        <w:tcW w:w="850" w:type="dxa"/>
                      </w:tcPr>
                      <w:p>
                        <w:pPr>
                          <w:rPr>
                            <w:szCs w:val="24"/>
                          </w:rPr>
                        </w:pPr>
                        <w:r>
                          <w:rPr>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tcPr>
                      <w:p>
                        <w:pPr>
                          <w:rPr>
                            <w:color w:val="000000"/>
                            <w:szCs w:val="24"/>
                          </w:rPr>
                        </w:pPr>
                      </w:p>
                    </w:tc>
                    <w:tc>
                      <w:tcPr>
                        <w:tcW w:w="850" w:type="dxa"/>
                      </w:tcPr>
                      <w:p>
                        <w:pPr>
                          <w:rPr>
                            <w:szCs w:val="24"/>
                          </w:rPr>
                        </w:pPr>
                      </w:p>
                    </w:tc>
                    <w:tc>
                      <w:tcPr>
                        <w:tcW w:w="5245" w:type="dxa"/>
                      </w:tcPr>
                      <w:p>
                        <w:pPr>
                          <w:rPr>
                            <w:szCs w:val="24"/>
                          </w:rPr>
                        </w:pPr>
                        <w:r>
                          <w:rPr>
                            <w:szCs w:val="24"/>
                          </w:rPr>
                          <w:t>Atlikta 477 vnt. traktorių, savaeigių ir žemės ūkio mašinų, jų priekabų įregistravimo, išregistravimo ir duomenų keitimo procedūrų; atlikta 3228 vnt. traktorių, savaeigių ir žemės ūkio mašinų jų priekabų techninių apžiūrų (Žemės ūkio skyrius).</w:t>
                        </w:r>
                      </w:p>
                    </w:tc>
                  </w:tr>
                  <w:tr>
                    <w:trPr>
                      <w:trHeight w:val="571"/>
                    </w:trPr>
                    <w:tc>
                      <w:tcPr>
                        <w:tcW w:w="4820" w:type="dxa"/>
                      </w:tcPr>
                      <w:p>
                        <w:pPr>
                          <w:rPr>
                            <w:bCs/>
                            <w:color w:val="000000"/>
                            <w:szCs w:val="24"/>
                          </w:rPr>
                        </w:pPr>
                        <w:r>
                          <w:rPr>
                            <w:bCs/>
                            <w:color w:val="000000"/>
                            <w:szCs w:val="24"/>
                          </w:rPr>
                          <w:t>17.1.1.1. Tęstinė civilinės saugos administravimo funkcija</w:t>
                        </w:r>
                      </w:p>
                      <w:p>
                        <w:pPr>
                          <w:rPr>
                            <w:szCs w:val="24"/>
                            <w14:ligatures w14:val="standardContextual"/>
                          </w:rPr>
                        </w:pPr>
                        <w:r>
                          <w:rPr>
                            <w:bCs/>
                            <w:color w:val="000000"/>
                            <w:szCs w:val="24"/>
                          </w:rPr>
                          <w:t xml:space="preserve">(SVP </w:t>
                        </w:r>
                        <w:r>
                          <w:rPr>
                            <w:szCs w:val="24"/>
                          </w:rPr>
                          <w:t>1-1-1-28)</w:t>
                        </w:r>
                      </w:p>
                    </w:tc>
                    <w:tc>
                      <w:tcPr>
                        <w:tcW w:w="851" w:type="dxa"/>
                      </w:tcPr>
                      <w:p>
                        <w:pPr>
                          <w:rPr>
                            <w:color w:val="000000"/>
                            <w:szCs w:val="24"/>
                          </w:rPr>
                        </w:pPr>
                        <w:r>
                          <w:rPr>
                            <w:iCs/>
                            <w:color w:val="000000"/>
                            <w:szCs w:val="24"/>
                          </w:rPr>
                          <w:t>100 %</w:t>
                        </w:r>
                      </w:p>
                    </w:tc>
                    <w:tc>
                      <w:tcPr>
                        <w:tcW w:w="850" w:type="dxa"/>
                      </w:tcPr>
                      <w:p>
                        <w:pPr>
                          <w:rPr>
                            <w:szCs w:val="24"/>
                          </w:rPr>
                        </w:pPr>
                        <w:r>
                          <w:rPr>
                            <w:iCs/>
                            <w:color w:val="000000"/>
                            <w:szCs w:val="24"/>
                          </w:rPr>
                          <w:t>100%</w:t>
                        </w:r>
                      </w:p>
                    </w:tc>
                    <w:tc>
                      <w:tcPr>
                        <w:tcW w:w="851" w:type="dxa"/>
                      </w:tcPr>
                      <w:p>
                        <w:pPr>
                          <w:rPr>
                            <w:szCs w:val="24"/>
                          </w:rPr>
                        </w:pPr>
                        <w:r>
                          <w:rPr>
                            <w:iCs/>
                            <w:color w:val="000000"/>
                            <w:szCs w:val="24"/>
                          </w:rPr>
                          <w:t>100%</w:t>
                        </w:r>
                      </w:p>
                    </w:tc>
                    <w:tc>
                      <w:tcPr>
                        <w:tcW w:w="850" w:type="dxa"/>
                      </w:tcPr>
                      <w:p>
                        <w:pPr>
                          <w:rPr>
                            <w:szCs w:val="24"/>
                          </w:rPr>
                        </w:pPr>
                        <w:r>
                          <w:rPr>
                            <w:iCs/>
                            <w:color w:val="000000"/>
                            <w:szCs w:val="24"/>
                          </w:rPr>
                          <w:t>100%</w:t>
                        </w:r>
                      </w:p>
                    </w:tc>
                    <w:tc>
                      <w:tcPr>
                        <w:tcW w:w="851" w:type="dxa"/>
                      </w:tcPr>
                      <w:p>
                        <w:pPr>
                          <w:rPr>
                            <w:iCs/>
                            <w:color w:val="000000"/>
                            <w:szCs w:val="24"/>
                          </w:rPr>
                        </w:pPr>
                        <w:r>
                          <w:rPr>
                            <w:iCs/>
                            <w:color w:val="000000"/>
                            <w:szCs w:val="24"/>
                          </w:rPr>
                          <w:t>42,1 VB</w:t>
                        </w:r>
                      </w:p>
                      <w:p>
                        <w:pPr>
                          <w:rPr>
                            <w:iCs/>
                            <w:color w:val="000000"/>
                            <w:szCs w:val="24"/>
                          </w:rPr>
                        </w:pPr>
                        <w:r>
                          <w:rPr>
                            <w:iCs/>
                            <w:color w:val="000000"/>
                            <w:szCs w:val="24"/>
                          </w:rPr>
                          <w:t>1  SB</w:t>
                        </w:r>
                      </w:p>
                    </w:tc>
                    <w:tc>
                      <w:tcPr>
                        <w:tcW w:w="850" w:type="dxa"/>
                      </w:tcPr>
                      <w:p>
                        <w:pPr>
                          <w:rPr>
                            <w:iCs/>
                            <w:color w:val="000000"/>
                            <w:szCs w:val="24"/>
                          </w:rPr>
                        </w:pPr>
                        <w:r>
                          <w:rPr>
                            <w:iCs/>
                            <w:color w:val="000000"/>
                            <w:szCs w:val="24"/>
                          </w:rPr>
                          <w:t>42,1 VB</w:t>
                        </w:r>
                      </w:p>
                      <w:p>
                        <w:pPr>
                          <w:rPr>
                            <w:iCs/>
                            <w:color w:val="000000"/>
                            <w:szCs w:val="24"/>
                          </w:rPr>
                        </w:pPr>
                        <w:r>
                          <w:rPr>
                            <w:iCs/>
                            <w:color w:val="000000"/>
                            <w:szCs w:val="24"/>
                          </w:rPr>
                          <w:t>1 SB</w:t>
                        </w:r>
                      </w:p>
                      <w:p>
                        <w:pPr>
                          <w:rPr>
                            <w:szCs w:val="24"/>
                          </w:rPr>
                        </w:pPr>
                      </w:p>
                    </w:tc>
                    <w:tc>
                      <w:tcPr>
                        <w:tcW w:w="5245" w:type="dxa"/>
                      </w:tcPr>
                      <w:p>
                        <w:pPr>
                          <w:rPr>
                            <w:szCs w:val="24"/>
                          </w:rPr>
                        </w:pPr>
                        <w:r>
                          <w:rPr>
                            <w:iCs/>
                            <w:color w:val="000000"/>
                            <w:szCs w:val="24"/>
                          </w:rPr>
                          <w:t>Prekėms ir paslaugoms išleista 9 300 (VB): įsigyta lipdukų, miegmaišių. 32 800 (VB) skirta darbo užmokesčiui ir socialinio draudimo įmokoms. (Patarėja, atliekanti savivaldybės parengties pareigūno funkcijas)</w:t>
                        </w:r>
                      </w:p>
                    </w:tc>
                  </w:tr>
                  <w:tr>
                    <w:trPr>
                      <w:trHeight w:val="571"/>
                    </w:trPr>
                    <w:tc>
                      <w:tcPr>
                        <w:tcW w:w="4820" w:type="dxa"/>
                      </w:tcPr>
                      <w:p>
                        <w:pPr>
                          <w:rPr>
                            <w:bCs/>
                            <w:color w:val="000000"/>
                            <w:szCs w:val="24"/>
                          </w:rPr>
                        </w:pPr>
                        <w:r>
                          <w:rPr>
                            <w:bCs/>
                            <w:color w:val="000000"/>
                            <w:szCs w:val="24"/>
                          </w:rPr>
                          <w:t>17.1.1.2. Suorganizuotų pratybų skaičius</w:t>
                        </w:r>
                      </w:p>
                      <w:p>
                        <w:pPr>
                          <w:rPr>
                            <w:szCs w:val="24"/>
                            <w:highlight w:val="yellow"/>
                            <w14:ligatures w14:val="standardContextual"/>
                          </w:rPr>
                        </w:pPr>
                        <w:r>
                          <w:rPr>
                            <w:bCs/>
                            <w:color w:val="000000"/>
                            <w:szCs w:val="24"/>
                          </w:rPr>
                          <w:t>(R-1-1-1-28.1)</w:t>
                        </w:r>
                      </w:p>
                    </w:tc>
                    <w:tc>
                      <w:tcPr>
                        <w:tcW w:w="851" w:type="dxa"/>
                      </w:tcPr>
                      <w:p>
                        <w:pPr>
                          <w:rPr>
                            <w:color w:val="000000"/>
                            <w:szCs w:val="24"/>
                          </w:rPr>
                        </w:pPr>
                        <w:r>
                          <w:rPr>
                            <w:iCs/>
                            <w:color w:val="000000"/>
                            <w:szCs w:val="24"/>
                          </w:rPr>
                          <w:t>1 vnt.</w:t>
                        </w:r>
                      </w:p>
                    </w:tc>
                    <w:tc>
                      <w:tcPr>
                        <w:tcW w:w="850" w:type="dxa"/>
                      </w:tcPr>
                      <w:p>
                        <w:pPr>
                          <w:rPr>
                            <w:szCs w:val="24"/>
                          </w:rPr>
                        </w:pPr>
                        <w:r>
                          <w:rPr>
                            <w:iCs/>
                            <w:color w:val="000000"/>
                            <w:szCs w:val="24"/>
                          </w:rPr>
                          <w:t>1 vnt.</w:t>
                        </w:r>
                      </w:p>
                    </w:tc>
                    <w:tc>
                      <w:tcPr>
                        <w:tcW w:w="851" w:type="dxa"/>
                      </w:tcPr>
                      <w:p>
                        <w:pPr>
                          <w:rPr>
                            <w:szCs w:val="24"/>
                          </w:rPr>
                        </w:pPr>
                        <w:r>
                          <w:rPr>
                            <w:iCs/>
                            <w:color w:val="000000"/>
                            <w:szCs w:val="24"/>
                          </w:rPr>
                          <w:t>1 vnt.</w:t>
                        </w:r>
                      </w:p>
                    </w:tc>
                    <w:tc>
                      <w:tcPr>
                        <w:tcW w:w="850" w:type="dxa"/>
                      </w:tcPr>
                      <w:p>
                        <w:pPr>
                          <w:rPr>
                            <w:szCs w:val="24"/>
                          </w:rPr>
                        </w:pPr>
                        <w:r>
                          <w:rPr>
                            <w:iCs/>
                            <w:color w:val="000000"/>
                            <w:szCs w:val="24"/>
                          </w:rPr>
                          <w:t>1 vnt.</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2025 m. spalio 7 d. organizuotos civilinės saugos stalo pratybos „Gyventojų evakavimas“. Pratybose dalyvavo apie 100 darbuotojų, kolektyvinės apsaugos statinių atstovų. (Patarėja, atliekanti savivaldybės parengties pareigūno funkcijas)</w:t>
                        </w:r>
                      </w:p>
                    </w:tc>
                  </w:tr>
                  <w:tr>
                    <w:trPr>
                      <w:trHeight w:val="571"/>
                    </w:trPr>
                    <w:tc>
                      <w:tcPr>
                        <w:tcW w:w="4820" w:type="dxa"/>
                      </w:tcPr>
                      <w:p>
                        <w:pPr>
                          <w:rPr>
                            <w:bCs/>
                            <w:color w:val="000000"/>
                            <w:szCs w:val="24"/>
                          </w:rPr>
                        </w:pPr>
                        <w:r>
                          <w:rPr>
                            <w:bCs/>
                            <w:color w:val="000000"/>
                            <w:szCs w:val="24"/>
                          </w:rPr>
                          <w:t>17.1.1.3. Įrengtos akustinės gyventojų perspėjimo informavimo sistemos</w:t>
                        </w:r>
                      </w:p>
                      <w:p>
                        <w:pPr>
                          <w:rPr>
                            <w:szCs w:val="24"/>
                            <w:highlight w:val="yellow"/>
                            <w14:ligatures w14:val="standardContextual"/>
                          </w:rPr>
                        </w:pPr>
                        <w:r>
                          <w:rPr>
                            <w:bCs/>
                            <w:color w:val="000000"/>
                            <w:szCs w:val="24"/>
                          </w:rPr>
                          <w:t>(R-1-1-1-28.2)</w:t>
                        </w:r>
                      </w:p>
                    </w:tc>
                    <w:tc>
                      <w:tcPr>
                        <w:tcW w:w="851" w:type="dxa"/>
                      </w:tcPr>
                      <w:p>
                        <w:pPr>
                          <w:rPr>
                            <w:color w:val="000000"/>
                            <w:szCs w:val="24"/>
                          </w:rPr>
                        </w:pPr>
                        <w:r>
                          <w:rPr>
                            <w:iCs/>
                            <w:color w:val="000000"/>
                            <w:szCs w:val="24"/>
                          </w:rPr>
                          <w:t>1 vnt.</w:t>
                        </w:r>
                      </w:p>
                    </w:tc>
                    <w:tc>
                      <w:tcPr>
                        <w:tcW w:w="850" w:type="dxa"/>
                      </w:tcPr>
                      <w:p>
                        <w:pPr>
                          <w:rPr>
                            <w:szCs w:val="24"/>
                          </w:rPr>
                        </w:pPr>
                        <w:r>
                          <w:rPr>
                            <w:iCs/>
                            <w:color w:val="808080"/>
                            <w:szCs w:val="24"/>
                          </w:rPr>
                          <w:t>-</w:t>
                        </w:r>
                      </w:p>
                    </w:tc>
                    <w:tc>
                      <w:tcPr>
                        <w:tcW w:w="851" w:type="dxa"/>
                      </w:tcPr>
                      <w:p>
                        <w:pPr>
                          <w:rPr>
                            <w:szCs w:val="24"/>
                          </w:rPr>
                        </w:pPr>
                        <w:r>
                          <w:rPr>
                            <w:iCs/>
                            <w:color w:val="000000"/>
                            <w:szCs w:val="24"/>
                          </w:rPr>
                          <w:t>2</w:t>
                        </w:r>
                      </w:p>
                    </w:tc>
                    <w:tc>
                      <w:tcPr>
                        <w:tcW w:w="850" w:type="dxa"/>
                      </w:tcPr>
                      <w:p>
                        <w:pPr>
                          <w:rPr>
                            <w:szCs w:val="24"/>
                          </w:rPr>
                        </w:pPr>
                        <w:r>
                          <w:rPr>
                            <w:iCs/>
                            <w:color w:val="808080"/>
                            <w:szCs w:val="24"/>
                          </w:rPr>
                          <w:t>-</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Priemonė neįgyvendinta, nes nebuvo skirta valstybės lėšų. (Patarėja, atliekanti savivaldybės parengties pareigūno funkcijas)</w:t>
                        </w:r>
                      </w:p>
                    </w:tc>
                  </w:tr>
                  <w:tr>
                    <w:trPr>
                      <w:trHeight w:val="571"/>
                    </w:trPr>
                    <w:tc>
                      <w:tcPr>
                        <w:tcW w:w="4820" w:type="dxa"/>
                      </w:tcPr>
                      <w:p>
                        <w:pPr>
                          <w:rPr>
                            <w:bCs/>
                            <w:color w:val="000000"/>
                            <w:szCs w:val="24"/>
                          </w:rPr>
                        </w:pPr>
                        <w:r>
                          <w:rPr>
                            <w:bCs/>
                            <w:color w:val="000000"/>
                            <w:szCs w:val="24"/>
                          </w:rPr>
                          <w:t>17.1.1.4. Pritaikytų pastatų (priedangų) skaičius</w:t>
                        </w:r>
                      </w:p>
                      <w:p>
                        <w:pPr>
                          <w:rPr>
                            <w:szCs w:val="24"/>
                            <w:highlight w:val="yellow"/>
                            <w14:ligatures w14:val="standardContextual"/>
                          </w:rPr>
                        </w:pPr>
                        <w:r>
                          <w:rPr>
                            <w:bCs/>
                            <w:color w:val="000000"/>
                            <w:szCs w:val="24"/>
                          </w:rPr>
                          <w:t>(R-1-1-1-28.3)</w:t>
                        </w:r>
                      </w:p>
                    </w:tc>
                    <w:tc>
                      <w:tcPr>
                        <w:tcW w:w="851" w:type="dxa"/>
                      </w:tcPr>
                      <w:p>
                        <w:pPr>
                          <w:rPr>
                            <w:color w:val="000000"/>
                            <w:szCs w:val="24"/>
                          </w:rPr>
                        </w:pPr>
                        <w:r>
                          <w:rPr>
                            <w:color w:val="000000"/>
                            <w:szCs w:val="24"/>
                          </w:rPr>
                          <w:t>1 vnt.</w:t>
                        </w:r>
                      </w:p>
                    </w:tc>
                    <w:tc>
                      <w:tcPr>
                        <w:tcW w:w="850" w:type="dxa"/>
                      </w:tcPr>
                      <w:p>
                        <w:pPr>
                          <w:rPr>
                            <w:szCs w:val="24"/>
                          </w:rPr>
                        </w:pPr>
                        <w:r>
                          <w:rPr>
                            <w:color w:val="000000"/>
                            <w:szCs w:val="24"/>
                          </w:rPr>
                          <w:t>-</w:t>
                        </w:r>
                      </w:p>
                    </w:tc>
                    <w:tc>
                      <w:tcPr>
                        <w:tcW w:w="851" w:type="dxa"/>
                      </w:tcPr>
                      <w:p>
                        <w:pPr>
                          <w:rPr>
                            <w:szCs w:val="24"/>
                          </w:rPr>
                        </w:pPr>
                        <w:r>
                          <w:rPr>
                            <w:color w:val="000000"/>
                            <w:szCs w:val="24"/>
                          </w:rPr>
                          <w:t>-</w:t>
                        </w:r>
                      </w:p>
                    </w:tc>
                    <w:tc>
                      <w:tcPr>
                        <w:tcW w:w="850" w:type="dxa"/>
                      </w:tcPr>
                      <w:p>
                        <w:pPr>
                          <w:rPr>
                            <w:szCs w:val="24"/>
                          </w:rPr>
                        </w:pPr>
                        <w:r>
                          <w:rPr>
                            <w:color w:val="000000"/>
                            <w:szCs w:val="24"/>
                          </w:rPr>
                          <w:t>9</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rPr>
                            <w:bCs/>
                            <w:color w:val="000000"/>
                            <w:szCs w:val="24"/>
                          </w:rPr>
                        </w:pPr>
                        <w:r>
                          <w:rPr>
                            <w:bCs/>
                            <w:color w:val="000000"/>
                            <w:szCs w:val="24"/>
                          </w:rPr>
                          <w:t>17.1.1.5. Parengtų teminių atmintinių skaičius</w:t>
                        </w:r>
                      </w:p>
                      <w:p>
                        <w:pPr>
                          <w:rPr>
                            <w:szCs w:val="24"/>
                            <w:highlight w:val="yellow"/>
                            <w14:ligatures w14:val="standardContextual"/>
                          </w:rPr>
                        </w:pPr>
                        <w:r>
                          <w:rPr>
                            <w:bCs/>
                            <w:color w:val="000000"/>
                            <w:szCs w:val="24"/>
                          </w:rPr>
                          <w:t>(R-1-1-1-28.4)</w:t>
                        </w:r>
                      </w:p>
                    </w:tc>
                    <w:tc>
                      <w:tcPr>
                        <w:tcW w:w="851" w:type="dxa"/>
                      </w:tcPr>
                      <w:p>
                        <w:pPr>
                          <w:rPr>
                            <w:color w:val="000000"/>
                            <w:szCs w:val="24"/>
                          </w:rPr>
                        </w:pPr>
                        <w:r>
                          <w:rPr>
                            <w:iCs/>
                            <w:color w:val="000000"/>
                            <w:szCs w:val="24"/>
                          </w:rPr>
                          <w:t>1 komplektas</w:t>
                        </w:r>
                      </w:p>
                    </w:tc>
                    <w:tc>
                      <w:tcPr>
                        <w:tcW w:w="850" w:type="dxa"/>
                      </w:tcPr>
                      <w:p>
                        <w:pPr>
                          <w:rPr>
                            <w:szCs w:val="24"/>
                          </w:rPr>
                        </w:pPr>
                        <w:r>
                          <w:rPr>
                            <w:iCs/>
                            <w:color w:val="000000"/>
                            <w:szCs w:val="24"/>
                          </w:rPr>
                          <w:t>1</w:t>
                        </w:r>
                      </w:p>
                    </w:tc>
                    <w:tc>
                      <w:tcPr>
                        <w:tcW w:w="851" w:type="dxa"/>
                      </w:tcPr>
                      <w:p>
                        <w:pPr>
                          <w:rPr>
                            <w:szCs w:val="24"/>
                          </w:rPr>
                        </w:pPr>
                        <w:r>
                          <w:rPr>
                            <w:iCs/>
                            <w:color w:val="000000"/>
                            <w:szCs w:val="24"/>
                          </w:rPr>
                          <w:t>1</w:t>
                        </w:r>
                      </w:p>
                    </w:tc>
                    <w:tc>
                      <w:tcPr>
                        <w:tcW w:w="850" w:type="dxa"/>
                      </w:tcPr>
                      <w:p>
                        <w:pPr>
                          <w:rPr>
                            <w:szCs w:val="24"/>
                          </w:rPr>
                        </w:pPr>
                        <w:r>
                          <w:rPr>
                            <w:iCs/>
                            <w:color w:val="000000"/>
                            <w:szCs w:val="24"/>
                          </w:rPr>
                          <w:t>2</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rPr>
                            <w:bCs/>
                            <w:color w:val="000000"/>
                            <w:szCs w:val="24"/>
                          </w:rPr>
                        </w:pPr>
                        <w:r>
                          <w:rPr>
                            <w:bCs/>
                            <w:color w:val="000000"/>
                            <w:szCs w:val="24"/>
                          </w:rPr>
                          <w:t xml:space="preserve">17.1.1.6. Pranešimų spaudoje skaičius per metus </w:t>
                        </w:r>
                      </w:p>
                      <w:p>
                        <w:pPr>
                          <w:rPr>
                            <w:szCs w:val="24"/>
                            <w:highlight w:val="yellow"/>
                            <w14:ligatures w14:val="standardContextual"/>
                          </w:rPr>
                        </w:pPr>
                        <w:r>
                          <w:rPr>
                            <w:bCs/>
                            <w:color w:val="000000"/>
                            <w:szCs w:val="24"/>
                          </w:rPr>
                          <w:t>(R-1-1-1-28.5)</w:t>
                        </w:r>
                      </w:p>
                    </w:tc>
                    <w:tc>
                      <w:tcPr>
                        <w:tcW w:w="851" w:type="dxa"/>
                      </w:tcPr>
                      <w:p>
                        <w:pPr>
                          <w:rPr>
                            <w:color w:val="000000"/>
                            <w:szCs w:val="24"/>
                          </w:rPr>
                        </w:pPr>
                        <w:r>
                          <w:rPr>
                            <w:color w:val="000000"/>
                            <w:szCs w:val="24"/>
                          </w:rPr>
                          <w:t>2 vnt.</w:t>
                        </w:r>
                      </w:p>
                    </w:tc>
                    <w:tc>
                      <w:tcPr>
                        <w:tcW w:w="850" w:type="dxa"/>
                      </w:tcPr>
                      <w:p>
                        <w:pPr>
                          <w:rPr>
                            <w:szCs w:val="24"/>
                          </w:rPr>
                        </w:pPr>
                        <w:r>
                          <w:rPr>
                            <w:color w:val="000000"/>
                            <w:szCs w:val="24"/>
                          </w:rPr>
                          <w:t>2</w:t>
                        </w:r>
                      </w:p>
                    </w:tc>
                    <w:tc>
                      <w:tcPr>
                        <w:tcW w:w="851" w:type="dxa"/>
                      </w:tcPr>
                      <w:p>
                        <w:pPr>
                          <w:rPr>
                            <w:szCs w:val="24"/>
                          </w:rPr>
                        </w:pPr>
                        <w:r>
                          <w:rPr>
                            <w:color w:val="000000"/>
                            <w:szCs w:val="24"/>
                          </w:rPr>
                          <w:t>2</w:t>
                        </w:r>
                      </w:p>
                    </w:tc>
                    <w:tc>
                      <w:tcPr>
                        <w:tcW w:w="850" w:type="dxa"/>
                      </w:tcPr>
                      <w:p>
                        <w:pPr>
                          <w:rPr>
                            <w:szCs w:val="24"/>
                          </w:rPr>
                        </w:pPr>
                        <w:r>
                          <w:rPr>
                            <w:color w:val="000000"/>
                            <w:szCs w:val="24"/>
                          </w:rPr>
                          <w:t>2</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rPr>
                            <w:bCs/>
                            <w:color w:val="000000"/>
                            <w:szCs w:val="24"/>
                          </w:rPr>
                        </w:pPr>
                        <w:r>
                          <w:rPr>
                            <w:bCs/>
                            <w:color w:val="000000"/>
                            <w:szCs w:val="24"/>
                          </w:rPr>
                          <w:t>17.1.1.7. Pranešimų elektroninėje erdvėje skaičius per metus</w:t>
                        </w:r>
                      </w:p>
                      <w:p>
                        <w:pPr>
                          <w:rPr>
                            <w:szCs w:val="24"/>
                            <w:highlight w:val="yellow"/>
                            <w14:ligatures w14:val="standardContextual"/>
                          </w:rPr>
                        </w:pPr>
                        <w:r>
                          <w:rPr>
                            <w:bCs/>
                            <w:color w:val="000000"/>
                            <w:szCs w:val="24"/>
                          </w:rPr>
                          <w:t>(R-1-1-1-28.6)</w:t>
                        </w:r>
                      </w:p>
                    </w:tc>
                    <w:tc>
                      <w:tcPr>
                        <w:tcW w:w="851" w:type="dxa"/>
                      </w:tcPr>
                      <w:p>
                        <w:pPr>
                          <w:rPr>
                            <w:color w:val="000000"/>
                            <w:szCs w:val="24"/>
                          </w:rPr>
                        </w:pPr>
                        <w:r>
                          <w:rPr>
                            <w:color w:val="000000"/>
                            <w:szCs w:val="24"/>
                          </w:rPr>
                          <w:t>2 vnt.</w:t>
                        </w:r>
                      </w:p>
                    </w:tc>
                    <w:tc>
                      <w:tcPr>
                        <w:tcW w:w="850" w:type="dxa"/>
                      </w:tcPr>
                      <w:p>
                        <w:pPr>
                          <w:rPr>
                            <w:szCs w:val="24"/>
                          </w:rPr>
                        </w:pPr>
                        <w:r>
                          <w:rPr>
                            <w:color w:val="000000"/>
                            <w:szCs w:val="24"/>
                          </w:rPr>
                          <w:t>8</w:t>
                        </w:r>
                      </w:p>
                    </w:tc>
                    <w:tc>
                      <w:tcPr>
                        <w:tcW w:w="851" w:type="dxa"/>
                      </w:tcPr>
                      <w:p>
                        <w:pPr>
                          <w:rPr>
                            <w:szCs w:val="24"/>
                          </w:rPr>
                        </w:pPr>
                        <w:r>
                          <w:rPr>
                            <w:color w:val="000000"/>
                            <w:szCs w:val="24"/>
                          </w:rPr>
                          <w:t>10</w:t>
                        </w:r>
                      </w:p>
                    </w:tc>
                    <w:tc>
                      <w:tcPr>
                        <w:tcW w:w="850" w:type="dxa"/>
                      </w:tcPr>
                      <w:p>
                        <w:pPr>
                          <w:rPr>
                            <w:szCs w:val="24"/>
                          </w:rPr>
                        </w:pPr>
                        <w:r>
                          <w:rPr>
                            <w:color w:val="000000"/>
                            <w:szCs w:val="24"/>
                          </w:rPr>
                          <w:t>9</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rPr>
                            <w:bCs/>
                            <w:color w:val="000000"/>
                            <w:szCs w:val="24"/>
                          </w:rPr>
                        </w:pPr>
                        <w:r>
                          <w:rPr>
                            <w:bCs/>
                            <w:color w:val="000000"/>
                            <w:szCs w:val="24"/>
                          </w:rPr>
                          <w:t>17.1.1.8. Parengtų ir atnaujintų planų skaičius per metus</w:t>
                        </w:r>
                      </w:p>
                      <w:p>
                        <w:pPr>
                          <w:rPr>
                            <w:szCs w:val="24"/>
                            <w:highlight w:val="yellow"/>
                            <w14:ligatures w14:val="standardContextual"/>
                          </w:rPr>
                        </w:pPr>
                        <w:r>
                          <w:rPr>
                            <w:bCs/>
                            <w:color w:val="000000"/>
                            <w:szCs w:val="24"/>
                          </w:rPr>
                          <w:t>(R-1-1-1-28.7)</w:t>
                        </w:r>
                      </w:p>
                    </w:tc>
                    <w:tc>
                      <w:tcPr>
                        <w:tcW w:w="851" w:type="dxa"/>
                      </w:tcPr>
                      <w:p>
                        <w:pPr>
                          <w:rPr>
                            <w:color w:val="000000"/>
                            <w:szCs w:val="24"/>
                          </w:rPr>
                        </w:pPr>
                        <w:r>
                          <w:rPr>
                            <w:iCs/>
                            <w:color w:val="000000"/>
                            <w:szCs w:val="24"/>
                          </w:rPr>
                          <w:t>1 vnt.</w:t>
                        </w:r>
                      </w:p>
                    </w:tc>
                    <w:tc>
                      <w:tcPr>
                        <w:tcW w:w="850" w:type="dxa"/>
                      </w:tcPr>
                      <w:p>
                        <w:pPr>
                          <w:rPr>
                            <w:szCs w:val="24"/>
                          </w:rPr>
                        </w:pPr>
                        <w:r>
                          <w:rPr>
                            <w:iCs/>
                            <w:color w:val="000000"/>
                            <w:szCs w:val="24"/>
                          </w:rPr>
                          <w:t>1</w:t>
                        </w:r>
                      </w:p>
                    </w:tc>
                    <w:tc>
                      <w:tcPr>
                        <w:tcW w:w="851" w:type="dxa"/>
                      </w:tcPr>
                      <w:p>
                        <w:pPr>
                          <w:rPr>
                            <w:szCs w:val="24"/>
                          </w:rPr>
                        </w:pPr>
                        <w:r>
                          <w:rPr>
                            <w:iCs/>
                            <w:color w:val="000000"/>
                            <w:szCs w:val="24"/>
                          </w:rPr>
                          <w:t>1</w:t>
                        </w:r>
                      </w:p>
                    </w:tc>
                    <w:tc>
                      <w:tcPr>
                        <w:tcW w:w="850" w:type="dxa"/>
                      </w:tcPr>
                      <w:p>
                        <w:pPr>
                          <w:rPr>
                            <w:szCs w:val="24"/>
                          </w:rPr>
                        </w:pPr>
                        <w:r>
                          <w:rPr>
                            <w:iCs/>
                            <w:color w:val="000000"/>
                            <w:szCs w:val="24"/>
                          </w:rPr>
                          <w:t>1</w:t>
                        </w:r>
                      </w:p>
                    </w:tc>
                    <w:tc>
                      <w:tcPr>
                        <w:tcW w:w="851" w:type="dxa"/>
                      </w:tcPr>
                      <w:p>
                        <w:pPr>
                          <w:rPr>
                            <w:color w:val="000000"/>
                            <w:szCs w:val="24"/>
                          </w:rPr>
                        </w:pPr>
                      </w:p>
                    </w:tc>
                    <w:tc>
                      <w:tcPr>
                        <w:tcW w:w="850" w:type="dxa"/>
                      </w:tcPr>
                      <w:p>
                        <w:pPr>
                          <w:rPr>
                            <w:szCs w:val="24"/>
                          </w:rPr>
                        </w:pP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rPr>
                            <w:bCs/>
                            <w:color w:val="000000"/>
                            <w:szCs w:val="24"/>
                          </w:rPr>
                        </w:pPr>
                        <w:r>
                          <w:rPr>
                            <w:iCs/>
                            <w:color w:val="000000"/>
                            <w:szCs w:val="24"/>
                          </w:rPr>
                          <w:t xml:space="preserve">17.2.1.1. </w:t>
                        </w:r>
                        <w:r>
                          <w:rPr>
                            <w:bCs/>
                            <w:color w:val="000000"/>
                            <w:szCs w:val="24"/>
                          </w:rPr>
                          <w:t>Tęstinė mobilizacijos administravimo funkcija</w:t>
                        </w:r>
                      </w:p>
                      <w:p>
                        <w:pPr>
                          <w:rPr>
                            <w:szCs w:val="24"/>
                            <w:highlight w:val="yellow"/>
                            <w14:ligatures w14:val="standardContextual"/>
                          </w:rPr>
                        </w:pPr>
                        <w:r>
                          <w:rPr>
                            <w:bCs/>
                            <w:color w:val="000000"/>
                            <w:szCs w:val="24"/>
                          </w:rPr>
                          <w:t>(SVP 1-1-1-27)</w:t>
                        </w:r>
                      </w:p>
                    </w:tc>
                    <w:tc>
                      <w:tcPr>
                        <w:tcW w:w="851" w:type="dxa"/>
                      </w:tcPr>
                      <w:p>
                        <w:pPr>
                          <w:rPr>
                            <w:color w:val="000000"/>
                            <w:szCs w:val="24"/>
                          </w:rPr>
                        </w:pPr>
                        <w:r>
                          <w:rPr>
                            <w:iCs/>
                            <w:color w:val="000000"/>
                            <w:szCs w:val="24"/>
                          </w:rPr>
                          <w:t>100 %</w:t>
                        </w:r>
                      </w:p>
                    </w:tc>
                    <w:tc>
                      <w:tcPr>
                        <w:tcW w:w="850" w:type="dxa"/>
                      </w:tcPr>
                      <w:p>
                        <w:pPr>
                          <w:rPr>
                            <w:szCs w:val="24"/>
                          </w:rPr>
                        </w:pPr>
                        <w:r>
                          <w:rPr>
                            <w:iCs/>
                            <w:color w:val="000000"/>
                            <w:szCs w:val="24"/>
                          </w:rPr>
                          <w:t>100 %</w:t>
                        </w:r>
                      </w:p>
                    </w:tc>
                    <w:tc>
                      <w:tcPr>
                        <w:tcW w:w="851" w:type="dxa"/>
                      </w:tcPr>
                      <w:p>
                        <w:pPr>
                          <w:rPr>
                            <w:szCs w:val="24"/>
                          </w:rPr>
                        </w:pPr>
                        <w:r>
                          <w:rPr>
                            <w:iCs/>
                            <w:color w:val="000000"/>
                            <w:szCs w:val="24"/>
                          </w:rPr>
                          <w:t>100 %</w:t>
                        </w:r>
                      </w:p>
                    </w:tc>
                    <w:tc>
                      <w:tcPr>
                        <w:tcW w:w="850" w:type="dxa"/>
                      </w:tcPr>
                      <w:p>
                        <w:pPr>
                          <w:rPr>
                            <w:szCs w:val="24"/>
                          </w:rPr>
                        </w:pPr>
                        <w:r>
                          <w:rPr>
                            <w:iCs/>
                            <w:color w:val="000000"/>
                            <w:szCs w:val="24"/>
                          </w:rPr>
                          <w:t>100 %</w:t>
                        </w:r>
                      </w:p>
                    </w:tc>
                    <w:tc>
                      <w:tcPr>
                        <w:tcW w:w="851" w:type="dxa"/>
                      </w:tcPr>
                      <w:p>
                        <w:pPr>
                          <w:rPr>
                            <w:iCs/>
                            <w:color w:val="000000"/>
                            <w:szCs w:val="24"/>
                          </w:rPr>
                        </w:pPr>
                        <w:r>
                          <w:rPr>
                            <w:iCs/>
                            <w:color w:val="000000"/>
                            <w:szCs w:val="24"/>
                          </w:rPr>
                          <w:t>7 300 VB</w:t>
                        </w:r>
                      </w:p>
                      <w:p>
                        <w:pPr>
                          <w:rPr>
                            <w:color w:val="000000"/>
                            <w:szCs w:val="24"/>
                          </w:rPr>
                        </w:pPr>
                        <w:r>
                          <w:rPr>
                            <w:iCs/>
                            <w:color w:val="000000"/>
                            <w:szCs w:val="24"/>
                          </w:rPr>
                          <w:t>2000 SB</w:t>
                        </w:r>
                      </w:p>
                    </w:tc>
                    <w:tc>
                      <w:tcPr>
                        <w:tcW w:w="850" w:type="dxa"/>
                      </w:tcPr>
                      <w:p>
                        <w:pPr>
                          <w:rPr>
                            <w:iCs/>
                            <w:color w:val="000000"/>
                            <w:szCs w:val="24"/>
                          </w:rPr>
                        </w:pPr>
                        <w:r>
                          <w:rPr>
                            <w:iCs/>
                            <w:color w:val="000000"/>
                            <w:szCs w:val="24"/>
                          </w:rPr>
                          <w:t>7 300 VB</w:t>
                        </w:r>
                      </w:p>
                      <w:p>
                        <w:pPr>
                          <w:rPr>
                            <w:szCs w:val="24"/>
                          </w:rPr>
                        </w:pPr>
                        <w:r>
                          <w:rPr>
                            <w:iCs/>
                            <w:color w:val="000000"/>
                            <w:szCs w:val="24"/>
                          </w:rPr>
                          <w:t>2000 SB</w:t>
                        </w: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rPr>
                            <w:szCs w:val="24"/>
                            <w:highlight w:val="yellow"/>
                            <w14:ligatures w14:val="standardContextual"/>
                          </w:rPr>
                        </w:pPr>
                        <w:r>
                          <w:rPr>
                            <w:color w:val="000000"/>
                            <w:szCs w:val="24"/>
                          </w:rPr>
                          <w:t>17.2.1.2. Parengtas mobilizacijos planas</w:t>
                        </w:r>
                      </w:p>
                    </w:tc>
                    <w:tc>
                      <w:tcPr>
                        <w:tcW w:w="851" w:type="dxa"/>
                      </w:tcPr>
                      <w:p>
                        <w:pPr>
                          <w:rPr>
                            <w:color w:val="000000"/>
                            <w:szCs w:val="24"/>
                          </w:rPr>
                        </w:pPr>
                        <w:r>
                          <w:rPr>
                            <w:iCs/>
                            <w:color w:val="000000"/>
                            <w:szCs w:val="24"/>
                          </w:rPr>
                          <w:t>1</w:t>
                        </w:r>
                      </w:p>
                    </w:tc>
                    <w:tc>
                      <w:tcPr>
                        <w:tcW w:w="850" w:type="dxa"/>
                      </w:tcPr>
                      <w:p>
                        <w:pPr>
                          <w:rPr>
                            <w:szCs w:val="24"/>
                          </w:rPr>
                        </w:pPr>
                        <w:r>
                          <w:rPr>
                            <w:iCs/>
                            <w:color w:val="000000"/>
                            <w:szCs w:val="24"/>
                          </w:rPr>
                          <w:t>1</w:t>
                        </w:r>
                      </w:p>
                    </w:tc>
                    <w:tc>
                      <w:tcPr>
                        <w:tcW w:w="851" w:type="dxa"/>
                      </w:tcPr>
                      <w:p>
                        <w:pPr>
                          <w:rPr>
                            <w:szCs w:val="24"/>
                          </w:rPr>
                        </w:pPr>
                        <w:r>
                          <w:rPr>
                            <w:iCs/>
                            <w:color w:val="000000"/>
                            <w:szCs w:val="24"/>
                          </w:rPr>
                          <w:t>1</w:t>
                        </w:r>
                      </w:p>
                    </w:tc>
                    <w:tc>
                      <w:tcPr>
                        <w:tcW w:w="850" w:type="dxa"/>
                      </w:tcPr>
                      <w:p>
                        <w:pPr>
                          <w:rPr>
                            <w:szCs w:val="24"/>
                          </w:rPr>
                        </w:pPr>
                        <w:r>
                          <w:rPr>
                            <w:iCs/>
                            <w:color w:val="000000"/>
                            <w:szCs w:val="24"/>
                          </w:rPr>
                          <w:t>1</w:t>
                        </w:r>
                      </w:p>
                    </w:tc>
                    <w:tc>
                      <w:tcPr>
                        <w:tcW w:w="851" w:type="dxa"/>
                      </w:tcPr>
                      <w:p>
                        <w:pPr>
                          <w:rPr>
                            <w:color w:val="000000"/>
                            <w:szCs w:val="24"/>
                          </w:rPr>
                        </w:pPr>
                        <w:r>
                          <w:rPr>
                            <w:iCs/>
                            <w:color w:val="000000"/>
                            <w:szCs w:val="24"/>
                          </w:rPr>
                          <w:t>-</w:t>
                        </w:r>
                      </w:p>
                    </w:tc>
                    <w:tc>
                      <w:tcPr>
                        <w:tcW w:w="850" w:type="dxa"/>
                      </w:tcPr>
                      <w:p>
                        <w:pPr>
                          <w:rPr>
                            <w:szCs w:val="24"/>
                          </w:rPr>
                        </w:pPr>
                        <w:r>
                          <w:rPr>
                            <w:iCs/>
                            <w:color w:val="000000"/>
                            <w:szCs w:val="24"/>
                          </w:rPr>
                          <w:t>-</w:t>
                        </w:r>
                      </w:p>
                    </w:tc>
                    <w:tc>
                      <w:tcPr>
                        <w:tcW w:w="5245" w:type="dxa"/>
                      </w:tcPr>
                      <w:p>
                        <w:pPr>
                          <w:rPr>
                            <w:szCs w:val="24"/>
                          </w:rPr>
                        </w:pPr>
                        <w:r>
                          <w:rPr>
                            <w:iCs/>
                            <w:color w:val="000000"/>
                            <w:szCs w:val="24"/>
                          </w:rPr>
                          <w:t>(Patarėja, atliekanti savivaldybės parengties pareigūno funkcijas)</w:t>
                        </w:r>
                      </w:p>
                    </w:tc>
                  </w:tr>
                  <w:tr>
                    <w:trPr>
                      <w:trHeight w:val="571"/>
                    </w:trPr>
                    <w:tc>
                      <w:tcPr>
                        <w:tcW w:w="4820" w:type="dxa"/>
                      </w:tcPr>
                      <w:p>
                        <w:pPr>
                          <w:tabs>
                            <w:tab w:val="left" w:pos="340"/>
                            <w:tab w:val="left" w:pos="885"/>
                          </w:tabs>
                          <w:rPr>
                            <w:bCs/>
                            <w:i/>
                            <w:iCs/>
                            <w:szCs w:val="24"/>
                          </w:rPr>
                        </w:pPr>
                        <w:r>
                          <w:rPr>
                            <w:bCs/>
                            <w:szCs w:val="24"/>
                          </w:rPr>
                          <w:t xml:space="preserve">18.1.1.1. </w:t>
                        </w:r>
                        <w:r>
                          <w:rPr>
                            <w:bCs/>
                            <w:iCs/>
                            <w:szCs w:val="24"/>
                          </w:rPr>
                          <w:t xml:space="preserve">Tęstinė </w:t>
                        </w:r>
                        <w:r>
                          <w:rPr>
                            <w:bCs/>
                            <w:szCs w:val="24"/>
                          </w:rPr>
                          <w:t xml:space="preserve">Savivaldybės administracijos darbo organizavimo veikla Aukštelkų seniūnijoje. </w:t>
                        </w:r>
                      </w:p>
                      <w:p>
                        <w:pPr>
                          <w:tabs>
                            <w:tab w:val="left" w:pos="340"/>
                            <w:tab w:val="left" w:pos="1260"/>
                            <w:tab w:val="left" w:pos="1410"/>
                          </w:tabs>
                          <w:rPr>
                            <w:bCs/>
                            <w:szCs w:val="24"/>
                          </w:rPr>
                        </w:pPr>
                        <w:r>
                          <w:rPr>
                            <w:bCs/>
                            <w:szCs w:val="24"/>
                          </w:rPr>
                          <w:t xml:space="preserve">18.1.1.1.1. Gyvenamos vietos deklaravimo funkcijų vykdymas. </w:t>
                        </w:r>
                      </w:p>
                      <w:p>
                        <w:pPr>
                          <w:tabs>
                            <w:tab w:val="left" w:pos="340"/>
                            <w:tab w:val="left" w:pos="1260"/>
                            <w:tab w:val="left" w:pos="1410"/>
                          </w:tabs>
                          <w:rPr>
                            <w:bCs/>
                            <w:i/>
                            <w:iCs/>
                            <w:szCs w:val="24"/>
                          </w:rPr>
                        </w:pPr>
                        <w:r>
                          <w:rPr>
                            <w:bCs/>
                            <w:i/>
                            <w:iCs/>
                            <w:szCs w:val="24"/>
                          </w:rPr>
                          <w:t>Atliktų veiklų skaičius procentais nuo pateiktų prašymų skaičiaus.</w:t>
                        </w:r>
                      </w:p>
                      <w:p>
                        <w:pPr>
                          <w:rPr>
                            <w:szCs w:val="24"/>
                            <w:highlight w:val="yellow"/>
                            <w14:ligatures w14:val="standardContextual"/>
                          </w:rPr>
                        </w:pPr>
                        <w:r>
                          <w:rPr>
                            <w:bCs/>
                            <w:szCs w:val="24"/>
                          </w:rPr>
                          <w:t>(SVP 1-1-1-08).</w:t>
                        </w:r>
                      </w:p>
                    </w:tc>
                    <w:tc>
                      <w:tcPr>
                        <w:tcW w:w="851" w:type="dxa"/>
                      </w:tcPr>
                      <w:p>
                        <w:pPr>
                          <w:rPr>
                            <w:color w:val="000000"/>
                            <w:szCs w:val="24"/>
                          </w:rPr>
                        </w:pPr>
                        <w:r>
                          <w:rPr>
                            <w:bCs/>
                            <w:color w:val="000000"/>
                            <w:szCs w:val="24"/>
                          </w:rPr>
                          <w:t>100 %</w:t>
                        </w:r>
                      </w:p>
                    </w:tc>
                    <w:tc>
                      <w:tcPr>
                        <w:tcW w:w="850" w:type="dxa"/>
                      </w:tcPr>
                      <w:p>
                        <w:pPr>
                          <w:rPr>
                            <w:szCs w:val="24"/>
                          </w:rPr>
                        </w:pPr>
                        <w:r>
                          <w:rPr>
                            <w:bCs/>
                            <w:szCs w:val="24"/>
                          </w:rPr>
                          <w:t>100 %</w:t>
                        </w:r>
                      </w:p>
                    </w:tc>
                    <w:tc>
                      <w:tcPr>
                        <w:tcW w:w="851" w:type="dxa"/>
                      </w:tcPr>
                      <w:p>
                        <w:pPr>
                          <w:rPr>
                            <w:szCs w:val="24"/>
                          </w:rPr>
                        </w:pPr>
                        <w:r>
                          <w:rPr>
                            <w:bCs/>
                            <w:szCs w:val="24"/>
                          </w:rPr>
                          <w:t>100 %</w:t>
                        </w:r>
                      </w:p>
                    </w:tc>
                    <w:tc>
                      <w:tcPr>
                        <w:tcW w:w="850" w:type="dxa"/>
                      </w:tcPr>
                      <w:p>
                        <w:pPr>
                          <w:rPr>
                            <w:szCs w:val="24"/>
                          </w:rPr>
                        </w:pPr>
                        <w:r>
                          <w:rPr>
                            <w:bCs/>
                            <w:szCs w:val="24"/>
                          </w:rPr>
                          <w:t xml:space="preserve">100 </w:t>
                        </w:r>
                        <w:r>
                          <w:rPr>
                            <w:bCs/>
                            <w:szCs w:val="24"/>
                            <w:lang w:val="en-US"/>
                          </w:rPr>
                          <w:t>%</w:t>
                        </w:r>
                      </w:p>
                    </w:tc>
                    <w:tc>
                      <w:tcPr>
                        <w:tcW w:w="851" w:type="dxa"/>
                        <w:vMerge w:val="restart"/>
                      </w:tcPr>
                      <w:p>
                        <w:pPr>
                          <w:rPr>
                            <w:bCs/>
                            <w:iCs/>
                            <w:szCs w:val="24"/>
                          </w:rPr>
                        </w:pPr>
                        <w:r>
                          <w:rPr>
                            <w:bCs/>
                            <w:iCs/>
                            <w:szCs w:val="24"/>
                          </w:rPr>
                          <w:t>15,11</w:t>
                        </w:r>
                      </w:p>
                      <w:p>
                        <w:pPr>
                          <w:rPr>
                            <w:bCs/>
                            <w:iCs/>
                            <w:szCs w:val="24"/>
                          </w:rPr>
                        </w:pPr>
                        <w:r>
                          <w:rPr>
                            <w:bCs/>
                            <w:iCs/>
                            <w:szCs w:val="24"/>
                          </w:rPr>
                          <w:t>SB</w:t>
                        </w:r>
                      </w:p>
                      <w:p>
                        <w:pPr>
                          <w:rPr>
                            <w:color w:val="000000"/>
                            <w:szCs w:val="24"/>
                          </w:rPr>
                        </w:pPr>
                      </w:p>
                    </w:tc>
                    <w:tc>
                      <w:tcPr>
                        <w:tcW w:w="850" w:type="dxa"/>
                        <w:vMerge w:val="restart"/>
                      </w:tcPr>
                      <w:p>
                        <w:pPr>
                          <w:rPr>
                            <w:bCs/>
                            <w:iCs/>
                            <w:szCs w:val="24"/>
                          </w:rPr>
                        </w:pPr>
                        <w:r>
                          <w:rPr>
                            <w:bCs/>
                            <w:iCs/>
                            <w:szCs w:val="24"/>
                          </w:rPr>
                          <w:t>8,66</w:t>
                        </w:r>
                      </w:p>
                      <w:p>
                        <w:pPr>
                          <w:rPr>
                            <w:bCs/>
                            <w:iCs/>
                            <w:szCs w:val="24"/>
                          </w:rPr>
                        </w:pPr>
                        <w:r>
                          <w:rPr>
                            <w:bCs/>
                            <w:iCs/>
                            <w:szCs w:val="24"/>
                          </w:rPr>
                          <w:t>SB</w:t>
                        </w:r>
                      </w:p>
                      <w:p>
                        <w:pPr>
                          <w:rPr>
                            <w:szCs w:val="24"/>
                          </w:rPr>
                        </w:pPr>
                      </w:p>
                    </w:tc>
                    <w:tc>
                      <w:tcPr>
                        <w:tcW w:w="5245" w:type="dxa"/>
                      </w:tcPr>
                      <w:p>
                        <w:pPr>
                          <w:tabs>
                            <w:tab w:val="left" w:pos="340"/>
                          </w:tabs>
                          <w:rPr>
                            <w:bCs/>
                            <w:szCs w:val="24"/>
                          </w:rPr>
                        </w:pPr>
                        <w:r>
                          <w:rPr>
                            <w:bCs/>
                            <w:szCs w:val="24"/>
                          </w:rPr>
                          <w:t>Komunalinės paslaugos, transporto išlaikymas, ryšių paslaugos, IT paslaugos, reprezentacinės lėšos, kvalifikacijos kėlimas, komandiruočių išlaidos, kitos prekės, paslaugos, turto įsigijimas.</w:t>
                        </w:r>
                      </w:p>
                      <w:p>
                        <w:pPr>
                          <w:tabs>
                            <w:tab w:val="left" w:pos="340"/>
                          </w:tabs>
                          <w:ind w:left="35"/>
                          <w:rPr>
                            <w:bCs/>
                            <w:szCs w:val="24"/>
                          </w:rPr>
                        </w:pPr>
                        <w:r>
                          <w:rPr>
                            <w:bCs/>
                            <w:szCs w:val="24"/>
                          </w:rPr>
                          <w:t>Deklaravusių atvykimą gyventi į Lietuvos Respubliką – 80. Deklaravusių išvykimą iš Lietuvos Respublikos – 2.</w:t>
                        </w:r>
                      </w:p>
                      <w:p>
                        <w:pPr>
                          <w:tabs>
                            <w:tab w:val="left" w:pos="340"/>
                          </w:tabs>
                          <w:ind w:left="35"/>
                          <w:rPr>
                            <w:bCs/>
                            <w:szCs w:val="24"/>
                          </w:rPr>
                        </w:pPr>
                        <w:r>
                          <w:rPr>
                            <w:bCs/>
                            <w:szCs w:val="24"/>
                          </w:rPr>
                          <w:t>Įtrauktų į gyvenamos vietos neturinčių asmenų apskaitą (GVNA) – 9. Gyvenamosios vietos deklaravimo duomenų taisymo, keitimo ir naikinimo sprendimų skaičius – 14. Išduota pažymų apie asmens gyvenamąją vietą, įtraukimą į GVNA apskaitą – 89. (Aukštelkų seniūnija)</w:t>
                        </w:r>
                      </w:p>
                    </w:tc>
                  </w:tr>
                  <w:tr>
                    <w:trPr>
                      <w:trHeight w:val="571"/>
                    </w:trPr>
                    <w:tc>
                      <w:tcPr>
                        <w:tcW w:w="4820" w:type="dxa"/>
                      </w:tcPr>
                      <w:p>
                        <w:pPr>
                          <w:shd w:val="clear" w:color="auto" w:fill="FFFFFF"/>
                          <w:tabs>
                            <w:tab w:val="left" w:pos="284"/>
                          </w:tabs>
                          <w:rPr>
                            <w:bCs/>
                            <w:szCs w:val="24"/>
                          </w:rPr>
                        </w:pPr>
                        <w:r>
                          <w:rPr>
                            <w:bCs/>
                            <w:szCs w:val="24"/>
                          </w:rPr>
                          <w:t>18.1.1.2. Leidimų prekybai ar paslaugoms teikti viešose vietose, žemės kasimo darbams viešojo naudojimo teritorijose išdavimas. Išduotų leidimų skaičius procentais nuo pateiktų prašymų skaičiaus</w:t>
                        </w:r>
                        <w:r>
                          <w:rPr>
                            <w:bCs/>
                            <w:i/>
                            <w:iCs/>
                            <w:szCs w:val="24"/>
                          </w:rPr>
                          <w:t>.</w:t>
                        </w:r>
                        <w:r>
                          <w:rPr>
                            <w:bCs/>
                            <w:szCs w:val="24"/>
                          </w:rPr>
                          <w:t>(SVP 1-1-1-08).</w:t>
                        </w:r>
                      </w:p>
                    </w:tc>
                    <w:tc>
                      <w:tcPr>
                        <w:tcW w:w="851" w:type="dxa"/>
                      </w:tcPr>
                      <w:p>
                        <w:pPr>
                          <w:rPr>
                            <w:color w:val="000000"/>
                            <w:szCs w:val="24"/>
                          </w:rPr>
                        </w:pPr>
                        <w:r>
                          <w:rPr>
                            <w:bCs/>
                            <w:color w:val="000000"/>
                            <w:szCs w:val="24"/>
                          </w:rPr>
                          <w:t>100 %</w:t>
                        </w:r>
                      </w:p>
                    </w:tc>
                    <w:tc>
                      <w:tcPr>
                        <w:tcW w:w="850" w:type="dxa"/>
                      </w:tcPr>
                      <w:p>
                        <w:pPr>
                          <w:rPr>
                            <w:szCs w:val="24"/>
                          </w:rPr>
                        </w:pPr>
                        <w:r>
                          <w:rPr>
                            <w:bCs/>
                            <w:szCs w:val="24"/>
                          </w:rPr>
                          <w:t>100 %</w:t>
                        </w:r>
                      </w:p>
                    </w:tc>
                    <w:tc>
                      <w:tcPr>
                        <w:tcW w:w="851" w:type="dxa"/>
                      </w:tcPr>
                      <w:p>
                        <w:pPr>
                          <w:rPr>
                            <w:szCs w:val="24"/>
                          </w:rPr>
                        </w:pPr>
                        <w:r>
                          <w:rPr>
                            <w:bCs/>
                            <w:szCs w:val="24"/>
                          </w:rPr>
                          <w:t>100 %</w:t>
                        </w:r>
                      </w:p>
                    </w:tc>
                    <w:tc>
                      <w:tcPr>
                        <w:tcW w:w="850" w:type="dxa"/>
                      </w:tcPr>
                      <w:p>
                        <w:pPr>
                          <w:rPr>
                            <w:szCs w:val="24"/>
                          </w:rPr>
                        </w:pPr>
                        <w:r>
                          <w:rPr>
                            <w:bCs/>
                            <w:szCs w:val="24"/>
                          </w:rPr>
                          <w:t xml:space="preserve">100 </w:t>
                        </w:r>
                        <w:r>
                          <w:rPr>
                            <w:bCs/>
                            <w:szCs w:val="24"/>
                            <w:lang w:val="en-US"/>
                          </w:rPr>
                          <w:t>%</w:t>
                        </w:r>
                      </w:p>
                    </w:tc>
                    <w:tc>
                      <w:tcPr>
                        <w:tcW w:w="851" w:type="dxa"/>
                        <w:vMerge/>
                      </w:tcPr>
                      <w:p>
                        <w:pPr>
                          <w:rPr>
                            <w:color w:val="000000"/>
                            <w:szCs w:val="24"/>
                          </w:rPr>
                        </w:pPr>
                      </w:p>
                    </w:tc>
                    <w:tc>
                      <w:tcPr>
                        <w:tcW w:w="850" w:type="dxa"/>
                        <w:vMerge/>
                      </w:tcPr>
                      <w:p>
                        <w:pPr>
                          <w:rPr>
                            <w:szCs w:val="24"/>
                          </w:rPr>
                        </w:pPr>
                      </w:p>
                    </w:tc>
                    <w:tc>
                      <w:tcPr>
                        <w:tcW w:w="5245" w:type="dxa"/>
                      </w:tcPr>
                      <w:p>
                        <w:pPr>
                          <w:shd w:val="clear" w:color="auto" w:fill="FFFFFF"/>
                          <w:tabs>
                            <w:tab w:val="left" w:pos="284"/>
                          </w:tabs>
                          <w:ind w:left="31"/>
                          <w:rPr>
                            <w:bCs/>
                            <w:szCs w:val="24"/>
                          </w:rPr>
                        </w:pPr>
                        <w:r>
                          <w:rPr>
                            <w:bCs/>
                            <w:szCs w:val="24"/>
                          </w:rPr>
                          <w:t>Išduoti leidimai: prekybai ar paslaugoms teikti viešose vietose – 8; žemės kasimo darbams viešojo naudojimo teritorijose – 3.</w:t>
                        </w:r>
                      </w:p>
                      <w:p>
                        <w:pPr>
                          <w:rPr>
                            <w:szCs w:val="24"/>
                          </w:rPr>
                        </w:pPr>
                        <w:r>
                          <w:rPr>
                            <w:bCs/>
                            <w:szCs w:val="24"/>
                          </w:rPr>
                          <w:t>(Aukštelkų seniūnija)</w:t>
                        </w:r>
                      </w:p>
                    </w:tc>
                  </w:tr>
                  <w:tr>
                    <w:trPr>
                      <w:trHeight w:val="571"/>
                    </w:trPr>
                    <w:tc>
                      <w:tcPr>
                        <w:tcW w:w="4820" w:type="dxa"/>
                      </w:tcPr>
                      <w:p>
                        <w:pPr>
                          <w:shd w:val="clear" w:color="auto" w:fill="FFFFFF"/>
                          <w:tabs>
                            <w:tab w:val="left" w:pos="284"/>
                          </w:tabs>
                          <w:rPr>
                            <w:bCs/>
                            <w:szCs w:val="24"/>
                          </w:rPr>
                        </w:pPr>
                        <w:r>
                          <w:rPr>
                            <w:bCs/>
                            <w:szCs w:val="24"/>
                          </w:rPr>
                          <w:t>18.1.1.3 Seniūnaičių sueigų ar gyventojų susirinkimų organizavimas.</w:t>
                        </w:r>
                      </w:p>
                      <w:p>
                        <w:pPr>
                          <w:shd w:val="clear" w:color="auto" w:fill="FFFFFF"/>
                          <w:tabs>
                            <w:tab w:val="left" w:pos="284"/>
                          </w:tabs>
                          <w:rPr>
                            <w:bCs/>
                            <w:i/>
                            <w:iCs/>
                            <w:szCs w:val="24"/>
                          </w:rPr>
                        </w:pPr>
                        <w:r>
                          <w:rPr>
                            <w:bCs/>
                            <w:i/>
                            <w:iCs/>
                            <w:szCs w:val="24"/>
                          </w:rPr>
                          <w:t>Seniūnaičių sueigų ar gyventojų susirinkimų skaičius.</w:t>
                        </w:r>
                      </w:p>
                      <w:p>
                        <w:pPr>
                          <w:rPr>
                            <w:szCs w:val="24"/>
                            <w:highlight w:val="yellow"/>
                            <w14:ligatures w14:val="standardContextual"/>
                          </w:rPr>
                        </w:pPr>
                        <w:r>
                          <w:rPr>
                            <w:bCs/>
                            <w:szCs w:val="24"/>
                          </w:rPr>
                          <w:t>(SVP 1-1-1-08).</w:t>
                        </w:r>
                      </w:p>
                    </w:tc>
                    <w:tc>
                      <w:tcPr>
                        <w:tcW w:w="851" w:type="dxa"/>
                      </w:tcPr>
                      <w:p>
                        <w:pPr>
                          <w:rPr>
                            <w:color w:val="000000"/>
                            <w:szCs w:val="24"/>
                          </w:rPr>
                        </w:pPr>
                        <w:r>
                          <w:rPr>
                            <w:bCs/>
                            <w:color w:val="000000"/>
                            <w:szCs w:val="24"/>
                          </w:rPr>
                          <w:t>3</w:t>
                        </w:r>
                      </w:p>
                    </w:tc>
                    <w:tc>
                      <w:tcPr>
                        <w:tcW w:w="850" w:type="dxa"/>
                      </w:tcPr>
                      <w:p>
                        <w:pPr>
                          <w:rPr>
                            <w:szCs w:val="24"/>
                          </w:rPr>
                        </w:pPr>
                        <w:r>
                          <w:rPr>
                            <w:bCs/>
                            <w:szCs w:val="24"/>
                          </w:rPr>
                          <w:t>3</w:t>
                        </w:r>
                      </w:p>
                    </w:tc>
                    <w:tc>
                      <w:tcPr>
                        <w:tcW w:w="851" w:type="dxa"/>
                      </w:tcPr>
                      <w:p>
                        <w:pPr>
                          <w:rPr>
                            <w:szCs w:val="24"/>
                          </w:rPr>
                        </w:pPr>
                        <w:r>
                          <w:rPr>
                            <w:bCs/>
                            <w:szCs w:val="24"/>
                          </w:rPr>
                          <w:t>5</w:t>
                        </w:r>
                      </w:p>
                    </w:tc>
                    <w:tc>
                      <w:tcPr>
                        <w:tcW w:w="850" w:type="dxa"/>
                      </w:tcPr>
                      <w:p>
                        <w:pPr>
                          <w:rPr>
                            <w:szCs w:val="24"/>
                          </w:rPr>
                        </w:pPr>
                        <w:r>
                          <w:rPr>
                            <w:bCs/>
                            <w:szCs w:val="24"/>
                          </w:rPr>
                          <w:t>3</w:t>
                        </w:r>
                      </w:p>
                    </w:tc>
                    <w:tc>
                      <w:tcPr>
                        <w:tcW w:w="851" w:type="dxa"/>
                        <w:vMerge/>
                      </w:tcPr>
                      <w:p>
                        <w:pPr>
                          <w:rPr>
                            <w:color w:val="000000"/>
                            <w:szCs w:val="24"/>
                          </w:rPr>
                        </w:pPr>
                      </w:p>
                    </w:tc>
                    <w:tc>
                      <w:tcPr>
                        <w:tcW w:w="850" w:type="dxa"/>
                        <w:vMerge/>
                      </w:tcPr>
                      <w:p>
                        <w:pPr>
                          <w:rPr>
                            <w:szCs w:val="24"/>
                          </w:rPr>
                        </w:pPr>
                      </w:p>
                    </w:tc>
                    <w:tc>
                      <w:tcPr>
                        <w:tcW w:w="5245" w:type="dxa"/>
                      </w:tcPr>
                      <w:p>
                        <w:pPr>
                          <w:shd w:val="clear" w:color="auto" w:fill="FFFFFF"/>
                          <w:tabs>
                            <w:tab w:val="left" w:pos="284"/>
                          </w:tabs>
                          <w:ind w:left="31"/>
                          <w:rPr>
                            <w:bCs/>
                            <w:szCs w:val="24"/>
                          </w:rPr>
                        </w:pPr>
                        <w:r>
                          <w:rPr>
                            <w:bCs/>
                            <w:szCs w:val="24"/>
                          </w:rPr>
                          <w:t>Suorganizuota išplėstinės seniūnaičių sueigos – 2.</w:t>
                        </w:r>
                      </w:p>
                      <w:p>
                        <w:pPr>
                          <w:shd w:val="clear" w:color="auto" w:fill="FFFFFF"/>
                          <w:tabs>
                            <w:tab w:val="left" w:pos="284"/>
                          </w:tabs>
                          <w:ind w:left="31"/>
                          <w:rPr>
                            <w:bCs/>
                            <w:szCs w:val="24"/>
                          </w:rPr>
                        </w:pPr>
                        <w:r>
                          <w:rPr>
                            <w:bCs/>
                            <w:szCs w:val="24"/>
                          </w:rPr>
                          <w:t>Gyventojų susirinkimų – 1.</w:t>
                        </w:r>
                      </w:p>
                      <w:p>
                        <w:pPr>
                          <w:shd w:val="clear" w:color="auto" w:fill="FFFFFF"/>
                          <w:tabs>
                            <w:tab w:val="left" w:pos="284"/>
                          </w:tabs>
                          <w:rPr>
                            <w:bCs/>
                            <w:szCs w:val="24"/>
                          </w:rPr>
                        </w:pPr>
                        <w:r>
                          <w:rPr>
                            <w:bCs/>
                            <w:szCs w:val="24"/>
                          </w:rPr>
                          <w:t>(Aukštelkų seniūnija)</w:t>
                        </w:r>
                      </w:p>
                      <w:p>
                        <w:pPr>
                          <w:rPr>
                            <w:szCs w:val="24"/>
                          </w:rPr>
                        </w:pPr>
                      </w:p>
                    </w:tc>
                  </w:tr>
                  <w:tr>
                    <w:trPr>
                      <w:trHeight w:val="571"/>
                    </w:trPr>
                    <w:tc>
                      <w:tcPr>
                        <w:tcW w:w="4820" w:type="dxa"/>
                      </w:tcPr>
                      <w:p>
                        <w:pPr>
                          <w:shd w:val="clear" w:color="auto" w:fill="FFFFFF"/>
                          <w:tabs>
                            <w:tab w:val="left" w:pos="284"/>
                          </w:tabs>
                          <w:rPr>
                            <w:bCs/>
                            <w:szCs w:val="24"/>
                          </w:rPr>
                        </w:pPr>
                        <w:r>
                          <w:rPr>
                            <w:bCs/>
                            <w:szCs w:val="24"/>
                          </w:rPr>
                          <w:t xml:space="preserve">18.1.1.4.  LR notariato įstatymo nustatyta tvarka notarinių veiksmų atlikimas ir LR civilinio kodekso nustatyta tvarka testamentų tvirtinimas.</w:t>
                        </w:r>
                      </w:p>
                      <w:p>
                        <w:pPr>
                          <w:shd w:val="clear" w:color="auto" w:fill="FFFFFF"/>
                          <w:tabs>
                            <w:tab w:val="left" w:pos="284"/>
                          </w:tabs>
                          <w:rPr>
                            <w:bCs/>
                            <w:i/>
                            <w:iCs/>
                            <w:szCs w:val="24"/>
                          </w:rPr>
                        </w:pPr>
                        <w:r>
                          <w:rPr>
                            <w:bCs/>
                            <w:i/>
                            <w:iCs/>
                            <w:szCs w:val="24"/>
                          </w:rPr>
                          <w:t>Atliktų notarinių veiksmų, patvirtintų testamentų skaičius procentais nuo pateiktų prašymų skaičiaus.</w:t>
                        </w:r>
                      </w:p>
                      <w:p>
                        <w:pPr>
                          <w:rPr>
                            <w:szCs w:val="24"/>
                            <w:highlight w:val="yellow"/>
                            <w14:ligatures w14:val="standardContextual"/>
                          </w:rPr>
                        </w:pPr>
                        <w:r>
                          <w:rPr>
                            <w:bCs/>
                            <w:szCs w:val="24"/>
                          </w:rPr>
                          <w:t>(SVP 1-1-1-08).</w:t>
                        </w:r>
                      </w:p>
                    </w:tc>
                    <w:tc>
                      <w:tcPr>
                        <w:tcW w:w="851" w:type="dxa"/>
                      </w:tcPr>
                      <w:p>
                        <w:pPr>
                          <w:rPr>
                            <w:color w:val="000000"/>
                            <w:szCs w:val="24"/>
                          </w:rPr>
                        </w:pPr>
                        <w:r>
                          <w:rPr>
                            <w:bCs/>
                            <w:color w:val="000000"/>
                            <w:szCs w:val="24"/>
                          </w:rPr>
                          <w:t>100 %</w:t>
                        </w:r>
                      </w:p>
                    </w:tc>
                    <w:tc>
                      <w:tcPr>
                        <w:tcW w:w="850" w:type="dxa"/>
                      </w:tcPr>
                      <w:p>
                        <w:pPr>
                          <w:rPr>
                            <w:szCs w:val="24"/>
                          </w:rPr>
                        </w:pPr>
                        <w:r>
                          <w:rPr>
                            <w:bCs/>
                            <w:szCs w:val="24"/>
                          </w:rPr>
                          <w:t>100 %</w:t>
                        </w:r>
                      </w:p>
                    </w:tc>
                    <w:tc>
                      <w:tcPr>
                        <w:tcW w:w="851" w:type="dxa"/>
                      </w:tcPr>
                      <w:p>
                        <w:pPr>
                          <w:rPr>
                            <w:szCs w:val="24"/>
                          </w:rPr>
                        </w:pPr>
                        <w:r>
                          <w:rPr>
                            <w:bCs/>
                            <w:szCs w:val="24"/>
                          </w:rPr>
                          <w:t>100 %</w:t>
                        </w:r>
                      </w:p>
                    </w:tc>
                    <w:tc>
                      <w:tcPr>
                        <w:tcW w:w="850" w:type="dxa"/>
                      </w:tcPr>
                      <w:p>
                        <w:pPr>
                          <w:rPr>
                            <w:szCs w:val="24"/>
                          </w:rPr>
                        </w:pPr>
                        <w:r>
                          <w:rPr>
                            <w:bCs/>
                            <w:szCs w:val="24"/>
                          </w:rPr>
                          <w:t xml:space="preserve">100 </w:t>
                        </w:r>
                        <w:r>
                          <w:rPr>
                            <w:bCs/>
                            <w:szCs w:val="24"/>
                            <w:lang w:val="en-US"/>
                          </w:rPr>
                          <w:t>%</w:t>
                        </w:r>
                      </w:p>
                    </w:tc>
                    <w:tc>
                      <w:tcPr>
                        <w:tcW w:w="851" w:type="dxa"/>
                        <w:vMerge/>
                      </w:tcPr>
                      <w:p>
                        <w:pPr>
                          <w:rPr>
                            <w:color w:val="000000"/>
                            <w:szCs w:val="24"/>
                          </w:rPr>
                        </w:pPr>
                      </w:p>
                    </w:tc>
                    <w:tc>
                      <w:tcPr>
                        <w:tcW w:w="850" w:type="dxa"/>
                        <w:vMerge/>
                      </w:tcPr>
                      <w:p>
                        <w:pPr>
                          <w:rPr>
                            <w:szCs w:val="24"/>
                          </w:rPr>
                        </w:pPr>
                      </w:p>
                    </w:tc>
                    <w:tc>
                      <w:tcPr>
                        <w:tcW w:w="5245" w:type="dxa"/>
                      </w:tcPr>
                      <w:p>
                        <w:pPr>
                          <w:rPr>
                            <w:bCs/>
                            <w:szCs w:val="24"/>
                          </w:rPr>
                        </w:pPr>
                        <w:r>
                          <w:rPr>
                            <w:bCs/>
                            <w:szCs w:val="24"/>
                          </w:rPr>
                          <w:t>Atlikta notarinių veiksmų – 13.</w:t>
                        </w:r>
                      </w:p>
                      <w:p>
                        <w:pPr>
                          <w:rPr>
                            <w:bCs/>
                            <w:szCs w:val="24"/>
                          </w:rPr>
                        </w:pPr>
                      </w:p>
                      <w:p>
                        <w:pPr>
                          <w:rPr>
                            <w:szCs w:val="24"/>
                          </w:rPr>
                        </w:pPr>
                        <w:r>
                          <w:rPr>
                            <w:bCs/>
                            <w:szCs w:val="24"/>
                          </w:rPr>
                          <w:t>(Aukštelkų seniūnija)</w:t>
                        </w:r>
                      </w:p>
                    </w:tc>
                  </w:tr>
                  <w:tr>
                    <w:trPr>
                      <w:trHeight w:val="571"/>
                    </w:trPr>
                    <w:tc>
                      <w:tcPr>
                        <w:tcW w:w="4820" w:type="dxa"/>
                      </w:tcPr>
                      <w:p>
                        <w:pPr>
                          <w:shd w:val="clear" w:color="auto" w:fill="FFFFFF"/>
                          <w:tabs>
                            <w:tab w:val="left" w:pos="1380"/>
                          </w:tabs>
                          <w:rPr>
                            <w:bCs/>
                            <w:szCs w:val="24"/>
                          </w:rPr>
                        </w:pPr>
                        <w:r>
                          <w:rPr>
                            <w:bCs/>
                            <w:szCs w:val="24"/>
                          </w:rPr>
                          <w:t xml:space="preserve">18.1.1.5. Dokumentų saugojimas, naikinimas ir perdavimas į archyvą. </w:t>
                        </w:r>
                        <w:r>
                          <w:rPr>
                            <w:bCs/>
                            <w:i/>
                            <w:iCs/>
                            <w:szCs w:val="24"/>
                          </w:rPr>
                          <w:t>Teisės aktais numatytų reikalavimų įvykdymas procentais.</w:t>
                        </w:r>
                        <w:r>
                          <w:rPr>
                            <w:bCs/>
                            <w:szCs w:val="24"/>
                          </w:rPr>
                          <w:t>(SVP 1-1-1-08).</w:t>
                        </w:r>
                      </w:p>
                    </w:tc>
                    <w:tc>
                      <w:tcPr>
                        <w:tcW w:w="851" w:type="dxa"/>
                      </w:tcPr>
                      <w:p>
                        <w:pPr>
                          <w:rPr>
                            <w:color w:val="000000"/>
                            <w:szCs w:val="24"/>
                          </w:rPr>
                        </w:pPr>
                        <w:r>
                          <w:rPr>
                            <w:bCs/>
                            <w:i/>
                            <w:iCs/>
                            <w:color w:val="000000"/>
                            <w:szCs w:val="24"/>
                          </w:rPr>
                          <w:t>100 %</w:t>
                        </w:r>
                      </w:p>
                    </w:tc>
                    <w:tc>
                      <w:tcPr>
                        <w:tcW w:w="850" w:type="dxa"/>
                      </w:tcPr>
                      <w:p>
                        <w:pPr>
                          <w:rPr>
                            <w:szCs w:val="24"/>
                          </w:rPr>
                        </w:pPr>
                        <w:r>
                          <w:rPr>
                            <w:bCs/>
                            <w:i/>
                            <w:iCs/>
                            <w:szCs w:val="24"/>
                          </w:rPr>
                          <w:t>100 %</w:t>
                        </w:r>
                      </w:p>
                    </w:tc>
                    <w:tc>
                      <w:tcPr>
                        <w:tcW w:w="851" w:type="dxa"/>
                      </w:tcPr>
                      <w:p>
                        <w:pPr>
                          <w:rPr>
                            <w:szCs w:val="24"/>
                          </w:rPr>
                        </w:pPr>
                        <w:r>
                          <w:rPr>
                            <w:bCs/>
                            <w:i/>
                            <w:iCs/>
                            <w:szCs w:val="24"/>
                          </w:rPr>
                          <w:t>100 %</w:t>
                        </w:r>
                      </w:p>
                    </w:tc>
                    <w:tc>
                      <w:tcPr>
                        <w:tcW w:w="850" w:type="dxa"/>
                      </w:tcPr>
                      <w:p>
                        <w:pPr>
                          <w:rPr>
                            <w:szCs w:val="24"/>
                          </w:rPr>
                        </w:pPr>
                        <w:r>
                          <w:rPr>
                            <w:bCs/>
                            <w:i/>
                            <w:iCs/>
                            <w:szCs w:val="24"/>
                          </w:rPr>
                          <w:t xml:space="preserve">100 </w:t>
                        </w:r>
                        <w:r>
                          <w:rPr>
                            <w:bCs/>
                            <w:i/>
                            <w:iCs/>
                            <w:szCs w:val="24"/>
                            <w:lang w:val="en-US"/>
                          </w:rPr>
                          <w:t>%</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bCs/>
                            <w:szCs w:val="24"/>
                          </w:rPr>
                          <w:t>Atliktas dokumentų sutvarkymas Elektroninėje archyvo informacinėje sistemoje, parengta 2025 m. plano suvestinė, 1 bylų apyrašas už 2023 m. (Aukštelkų seniūnija)</w:t>
                        </w:r>
                      </w:p>
                    </w:tc>
                  </w:tr>
                  <w:tr>
                    <w:trPr>
                      <w:trHeight w:val="571"/>
                    </w:trPr>
                    <w:tc>
                      <w:tcPr>
                        <w:tcW w:w="4820" w:type="dxa"/>
                      </w:tcPr>
                      <w:p>
                        <w:pPr>
                          <w:shd w:val="clear" w:color="auto" w:fill="FFFFFF"/>
                          <w:tabs>
                            <w:tab w:val="left" w:pos="32"/>
                          </w:tabs>
                          <w:ind w:left="32" w:hanging="142"/>
                          <w:rPr>
                            <w:bCs/>
                            <w:szCs w:val="24"/>
                          </w:rPr>
                        </w:pPr>
                        <w:r>
                          <w:rPr>
                            <w:bCs/>
                            <w:szCs w:val="24"/>
                          </w:rPr>
                          <w:t>18.1.1.6. Seniūnijos veiklos dokumentų valdymas.</w:t>
                        </w:r>
                      </w:p>
                      <w:p>
                        <w:pPr>
                          <w:shd w:val="clear" w:color="auto" w:fill="FFFFFF"/>
                          <w:tabs>
                            <w:tab w:val="left" w:pos="32"/>
                          </w:tabs>
                          <w:ind w:left="32" w:hanging="18"/>
                          <w:rPr>
                            <w:bCs/>
                            <w:i/>
                            <w:iCs/>
                            <w:szCs w:val="24"/>
                          </w:rPr>
                        </w:pPr>
                        <w:r>
                          <w:rPr>
                            <w:bCs/>
                            <w:i/>
                            <w:iCs/>
                            <w:szCs w:val="24"/>
                          </w:rPr>
                          <w:t>Dokumentų valdymas procentais.</w:t>
                        </w:r>
                      </w:p>
                      <w:p>
                        <w:pPr>
                          <w:rPr>
                            <w:szCs w:val="24"/>
                            <w:highlight w:val="yellow"/>
                            <w14:ligatures w14:val="standardContextual"/>
                          </w:rPr>
                        </w:pPr>
                        <w:r>
                          <w:rPr>
                            <w:bCs/>
                            <w:szCs w:val="24"/>
                          </w:rPr>
                          <w:t>(SVP 1-1-1-08).</w:t>
                        </w:r>
                      </w:p>
                    </w:tc>
                    <w:tc>
                      <w:tcPr>
                        <w:tcW w:w="851" w:type="dxa"/>
                      </w:tcPr>
                      <w:p>
                        <w:pPr>
                          <w:rPr>
                            <w:color w:val="000000"/>
                            <w:szCs w:val="24"/>
                          </w:rPr>
                        </w:pPr>
                        <w:r>
                          <w:rPr>
                            <w:bCs/>
                            <w:color w:val="000000"/>
                            <w:szCs w:val="24"/>
                          </w:rPr>
                          <w:t>100 %</w:t>
                        </w:r>
                      </w:p>
                    </w:tc>
                    <w:tc>
                      <w:tcPr>
                        <w:tcW w:w="850" w:type="dxa"/>
                      </w:tcPr>
                      <w:p>
                        <w:pPr>
                          <w:rPr>
                            <w:szCs w:val="24"/>
                          </w:rPr>
                        </w:pPr>
                        <w:r>
                          <w:rPr>
                            <w:bCs/>
                            <w:szCs w:val="24"/>
                          </w:rPr>
                          <w:t>100 %</w:t>
                        </w:r>
                      </w:p>
                    </w:tc>
                    <w:tc>
                      <w:tcPr>
                        <w:tcW w:w="851" w:type="dxa"/>
                      </w:tcPr>
                      <w:p>
                        <w:pPr>
                          <w:rPr>
                            <w:szCs w:val="24"/>
                          </w:rPr>
                        </w:pPr>
                        <w:r>
                          <w:rPr>
                            <w:bCs/>
                            <w:szCs w:val="24"/>
                          </w:rPr>
                          <w:t>100 %</w:t>
                        </w:r>
                      </w:p>
                    </w:tc>
                    <w:tc>
                      <w:tcPr>
                        <w:tcW w:w="850" w:type="dxa"/>
                      </w:tcPr>
                      <w:p>
                        <w:pPr>
                          <w:rPr>
                            <w:szCs w:val="24"/>
                          </w:rPr>
                        </w:pPr>
                        <w:r>
                          <w:rPr>
                            <w:bCs/>
                            <w:szCs w:val="24"/>
                          </w:rPr>
                          <w:t xml:space="preserve">100 </w:t>
                        </w:r>
                        <w:r>
                          <w:rPr>
                            <w:bCs/>
                            <w:szCs w:val="24"/>
                            <w:lang w:val="en-US"/>
                          </w:rPr>
                          <w:t>%</w:t>
                        </w:r>
                      </w:p>
                    </w:tc>
                    <w:tc>
                      <w:tcPr>
                        <w:tcW w:w="851" w:type="dxa"/>
                        <w:vMerge/>
                      </w:tcPr>
                      <w:p>
                        <w:pPr>
                          <w:rPr>
                            <w:color w:val="000000"/>
                            <w:szCs w:val="24"/>
                          </w:rPr>
                        </w:pPr>
                      </w:p>
                    </w:tc>
                    <w:tc>
                      <w:tcPr>
                        <w:tcW w:w="850" w:type="dxa"/>
                        <w:vMerge/>
                      </w:tcPr>
                      <w:p>
                        <w:pPr>
                          <w:rPr>
                            <w:szCs w:val="24"/>
                          </w:rPr>
                        </w:pPr>
                      </w:p>
                    </w:tc>
                    <w:tc>
                      <w:tcPr>
                        <w:tcW w:w="5245" w:type="dxa"/>
                      </w:tcPr>
                      <w:p>
                        <w:pPr>
                          <w:shd w:val="clear" w:color="auto" w:fill="FFFFFF"/>
                          <w:tabs>
                            <w:tab w:val="left" w:pos="284"/>
                          </w:tabs>
                          <w:ind w:left="31"/>
                          <w:rPr>
                            <w:bCs/>
                            <w:szCs w:val="24"/>
                          </w:rPr>
                        </w:pPr>
                        <w:r>
                          <w:rPr>
                            <w:bCs/>
                            <w:szCs w:val="24"/>
                          </w:rPr>
                          <w:t>Vykdyta susirašinėjimų su Savivaldybės skyriais, kitomis rajono įstaigomis Seniūnijos veiklos klausimais – 48. Išduota pažymų, kitų parengtų dokumentų juridiniams faktams patvirtinti – 22. Vykdyti mažos vertės viešieji pirkimai, perkant prekes, paslaugas, ar darbus – 83. Parengta seniūno įsakymų veiklos, personalo klausimais – 18. (Aukštelkų seniūnija)</w:t>
                        </w:r>
                      </w:p>
                    </w:tc>
                  </w:tr>
                  <w:tr>
                    <w:trPr>
                      <w:trHeight w:val="571"/>
                    </w:trPr>
                    <w:tc>
                      <w:tcPr>
                        <w:tcW w:w="4820" w:type="dxa"/>
                      </w:tcPr>
                      <w:p>
                        <w:pPr>
                          <w:tabs>
                            <w:tab w:val="left" w:pos="890"/>
                          </w:tabs>
                          <w:rPr>
                            <w:bCs/>
                            <w:szCs w:val="24"/>
                          </w:rPr>
                        </w:pPr>
                        <w:r>
                          <w:rPr>
                            <w:bCs/>
                            <w:szCs w:val="24"/>
                          </w:rPr>
                          <w:t xml:space="preserve">18.1.2.1. Tęstinė žemės ūkio funkcijų vykdymo veikla Aukštelkų seniūnijoje. </w:t>
                        </w:r>
                      </w:p>
                      <w:p>
                        <w:pPr>
                          <w:tabs>
                            <w:tab w:val="left" w:pos="890"/>
                          </w:tabs>
                          <w:rPr>
                            <w:bCs/>
                            <w:i/>
                            <w:szCs w:val="24"/>
                          </w:rPr>
                        </w:pPr>
                        <w:r>
                          <w:rPr>
                            <w:bCs/>
                            <w:i/>
                            <w:szCs w:val="24"/>
                          </w:rPr>
                          <w:t>Žemės ūkio funkcijų vykdymo veikla procentais.</w:t>
                        </w:r>
                      </w:p>
                      <w:p>
                        <w:pPr>
                          <w:rPr>
                            <w:szCs w:val="24"/>
                            <w:highlight w:val="yellow"/>
                            <w14:ligatures w14:val="standardContextual"/>
                          </w:rPr>
                        </w:pPr>
                        <w:r>
                          <w:rPr>
                            <w:bCs/>
                            <w:szCs w:val="24"/>
                          </w:rPr>
                          <w:t>(SVP 1-1-1-44A).</w:t>
                        </w:r>
                      </w:p>
                    </w:tc>
                    <w:tc>
                      <w:tcPr>
                        <w:tcW w:w="851" w:type="dxa"/>
                      </w:tcPr>
                      <w:p>
                        <w:pPr>
                          <w:rPr>
                            <w:color w:val="000000"/>
                            <w:szCs w:val="24"/>
                          </w:rPr>
                        </w:pPr>
                        <w:r>
                          <w:rPr>
                            <w:bCs/>
                            <w:i/>
                            <w:iCs/>
                            <w:color w:val="000000"/>
                            <w:szCs w:val="24"/>
                          </w:rPr>
                          <w:t>100 %</w:t>
                        </w:r>
                      </w:p>
                    </w:tc>
                    <w:tc>
                      <w:tcPr>
                        <w:tcW w:w="850" w:type="dxa"/>
                      </w:tcPr>
                      <w:p>
                        <w:pPr>
                          <w:rPr>
                            <w:szCs w:val="24"/>
                          </w:rPr>
                        </w:pPr>
                        <w:r>
                          <w:rPr>
                            <w:bCs/>
                            <w:i/>
                            <w:iCs/>
                            <w:szCs w:val="24"/>
                          </w:rPr>
                          <w:t>100 %</w:t>
                        </w:r>
                      </w:p>
                    </w:tc>
                    <w:tc>
                      <w:tcPr>
                        <w:tcW w:w="851" w:type="dxa"/>
                      </w:tcPr>
                      <w:p>
                        <w:pPr>
                          <w:rPr>
                            <w:szCs w:val="24"/>
                          </w:rPr>
                        </w:pPr>
                        <w:r>
                          <w:rPr>
                            <w:bCs/>
                            <w:i/>
                            <w:iCs/>
                            <w:szCs w:val="24"/>
                          </w:rPr>
                          <w:t>100 %</w:t>
                        </w:r>
                      </w:p>
                    </w:tc>
                    <w:tc>
                      <w:tcPr>
                        <w:tcW w:w="850" w:type="dxa"/>
                      </w:tcPr>
                      <w:p>
                        <w:pPr>
                          <w:rPr>
                            <w:szCs w:val="24"/>
                          </w:rPr>
                        </w:pPr>
                        <w:r>
                          <w:rPr>
                            <w:bCs/>
                            <w:i/>
                            <w:iCs/>
                            <w:szCs w:val="24"/>
                          </w:rPr>
                          <w:t>100 %</w:t>
                        </w:r>
                      </w:p>
                    </w:tc>
                    <w:tc>
                      <w:tcPr>
                        <w:tcW w:w="851" w:type="dxa"/>
                      </w:tcPr>
                      <w:p>
                        <w:pPr>
                          <w:rPr>
                            <w:color w:val="000000"/>
                            <w:szCs w:val="24"/>
                          </w:rPr>
                        </w:pPr>
                      </w:p>
                    </w:tc>
                    <w:tc>
                      <w:tcPr>
                        <w:tcW w:w="850" w:type="dxa"/>
                      </w:tcPr>
                      <w:p>
                        <w:pPr>
                          <w:rPr>
                            <w:szCs w:val="24"/>
                          </w:rPr>
                        </w:pPr>
                      </w:p>
                    </w:tc>
                    <w:tc>
                      <w:tcPr>
                        <w:tcW w:w="5245" w:type="dxa"/>
                      </w:tcPr>
                      <w:p>
                        <w:pPr>
                          <w:tabs>
                            <w:tab w:val="left" w:pos="270"/>
                          </w:tabs>
                          <w:ind w:left="29"/>
                          <w:rPr>
                            <w:bCs/>
                            <w:szCs w:val="24"/>
                          </w:rPr>
                        </w:pPr>
                        <w:r>
                          <w:rPr>
                            <w:bCs/>
                            <w:szCs w:val="24"/>
                          </w:rPr>
                          <w:t>Įvykdytas žemės ūkio naudmenų ir pasėlių deklaravimas, pateiktos 115 žemės ūkio naudmenų ir kitų plotų deklaracijos, prašymų tikslinti deklaracijas. Deklaruotas plotas yra 8622 ha. Įvykdytas valdų / ūkių atnaujinimas, atnaujintos 89 valdos, 45 ūkiai. Vykdytos ūkininkų apklausos, teikiant statistinės ataskaitas – 2 pusmetinės ataskaitos apie grūdų atsargas sandėliuose, 7 savaitinės ataskaitos apie derliaus nuėmimą. Priimta 18 ūkinių gyvūnų deklaracijų. Išduota pažymų – 15. (Aukštelkų seniūnija)</w:t>
                        </w:r>
                      </w:p>
                    </w:tc>
                  </w:tr>
                  <w:tr>
                    <w:trPr>
                      <w:trHeight w:val="571"/>
                    </w:trPr>
                    <w:tc>
                      <w:tcPr>
                        <w:tcW w:w="4820" w:type="dxa"/>
                        <w:tcBorders>
                          <w:bottom w:val="single" w:sz="4" w:space="0" w:color="auto"/>
                        </w:tcBorders>
                      </w:tcPr>
                      <w:p>
                        <w:pPr>
                          <w:tabs>
                            <w:tab w:val="left" w:pos="881"/>
                          </w:tabs>
                          <w:ind w:firstLine="30"/>
                          <w:rPr>
                            <w:rFonts w:eastAsia="Calibri"/>
                            <w:iCs/>
                            <w:color w:val="000000"/>
                            <w:sz w:val="22"/>
                            <w:szCs w:val="24"/>
                          </w:rPr>
                        </w:pPr>
                        <w:r>
                          <w:rPr>
                            <w:rFonts w:eastAsia="Calibri"/>
                            <w:iCs/>
                            <w:color w:val="000000"/>
                            <w:szCs w:val="24"/>
                          </w:rPr>
                          <w:t>19.1.1.1.</w:t>
                          <w:tab/>
                        </w:r>
                        <w:r>
                          <w:rPr>
                            <w:rFonts w:eastAsia="Calibri"/>
                            <w:iCs/>
                            <w:color w:val="000000"/>
                            <w:sz w:val="22"/>
                            <w:szCs w:val="24"/>
                          </w:rPr>
                          <w:t xml:space="preserve">Seniūnijos dokumentų registravimas, rengimas, siuntimas DVS „Kontora“ sistemoje, pirminių apskaitos dokumentų pristatymas Savivaldybei. </w:t>
                        </w:r>
                        <w:r>
                          <w:rPr>
                            <w:iCs/>
                            <w:sz w:val="22"/>
                            <w:szCs w:val="24"/>
                          </w:rPr>
                          <w:t>(SVP 1-1-1-09)</w:t>
                        </w:r>
                      </w:p>
                    </w:tc>
                    <w:tc>
                      <w:tcPr>
                        <w:tcW w:w="851" w:type="dxa"/>
                        <w:tcBorders>
                          <w:bottom w:val="single" w:sz="4" w:space="0" w:color="auto"/>
                        </w:tcBorders>
                      </w:tcPr>
                      <w:p>
                        <w:pPr>
                          <w:rPr>
                            <w:bCs/>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bCs/>
                            <w:szCs w:val="24"/>
                            <w:highlight w:val="yellow"/>
                          </w:rPr>
                        </w:pPr>
                        <w:r>
                          <w:rPr>
                            <w:bCs/>
                            <w:szCs w:val="24"/>
                          </w:rPr>
                          <w:t>100</w:t>
                        </w:r>
                        <w:r>
                          <w:rPr>
                            <w:bCs/>
                            <w:szCs w:val="24"/>
                            <w:lang w:val="en-US"/>
                          </w:rPr>
                          <w:t>%</w:t>
                        </w:r>
                      </w:p>
                    </w:tc>
                    <w:tc>
                      <w:tcPr>
                        <w:tcW w:w="851" w:type="dxa"/>
                        <w:tcBorders>
                          <w:bottom w:val="single" w:sz="4" w:space="0" w:color="auto"/>
                        </w:tcBorders>
                      </w:tcPr>
                      <w:p>
                        <w:pPr>
                          <w:rPr>
                            <w:bCs/>
                            <w:szCs w:val="24"/>
                            <w:highlight w:val="yellow"/>
                          </w:rPr>
                        </w:pPr>
                        <w:r>
                          <w:rPr>
                            <w:bCs/>
                            <w:szCs w:val="24"/>
                          </w:rPr>
                          <w:t>100</w:t>
                        </w:r>
                        <w:r>
                          <w:rPr>
                            <w:bCs/>
                            <w:szCs w:val="24"/>
                            <w:lang w:val="en-US"/>
                          </w:rPr>
                          <w:t>%</w:t>
                        </w:r>
                      </w:p>
                    </w:tc>
                    <w:tc>
                      <w:tcPr>
                        <w:tcW w:w="850" w:type="dxa"/>
                        <w:tcBorders>
                          <w:bottom w:val="single" w:sz="4" w:space="0" w:color="auto"/>
                        </w:tcBorders>
                      </w:tcPr>
                      <w:p>
                        <w:pPr>
                          <w:rPr>
                            <w:bCs/>
                            <w:szCs w:val="24"/>
                            <w:highlight w:val="yellow"/>
                          </w:rPr>
                        </w:pPr>
                        <w:r>
                          <w:rPr>
                            <w:bCs/>
                            <w:szCs w:val="24"/>
                          </w:rPr>
                          <w:t>100</w:t>
                        </w:r>
                        <w:r>
                          <w:rPr>
                            <w:bCs/>
                            <w:szCs w:val="24"/>
                            <w:lang w:val="en-US"/>
                          </w:rPr>
                          <w:t>%</w:t>
                        </w:r>
                      </w:p>
                    </w:tc>
                    <w:tc>
                      <w:tcPr>
                        <w:tcW w:w="851" w:type="dxa"/>
                        <w:vMerge w:val="restart"/>
                      </w:tcPr>
                      <w:p>
                        <w:pPr>
                          <w:rPr>
                            <w:szCs w:val="24"/>
                          </w:rPr>
                        </w:pPr>
                        <w:r>
                          <w:rPr>
                            <w:szCs w:val="24"/>
                          </w:rPr>
                          <w:t>25,85 SB</w:t>
                        </w:r>
                      </w:p>
                      <w:p>
                        <w:pPr>
                          <w:rPr>
                            <w:color w:val="EE0000"/>
                            <w:szCs w:val="24"/>
                          </w:rPr>
                        </w:pPr>
                      </w:p>
                      <w:p>
                        <w:pPr>
                          <w:rPr>
                            <w:color w:val="000000"/>
                            <w:szCs w:val="24"/>
                            <w:highlight w:val="yellow"/>
                          </w:rPr>
                        </w:pPr>
                      </w:p>
                    </w:tc>
                    <w:tc>
                      <w:tcPr>
                        <w:tcW w:w="850" w:type="dxa"/>
                        <w:vMerge w:val="restart"/>
                      </w:tcPr>
                      <w:p>
                        <w:pPr>
                          <w:rPr>
                            <w:szCs w:val="24"/>
                            <w:highlight w:val="yellow"/>
                          </w:rPr>
                        </w:pPr>
                        <w:r>
                          <w:rPr>
                            <w:szCs w:val="24"/>
                          </w:rPr>
                          <w:t>18,95 SB</w:t>
                        </w:r>
                      </w:p>
                    </w:tc>
                    <w:tc>
                      <w:tcPr>
                        <w:tcW w:w="5245" w:type="dxa"/>
                        <w:tcBorders>
                          <w:bottom w:val="single" w:sz="4" w:space="0" w:color="auto"/>
                        </w:tcBorders>
                      </w:tcPr>
                      <w:p>
                        <w:pPr>
                          <w:rPr>
                            <w:szCs w:val="24"/>
                          </w:rPr>
                        </w:pPr>
                        <w:r>
                          <w:rPr>
                            <w:szCs w:val="24"/>
                          </w:rPr>
                          <w:t>(Baisogala seniūnija)</w:t>
                        </w:r>
                      </w:p>
                    </w:tc>
                  </w:tr>
                  <w:tr>
                    <w:trPr>
                      <w:trHeight w:val="571"/>
                    </w:trPr>
                    <w:tc>
                      <w:tcPr>
                        <w:tcW w:w="4820" w:type="dxa"/>
                        <w:tcBorders>
                          <w:bottom w:val="single" w:sz="4" w:space="0" w:color="auto"/>
                        </w:tcBorders>
                      </w:tcPr>
                      <w:p>
                        <w:pPr>
                          <w:rPr>
                            <w:szCs w:val="24"/>
                            <w:highlight w:val="yellow"/>
                            <w14:ligatures w14:val="standardContextual"/>
                          </w:rPr>
                        </w:pPr>
                        <w:r>
                          <w:rPr>
                            <w:rFonts w:eastAsia="Calibri"/>
                            <w:iCs/>
                            <w:color w:val="000000"/>
                            <w:szCs w:val="24"/>
                          </w:rPr>
                          <w:t>19.1.1.2.Mažos vertės viešųjų pirkimų organizavimas ir vykdymas, pirkimų dokumentų tvarkymas.</w:t>
                        </w:r>
                        <w:r>
                          <w:rPr>
                            <w:iCs/>
                            <w:szCs w:val="24"/>
                          </w:rPr>
                          <w:t xml:space="preserve"> (SVP 1-1-1-09)</w:t>
                        </w:r>
                      </w:p>
                    </w:tc>
                    <w:tc>
                      <w:tcPr>
                        <w:tcW w:w="851" w:type="dxa"/>
                        <w:tcBorders>
                          <w:bottom w:val="single" w:sz="4" w:space="0" w:color="auto"/>
                        </w:tcBorders>
                      </w:tcPr>
                      <w:p>
                        <w:pPr>
                          <w:rPr>
                            <w:bCs/>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bCs/>
                            <w:szCs w:val="24"/>
                            <w:highlight w:val="yellow"/>
                          </w:rPr>
                        </w:pPr>
                        <w:r>
                          <w:rPr>
                            <w:bCs/>
                            <w:szCs w:val="24"/>
                          </w:rPr>
                          <w:t>100</w:t>
                        </w:r>
                        <w:r>
                          <w:rPr>
                            <w:bCs/>
                            <w:szCs w:val="24"/>
                            <w:lang w:val="en-US"/>
                          </w:rPr>
                          <w:t>%</w:t>
                        </w:r>
                      </w:p>
                    </w:tc>
                    <w:tc>
                      <w:tcPr>
                        <w:tcW w:w="851" w:type="dxa"/>
                        <w:tcBorders>
                          <w:bottom w:val="single" w:sz="4" w:space="0" w:color="auto"/>
                        </w:tcBorders>
                      </w:tcPr>
                      <w:p>
                        <w:pPr>
                          <w:rPr>
                            <w:bCs/>
                            <w:szCs w:val="24"/>
                            <w:highlight w:val="yellow"/>
                          </w:rPr>
                        </w:pPr>
                        <w:r>
                          <w:rPr>
                            <w:bCs/>
                            <w:szCs w:val="24"/>
                          </w:rPr>
                          <w:t>100</w:t>
                        </w:r>
                        <w:r>
                          <w:rPr>
                            <w:bCs/>
                            <w:szCs w:val="24"/>
                            <w:lang w:val="en-US"/>
                          </w:rPr>
                          <w:t>%</w:t>
                        </w:r>
                      </w:p>
                    </w:tc>
                    <w:tc>
                      <w:tcPr>
                        <w:tcW w:w="850" w:type="dxa"/>
                        <w:tcBorders>
                          <w:bottom w:val="single" w:sz="4" w:space="0" w:color="auto"/>
                        </w:tcBorders>
                      </w:tcPr>
                      <w:p>
                        <w:pPr>
                          <w:rPr>
                            <w:bCs/>
                            <w:szCs w:val="24"/>
                            <w:highlight w:val="yellow"/>
                          </w:rPr>
                        </w:pPr>
                        <w:r>
                          <w:rPr>
                            <w:bCs/>
                            <w:szCs w:val="24"/>
                          </w:rPr>
                          <w:t>100</w:t>
                        </w:r>
                        <w:r>
                          <w:rPr>
                            <w:bCs/>
                            <w:szCs w:val="24"/>
                            <w:lang w:val="en-US"/>
                          </w:rPr>
                          <w:t>%</w:t>
                        </w:r>
                      </w:p>
                    </w:tc>
                    <w:tc>
                      <w:tcPr>
                        <w:tcW w:w="851" w:type="dxa"/>
                        <w:vMerge/>
                      </w:tcPr>
                      <w:p>
                        <w:pPr>
                          <w:rPr>
                            <w:color w:val="000000"/>
                            <w:szCs w:val="24"/>
                            <w:highlight w:val="yellow"/>
                          </w:rPr>
                        </w:pPr>
                      </w:p>
                    </w:tc>
                    <w:tc>
                      <w:tcPr>
                        <w:tcW w:w="850" w:type="dxa"/>
                        <w:vMerge/>
                      </w:tcPr>
                      <w:p>
                        <w:pPr>
                          <w:rPr>
                            <w:szCs w:val="24"/>
                            <w:highlight w:val="yellow"/>
                          </w:rPr>
                        </w:pPr>
                      </w:p>
                    </w:tc>
                    <w:tc>
                      <w:tcPr>
                        <w:tcW w:w="5245" w:type="dxa"/>
                        <w:tcBorders>
                          <w:bottom w:val="single" w:sz="4" w:space="0" w:color="auto"/>
                        </w:tcBorders>
                      </w:tcPr>
                      <w:p>
                        <w:pPr>
                          <w:rPr>
                            <w:szCs w:val="24"/>
                            <w:highlight w:val="yellow"/>
                          </w:rPr>
                        </w:pPr>
                        <w:r>
                          <w:rPr>
                            <w:szCs w:val="24"/>
                          </w:rPr>
                          <w:t>Viešųjų pirkimų organizavimas ir vykdymas užtikrinant seniūnijos teikiamas paslaugas. Įsigytas naujas automobilis Wolkswagen Caddy seniūnijos darbo funkcijoms atlikti. (Baisogala seniūnija)</w:t>
                        </w:r>
                      </w:p>
                    </w:tc>
                  </w:tr>
                  <w:tr>
                    <w:trPr>
                      <w:trHeight w:val="571"/>
                    </w:trPr>
                    <w:tc>
                      <w:tcPr>
                        <w:tcW w:w="4820" w:type="dxa"/>
                        <w:tcBorders>
                          <w:bottom w:val="single" w:sz="4" w:space="0" w:color="auto"/>
                        </w:tcBorders>
                      </w:tcPr>
                      <w:p>
                        <w:pPr>
                          <w:rPr>
                            <w:szCs w:val="24"/>
                            <w14:ligatures w14:val="standardContextual"/>
                          </w:rPr>
                        </w:pPr>
                        <w:r>
                          <w:rPr>
                            <w:rFonts w:eastAsia="Calibri"/>
                            <w:iCs/>
                            <w:color w:val="000000"/>
                            <w:szCs w:val="24"/>
                          </w:rPr>
                          <w:t>19.1.1.3. Pažymų ir leidimų, priskirtų seniūnijos funkcijoms, savalaikis išdavimas.</w:t>
                        </w:r>
                        <w:r>
                          <w:rPr>
                            <w:iCs/>
                            <w:szCs w:val="24"/>
                          </w:rPr>
                          <w:t xml:space="preserve"> (SVP 1-1-1-09)</w:t>
                        </w:r>
                      </w:p>
                    </w:tc>
                    <w:tc>
                      <w:tcPr>
                        <w:tcW w:w="851" w:type="dxa"/>
                        <w:tcBorders>
                          <w:bottom w:val="single" w:sz="4" w:space="0" w:color="auto"/>
                        </w:tcBorders>
                      </w:tcPr>
                      <w:p>
                        <w:pPr>
                          <w:rPr>
                            <w:color w:val="000000"/>
                            <w:szCs w:val="24"/>
                          </w:rPr>
                        </w:pPr>
                        <w:r>
                          <w:rPr>
                            <w:bCs/>
                            <w:color w:val="000000"/>
                            <w:szCs w:val="24"/>
                          </w:rPr>
                          <w:t>100</w:t>
                        </w:r>
                        <w:r>
                          <w:rPr>
                            <w:bCs/>
                            <w:color w:val="000000"/>
                            <w:szCs w:val="24"/>
                            <w:lang w:val="en-US"/>
                          </w:rPr>
                          <w:t>%</w:t>
                        </w:r>
                      </w:p>
                    </w:tc>
                    <w:tc>
                      <w:tcPr>
                        <w:tcW w:w="850" w:type="dxa"/>
                        <w:tcBorders>
                          <w:bottom w:val="single" w:sz="4" w:space="0" w:color="auto"/>
                        </w:tcBorders>
                      </w:tcPr>
                      <w:p>
                        <w:pPr>
                          <w:rPr>
                            <w:szCs w:val="24"/>
                          </w:rPr>
                        </w:pPr>
                        <w:r>
                          <w:rPr>
                            <w:bCs/>
                            <w:szCs w:val="24"/>
                          </w:rPr>
                          <w:t>100</w:t>
                        </w:r>
                        <w:r>
                          <w:rPr>
                            <w:bCs/>
                            <w:szCs w:val="24"/>
                            <w:lang w:val="en-US"/>
                          </w:rPr>
                          <w:t>%</w:t>
                        </w:r>
                      </w:p>
                    </w:tc>
                    <w:tc>
                      <w:tcPr>
                        <w:tcW w:w="851" w:type="dxa"/>
                        <w:tcBorders>
                          <w:bottom w:val="single" w:sz="4" w:space="0" w:color="auto"/>
                        </w:tcBorders>
                      </w:tcPr>
                      <w:p>
                        <w:pPr>
                          <w:rPr>
                            <w:szCs w:val="24"/>
                          </w:rPr>
                        </w:pPr>
                        <w:r>
                          <w:rPr>
                            <w:bCs/>
                            <w:szCs w:val="24"/>
                          </w:rPr>
                          <w:t>100</w:t>
                        </w:r>
                        <w:r>
                          <w:rPr>
                            <w:bCs/>
                            <w:szCs w:val="24"/>
                            <w:lang w:val="en-US"/>
                          </w:rPr>
                          <w:t>%</w:t>
                        </w:r>
                      </w:p>
                    </w:tc>
                    <w:tc>
                      <w:tcPr>
                        <w:tcW w:w="850" w:type="dxa"/>
                        <w:tcBorders>
                          <w:bottom w:val="single" w:sz="4" w:space="0" w:color="auto"/>
                        </w:tcBorders>
                      </w:tcPr>
                      <w:p>
                        <w:pPr>
                          <w:rPr>
                            <w:szCs w:val="24"/>
                          </w:rPr>
                        </w:pPr>
                        <w:r>
                          <w:rPr>
                            <w:bCs/>
                            <w:szCs w:val="24"/>
                          </w:rPr>
                          <w:t>100</w:t>
                        </w:r>
                        <w:r>
                          <w:rPr>
                            <w:bCs/>
                            <w:szCs w:val="24"/>
                            <w:lang w:val="en-US"/>
                          </w:rPr>
                          <w:t>%</w:t>
                        </w:r>
                      </w:p>
                    </w:tc>
                    <w:tc>
                      <w:tcPr>
                        <w:tcW w:w="851" w:type="dxa"/>
                        <w:vMerge/>
                      </w:tcPr>
                      <w:p>
                        <w:pPr>
                          <w:rPr>
                            <w:color w:val="000000"/>
                            <w:szCs w:val="24"/>
                          </w:rPr>
                        </w:pPr>
                      </w:p>
                    </w:tc>
                    <w:tc>
                      <w:tcPr>
                        <w:tcW w:w="850" w:type="dxa"/>
                        <w:vMerge/>
                      </w:tcPr>
                      <w:p>
                        <w:pPr>
                          <w:rPr>
                            <w:szCs w:val="24"/>
                          </w:rPr>
                        </w:pPr>
                      </w:p>
                    </w:tc>
                    <w:tc>
                      <w:tcPr>
                        <w:tcW w:w="5245" w:type="dxa"/>
                        <w:tcBorders>
                          <w:bottom w:val="single" w:sz="4" w:space="0" w:color="auto"/>
                        </w:tcBorders>
                      </w:tcPr>
                      <w:p>
                        <w:pPr>
                          <w:rPr>
                            <w:szCs w:val="24"/>
                          </w:rPr>
                        </w:pPr>
                        <w:r>
                          <w:rPr>
                            <w:szCs w:val="24"/>
                          </w:rPr>
                          <w:t>Išduoti leidimai: laidoti – 66, pertvarkyti kapavietę – 26, prekybai – 88, kasimo darbams – 5, organizuoti renginius – 5. (Baisogala seniūnija)</w:t>
                        </w:r>
                      </w:p>
                    </w:tc>
                  </w:tr>
                  <w:tr>
                    <w:trPr>
                      <w:trHeight w:val="571"/>
                    </w:trPr>
                    <w:tc>
                      <w:tcPr>
                        <w:tcW w:w="4820" w:type="dxa"/>
                        <w:tcBorders>
                          <w:bottom w:val="single" w:sz="4" w:space="0" w:color="auto"/>
                        </w:tcBorders>
                      </w:tcPr>
                      <w:p>
                        <w:pPr>
                          <w:rPr>
                            <w:szCs w:val="24"/>
                            <w:highlight w:val="yellow"/>
                            <w14:ligatures w14:val="standardContextual"/>
                          </w:rPr>
                        </w:pPr>
                        <w:r>
                          <w:rPr>
                            <w:rFonts w:eastAsia="Calibri"/>
                            <w:iCs/>
                            <w:color w:val="000000"/>
                            <w:szCs w:val="24"/>
                          </w:rPr>
                          <w:t>19.1.1.4. Gyventojų skundų ir prašymų savalaikis nagrinėjimas.</w:t>
                        </w:r>
                        <w:r>
                          <w:rPr>
                            <w:iCs/>
                            <w:szCs w:val="24"/>
                          </w:rPr>
                          <w:t xml:space="preserve"> (SVP 1-1-1-09)</w:t>
                        </w:r>
                      </w:p>
                    </w:tc>
                    <w:tc>
                      <w:tcPr>
                        <w:tcW w:w="851" w:type="dxa"/>
                        <w:tcBorders>
                          <w:bottom w:val="single" w:sz="4" w:space="0" w:color="auto"/>
                        </w:tcBorders>
                      </w:tcPr>
                      <w:p>
                        <w:pPr>
                          <w:rPr>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szCs w:val="24"/>
                            <w:highlight w:val="yellow"/>
                          </w:rPr>
                        </w:pPr>
                        <w:r>
                          <w:rPr>
                            <w:bCs/>
                            <w:szCs w:val="24"/>
                          </w:rPr>
                          <w:t>100</w:t>
                        </w:r>
                        <w:r>
                          <w:rPr>
                            <w:bCs/>
                            <w:szCs w:val="24"/>
                            <w:lang w:val="en-US"/>
                          </w:rPr>
                          <w:t>%</w:t>
                        </w:r>
                      </w:p>
                    </w:tc>
                    <w:tc>
                      <w:tcPr>
                        <w:tcW w:w="851" w:type="dxa"/>
                        <w:tcBorders>
                          <w:bottom w:val="single" w:sz="4" w:space="0" w:color="auto"/>
                        </w:tcBorders>
                      </w:tcPr>
                      <w:p>
                        <w:pPr>
                          <w:rPr>
                            <w:szCs w:val="24"/>
                            <w:highlight w:val="yellow"/>
                          </w:rPr>
                        </w:pPr>
                        <w:r>
                          <w:rPr>
                            <w:bCs/>
                            <w:szCs w:val="24"/>
                          </w:rPr>
                          <w:t>100</w:t>
                        </w:r>
                        <w:r>
                          <w:rPr>
                            <w:bCs/>
                            <w:szCs w:val="24"/>
                            <w:lang w:val="en-US"/>
                          </w:rPr>
                          <w:t>%</w:t>
                        </w:r>
                      </w:p>
                    </w:tc>
                    <w:tc>
                      <w:tcPr>
                        <w:tcW w:w="850" w:type="dxa"/>
                        <w:tcBorders>
                          <w:bottom w:val="single" w:sz="4" w:space="0" w:color="auto"/>
                        </w:tcBorders>
                      </w:tcPr>
                      <w:p>
                        <w:pPr>
                          <w:rPr>
                            <w:szCs w:val="24"/>
                            <w:highlight w:val="yellow"/>
                          </w:rPr>
                        </w:pPr>
                        <w:r>
                          <w:rPr>
                            <w:bCs/>
                            <w:szCs w:val="24"/>
                          </w:rPr>
                          <w:t>100</w:t>
                        </w:r>
                        <w:r>
                          <w:rPr>
                            <w:bCs/>
                            <w:szCs w:val="24"/>
                            <w:lang w:val="en-US"/>
                          </w:rPr>
                          <w:t>%</w:t>
                        </w:r>
                      </w:p>
                    </w:tc>
                    <w:tc>
                      <w:tcPr>
                        <w:tcW w:w="851" w:type="dxa"/>
                        <w:vMerge/>
                        <w:tcBorders>
                          <w:bottom w:val="single" w:sz="4" w:space="0" w:color="auto"/>
                        </w:tcBorders>
                      </w:tcPr>
                      <w:p>
                        <w:pPr>
                          <w:rPr>
                            <w:color w:val="000000"/>
                            <w:szCs w:val="24"/>
                            <w:highlight w:val="yellow"/>
                          </w:rPr>
                        </w:pPr>
                      </w:p>
                    </w:tc>
                    <w:tc>
                      <w:tcPr>
                        <w:tcW w:w="850" w:type="dxa"/>
                        <w:vMerge/>
                        <w:tcBorders>
                          <w:bottom w:val="single" w:sz="4" w:space="0" w:color="auto"/>
                        </w:tcBorders>
                      </w:tcPr>
                      <w:p>
                        <w:pPr>
                          <w:rPr>
                            <w:szCs w:val="24"/>
                            <w:highlight w:val="yellow"/>
                          </w:rPr>
                        </w:pPr>
                      </w:p>
                    </w:tc>
                    <w:tc>
                      <w:tcPr>
                        <w:tcW w:w="5245" w:type="dxa"/>
                        <w:tcBorders>
                          <w:bottom w:val="single" w:sz="4" w:space="0" w:color="auto"/>
                        </w:tcBorders>
                      </w:tcPr>
                      <w:p>
                        <w:pPr>
                          <w:rPr>
                            <w:rFonts w:eastAsia="Calibri"/>
                            <w:szCs w:val="24"/>
                          </w:rPr>
                        </w:pPr>
                        <w:r>
                          <w:rPr>
                            <w:rFonts w:eastAsia="Calibri"/>
                            <w:szCs w:val="24"/>
                          </w:rPr>
                          <w:t xml:space="preserve">Skundai – 1,  prašymai – 15.</w:t>
                        </w:r>
                      </w:p>
                      <w:p>
                        <w:pPr>
                          <w:rPr>
                            <w:szCs w:val="24"/>
                            <w:highlight w:val="yellow"/>
                          </w:rPr>
                        </w:pPr>
                        <w:r>
                          <w:rPr>
                            <w:szCs w:val="24"/>
                          </w:rPr>
                          <w:t>(Baisogala seniūnija)</w:t>
                        </w:r>
                      </w:p>
                    </w:tc>
                  </w:tr>
                  <w:tr>
                    <w:trPr>
                      <w:trHeight w:val="571"/>
                    </w:trPr>
                    <w:tc>
                      <w:tcPr>
                        <w:tcW w:w="4820" w:type="dxa"/>
                        <w:tcBorders>
                          <w:bottom w:val="single" w:sz="4" w:space="0" w:color="auto"/>
                        </w:tcBorders>
                      </w:tcPr>
                      <w:p>
                        <w:pPr>
                          <w:rPr>
                            <w:rFonts w:eastAsia="Calibri"/>
                            <w:iCs/>
                            <w:color w:val="000000"/>
                            <w:szCs w:val="24"/>
                          </w:rPr>
                        </w:pPr>
                        <w:r>
                          <w:rPr>
                            <w:rFonts w:eastAsia="Calibri"/>
                            <w:iCs/>
                            <w:color w:val="000000"/>
                            <w:szCs w:val="24"/>
                          </w:rPr>
                          <w:t>19.1.2.1.Gyventojų registro tvarkymas ir duomenų pateikimas valstybės registrui.</w:t>
                        </w:r>
                      </w:p>
                      <w:p>
                        <w:pPr>
                          <w:rPr>
                            <w:szCs w:val="24"/>
                            <w:highlight w:val="yellow"/>
                          </w:rPr>
                        </w:pPr>
                        <w:r>
                          <w:rPr>
                            <w:iCs/>
                            <w:szCs w:val="24"/>
                          </w:rPr>
                          <w:t>(SVP 1-1-1-09)</w:t>
                        </w:r>
                      </w:p>
                    </w:tc>
                    <w:tc>
                      <w:tcPr>
                        <w:tcW w:w="851" w:type="dxa"/>
                        <w:tcBorders>
                          <w:bottom w:val="single" w:sz="4" w:space="0" w:color="auto"/>
                        </w:tcBorders>
                      </w:tcPr>
                      <w:p>
                        <w:pPr>
                          <w:rPr>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szCs w:val="24"/>
                            <w:highlight w:val="yellow"/>
                          </w:rPr>
                        </w:pPr>
                        <w:r>
                          <w:rPr>
                            <w:bCs/>
                            <w:szCs w:val="24"/>
                          </w:rPr>
                          <w:t>100</w:t>
                        </w:r>
                        <w:r>
                          <w:rPr>
                            <w:bCs/>
                            <w:szCs w:val="24"/>
                            <w:lang w:val="en-US"/>
                          </w:rPr>
                          <w:t>%</w:t>
                        </w:r>
                      </w:p>
                    </w:tc>
                    <w:tc>
                      <w:tcPr>
                        <w:tcW w:w="851" w:type="dxa"/>
                        <w:tcBorders>
                          <w:bottom w:val="single" w:sz="4" w:space="0" w:color="auto"/>
                        </w:tcBorders>
                      </w:tcPr>
                      <w:p>
                        <w:pPr>
                          <w:rPr>
                            <w:szCs w:val="24"/>
                            <w:highlight w:val="yellow"/>
                          </w:rPr>
                        </w:pPr>
                        <w:r>
                          <w:rPr>
                            <w:bCs/>
                            <w:szCs w:val="24"/>
                          </w:rPr>
                          <w:t>100</w:t>
                        </w:r>
                        <w:r>
                          <w:rPr>
                            <w:bCs/>
                            <w:szCs w:val="24"/>
                            <w:lang w:val="en-US"/>
                          </w:rPr>
                          <w:t>%</w:t>
                        </w:r>
                      </w:p>
                    </w:tc>
                    <w:tc>
                      <w:tcPr>
                        <w:tcW w:w="850" w:type="dxa"/>
                        <w:tcBorders>
                          <w:bottom w:val="single" w:sz="4" w:space="0" w:color="auto"/>
                        </w:tcBorders>
                      </w:tcPr>
                      <w:p>
                        <w:pPr>
                          <w:rPr>
                            <w:szCs w:val="24"/>
                            <w:highlight w:val="yellow"/>
                          </w:rPr>
                        </w:pPr>
                        <w:r>
                          <w:rPr>
                            <w:bCs/>
                            <w:szCs w:val="24"/>
                          </w:rPr>
                          <w:t>100</w:t>
                        </w:r>
                        <w:r>
                          <w:rPr>
                            <w:bCs/>
                            <w:szCs w:val="24"/>
                            <w:lang w:val="en-US"/>
                          </w:rPr>
                          <w:t>%</w:t>
                        </w:r>
                      </w:p>
                    </w:tc>
                    <w:tc>
                      <w:tcPr>
                        <w:tcW w:w="851" w:type="dxa"/>
                        <w:vMerge/>
                        <w:tcBorders>
                          <w:bottom w:val="single" w:sz="4" w:space="0" w:color="auto"/>
                        </w:tcBorders>
                      </w:tcPr>
                      <w:p>
                        <w:pPr>
                          <w:rPr>
                            <w:color w:val="000000"/>
                            <w:szCs w:val="24"/>
                            <w:highlight w:val="yellow"/>
                          </w:rPr>
                        </w:pPr>
                      </w:p>
                    </w:tc>
                    <w:tc>
                      <w:tcPr>
                        <w:tcW w:w="850" w:type="dxa"/>
                        <w:vMerge/>
                        <w:tcBorders>
                          <w:bottom w:val="single" w:sz="4" w:space="0" w:color="auto"/>
                        </w:tcBorders>
                      </w:tcPr>
                      <w:p>
                        <w:pPr>
                          <w:rPr>
                            <w:szCs w:val="24"/>
                            <w:highlight w:val="yellow"/>
                          </w:rPr>
                        </w:pPr>
                      </w:p>
                    </w:tc>
                    <w:tc>
                      <w:tcPr>
                        <w:tcW w:w="5245" w:type="dxa"/>
                        <w:tcBorders>
                          <w:bottom w:val="single" w:sz="4" w:space="0" w:color="auto"/>
                        </w:tcBorders>
                      </w:tcPr>
                      <w:p>
                        <w:pPr>
                          <w:rPr>
                            <w:szCs w:val="24"/>
                            <w:highlight w:val="yellow"/>
                          </w:rPr>
                        </w:pPr>
                        <w:r>
                          <w:rPr>
                            <w:szCs w:val="24"/>
                          </w:rPr>
                          <w:t xml:space="preserve">Pažymų išduotų apie asmens deklaruotą gyvenamąją vietą – 86, priimtų sprendimų dėl deklaravimo duomenų taisymo, keitimo ir naikinimo – 12, įrauktų į GVNA (gyvenamosios vietos neturinčių asmenų) apskaitą – 49,  atvykimą deklaravusių žmonių – 194, išvykimą deklaravusių – 34. (Baisogalos seniūnija)</w:t>
                        </w:r>
                      </w:p>
                    </w:tc>
                  </w:tr>
                  <w:tr>
                    <w:trPr>
                      <w:trHeight w:val="571"/>
                    </w:trPr>
                    <w:tc>
                      <w:tcPr>
                        <w:tcW w:w="4820" w:type="dxa"/>
                        <w:tcBorders>
                          <w:bottom w:val="single" w:sz="4" w:space="0" w:color="auto"/>
                        </w:tcBorders>
                      </w:tcPr>
                      <w:p>
                        <w:pPr>
                          <w:rPr>
                            <w:rFonts w:eastAsia="Calibri"/>
                            <w:iCs/>
                            <w:color w:val="000000"/>
                            <w:szCs w:val="24"/>
                          </w:rPr>
                        </w:pPr>
                        <w:r>
                          <w:rPr>
                            <w:rFonts w:eastAsia="Calibri"/>
                            <w:iCs/>
                            <w:color w:val="000000"/>
                            <w:szCs w:val="24"/>
                          </w:rPr>
                          <w:t>19.1.2.2. Seniūno notarinių veiksmų atlikimas.</w:t>
                        </w:r>
                      </w:p>
                      <w:p>
                        <w:pPr>
                          <w:rPr>
                            <w:szCs w:val="24"/>
                            <w:highlight w:val="yellow"/>
                          </w:rPr>
                        </w:pPr>
                        <w:r>
                          <w:rPr>
                            <w:iCs/>
                            <w:szCs w:val="24"/>
                          </w:rPr>
                          <w:t>(SVP 1-1-1-09)</w:t>
                        </w:r>
                      </w:p>
                    </w:tc>
                    <w:tc>
                      <w:tcPr>
                        <w:tcW w:w="851" w:type="dxa"/>
                        <w:tcBorders>
                          <w:bottom w:val="single" w:sz="4" w:space="0" w:color="auto"/>
                        </w:tcBorders>
                      </w:tcPr>
                      <w:p>
                        <w:pPr>
                          <w:rPr>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szCs w:val="24"/>
                            <w:highlight w:val="yellow"/>
                          </w:rPr>
                        </w:pPr>
                        <w:r>
                          <w:rPr>
                            <w:bCs/>
                            <w:szCs w:val="24"/>
                          </w:rPr>
                          <w:t>100</w:t>
                        </w:r>
                        <w:r>
                          <w:rPr>
                            <w:bCs/>
                            <w:szCs w:val="24"/>
                            <w:lang w:val="en-US"/>
                          </w:rPr>
                          <w:t>%</w:t>
                        </w:r>
                      </w:p>
                    </w:tc>
                    <w:tc>
                      <w:tcPr>
                        <w:tcW w:w="851" w:type="dxa"/>
                        <w:tcBorders>
                          <w:bottom w:val="single" w:sz="4" w:space="0" w:color="auto"/>
                        </w:tcBorders>
                      </w:tcPr>
                      <w:p>
                        <w:pPr>
                          <w:rPr>
                            <w:szCs w:val="24"/>
                            <w:highlight w:val="yellow"/>
                          </w:rPr>
                        </w:pPr>
                        <w:r>
                          <w:rPr>
                            <w:bCs/>
                            <w:szCs w:val="24"/>
                          </w:rPr>
                          <w:t>100</w:t>
                        </w:r>
                        <w:r>
                          <w:rPr>
                            <w:bCs/>
                            <w:szCs w:val="24"/>
                            <w:lang w:val="en-US"/>
                          </w:rPr>
                          <w:t>%</w:t>
                        </w:r>
                      </w:p>
                    </w:tc>
                    <w:tc>
                      <w:tcPr>
                        <w:tcW w:w="850" w:type="dxa"/>
                        <w:tcBorders>
                          <w:bottom w:val="single" w:sz="4" w:space="0" w:color="auto"/>
                        </w:tcBorders>
                      </w:tcPr>
                      <w:p>
                        <w:pPr>
                          <w:rPr>
                            <w:szCs w:val="24"/>
                            <w:highlight w:val="yellow"/>
                          </w:rPr>
                        </w:pPr>
                        <w:r>
                          <w:rPr>
                            <w:bCs/>
                            <w:szCs w:val="24"/>
                          </w:rPr>
                          <w:t>100</w:t>
                        </w:r>
                        <w:r>
                          <w:rPr>
                            <w:bCs/>
                            <w:szCs w:val="24"/>
                            <w:lang w:val="en-US"/>
                          </w:rPr>
                          <w:t>%</w:t>
                        </w:r>
                      </w:p>
                    </w:tc>
                    <w:tc>
                      <w:tcPr>
                        <w:tcW w:w="851" w:type="dxa"/>
                        <w:tcBorders>
                          <w:bottom w:val="single" w:sz="4" w:space="0" w:color="auto"/>
                        </w:tcBorders>
                      </w:tcPr>
                      <w:p>
                        <w:pPr>
                          <w:rPr>
                            <w:color w:val="000000"/>
                            <w:szCs w:val="24"/>
                            <w:highlight w:val="yellow"/>
                          </w:rPr>
                        </w:pPr>
                      </w:p>
                    </w:tc>
                    <w:tc>
                      <w:tcPr>
                        <w:tcW w:w="850" w:type="dxa"/>
                        <w:tcBorders>
                          <w:bottom w:val="single" w:sz="4" w:space="0" w:color="auto"/>
                        </w:tcBorders>
                      </w:tcPr>
                      <w:p>
                        <w:pPr>
                          <w:rPr>
                            <w:szCs w:val="24"/>
                            <w:highlight w:val="yellow"/>
                          </w:rPr>
                        </w:pPr>
                      </w:p>
                    </w:tc>
                    <w:tc>
                      <w:tcPr>
                        <w:tcW w:w="5245" w:type="dxa"/>
                        <w:tcBorders>
                          <w:bottom w:val="single" w:sz="4" w:space="0" w:color="auto"/>
                        </w:tcBorders>
                      </w:tcPr>
                      <w:p>
                        <w:pPr>
                          <w:rPr>
                            <w:szCs w:val="24"/>
                          </w:rPr>
                        </w:pPr>
                        <w:r>
                          <w:rPr>
                            <w:szCs w:val="24"/>
                          </w:rPr>
                          <w:t xml:space="preserve">Surašyti 9 testamentai, patvirtintos 31 dokumentų kopijos, surašyti 24 įgaliojimai imti pensiją. </w:t>
                        </w:r>
                      </w:p>
                      <w:p>
                        <w:pPr>
                          <w:rPr>
                            <w:szCs w:val="24"/>
                            <w:highlight w:val="yellow"/>
                          </w:rPr>
                        </w:pPr>
                        <w:r>
                          <w:rPr>
                            <w:szCs w:val="24"/>
                          </w:rPr>
                          <w:t>(Baisogalos seniūnija)</w:t>
                        </w:r>
                      </w:p>
                    </w:tc>
                  </w:tr>
                  <w:tr>
                    <w:trPr>
                      <w:trHeight w:val="571"/>
                    </w:trPr>
                    <w:tc>
                      <w:tcPr>
                        <w:tcW w:w="4820" w:type="dxa"/>
                        <w:tcBorders>
                          <w:bottom w:val="single" w:sz="4" w:space="0" w:color="auto"/>
                        </w:tcBorders>
                      </w:tcPr>
                      <w:p>
                        <w:pPr>
                          <w:rPr>
                            <w:bCs/>
                            <w:iCs/>
                            <w:szCs w:val="24"/>
                            <w:highlight w:val="yellow"/>
                          </w:rPr>
                        </w:pPr>
                        <w:r>
                          <w:rPr>
                            <w:rFonts w:eastAsia="Calibri"/>
                            <w:iCs/>
                            <w:color w:val="000000"/>
                            <w:szCs w:val="24"/>
                          </w:rPr>
                          <w:t>19.1.2.3. Užimtumo didinimo programos vykdymas.</w:t>
                        </w:r>
                        <w:r>
                          <w:rPr>
                            <w:iCs/>
                            <w:szCs w:val="24"/>
                          </w:rPr>
                          <w:t xml:space="preserve"> (SVP 1-1-1-09)</w:t>
                        </w:r>
                      </w:p>
                    </w:tc>
                    <w:tc>
                      <w:tcPr>
                        <w:tcW w:w="851" w:type="dxa"/>
                        <w:tcBorders>
                          <w:bottom w:val="single" w:sz="4" w:space="0" w:color="auto"/>
                        </w:tcBorders>
                      </w:tcPr>
                      <w:p>
                        <w:pPr>
                          <w:rPr>
                            <w:rFonts w:eastAsia="Calibri"/>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rFonts w:eastAsia="Calibri"/>
                            <w:szCs w:val="24"/>
                            <w:highlight w:val="yellow"/>
                          </w:rPr>
                        </w:pPr>
                        <w:r>
                          <w:rPr>
                            <w:bCs/>
                            <w:szCs w:val="24"/>
                          </w:rPr>
                          <w:t>100</w:t>
                        </w:r>
                        <w:r>
                          <w:rPr>
                            <w:bCs/>
                            <w:szCs w:val="24"/>
                            <w:lang w:val="en-US"/>
                          </w:rPr>
                          <w:t>%</w:t>
                        </w:r>
                      </w:p>
                    </w:tc>
                    <w:tc>
                      <w:tcPr>
                        <w:tcW w:w="851" w:type="dxa"/>
                        <w:tcBorders>
                          <w:bottom w:val="single" w:sz="4" w:space="0" w:color="auto"/>
                        </w:tcBorders>
                      </w:tcPr>
                      <w:p>
                        <w:pPr>
                          <w:rPr>
                            <w:rFonts w:eastAsia="Calibri"/>
                            <w:szCs w:val="24"/>
                            <w:highlight w:val="yellow"/>
                          </w:rPr>
                        </w:pPr>
                        <w:r>
                          <w:rPr>
                            <w:bCs/>
                            <w:szCs w:val="24"/>
                          </w:rPr>
                          <w:t>100</w:t>
                        </w:r>
                        <w:r>
                          <w:rPr>
                            <w:bCs/>
                            <w:szCs w:val="24"/>
                            <w:lang w:val="en-US"/>
                          </w:rPr>
                          <w:t>%</w:t>
                        </w:r>
                      </w:p>
                    </w:tc>
                    <w:tc>
                      <w:tcPr>
                        <w:tcW w:w="850" w:type="dxa"/>
                        <w:tcBorders>
                          <w:bottom w:val="single" w:sz="4" w:space="0" w:color="auto"/>
                        </w:tcBorders>
                      </w:tcPr>
                      <w:p>
                        <w:pPr>
                          <w:rPr>
                            <w:rFonts w:eastAsia="Calibri"/>
                            <w:szCs w:val="24"/>
                            <w:highlight w:val="yellow"/>
                          </w:rPr>
                        </w:pPr>
                        <w:r>
                          <w:rPr>
                            <w:bCs/>
                            <w:szCs w:val="24"/>
                          </w:rPr>
                          <w:t>100</w:t>
                        </w:r>
                        <w:r>
                          <w:rPr>
                            <w:bCs/>
                            <w:szCs w:val="24"/>
                            <w:lang w:val="en-US"/>
                          </w:rPr>
                          <w:t>%</w:t>
                        </w:r>
                      </w:p>
                    </w:tc>
                    <w:tc>
                      <w:tcPr>
                        <w:tcW w:w="851" w:type="dxa"/>
                        <w:tcBorders>
                          <w:bottom w:val="single" w:sz="4" w:space="0" w:color="auto"/>
                        </w:tcBorders>
                      </w:tcPr>
                      <w:p>
                        <w:pPr>
                          <w:rPr>
                            <w:color w:val="000000"/>
                            <w:szCs w:val="24"/>
                            <w:highlight w:val="yellow"/>
                          </w:rPr>
                        </w:pPr>
                      </w:p>
                    </w:tc>
                    <w:tc>
                      <w:tcPr>
                        <w:tcW w:w="850" w:type="dxa"/>
                        <w:tcBorders>
                          <w:bottom w:val="single" w:sz="4" w:space="0" w:color="auto"/>
                        </w:tcBorders>
                      </w:tcPr>
                      <w:p>
                        <w:pPr>
                          <w:rPr>
                            <w:szCs w:val="24"/>
                            <w:highlight w:val="yellow"/>
                          </w:rPr>
                        </w:pPr>
                      </w:p>
                    </w:tc>
                    <w:tc>
                      <w:tcPr>
                        <w:tcW w:w="5245" w:type="dxa"/>
                        <w:tcBorders>
                          <w:bottom w:val="single" w:sz="4" w:space="0" w:color="auto"/>
                        </w:tcBorders>
                      </w:tcPr>
                      <w:p>
                        <w:pPr>
                          <w:rPr>
                            <w:szCs w:val="24"/>
                          </w:rPr>
                        </w:pPr>
                        <w:r>
                          <w:rPr>
                            <w:szCs w:val="24"/>
                          </w:rPr>
                          <w:t>Dirbo 4 asmenys iš UDP.</w:t>
                        </w:r>
                      </w:p>
                      <w:p>
                        <w:pPr>
                          <w:rPr>
                            <w:rFonts w:eastAsia="Calibri"/>
                            <w:szCs w:val="24"/>
                            <w:highlight w:val="yellow"/>
                          </w:rPr>
                        </w:pPr>
                        <w:r>
                          <w:rPr>
                            <w:szCs w:val="24"/>
                          </w:rPr>
                          <w:t>(Baisogalos seniūnija)</w:t>
                        </w:r>
                      </w:p>
                    </w:tc>
                  </w:tr>
                  <w:tr>
                    <w:trPr>
                      <w:trHeight w:val="571"/>
                    </w:trPr>
                    <w:tc>
                      <w:tcPr>
                        <w:tcW w:w="4820" w:type="dxa"/>
                        <w:tcBorders>
                          <w:bottom w:val="single" w:sz="4" w:space="0" w:color="auto"/>
                        </w:tcBorders>
                      </w:tcPr>
                      <w:p>
                        <w:pPr>
                          <w:rPr>
                            <w:rFonts w:eastAsia="Calibri"/>
                            <w:iCs/>
                            <w:color w:val="000000"/>
                            <w:szCs w:val="24"/>
                          </w:rPr>
                        </w:pPr>
                        <w:r>
                          <w:rPr>
                            <w:rFonts w:eastAsia="Calibri"/>
                            <w:iCs/>
                            <w:color w:val="000000"/>
                            <w:szCs w:val="24"/>
                          </w:rPr>
                          <w:t>19.1.2.4. Žemės ūkio naudmenų ir kitų plotų, valdų, derliaus, ūkinių gyvūnų duomenų pateikimas valstybės registrams.</w:t>
                        </w:r>
                      </w:p>
                      <w:p>
                        <w:pPr>
                          <w:rPr>
                            <w:bCs/>
                            <w:iCs/>
                            <w:szCs w:val="24"/>
                            <w:highlight w:val="yellow"/>
                          </w:rPr>
                        </w:pPr>
                        <w:r>
                          <w:rPr>
                            <w:rFonts w:eastAsia="Calibri"/>
                            <w:iCs/>
                            <w:color w:val="000000"/>
                            <w:szCs w:val="24"/>
                          </w:rPr>
                          <w:t xml:space="preserve">(SVP </w:t>
                        </w:r>
                        <w:r>
                          <w:rPr>
                            <w:rFonts w:eastAsia="Calibri"/>
                            <w:i/>
                            <w:iCs/>
                            <w:color w:val="000000"/>
                            <w:szCs w:val="24"/>
                          </w:rPr>
                          <w:t>1-1-1-44A)</w:t>
                        </w:r>
                      </w:p>
                    </w:tc>
                    <w:tc>
                      <w:tcPr>
                        <w:tcW w:w="851" w:type="dxa"/>
                        <w:tcBorders>
                          <w:bottom w:val="single" w:sz="4" w:space="0" w:color="auto"/>
                        </w:tcBorders>
                      </w:tcPr>
                      <w:p>
                        <w:pPr>
                          <w:rPr>
                            <w:rFonts w:eastAsia="Calibri"/>
                            <w:color w:val="000000"/>
                            <w:szCs w:val="24"/>
                            <w:highlight w:val="yellow"/>
                          </w:rPr>
                        </w:pPr>
                        <w:r>
                          <w:rPr>
                            <w:bCs/>
                            <w:color w:val="000000"/>
                            <w:szCs w:val="24"/>
                          </w:rPr>
                          <w:t>100</w:t>
                        </w:r>
                        <w:r>
                          <w:rPr>
                            <w:bCs/>
                            <w:color w:val="000000"/>
                            <w:szCs w:val="24"/>
                            <w:lang w:val="en-US"/>
                          </w:rPr>
                          <w:t>%</w:t>
                        </w:r>
                      </w:p>
                    </w:tc>
                    <w:tc>
                      <w:tcPr>
                        <w:tcW w:w="850" w:type="dxa"/>
                        <w:tcBorders>
                          <w:bottom w:val="single" w:sz="4" w:space="0" w:color="auto"/>
                        </w:tcBorders>
                      </w:tcPr>
                      <w:p>
                        <w:pPr>
                          <w:rPr>
                            <w:rFonts w:eastAsia="Calibri"/>
                            <w:szCs w:val="24"/>
                            <w:highlight w:val="yellow"/>
                          </w:rPr>
                        </w:pPr>
                        <w:r>
                          <w:rPr>
                            <w:bCs/>
                            <w:szCs w:val="24"/>
                          </w:rPr>
                          <w:t>100</w:t>
                        </w:r>
                        <w:r>
                          <w:rPr>
                            <w:bCs/>
                            <w:szCs w:val="24"/>
                            <w:lang w:val="en-US"/>
                          </w:rPr>
                          <w:t>%</w:t>
                        </w:r>
                      </w:p>
                    </w:tc>
                    <w:tc>
                      <w:tcPr>
                        <w:tcW w:w="851" w:type="dxa"/>
                        <w:tcBorders>
                          <w:bottom w:val="single" w:sz="4" w:space="0" w:color="auto"/>
                        </w:tcBorders>
                      </w:tcPr>
                      <w:p>
                        <w:pPr>
                          <w:rPr>
                            <w:rFonts w:eastAsia="Calibri"/>
                            <w:szCs w:val="24"/>
                            <w:highlight w:val="yellow"/>
                          </w:rPr>
                        </w:pPr>
                        <w:r>
                          <w:rPr>
                            <w:bCs/>
                            <w:szCs w:val="24"/>
                          </w:rPr>
                          <w:t>100</w:t>
                        </w:r>
                        <w:r>
                          <w:rPr>
                            <w:bCs/>
                            <w:szCs w:val="24"/>
                            <w:lang w:val="en-US"/>
                          </w:rPr>
                          <w:t>%</w:t>
                        </w:r>
                      </w:p>
                    </w:tc>
                    <w:tc>
                      <w:tcPr>
                        <w:tcW w:w="850" w:type="dxa"/>
                        <w:tcBorders>
                          <w:bottom w:val="single" w:sz="4" w:space="0" w:color="auto"/>
                        </w:tcBorders>
                      </w:tcPr>
                      <w:p>
                        <w:pPr>
                          <w:rPr>
                            <w:rFonts w:eastAsia="Calibri"/>
                            <w:szCs w:val="24"/>
                            <w:highlight w:val="yellow"/>
                          </w:rPr>
                        </w:pPr>
                        <w:r>
                          <w:rPr>
                            <w:bCs/>
                            <w:szCs w:val="24"/>
                          </w:rPr>
                          <w:t>100</w:t>
                        </w:r>
                        <w:r>
                          <w:rPr>
                            <w:bCs/>
                            <w:szCs w:val="24"/>
                            <w:lang w:val="en-US"/>
                          </w:rPr>
                          <w:t>%</w:t>
                        </w:r>
                      </w:p>
                    </w:tc>
                    <w:tc>
                      <w:tcPr>
                        <w:tcW w:w="851" w:type="dxa"/>
                        <w:tcBorders>
                          <w:bottom w:val="single" w:sz="4" w:space="0" w:color="auto"/>
                        </w:tcBorders>
                      </w:tcPr>
                      <w:p>
                        <w:pPr>
                          <w:rPr>
                            <w:color w:val="000000"/>
                            <w:szCs w:val="24"/>
                            <w:highlight w:val="yellow"/>
                          </w:rPr>
                        </w:pPr>
                      </w:p>
                    </w:tc>
                    <w:tc>
                      <w:tcPr>
                        <w:tcW w:w="850" w:type="dxa"/>
                        <w:tcBorders>
                          <w:bottom w:val="single" w:sz="4" w:space="0" w:color="auto"/>
                        </w:tcBorders>
                      </w:tcPr>
                      <w:p>
                        <w:pPr>
                          <w:rPr>
                            <w:szCs w:val="24"/>
                            <w:highlight w:val="yellow"/>
                          </w:rPr>
                        </w:pPr>
                      </w:p>
                    </w:tc>
                    <w:tc>
                      <w:tcPr>
                        <w:tcW w:w="5245" w:type="dxa"/>
                        <w:tcBorders>
                          <w:bottom w:val="single" w:sz="4" w:space="0" w:color="auto"/>
                        </w:tcBorders>
                      </w:tcPr>
                      <w:p>
                        <w:pPr>
                          <w:rPr>
                            <w:rFonts w:eastAsia="Calibri"/>
                            <w:szCs w:val="24"/>
                          </w:rPr>
                        </w:pPr>
                        <w:r>
                          <w:rPr>
                            <w:rFonts w:eastAsia="Calibri"/>
                            <w:szCs w:val="24"/>
                          </w:rPr>
                          <w:t>Priimta ir elektroniniu būdu įbraižyta 184 paraiškos paramai už žemės ūkio naudmenas ir kitus plotus. Atnaujinta 180 žemės ūkio valdų žemės ūkio ir kaimo registre. Įregistruota 1 nauja ūkininkų valda. Išregistruotos 3 ūkininkų valdos. Atnaujinta 105 ūkininkų ūkių</w:t>
                        </w:r>
                        <w:r>
                          <w:rPr>
                            <w:szCs w:val="24"/>
                          </w:rPr>
                          <w:t xml:space="preserve"> (Baisogala seniūnija).</w:t>
                        </w:r>
                      </w:p>
                    </w:tc>
                  </w:tr>
                  <w:tr>
                    <w:trPr>
                      <w:trHeight w:val="571"/>
                    </w:trPr>
                    <w:tc>
                      <w:tcPr>
                        <w:tcW w:w="4820" w:type="dxa"/>
                        <w:tcBorders>
                          <w:bottom w:val="nil"/>
                        </w:tcBorders>
                      </w:tcPr>
                      <w:p>
                        <w:pPr>
                          <w:rPr>
                            <w:rFonts w:eastAsia="Calibri"/>
                            <w:bCs/>
                            <w:iCs/>
                            <w:szCs w:val="24"/>
                          </w:rPr>
                        </w:pPr>
                        <w:r>
                          <w:rPr>
                            <w:rFonts w:eastAsia="Calibri"/>
                            <w:bCs/>
                            <w:iCs/>
                            <w:szCs w:val="24"/>
                          </w:rPr>
                          <w:t xml:space="preserve">19.1.3.1. Išplėstinių seniūnaičių sueigų, seniūnijos gyventojų sueigų, tikslinių susirinkimų organizavimas.   </w:t>
                        </w:r>
                      </w:p>
                      <w:p>
                        <w:pPr>
                          <w:rPr>
                            <w:bCs/>
                            <w:iCs/>
                            <w:szCs w:val="24"/>
                            <w:highlight w:val="yellow"/>
                          </w:rPr>
                        </w:pPr>
                        <w:r>
                          <w:rPr>
                            <w:iCs/>
                            <w:szCs w:val="24"/>
                          </w:rPr>
                          <w:t>(SVP 1-1-1-09)</w:t>
                        </w:r>
                      </w:p>
                    </w:tc>
                    <w:tc>
                      <w:tcPr>
                        <w:tcW w:w="851" w:type="dxa"/>
                      </w:tcPr>
                      <w:p>
                        <w:pPr>
                          <w:rPr>
                            <w:rFonts w:eastAsia="Calibri"/>
                            <w:color w:val="000000"/>
                            <w:szCs w:val="24"/>
                            <w:highlight w:val="yellow"/>
                          </w:rPr>
                        </w:pPr>
                        <w:r>
                          <w:rPr>
                            <w:bCs/>
                            <w:color w:val="000000"/>
                            <w:szCs w:val="24"/>
                          </w:rPr>
                          <w:t>3 vnt.</w:t>
                        </w:r>
                      </w:p>
                    </w:tc>
                    <w:tc>
                      <w:tcPr>
                        <w:tcW w:w="850" w:type="dxa"/>
                      </w:tcPr>
                      <w:p>
                        <w:pPr>
                          <w:rPr>
                            <w:rFonts w:eastAsia="Calibri"/>
                            <w:szCs w:val="24"/>
                            <w:highlight w:val="yellow"/>
                          </w:rPr>
                        </w:pPr>
                        <w:r>
                          <w:rPr>
                            <w:bCs/>
                            <w:color w:val="000000"/>
                            <w:szCs w:val="24"/>
                          </w:rPr>
                          <w:t>5 vnt.</w:t>
                        </w:r>
                      </w:p>
                    </w:tc>
                    <w:tc>
                      <w:tcPr>
                        <w:tcW w:w="851" w:type="dxa"/>
                      </w:tcPr>
                      <w:p>
                        <w:pPr>
                          <w:rPr>
                            <w:rFonts w:eastAsia="Calibri"/>
                            <w:szCs w:val="24"/>
                            <w:highlight w:val="yellow"/>
                          </w:rPr>
                        </w:pPr>
                        <w:r>
                          <w:rPr>
                            <w:bCs/>
                            <w:color w:val="000000"/>
                            <w:szCs w:val="24"/>
                          </w:rPr>
                          <w:t>6 vnt.</w:t>
                        </w:r>
                      </w:p>
                    </w:tc>
                    <w:tc>
                      <w:tcPr>
                        <w:tcW w:w="850" w:type="dxa"/>
                      </w:tcPr>
                      <w:p>
                        <w:pPr>
                          <w:rPr>
                            <w:rFonts w:eastAsia="Calibri"/>
                            <w:szCs w:val="24"/>
                            <w:highlight w:val="yellow"/>
                          </w:rPr>
                        </w:pPr>
                        <w:r>
                          <w:rPr>
                            <w:bCs/>
                            <w:color w:val="000000"/>
                            <w:szCs w:val="24"/>
                          </w:rPr>
                          <w:t>4 vnt.</w:t>
                        </w:r>
                      </w:p>
                    </w:tc>
                    <w:tc>
                      <w:tcPr>
                        <w:tcW w:w="851" w:type="dxa"/>
                        <w:tcBorders>
                          <w:top w:val="single" w:sz="4" w:space="0" w:color="auto"/>
                          <w:bottom w:val="nil"/>
                        </w:tcBorders>
                      </w:tcPr>
                      <w:p>
                        <w:pPr>
                          <w:rPr>
                            <w:color w:val="000000"/>
                            <w:szCs w:val="24"/>
                            <w:highlight w:val="yellow"/>
                          </w:rPr>
                        </w:pPr>
                      </w:p>
                    </w:tc>
                    <w:tc>
                      <w:tcPr>
                        <w:tcW w:w="850" w:type="dxa"/>
                        <w:tcBorders>
                          <w:top w:val="single" w:sz="4" w:space="0" w:color="auto"/>
                          <w:bottom w:val="nil"/>
                        </w:tcBorders>
                      </w:tcPr>
                      <w:p>
                        <w:pPr>
                          <w:rPr>
                            <w:szCs w:val="24"/>
                            <w:highlight w:val="yellow"/>
                          </w:rPr>
                        </w:pPr>
                      </w:p>
                    </w:tc>
                    <w:tc>
                      <w:tcPr>
                        <w:tcW w:w="5245" w:type="dxa"/>
                      </w:tcPr>
                      <w:p>
                        <w:pPr>
                          <w:rPr>
                            <w:rFonts w:eastAsia="Calibri"/>
                            <w:szCs w:val="24"/>
                          </w:rPr>
                        </w:pPr>
                        <w:r>
                          <w:rPr>
                            <w:rFonts w:eastAsia="Calibri"/>
                            <w:szCs w:val="24"/>
                          </w:rPr>
                          <w:t xml:space="preserve">2025 m. vasario 25 d. šaukta išplėstinė seniūnaičių sueiga dėl 2024 m. seniūno ataskaitos ir planuojamų 2025 m. darbų. 2025 m. lapkričio 26 d. šaukta  išplėstinė seniūnaičių sueiga dėl seniūnijos kelių plėtros programos prioritetinio sąrašo sudarymo 2026 m. ir tolimesniems. 2025 m. buvo suorganizuoti 3 Baisogalos seniūnijos gyventojų susirinkimai dėl Baisogalos miestelio bendrojo plano keitimo. 2025 m. gegužės mėn. sukviestas Baisogalos seniūnijos gyventojų susitikimas su Radviliškio rajono savivaldybės meru,  administracijos atstovais ir seniūnu. </w:t>
                        </w:r>
                        <w:r>
                          <w:rPr>
                            <w:szCs w:val="24"/>
                          </w:rPr>
                          <w:t>(Baisogalos seniūnija)</w:t>
                        </w:r>
                      </w:p>
                    </w:tc>
                  </w:tr>
                  <w:tr>
                    <w:trPr>
                      <w:trHeight w:val="571"/>
                    </w:trPr>
                    <w:tc>
                      <w:tcPr>
                        <w:tcW w:w="4820" w:type="dxa"/>
                      </w:tcPr>
                      <w:p>
                        <w:pPr>
                          <w:rPr>
                            <w:rFonts w:eastAsia="Calibri"/>
                            <w:bCs/>
                            <w:iCs/>
                            <w:szCs w:val="24"/>
                          </w:rPr>
                        </w:pPr>
                        <w:r>
                          <w:rPr>
                            <w:rFonts w:eastAsia="Calibri"/>
                            <w:bCs/>
                            <w:iCs/>
                            <w:szCs w:val="24"/>
                          </w:rPr>
                          <w:t>20.1.1.1. Tęstinės Savivaldybės administracijos darbo organizavimo veiklos užtikrinimas.</w:t>
                        </w:r>
                      </w:p>
                      <w:p>
                        <w:pPr>
                          <w:rPr>
                            <w:szCs w:val="24"/>
                            <w:highlight w:val="yellow"/>
                            <w14:ligatures w14:val="standardContextual"/>
                          </w:rPr>
                        </w:pPr>
                        <w:r>
                          <w:rPr>
                            <w:rFonts w:eastAsia="Calibri"/>
                            <w:bCs/>
                            <w:iCs/>
                            <w:szCs w:val="24"/>
                          </w:rPr>
                          <w:t>(SVP 1-1-1-10)</w:t>
                        </w:r>
                      </w:p>
                    </w:tc>
                    <w:tc>
                      <w:tcPr>
                        <w:tcW w:w="851" w:type="dxa"/>
                      </w:tcPr>
                      <w:p>
                        <w:pPr>
                          <w:rPr>
                            <w:color w:val="000000"/>
                            <w:szCs w:val="24"/>
                          </w:rPr>
                        </w:pPr>
                        <w:r>
                          <w:rPr>
                            <w:rFonts w:eastAsia="Calibri"/>
                            <w:color w:val="000000"/>
                            <w:szCs w:val="24"/>
                          </w:rPr>
                          <w:t>100 %</w:t>
                        </w:r>
                      </w:p>
                    </w:tc>
                    <w:tc>
                      <w:tcPr>
                        <w:tcW w:w="850" w:type="dxa"/>
                      </w:tcPr>
                      <w:p>
                        <w:pPr>
                          <w:rPr>
                            <w:szCs w:val="24"/>
                          </w:rPr>
                        </w:pPr>
                        <w:r>
                          <w:rPr>
                            <w:rFonts w:eastAsia="Calibri"/>
                            <w:szCs w:val="24"/>
                          </w:rPr>
                          <w:t>100 %</w:t>
                        </w:r>
                      </w:p>
                    </w:tc>
                    <w:tc>
                      <w:tcPr>
                        <w:tcW w:w="851" w:type="dxa"/>
                      </w:tcPr>
                      <w:p>
                        <w:pPr>
                          <w:rPr>
                            <w:szCs w:val="24"/>
                          </w:rPr>
                        </w:pPr>
                        <w:r>
                          <w:rPr>
                            <w:szCs w:val="24"/>
                          </w:rPr>
                          <w:t>100 %</w:t>
                        </w:r>
                      </w:p>
                    </w:tc>
                    <w:tc>
                      <w:tcPr>
                        <w:tcW w:w="850" w:type="dxa"/>
                      </w:tcPr>
                      <w:p>
                        <w:pPr>
                          <w:rPr>
                            <w:szCs w:val="24"/>
                          </w:rPr>
                        </w:pPr>
                        <w:r>
                          <w:rPr>
                            <w:szCs w:val="24"/>
                          </w:rPr>
                          <w:t xml:space="preserve">100 </w:t>
                        </w:r>
                        <w:r>
                          <w:rPr>
                            <w:szCs w:val="24"/>
                            <w:lang w:val="en-US"/>
                          </w:rPr>
                          <w:t>%</w:t>
                        </w:r>
                      </w:p>
                    </w:tc>
                    <w:tc>
                      <w:tcPr>
                        <w:tcW w:w="851" w:type="dxa"/>
                        <w:vMerge w:val="restart"/>
                      </w:tcPr>
                      <w:p>
                        <w:pPr>
                          <w:rPr>
                            <w:rFonts w:eastAsia="Calibri"/>
                            <w:szCs w:val="24"/>
                          </w:rPr>
                        </w:pPr>
                        <w:r>
                          <w:rPr>
                            <w:rFonts w:eastAsia="Calibri"/>
                            <w:szCs w:val="24"/>
                          </w:rPr>
                          <w:t>25,2</w:t>
                        </w:r>
                      </w:p>
                      <w:p>
                        <w:pPr>
                          <w:rPr>
                            <w:rFonts w:eastAsia="Calibri"/>
                            <w:szCs w:val="24"/>
                          </w:rPr>
                        </w:pPr>
                        <w:r>
                          <w:rPr>
                            <w:rFonts w:eastAsia="Calibri"/>
                            <w:szCs w:val="24"/>
                          </w:rPr>
                          <w:t>SB</w:t>
                        </w:r>
                      </w:p>
                      <w:p>
                        <w:pPr>
                          <w:rPr>
                            <w:rFonts w:eastAsia="Calibri"/>
                            <w:szCs w:val="24"/>
                          </w:rPr>
                        </w:pPr>
                      </w:p>
                      <w:p>
                        <w:pPr>
                          <w:rPr>
                            <w:color w:val="000000"/>
                            <w:szCs w:val="24"/>
                          </w:rPr>
                        </w:pPr>
                      </w:p>
                    </w:tc>
                    <w:tc>
                      <w:tcPr>
                        <w:tcW w:w="850" w:type="dxa"/>
                        <w:vMerge w:val="restart"/>
                      </w:tcPr>
                      <w:p>
                        <w:pPr>
                          <w:rPr>
                            <w:rFonts w:eastAsia="Calibri"/>
                            <w:szCs w:val="24"/>
                          </w:rPr>
                        </w:pPr>
                        <w:r>
                          <w:rPr>
                            <w:rFonts w:eastAsia="Calibri"/>
                            <w:szCs w:val="24"/>
                          </w:rPr>
                          <w:t xml:space="preserve">25,2 SB </w:t>
                        </w:r>
                      </w:p>
                      <w:p>
                        <w:pPr>
                          <w:rPr>
                            <w:szCs w:val="24"/>
                          </w:rPr>
                        </w:pPr>
                      </w:p>
                    </w:tc>
                    <w:tc>
                      <w:tcPr>
                        <w:tcW w:w="5245" w:type="dxa"/>
                      </w:tcPr>
                      <w:p>
                        <w:pPr>
                          <w:rPr>
                            <w:szCs w:val="24"/>
                          </w:rPr>
                        </w:pPr>
                        <w:r>
                          <w:rPr>
                            <w:szCs w:val="24"/>
                          </w:rPr>
                          <w:t>Užtikrinta Administracijos veikla seniūnijoje (komunaliniai mokesčiai, prekės ir paslaugos) (Grinkiškio seniūnija)</w:t>
                        </w:r>
                      </w:p>
                    </w:tc>
                  </w:tr>
                  <w:tr>
                    <w:trPr>
                      <w:trHeight w:val="571"/>
                    </w:trPr>
                    <w:tc>
                      <w:tcPr>
                        <w:tcW w:w="4820" w:type="dxa"/>
                      </w:tcPr>
                      <w:p>
                        <w:pPr>
                          <w:rPr>
                            <w:rFonts w:eastAsia="Calibri"/>
                            <w:bCs/>
                            <w:i/>
                            <w:iCs/>
                            <w:szCs w:val="24"/>
                          </w:rPr>
                        </w:pPr>
                        <w:r>
                          <w:rPr>
                            <w:rFonts w:eastAsia="Calibri"/>
                            <w:bCs/>
                            <w:iCs/>
                            <w:szCs w:val="24"/>
                          </w:rPr>
                          <w:t xml:space="preserve">20.1.1.2. Gyvenamosios vietos deklaravimo funkcijų vykdymas. </w:t>
                        </w:r>
                        <w:r>
                          <w:rPr>
                            <w:rFonts w:eastAsia="Calibri"/>
                            <w:bCs/>
                            <w:i/>
                            <w:iCs/>
                            <w:szCs w:val="24"/>
                          </w:rPr>
                          <w:t>Išduodamų pažymų rūšys.</w:t>
                        </w:r>
                      </w:p>
                      <w:p>
                        <w:pPr>
                          <w:rPr>
                            <w:szCs w:val="24"/>
                            <w:highlight w:val="yellow"/>
                            <w14:ligatures w14:val="standardContextual"/>
                          </w:rPr>
                        </w:pPr>
                        <w:r>
                          <w:rPr>
                            <w:rFonts w:eastAsia="Calibri"/>
                            <w:bCs/>
                            <w:iCs/>
                            <w:szCs w:val="24"/>
                          </w:rPr>
                          <w:t>(SVP 1-1-1-10)</w:t>
                        </w:r>
                      </w:p>
                    </w:tc>
                    <w:tc>
                      <w:tcPr>
                        <w:tcW w:w="851" w:type="dxa"/>
                      </w:tcPr>
                      <w:p>
                        <w:pPr>
                          <w:rPr>
                            <w:color w:val="000000"/>
                            <w:szCs w:val="24"/>
                          </w:rPr>
                        </w:pPr>
                        <w:r>
                          <w:rPr>
                            <w:rFonts w:eastAsia="Calibri"/>
                            <w:color w:val="000000"/>
                            <w:szCs w:val="24"/>
                          </w:rPr>
                          <w:t>7</w:t>
                        </w:r>
                      </w:p>
                    </w:tc>
                    <w:tc>
                      <w:tcPr>
                        <w:tcW w:w="850" w:type="dxa"/>
                      </w:tcPr>
                      <w:p>
                        <w:pPr>
                          <w:rPr>
                            <w:szCs w:val="24"/>
                          </w:rPr>
                        </w:pPr>
                        <w:r>
                          <w:rPr>
                            <w:rFonts w:eastAsia="Calibri"/>
                            <w:szCs w:val="24"/>
                          </w:rPr>
                          <w:t>7</w:t>
                        </w:r>
                      </w:p>
                    </w:tc>
                    <w:tc>
                      <w:tcPr>
                        <w:tcW w:w="851" w:type="dxa"/>
                      </w:tcPr>
                      <w:p>
                        <w:pPr>
                          <w:rPr>
                            <w:szCs w:val="24"/>
                          </w:rPr>
                        </w:pPr>
                        <w:r>
                          <w:rPr>
                            <w:szCs w:val="24"/>
                          </w:rPr>
                          <w:t>7</w:t>
                        </w:r>
                      </w:p>
                    </w:tc>
                    <w:tc>
                      <w:tcPr>
                        <w:tcW w:w="850" w:type="dxa"/>
                      </w:tcPr>
                      <w:p>
                        <w:pPr>
                          <w:rPr>
                            <w:szCs w:val="24"/>
                          </w:rPr>
                        </w:pPr>
                        <w:r>
                          <w:rPr>
                            <w:szCs w:val="24"/>
                          </w:rPr>
                          <w:t>7</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Išduota pažymų: apie asmens deklaruotą gyvenamąją vietą – 97; priimtų sprendimų dėl deklaravimo duomenų taisymo, keitimo ir naikinimo – 18. Įtrauktų asmenų į GVNA (gyvenamosios vietos neturinčių asmenų) apskaitą – 10. Atvykimą deklaravusių žmonių – 87, išvykimą deklaravusių – 8, atlikti notariniai veiksmai – 44. (Grinkiškio seniūnija)</w:t>
                        </w:r>
                      </w:p>
                    </w:tc>
                  </w:tr>
                  <w:tr>
                    <w:trPr>
                      <w:trHeight w:val="571"/>
                    </w:trPr>
                    <w:tc>
                      <w:tcPr>
                        <w:tcW w:w="4820" w:type="dxa"/>
                      </w:tcPr>
                      <w:p>
                        <w:pPr>
                          <w:rPr>
                            <w:rFonts w:eastAsia="Calibri"/>
                            <w:bCs/>
                            <w:i/>
                            <w:iCs/>
                            <w:szCs w:val="24"/>
                          </w:rPr>
                        </w:pPr>
                        <w:r>
                          <w:rPr>
                            <w:rFonts w:eastAsia="Calibri"/>
                            <w:bCs/>
                            <w:iCs/>
                            <w:szCs w:val="24"/>
                          </w:rPr>
                          <w:t xml:space="preserve">20.1.1.3. Leidimų pagal kompetenciją išdavimas. </w:t>
                        </w:r>
                        <w:r>
                          <w:rPr>
                            <w:rFonts w:eastAsia="Calibri"/>
                            <w:bCs/>
                            <w:i/>
                            <w:iCs/>
                            <w:szCs w:val="24"/>
                          </w:rPr>
                          <w:t xml:space="preserve">Išduotų leidimų skaičius procentais nuo pateiktų prašymų skaičiaus </w:t>
                        </w:r>
                        <w:r>
                          <w:rPr>
                            <w:rFonts w:eastAsia="Calibri"/>
                            <w:bCs/>
                            <w:iCs/>
                            <w:szCs w:val="24"/>
                          </w:rPr>
                          <w:t>(SVP 1-1-1-10)</w:t>
                        </w:r>
                      </w:p>
                    </w:tc>
                    <w:tc>
                      <w:tcPr>
                        <w:tcW w:w="851" w:type="dxa"/>
                      </w:tcPr>
                      <w:p>
                        <w:pPr>
                          <w:rPr>
                            <w:color w:val="000000"/>
                            <w:szCs w:val="24"/>
                          </w:rPr>
                        </w:pPr>
                        <w:r>
                          <w:rPr>
                            <w:rFonts w:eastAsia="Calibri"/>
                            <w:color w:val="000000"/>
                            <w:szCs w:val="24"/>
                          </w:rPr>
                          <w:t>100</w:t>
                        </w:r>
                        <w:r>
                          <w:rPr>
                            <w:rFonts w:eastAsia="Calibri"/>
                            <w:color w:val="000000"/>
                            <w:szCs w:val="24"/>
                            <w:lang w:val="en-US"/>
                          </w:rPr>
                          <w:t xml:space="preserve"> %</w:t>
                        </w:r>
                      </w:p>
                    </w:tc>
                    <w:tc>
                      <w:tcPr>
                        <w:tcW w:w="850" w:type="dxa"/>
                      </w:tcPr>
                      <w:p>
                        <w:pPr>
                          <w:rPr>
                            <w:szCs w:val="24"/>
                          </w:rPr>
                        </w:pPr>
                        <w:r>
                          <w:rPr>
                            <w:rFonts w:eastAsia="Calibri"/>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 xml:space="preserve">Išduota: leidimų: laidoti – 43; leidimų pertvarkyti kapavietę – 16; leidimų prekybai – 56; leidimų kasimo darbams atliki – 3;  leidimų renginių organizavimui – 3. (Grinkiškio seniūnija)</w:t>
                        </w:r>
                      </w:p>
                    </w:tc>
                  </w:tr>
                  <w:tr>
                    <w:tc>
                      <w:tcPr>
                        <w:tcW w:w="4820" w:type="dxa"/>
                        <w:hideMark/>
                      </w:tcPr>
                      <w:p>
                        <w:pPr>
                          <w:rPr>
                            <w:bCs/>
                            <w:iCs/>
                            <w:szCs w:val="24"/>
                          </w:rPr>
                        </w:pPr>
                        <w:r>
                          <w:rPr>
                            <w:bCs/>
                            <w:iCs/>
                            <w:szCs w:val="24"/>
                          </w:rPr>
                          <w:t xml:space="preserve">20.2.1.1. Vietos gyventojų įtraukimas į savivaldos veiklą. </w:t>
                        </w:r>
                        <w:r>
                          <w:rPr>
                            <w:bCs/>
                            <w:i/>
                            <w:iCs/>
                            <w:szCs w:val="24"/>
                          </w:rPr>
                          <w:t>Sušauktų seniūnaičių sueigų skaičius</w:t>
                        </w:r>
                        <w:r>
                          <w:rPr>
                            <w:bCs/>
                            <w:iCs/>
                            <w:szCs w:val="24"/>
                          </w:rPr>
                          <w:t xml:space="preserve"> </w:t>
                        </w:r>
                      </w:p>
                      <w:p>
                        <w:pPr>
                          <w:rPr>
                            <w:rFonts w:eastAsia="Calibri"/>
                            <w:szCs w:val="24"/>
                          </w:rPr>
                        </w:pPr>
                        <w:r>
                          <w:rPr>
                            <w:rFonts w:eastAsia="Calibri"/>
                            <w:bCs/>
                            <w:iCs/>
                            <w:szCs w:val="24"/>
                          </w:rPr>
                          <w:t>(SVP 1-1-1-10)</w:t>
                        </w:r>
                      </w:p>
                    </w:tc>
                    <w:tc>
                      <w:tcPr>
                        <w:tcW w:w="851" w:type="dxa"/>
                      </w:tcPr>
                      <w:p>
                        <w:pPr>
                          <w:rPr>
                            <w:rFonts w:eastAsia="Calibri"/>
                            <w:szCs w:val="24"/>
                          </w:rPr>
                        </w:pPr>
                        <w:r>
                          <w:rPr>
                            <w:rFonts w:eastAsia="Calibri"/>
                            <w:szCs w:val="24"/>
                          </w:rPr>
                          <w:t xml:space="preserve">4 </w:t>
                        </w:r>
                      </w:p>
                    </w:tc>
                    <w:tc>
                      <w:tcPr>
                        <w:tcW w:w="850" w:type="dxa"/>
                      </w:tcPr>
                      <w:p>
                        <w:pPr>
                          <w:rPr>
                            <w:rFonts w:eastAsia="Calibri"/>
                            <w:szCs w:val="24"/>
                          </w:rPr>
                        </w:pPr>
                        <w:r>
                          <w:rPr>
                            <w:rFonts w:eastAsia="Calibri"/>
                            <w:szCs w:val="24"/>
                          </w:rPr>
                          <w:t>2</w:t>
                        </w:r>
                      </w:p>
                    </w:tc>
                    <w:tc>
                      <w:tcPr>
                        <w:tcW w:w="851" w:type="dxa"/>
                      </w:tcPr>
                      <w:p>
                        <w:pPr>
                          <w:rPr>
                            <w:rFonts w:eastAsia="Calibri"/>
                            <w:szCs w:val="24"/>
                          </w:rPr>
                        </w:pPr>
                        <w:r>
                          <w:rPr>
                            <w:rFonts w:eastAsia="Calibri"/>
                            <w:szCs w:val="24"/>
                          </w:rPr>
                          <w:t>5</w:t>
                        </w:r>
                      </w:p>
                    </w:tc>
                    <w:tc>
                      <w:tcPr>
                        <w:tcW w:w="850" w:type="dxa"/>
                      </w:tcPr>
                      <w:p>
                        <w:pPr>
                          <w:rPr>
                            <w:rFonts w:eastAsia="Calibri"/>
                            <w:szCs w:val="24"/>
                          </w:rPr>
                        </w:pPr>
                        <w:r>
                          <w:rPr>
                            <w:rFonts w:eastAsia="Calibri"/>
                            <w:szCs w:val="24"/>
                          </w:rPr>
                          <w:t>5</w:t>
                        </w:r>
                      </w:p>
                    </w:tc>
                    <w:tc>
                      <w:tcPr>
                        <w:tcW w:w="851" w:type="dxa"/>
                        <w:vMerge/>
                      </w:tcPr>
                      <w:p>
                        <w:pPr>
                          <w:rPr>
                            <w:rFonts w:eastAsia="Calibri"/>
                            <w:szCs w:val="24"/>
                          </w:rPr>
                        </w:pPr>
                      </w:p>
                    </w:tc>
                    <w:tc>
                      <w:tcPr>
                        <w:tcW w:w="850" w:type="dxa"/>
                        <w:vMerge/>
                      </w:tcPr>
                      <w:p>
                        <w:pPr>
                          <w:rPr>
                            <w:rFonts w:eastAsia="Calibri"/>
                            <w:szCs w:val="24"/>
                          </w:rPr>
                        </w:pPr>
                      </w:p>
                    </w:tc>
                    <w:tc>
                      <w:tcPr>
                        <w:tcW w:w="5245" w:type="dxa"/>
                      </w:tcPr>
                      <w:p>
                        <w:pPr>
                          <w:rPr>
                            <w:rFonts w:eastAsia="Calibri"/>
                            <w:szCs w:val="24"/>
                          </w:rPr>
                        </w:pPr>
                        <w:r>
                          <w:rPr>
                            <w:rFonts w:eastAsia="Calibri"/>
                            <w:szCs w:val="24"/>
                          </w:rPr>
                          <w:t>2025 m. spalio 1d. organizuota papildoma seniūnaičių sueiga aptarti nominacijų teikimo kriterijus ir numatyti laureatus seniūnijos organizuojamai padėkos šventei „Šviesos ir gerumo harmonija“ (Grinkiškio seniūnija)</w:t>
                        </w:r>
                      </w:p>
                    </w:tc>
                  </w:tr>
                  <w:tr>
                    <w:tc>
                      <w:tcPr>
                        <w:tcW w:w="4820" w:type="dxa"/>
                      </w:tcPr>
                      <w:p>
                        <w:pPr>
                          <w:rPr>
                            <w:bCs/>
                            <w:iCs/>
                            <w:szCs w:val="24"/>
                          </w:rPr>
                        </w:pPr>
                        <w:r>
                          <w:rPr>
                            <w:bCs/>
                            <w:iCs/>
                            <w:szCs w:val="24"/>
                          </w:rPr>
                          <w:t>20.2.1.2. Prašymų ir skundų susijusių su seniūnijos veikla nagrinėjimas, atsakymų pateikimas.</w:t>
                        </w:r>
                      </w:p>
                      <w:p>
                        <w:pPr>
                          <w:rPr>
                            <w:bCs/>
                            <w:iCs/>
                            <w:szCs w:val="24"/>
                          </w:rPr>
                        </w:pPr>
                        <w:r>
                          <w:rPr>
                            <w:bCs/>
                            <w:i/>
                            <w:iCs/>
                            <w:szCs w:val="24"/>
                          </w:rPr>
                          <w:t>Išnagrinėtų skundų, prašymų susijusių su seniūnijos veikla procentas</w:t>
                        </w:r>
                        <w:r>
                          <w:rPr>
                            <w:bCs/>
                            <w:iCs/>
                            <w:szCs w:val="24"/>
                          </w:rPr>
                          <w:t xml:space="preserve"> </w:t>
                        </w:r>
                        <w:r>
                          <w:rPr>
                            <w:rFonts w:eastAsia="Calibri"/>
                            <w:bCs/>
                            <w:iCs/>
                            <w:szCs w:val="24"/>
                          </w:rPr>
                          <w:t>(SVP 1-1-1-10)</w:t>
                        </w:r>
                      </w:p>
                    </w:tc>
                    <w:tc>
                      <w:tcPr>
                        <w:tcW w:w="851" w:type="dxa"/>
                      </w:tcPr>
                      <w:p>
                        <w:pPr>
                          <w:rPr>
                            <w:rFonts w:eastAsia="Calibri"/>
                            <w:szCs w:val="24"/>
                          </w:rPr>
                        </w:pPr>
                        <w:r>
                          <w:rPr>
                            <w:rFonts w:eastAsia="Calibri"/>
                            <w:szCs w:val="24"/>
                          </w:rPr>
                          <w:t>100 %</w:t>
                        </w:r>
                      </w:p>
                    </w:tc>
                    <w:tc>
                      <w:tcPr>
                        <w:tcW w:w="850" w:type="dxa"/>
                      </w:tcPr>
                      <w:p>
                        <w:pPr>
                          <w:rPr>
                            <w:rFonts w:eastAsia="Calibri"/>
                            <w:szCs w:val="24"/>
                          </w:rPr>
                        </w:pPr>
                        <w:r>
                          <w:rPr>
                            <w:rFonts w:eastAsia="Calibri"/>
                            <w:szCs w:val="24"/>
                          </w:rPr>
                          <w:t>100 %</w:t>
                        </w:r>
                      </w:p>
                    </w:tc>
                    <w:tc>
                      <w:tcPr>
                        <w:tcW w:w="851" w:type="dxa"/>
                      </w:tcPr>
                      <w:p>
                        <w:pPr>
                          <w:rPr>
                            <w:rFonts w:eastAsia="Calibri"/>
                            <w:szCs w:val="24"/>
                          </w:rPr>
                        </w:pPr>
                        <w:r>
                          <w:rPr>
                            <w:rFonts w:eastAsia="Calibri"/>
                            <w:szCs w:val="24"/>
                          </w:rPr>
                          <w:t>100 %</w:t>
                        </w:r>
                      </w:p>
                    </w:tc>
                    <w:tc>
                      <w:tcPr>
                        <w:tcW w:w="850" w:type="dxa"/>
                      </w:tcPr>
                      <w:p>
                        <w:pPr>
                          <w:rPr>
                            <w:rFonts w:eastAsia="Calibri"/>
                            <w:szCs w:val="24"/>
                          </w:rPr>
                        </w:pPr>
                        <w:r>
                          <w:rPr>
                            <w:rFonts w:eastAsia="Calibri"/>
                            <w:szCs w:val="24"/>
                          </w:rPr>
                          <w:t>0 %</w:t>
                        </w:r>
                      </w:p>
                    </w:tc>
                    <w:tc>
                      <w:tcPr>
                        <w:tcW w:w="851" w:type="dxa"/>
                        <w:vMerge/>
                      </w:tcPr>
                      <w:p>
                        <w:pPr>
                          <w:rPr>
                            <w:rFonts w:eastAsia="Calibri"/>
                            <w:szCs w:val="24"/>
                          </w:rPr>
                        </w:pPr>
                      </w:p>
                    </w:tc>
                    <w:tc>
                      <w:tcPr>
                        <w:tcW w:w="850" w:type="dxa"/>
                        <w:vMerge/>
                      </w:tcPr>
                      <w:p>
                        <w:pPr>
                          <w:rPr>
                            <w:rFonts w:eastAsia="Calibri"/>
                            <w:szCs w:val="24"/>
                          </w:rPr>
                        </w:pPr>
                      </w:p>
                    </w:tc>
                    <w:tc>
                      <w:tcPr>
                        <w:tcW w:w="5245" w:type="dxa"/>
                      </w:tcPr>
                      <w:p>
                        <w:pPr>
                          <w:rPr>
                            <w:rFonts w:eastAsia="Calibri"/>
                            <w:szCs w:val="24"/>
                          </w:rPr>
                        </w:pPr>
                        <w:r>
                          <w:rPr>
                            <w:rFonts w:eastAsia="Calibri"/>
                            <w:szCs w:val="24"/>
                          </w:rPr>
                          <w:t xml:space="preserve">2025 m. priimta  su seniūnijos veikla susijusių  </w:t>
                        </w:r>
                      </w:p>
                      <w:p>
                        <w:pPr>
                          <w:rPr>
                            <w:rFonts w:eastAsia="Calibri"/>
                            <w:szCs w:val="24"/>
                          </w:rPr>
                        </w:pPr>
                        <w:r>
                          <w:rPr>
                            <w:rFonts w:eastAsia="Calibri"/>
                            <w:szCs w:val="24"/>
                          </w:rPr>
                          <w:t xml:space="preserve">skundų – 0,  prašymų – 0.</w:t>
                        </w:r>
                      </w:p>
                      <w:p>
                        <w:pPr>
                          <w:rPr>
                            <w:rFonts w:eastAsia="Calibri"/>
                            <w:szCs w:val="24"/>
                          </w:rPr>
                        </w:pPr>
                        <w:r>
                          <w:rPr>
                            <w:rFonts w:eastAsia="Calibri"/>
                            <w:szCs w:val="24"/>
                          </w:rPr>
                          <w:t>(Grinkiškio seniūnija)</w:t>
                        </w:r>
                      </w:p>
                    </w:tc>
                  </w:tr>
                  <w:tr>
                    <w:trPr>
                      <w:trHeight w:val="571"/>
                    </w:trPr>
                    <w:tc>
                      <w:tcPr>
                        <w:tcW w:w="4820" w:type="dxa"/>
                      </w:tcPr>
                      <w:p>
                        <w:pPr>
                          <w:rPr>
                            <w:bCs/>
                            <w:iCs/>
                            <w:szCs w:val="24"/>
                          </w:rPr>
                        </w:pPr>
                        <w:r>
                          <w:rPr>
                            <w:bCs/>
                            <w:iCs/>
                            <w:szCs w:val="24"/>
                          </w:rPr>
                          <w:t>20.3.1.1. Žemės ūkio veiklos seniūnijoje administravimas.</w:t>
                        </w:r>
                      </w:p>
                      <w:p>
                        <w:pPr>
                          <w:rPr>
                            <w:bCs/>
                            <w:i/>
                            <w:iCs/>
                            <w:szCs w:val="24"/>
                          </w:rPr>
                        </w:pPr>
                        <w:r>
                          <w:rPr>
                            <w:bCs/>
                            <w:i/>
                            <w:iCs/>
                            <w:szCs w:val="24"/>
                          </w:rPr>
                          <w:t>Žemės ūkio veiklos funkcijų vykdymas procentais</w:t>
                        </w:r>
                      </w:p>
                      <w:p>
                        <w:pPr>
                          <w:rPr>
                            <w:szCs w:val="24"/>
                            <w:highlight w:val="yellow"/>
                            <w14:ligatures w14:val="standardContextual"/>
                          </w:rPr>
                        </w:pPr>
                        <w:r>
                          <w:rPr>
                            <w:bCs/>
                            <w:szCs w:val="24"/>
                          </w:rPr>
                          <w:t>(SVP 1-1-1-44A)</w:t>
                        </w:r>
                      </w:p>
                    </w:tc>
                    <w:tc>
                      <w:tcPr>
                        <w:tcW w:w="851" w:type="dxa"/>
                      </w:tcPr>
                      <w:p>
                        <w:pPr>
                          <w:rPr>
                            <w:color w:val="000000"/>
                            <w:szCs w:val="24"/>
                          </w:rPr>
                        </w:pPr>
                        <w:r>
                          <w:rPr>
                            <w:rFonts w:eastAsia="Calibri"/>
                            <w:color w:val="000000"/>
                            <w:szCs w:val="24"/>
                          </w:rPr>
                          <w:t xml:space="preserve">100 </w:t>
                        </w:r>
                        <w:r>
                          <w:rPr>
                            <w:rFonts w:eastAsia="Calibri"/>
                            <w:color w:val="000000"/>
                            <w:szCs w:val="24"/>
                            <w:lang w:val="en-US"/>
                          </w:rPr>
                          <w:t>%</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tcPr>
                      <w:p>
                        <w:pPr>
                          <w:rPr>
                            <w:color w:val="000000"/>
                            <w:szCs w:val="24"/>
                          </w:rPr>
                        </w:pPr>
                      </w:p>
                    </w:tc>
                    <w:tc>
                      <w:tcPr>
                        <w:tcW w:w="850" w:type="dxa"/>
                      </w:tcPr>
                      <w:p>
                        <w:pPr>
                          <w:rPr>
                            <w:szCs w:val="24"/>
                          </w:rPr>
                        </w:pPr>
                      </w:p>
                    </w:tc>
                    <w:tc>
                      <w:tcPr>
                        <w:tcW w:w="5245" w:type="dxa"/>
                      </w:tcPr>
                      <w:p>
                        <w:pPr>
                          <w:rPr>
                            <w:rFonts w:eastAsia="Calibri"/>
                            <w:szCs w:val="24"/>
                          </w:rPr>
                        </w:pPr>
                        <w:r>
                          <w:rPr>
                            <w:rFonts w:eastAsia="Calibri"/>
                            <w:szCs w:val="24"/>
                          </w:rPr>
                          <w:t>2025 m. priimta ir elektroniniu būdu įbraižyta 234 paraiškos, deklaruoti 13728,57 ha žemės plotai, priimta 19 prašymų iš žemės ūkio subjektų dėl duomenų pakeitimo, atnaujinta 230 žemės ūkio valdų, patikslinti 124 ūkininkų ūkiai, išregistruotos 6 ūkių valdos, išduotos 30 pažymų apie valdos ekonominį dydį. (Grinkiškio seniūnija)</w:t>
                        </w:r>
                      </w:p>
                    </w:tc>
                  </w:tr>
                  <w:tr>
                    <w:trPr>
                      <w:trHeight w:val="571"/>
                    </w:trPr>
                    <w:tc>
                      <w:tcPr>
                        <w:tcW w:w="4820" w:type="dxa"/>
                      </w:tcPr>
                      <w:p>
                        <w:pPr>
                          <w:rPr>
                            <w:rFonts w:eastAsia="Calibri"/>
                            <w:bCs/>
                            <w:iCs/>
                            <w:szCs w:val="24"/>
                          </w:rPr>
                        </w:pPr>
                        <w:r>
                          <w:rPr>
                            <w:rFonts w:eastAsia="Calibri"/>
                            <w:bCs/>
                            <w:iCs/>
                            <w:szCs w:val="24"/>
                          </w:rPr>
                          <w:t>21.1.1.1. Tęstinės Savivaldybės administracijos darbo organizavimo veiklos užtikrinimas Pakalniškių seniūnijoje.</w:t>
                        </w:r>
                        <w:r>
                          <w:rPr>
                            <w:bCs/>
                            <w:iCs/>
                            <w:szCs w:val="24"/>
                          </w:rPr>
                          <w:t>(SVP1-1-1-11)</w:t>
                        </w:r>
                      </w:p>
                    </w:tc>
                    <w:tc>
                      <w:tcPr>
                        <w:tcW w:w="851" w:type="dxa"/>
                      </w:tcPr>
                      <w:p>
                        <w:pPr>
                          <w:rPr>
                            <w:color w:val="000000"/>
                            <w:szCs w:val="24"/>
                          </w:rPr>
                        </w:pPr>
                        <w:r>
                          <w:rPr>
                            <w:color w:val="000000"/>
                            <w:szCs w:val="24"/>
                          </w:rPr>
                          <w:t>100</w:t>
                        </w:r>
                        <w:r>
                          <w:rPr>
                            <w:color w:val="000000"/>
                            <w:szCs w:val="24"/>
                            <w:lang w:val="en-US"/>
                          </w:rPr>
                          <w:t>%</w:t>
                        </w:r>
                      </w:p>
                    </w:tc>
                    <w:tc>
                      <w:tcPr>
                        <w:tcW w:w="850" w:type="dxa"/>
                      </w:tcPr>
                      <w:p>
                        <w:pPr>
                          <w:rPr>
                            <w:szCs w:val="24"/>
                          </w:rPr>
                        </w:pPr>
                        <w:r>
                          <w:rPr>
                            <w:szCs w:val="24"/>
                          </w:rPr>
                          <w:t>100</w:t>
                        </w:r>
                        <w:r>
                          <w:rPr>
                            <w:szCs w:val="24"/>
                            <w:lang w:val="en-US"/>
                          </w:rPr>
                          <w:t>%</w:t>
                        </w:r>
                      </w:p>
                    </w:tc>
                    <w:tc>
                      <w:tcPr>
                        <w:tcW w:w="851" w:type="dxa"/>
                      </w:tcPr>
                      <w:p>
                        <w:pPr>
                          <w:rPr>
                            <w:szCs w:val="24"/>
                          </w:rPr>
                        </w:pPr>
                        <w:r>
                          <w:rPr>
                            <w:szCs w:val="24"/>
                          </w:rPr>
                          <w:t>100</w:t>
                        </w:r>
                        <w:r>
                          <w:rPr>
                            <w:szCs w:val="24"/>
                            <w:lang w:val="en-US"/>
                          </w:rPr>
                          <w:t>%</w:t>
                        </w:r>
                      </w:p>
                    </w:tc>
                    <w:tc>
                      <w:tcPr>
                        <w:tcW w:w="850" w:type="dxa"/>
                      </w:tcPr>
                      <w:p>
                        <w:pPr>
                          <w:rPr>
                            <w:szCs w:val="24"/>
                          </w:rPr>
                        </w:pPr>
                        <w:r>
                          <w:rPr>
                            <w:szCs w:val="24"/>
                          </w:rPr>
                          <w:t>100</w:t>
                        </w:r>
                        <w:r>
                          <w:rPr>
                            <w:szCs w:val="24"/>
                            <w:lang w:val="en-US"/>
                          </w:rPr>
                          <w:t>%</w:t>
                        </w:r>
                      </w:p>
                    </w:tc>
                    <w:tc>
                      <w:tcPr>
                        <w:tcW w:w="851" w:type="dxa"/>
                        <w:vMerge w:val="restart"/>
                      </w:tcPr>
                      <w:p>
                        <w:pPr>
                          <w:rPr>
                            <w:color w:val="000000"/>
                            <w:szCs w:val="24"/>
                          </w:rPr>
                        </w:pPr>
                        <w:r>
                          <w:rPr>
                            <w:iCs/>
                            <w:color w:val="000000"/>
                            <w:szCs w:val="24"/>
                          </w:rPr>
                          <w:t>51,5 SB</w:t>
                        </w:r>
                      </w:p>
                    </w:tc>
                    <w:tc>
                      <w:tcPr>
                        <w:tcW w:w="850" w:type="dxa"/>
                        <w:vMerge w:val="restart"/>
                      </w:tcPr>
                      <w:p>
                        <w:pPr>
                          <w:rPr>
                            <w:szCs w:val="24"/>
                          </w:rPr>
                        </w:pPr>
                        <w:r>
                          <w:rPr>
                            <w:iCs/>
                            <w:szCs w:val="24"/>
                          </w:rPr>
                          <w:t>49 SB</w:t>
                        </w:r>
                      </w:p>
                    </w:tc>
                    <w:tc>
                      <w:tcPr>
                        <w:tcW w:w="5245" w:type="dxa"/>
                      </w:tcPr>
                      <w:p>
                        <w:pPr>
                          <w:rPr>
                            <w:szCs w:val="24"/>
                          </w:rPr>
                        </w:pPr>
                        <w:r>
                          <w:rPr>
                            <w:szCs w:val="24"/>
                          </w:rPr>
                          <w:t xml:space="preserve">Komunaliniai mokesčiai, transporto išlaikymas, kitos prekės ir paslaugos. </w:t>
                        </w:r>
                        <w:r>
                          <w:rPr>
                            <w:iCs/>
                            <w:szCs w:val="24"/>
                          </w:rPr>
                          <w:t>Įsigytas tarnybinis automobilis. (Pakalniškių seniūnija)</w:t>
                        </w:r>
                      </w:p>
                    </w:tc>
                  </w:tr>
                  <w:tr>
                    <w:trPr>
                      <w:trHeight w:val="571"/>
                    </w:trPr>
                    <w:tc>
                      <w:tcPr>
                        <w:tcW w:w="4820" w:type="dxa"/>
                      </w:tcPr>
                      <w:p>
                        <w:pPr>
                          <w:rPr>
                            <w:rFonts w:eastAsia="Calibri"/>
                            <w:bCs/>
                            <w:i/>
                            <w:iCs/>
                            <w:szCs w:val="24"/>
                          </w:rPr>
                        </w:pPr>
                        <w:r>
                          <w:rPr>
                            <w:rFonts w:eastAsia="Calibri"/>
                            <w:bCs/>
                            <w:iCs/>
                            <w:szCs w:val="24"/>
                          </w:rPr>
                          <w:t xml:space="preserve">21.1.1.2. Gyvenamosios vietos deklaravimo funkcijų vykdymas. </w:t>
                        </w:r>
                        <w:r>
                          <w:rPr>
                            <w:rFonts w:eastAsia="Calibri"/>
                            <w:bCs/>
                            <w:i/>
                            <w:iCs/>
                            <w:szCs w:val="24"/>
                          </w:rPr>
                          <w:t>Išduodamų pažymų rūšys.</w:t>
                        </w:r>
                      </w:p>
                      <w:p>
                        <w:pPr>
                          <w:rPr>
                            <w:szCs w:val="24"/>
                            <w:highlight w:val="yellow"/>
                            <w14:ligatures w14:val="standardContextual"/>
                          </w:rPr>
                        </w:pPr>
                        <w:r>
                          <w:rPr>
                            <w:bCs/>
                            <w:szCs w:val="24"/>
                          </w:rPr>
                          <w:t>(SVP1-1-1-11)</w:t>
                        </w:r>
                      </w:p>
                    </w:tc>
                    <w:tc>
                      <w:tcPr>
                        <w:tcW w:w="851" w:type="dxa"/>
                      </w:tcPr>
                      <w:p>
                        <w:pPr>
                          <w:rPr>
                            <w:color w:val="000000"/>
                            <w:szCs w:val="24"/>
                          </w:rPr>
                        </w:pPr>
                        <w:r>
                          <w:rPr>
                            <w:iCs/>
                            <w:color w:val="000000"/>
                            <w:szCs w:val="24"/>
                          </w:rPr>
                          <w:t>7</w:t>
                        </w:r>
                      </w:p>
                    </w:tc>
                    <w:tc>
                      <w:tcPr>
                        <w:tcW w:w="850" w:type="dxa"/>
                      </w:tcPr>
                      <w:p>
                        <w:pPr>
                          <w:rPr>
                            <w:szCs w:val="24"/>
                          </w:rPr>
                        </w:pPr>
                        <w:r>
                          <w:rPr>
                            <w:iCs/>
                            <w:szCs w:val="24"/>
                          </w:rPr>
                          <w:t>7</w:t>
                        </w:r>
                      </w:p>
                    </w:tc>
                    <w:tc>
                      <w:tcPr>
                        <w:tcW w:w="851" w:type="dxa"/>
                      </w:tcPr>
                      <w:p>
                        <w:pPr>
                          <w:rPr>
                            <w:szCs w:val="24"/>
                          </w:rPr>
                        </w:pPr>
                        <w:r>
                          <w:rPr>
                            <w:iCs/>
                            <w:szCs w:val="24"/>
                          </w:rPr>
                          <w:t>7</w:t>
                        </w:r>
                      </w:p>
                    </w:tc>
                    <w:tc>
                      <w:tcPr>
                        <w:tcW w:w="850" w:type="dxa"/>
                      </w:tcPr>
                      <w:p>
                        <w:pPr>
                          <w:rPr>
                            <w:szCs w:val="24"/>
                          </w:rPr>
                        </w:pPr>
                        <w:r>
                          <w:rPr>
                            <w:iCs/>
                            <w:szCs w:val="24"/>
                          </w:rPr>
                          <w:t>7</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 xml:space="preserve">Išduota pažymų: apie asmens deklaruotą gyvenamąją vietą – 42, gyvenamosios patalpos savininkams – 6, priimtų sprendimų dėl deklaravimo duomenų taisymo, keitimo ir naikinimo – 5, įrauktų į GVNA (gyvenamosios vietos neturinčių asmenų) apskaitą – 7,  atvykimą deklaravusių žmonių – 117, išvykimą deklaravusių – 14. </w:t>
                        </w:r>
                        <w:r>
                          <w:rPr>
                            <w:iCs/>
                            <w:szCs w:val="24"/>
                          </w:rPr>
                          <w:t>(Pakalniškių seniūnija)</w:t>
                        </w:r>
                      </w:p>
                    </w:tc>
                  </w:tr>
                  <w:tr>
                    <w:trPr>
                      <w:trHeight w:val="571"/>
                    </w:trPr>
                    <w:tc>
                      <w:tcPr>
                        <w:tcW w:w="4820" w:type="dxa"/>
                      </w:tcPr>
                      <w:p>
                        <w:pPr>
                          <w:rPr>
                            <w:rFonts w:eastAsia="Calibri"/>
                            <w:bCs/>
                            <w:iCs/>
                            <w:szCs w:val="24"/>
                          </w:rPr>
                        </w:pPr>
                        <w:r>
                          <w:rPr>
                            <w:rFonts w:eastAsia="Calibri"/>
                            <w:bCs/>
                            <w:iCs/>
                            <w:szCs w:val="24"/>
                          </w:rPr>
                          <w:t xml:space="preserve">21.1.1.3. Leidimų pagal kompetenciją išdavimas. </w:t>
                        </w:r>
                        <w:r>
                          <w:rPr>
                            <w:rFonts w:eastAsia="Calibri"/>
                            <w:bCs/>
                            <w:i/>
                            <w:iCs/>
                            <w:szCs w:val="24"/>
                          </w:rPr>
                          <w:t>Išduotų leidimų skaičius procentais nuo pateiktų prašymų skaičiaus</w:t>
                        </w:r>
                        <w:r>
                          <w:rPr>
                            <w:rFonts w:eastAsia="Calibri"/>
                            <w:bCs/>
                            <w:szCs w:val="24"/>
                          </w:rPr>
                          <w:t>.</w:t>
                        </w:r>
                        <w:r>
                          <w:rPr>
                            <w:bCs/>
                            <w:szCs w:val="24"/>
                          </w:rPr>
                          <w:t>(SVP1-1-1-11)</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vMerge/>
                      </w:tcPr>
                      <w:p>
                        <w:pPr>
                          <w:rPr>
                            <w:color w:val="000000"/>
                            <w:szCs w:val="24"/>
                          </w:rPr>
                        </w:pPr>
                      </w:p>
                    </w:tc>
                    <w:tc>
                      <w:tcPr>
                        <w:tcW w:w="850" w:type="dxa"/>
                        <w:vMerge/>
                      </w:tcPr>
                      <w:p>
                        <w:pPr>
                          <w:rPr>
                            <w:szCs w:val="24"/>
                          </w:rPr>
                        </w:pPr>
                      </w:p>
                    </w:tc>
                    <w:tc>
                      <w:tcPr>
                        <w:tcW w:w="5245" w:type="dxa"/>
                      </w:tcPr>
                      <w:p>
                        <w:pPr>
                          <w:rPr>
                            <w:iCs/>
                            <w:szCs w:val="24"/>
                          </w:rPr>
                        </w:pPr>
                        <w:r>
                          <w:rPr>
                            <w:iCs/>
                            <w:szCs w:val="24"/>
                          </w:rPr>
                          <w:t>Išduoti leidimai: laidoti – 10, prekybai –58, kasimo darbams –9, renginių organizavimui – 1. (Pakalniškių seniūnija)</w:t>
                        </w:r>
                      </w:p>
                    </w:tc>
                  </w:tr>
                  <w:tr>
                    <w:trPr>
                      <w:trHeight w:val="571"/>
                    </w:trPr>
                    <w:tc>
                      <w:tcPr>
                        <w:tcW w:w="4820" w:type="dxa"/>
                      </w:tcPr>
                      <w:p>
                        <w:pPr>
                          <w:rPr>
                            <w:rFonts w:eastAsia="Calibri"/>
                            <w:bCs/>
                            <w:iCs/>
                            <w:szCs w:val="24"/>
                          </w:rPr>
                        </w:pPr>
                        <w:r>
                          <w:rPr>
                            <w:rFonts w:eastAsia="Calibri"/>
                            <w:bCs/>
                            <w:iCs/>
                            <w:szCs w:val="24"/>
                          </w:rPr>
                          <w:t>21.1.1.4. Tęstinė viešosios pirties veikla Pakalniškių seniūnijoje.</w:t>
                        </w:r>
                        <w:r>
                          <w:rPr>
                            <w:bCs/>
                            <w:iCs/>
                            <w:szCs w:val="24"/>
                          </w:rPr>
                          <w:t>(SVP1-1-1-11)</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Pociūnų pirtyje aptarnauti 44 neįgalūs asmenys ir 115 socialiai remtinų asmenų. Parduoti 86 pirties bilietai. (Pakalniškių seniūnija)</w:t>
                        </w:r>
                      </w:p>
                    </w:tc>
                  </w:tr>
                  <w:tr>
                    <w:trPr>
                      <w:trHeight w:val="571"/>
                    </w:trPr>
                    <w:tc>
                      <w:tcPr>
                        <w:tcW w:w="4820" w:type="dxa"/>
                      </w:tcPr>
                      <w:p>
                        <w:pPr>
                          <w:rPr>
                            <w:bCs/>
                            <w:iCs/>
                            <w:szCs w:val="24"/>
                          </w:rPr>
                        </w:pPr>
                        <w:r>
                          <w:rPr>
                            <w:bCs/>
                            <w:iCs/>
                            <w:szCs w:val="24"/>
                          </w:rPr>
                          <w:t xml:space="preserve">21.1.2.1. Vietos gyventojų įtraukimas į savivaldos veiklą. </w:t>
                        </w:r>
                        <w:r>
                          <w:rPr>
                            <w:bCs/>
                            <w:i/>
                            <w:iCs/>
                            <w:szCs w:val="24"/>
                          </w:rPr>
                          <w:t xml:space="preserve">Sušauktų seniūnaičių sueigų skaičius </w:t>
                        </w:r>
                        <w:r>
                          <w:rPr>
                            <w:bCs/>
                            <w:szCs w:val="24"/>
                          </w:rPr>
                          <w:t>(SVP1-1-1-11)</w:t>
                        </w:r>
                      </w:p>
                    </w:tc>
                    <w:tc>
                      <w:tcPr>
                        <w:tcW w:w="851" w:type="dxa"/>
                      </w:tcPr>
                      <w:p>
                        <w:pPr>
                          <w:rPr>
                            <w:color w:val="000000"/>
                            <w:szCs w:val="24"/>
                          </w:rPr>
                        </w:pPr>
                        <w:r>
                          <w:rPr>
                            <w:color w:val="000000"/>
                            <w:szCs w:val="24"/>
                          </w:rPr>
                          <w:t>2</w:t>
                        </w:r>
                      </w:p>
                    </w:tc>
                    <w:tc>
                      <w:tcPr>
                        <w:tcW w:w="850" w:type="dxa"/>
                      </w:tcPr>
                      <w:p>
                        <w:pPr>
                          <w:rPr>
                            <w:szCs w:val="24"/>
                          </w:rPr>
                        </w:pPr>
                        <w:r>
                          <w:rPr>
                            <w:szCs w:val="24"/>
                          </w:rPr>
                          <w:t>1</w:t>
                        </w:r>
                      </w:p>
                    </w:tc>
                    <w:tc>
                      <w:tcPr>
                        <w:tcW w:w="851" w:type="dxa"/>
                      </w:tcPr>
                      <w:p>
                        <w:pPr>
                          <w:rPr>
                            <w:szCs w:val="24"/>
                          </w:rPr>
                        </w:pPr>
                        <w:r>
                          <w:rPr>
                            <w:szCs w:val="24"/>
                          </w:rPr>
                          <w:t>2</w:t>
                        </w:r>
                      </w:p>
                    </w:tc>
                    <w:tc>
                      <w:tcPr>
                        <w:tcW w:w="850" w:type="dxa"/>
                      </w:tcPr>
                      <w:p>
                        <w:pPr>
                          <w:rPr>
                            <w:szCs w:val="24"/>
                          </w:rPr>
                        </w:pPr>
                        <w:r>
                          <w:rPr>
                            <w:szCs w:val="24"/>
                          </w:rPr>
                          <w:t>2</w:t>
                        </w:r>
                      </w:p>
                    </w:tc>
                    <w:tc>
                      <w:tcPr>
                        <w:tcW w:w="851" w:type="dxa"/>
                        <w:vMerge/>
                      </w:tcPr>
                      <w:p>
                        <w:pPr>
                          <w:rPr>
                            <w:color w:val="000000"/>
                            <w:szCs w:val="24"/>
                          </w:rPr>
                        </w:pPr>
                      </w:p>
                    </w:tc>
                    <w:tc>
                      <w:tcPr>
                        <w:tcW w:w="850" w:type="dxa"/>
                        <w:vMerge/>
                      </w:tcPr>
                      <w:p>
                        <w:pPr>
                          <w:rPr>
                            <w:szCs w:val="24"/>
                          </w:rPr>
                        </w:pPr>
                      </w:p>
                    </w:tc>
                    <w:tc>
                      <w:tcPr>
                        <w:tcW w:w="5245" w:type="dxa"/>
                      </w:tcPr>
                      <w:p>
                        <w:pPr>
                          <w:rPr>
                            <w:iCs/>
                            <w:szCs w:val="24"/>
                          </w:rPr>
                        </w:pPr>
                        <w:r>
                          <w:rPr>
                            <w:iCs/>
                            <w:szCs w:val="24"/>
                          </w:rPr>
                          <w:t>(Pakalniškių seniūnija)</w:t>
                        </w:r>
                      </w:p>
                    </w:tc>
                  </w:tr>
                  <w:tr>
                    <w:trPr>
                      <w:trHeight w:val="274"/>
                    </w:trPr>
                    <w:tc>
                      <w:tcPr>
                        <w:tcW w:w="4820" w:type="dxa"/>
                      </w:tcPr>
                      <w:p>
                        <w:pPr>
                          <w:rPr>
                            <w:szCs w:val="24"/>
                            <w14:ligatures w14:val="standardContextual"/>
                          </w:rPr>
                        </w:pPr>
                        <w:r>
                          <w:rPr>
                            <w:bCs/>
                            <w:iCs/>
                            <w:szCs w:val="24"/>
                          </w:rPr>
                          <w:t>21.1.2.2 Prašymų ir skundų susijusių su seniūnijos veikla nagrinėjimas, atsakymų pateikimas. (SVP1-1-1-11)</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rFonts w:eastAsia="Calibri"/>
                            <w:szCs w:val="24"/>
                          </w:rPr>
                          <w:t xml:space="preserve">Skundai – 5,  prašymai – 4.</w:t>
                        </w:r>
                      </w:p>
                      <w:p>
                        <w:pPr>
                          <w:rPr>
                            <w:szCs w:val="24"/>
                          </w:rPr>
                        </w:pPr>
                      </w:p>
                      <w:p>
                        <w:pPr>
                          <w:rPr>
                            <w:szCs w:val="24"/>
                          </w:rPr>
                        </w:pPr>
                        <w:r>
                          <w:rPr>
                            <w:szCs w:val="24"/>
                          </w:rPr>
                          <w:t>(Pakalniškių seniūnija)</w:t>
                        </w:r>
                      </w:p>
                    </w:tc>
                  </w:tr>
                  <w:tr>
                    <w:trPr>
                      <w:trHeight w:val="571"/>
                    </w:trPr>
                    <w:tc>
                      <w:tcPr>
                        <w:tcW w:w="4820" w:type="dxa"/>
                      </w:tcPr>
                      <w:p>
                        <w:pPr>
                          <w:rPr>
                            <w:bCs/>
                            <w:iCs/>
                            <w:szCs w:val="24"/>
                          </w:rPr>
                        </w:pPr>
                        <w:r>
                          <w:rPr>
                            <w:bCs/>
                            <w:iCs/>
                            <w:szCs w:val="24"/>
                          </w:rPr>
                          <w:t>21.1.3.1. Žemės ūkio veiklos seniūnijoje administravimas.</w:t>
                        </w:r>
                      </w:p>
                      <w:p>
                        <w:pPr>
                          <w:rPr>
                            <w:bCs/>
                            <w:i/>
                            <w:iCs/>
                            <w:szCs w:val="24"/>
                          </w:rPr>
                        </w:pPr>
                        <w:r>
                          <w:rPr>
                            <w:bCs/>
                            <w:i/>
                            <w:iCs/>
                            <w:szCs w:val="24"/>
                          </w:rPr>
                          <w:t>Žemės ūkio veiklos funkcijų vykdymas procentais (SVP 1-1-1-44A)</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color w:val="000000"/>
                            <w:szCs w:val="24"/>
                          </w:rPr>
                        </w:pPr>
                      </w:p>
                    </w:tc>
                    <w:tc>
                      <w:tcPr>
                        <w:tcW w:w="850" w:type="dxa"/>
                      </w:tcPr>
                      <w:p>
                        <w:pPr>
                          <w:rPr>
                            <w:szCs w:val="24"/>
                          </w:rPr>
                        </w:pPr>
                      </w:p>
                    </w:tc>
                    <w:tc>
                      <w:tcPr>
                        <w:tcW w:w="5245" w:type="dxa"/>
                      </w:tcPr>
                      <w:p>
                        <w:pPr>
                          <w:rPr>
                            <w:szCs w:val="24"/>
                          </w:rPr>
                        </w:pPr>
                        <w:r>
                          <w:rPr>
                            <w:szCs w:val="24"/>
                          </w:rPr>
                          <w:t xml:space="preserve">Priimtos ir elektroniniu būdu patvirtintos 224 paraiškos, deklaruota 12053,71 ha žemės ploto, įbraižyti 3037 laukai. Priimti 49 prašymai dėl žemės ūkio subjektų ir duomenų pakeitimo. Atnaujintos 244 žemės ūkio valdos, patikslinti 142 ūkininkų ūkiai, įregistruotos 4 naujos ūkininkų valdos, išregistruotos 3 valdos ir 1 ūkininko ūkis. </w:t>
                        </w:r>
                        <w:r>
                          <w:rPr>
                            <w:iCs/>
                            <w:szCs w:val="24"/>
                          </w:rPr>
                          <w:t>(Pakalniškių seniūnija)</w:t>
                        </w:r>
                      </w:p>
                    </w:tc>
                  </w:tr>
                  <w:tr>
                    <w:trPr>
                      <w:trHeight w:val="571"/>
                    </w:trPr>
                    <w:tc>
                      <w:tcPr>
                        <w:tcW w:w="4820" w:type="dxa"/>
                      </w:tcPr>
                      <w:p>
                        <w:pPr>
                          <w:rPr>
                            <w:szCs w:val="24"/>
                            <w14:ligatures w14:val="standardContextual"/>
                          </w:rPr>
                        </w:pPr>
                        <w:r>
                          <w:rPr>
                            <w:szCs w:val="24"/>
                          </w:rPr>
                          <w:t>22.1.1.1. Tęstinė Radviliškio m. seniūnijos valdymo funkcija (SVP 1-1-1-12)</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color w:val="000000"/>
                            <w:szCs w:val="24"/>
                          </w:rPr>
                        </w:pPr>
                        <w:r>
                          <w:rPr>
                            <w:color w:val="000000"/>
                            <w:szCs w:val="24"/>
                          </w:rPr>
                          <w:t>55,0 SB</w:t>
                        </w:r>
                      </w:p>
                    </w:tc>
                    <w:tc>
                      <w:tcPr>
                        <w:tcW w:w="850" w:type="dxa"/>
                      </w:tcPr>
                      <w:p>
                        <w:pPr>
                          <w:rPr>
                            <w:szCs w:val="24"/>
                          </w:rPr>
                        </w:pPr>
                        <w:r>
                          <w:rPr>
                            <w:szCs w:val="24"/>
                          </w:rPr>
                          <w:t>49,12 SB</w:t>
                        </w:r>
                      </w:p>
                    </w:tc>
                    <w:tc>
                      <w:tcPr>
                        <w:tcW w:w="5245" w:type="dxa"/>
                      </w:tcPr>
                      <w:p>
                        <w:pPr>
                          <w:rPr>
                            <w:szCs w:val="24"/>
                          </w:rPr>
                        </w:pPr>
                        <w:r>
                          <w:rPr>
                            <w:szCs w:val="24"/>
                          </w:rPr>
                          <w:t xml:space="preserve">Komunalinės paslaugos, transporto išlaikymas, reprezentacinės lėšos, kvalifikacijos kėlimas, komandiruočių išlaidos, kitos prekės, paslaugos, turto įsigijimas. Suorganizuotos gyventojų sueigos – 6 susitikimai. Išduota šeimos sudėties pažymų –  130 vnt. Gauta gyventojų skundų prašymų – 38 vnt. Gauta dokumentų – 474 vnt. Gauta prašymų išduoti pažymas, kitus dokumentus juridiniams faktams patvirtinti – 208 vnt. Išsiųsta dokumentų – 424 vnt. Iškabinta skelbimų – 64 vnt. Organizuota ir koordinuota mažos vertės pirkimų prekių, paslaugų ir darbų įsigijimui – 541 vnt. Parengta paraiškų ir techninių specifikacijų – 90 vnt. Sudaryta sutarčių – 35 vnt.</w:t>
                        </w:r>
                        <w:r>
                          <w:rPr>
                            <w:bCs/>
                            <w:szCs w:val="24"/>
                          </w:rPr>
                          <w:t>(Radviliškio miesto seniūnija)</w:t>
                        </w:r>
                      </w:p>
                    </w:tc>
                  </w:tr>
                  <w:tr>
                    <w:trPr>
                      <w:trHeight w:val="571"/>
                    </w:trPr>
                    <w:tc>
                      <w:tcPr>
                        <w:tcW w:w="4820" w:type="dxa"/>
                      </w:tcPr>
                      <w:p>
                        <w:pPr>
                          <w:rPr>
                            <w:szCs w:val="24"/>
                            <w14:ligatures w14:val="standardContextual"/>
                          </w:rPr>
                        </w:pPr>
                        <w:r>
                          <w:rPr>
                            <w:szCs w:val="24"/>
                          </w:rPr>
                          <w:t>22.1.1.2. Tęstinė gyventojų registrų tvarkymo ir dokumentų teikimo valstybės registrams funkcija (SVP 1-1-1-12)</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color w:val="000000"/>
                            <w:szCs w:val="24"/>
                          </w:rPr>
                        </w:pPr>
                      </w:p>
                    </w:tc>
                    <w:tc>
                      <w:tcPr>
                        <w:tcW w:w="850" w:type="dxa"/>
                      </w:tcPr>
                      <w:p>
                        <w:pPr>
                          <w:rPr>
                            <w:szCs w:val="24"/>
                          </w:rPr>
                        </w:pPr>
                      </w:p>
                    </w:tc>
                    <w:tc>
                      <w:tcPr>
                        <w:tcW w:w="5245" w:type="dxa"/>
                      </w:tcPr>
                      <w:p>
                        <w:pPr>
                          <w:rPr>
                            <w:szCs w:val="24"/>
                          </w:rPr>
                        </w:pPr>
                        <w:r>
                          <w:rPr>
                            <w:szCs w:val="24"/>
                          </w:rPr>
                          <w:t>Išduota leidimų: prekiauti – 87; vykdyti žemės kasimo darbus – 87. Atlikta notarinių veiksmų – 37.</w:t>
                        </w:r>
                      </w:p>
                      <w:p>
                        <w:pPr>
                          <w:rPr>
                            <w:bCs/>
                            <w:szCs w:val="24"/>
                          </w:rPr>
                        </w:pPr>
                        <w:r>
                          <w:rPr>
                            <w:bCs/>
                            <w:szCs w:val="24"/>
                          </w:rPr>
                          <w:t>(Radviliškio miesto seniūnija)</w:t>
                        </w:r>
                      </w:p>
                    </w:tc>
                  </w:tr>
                  <w:tr>
                    <w:trPr>
                      <w:trHeight w:val="571"/>
                    </w:trPr>
                    <w:tc>
                      <w:tcPr>
                        <w:tcW w:w="4820" w:type="dxa"/>
                      </w:tcPr>
                      <w:p>
                        <w:pPr>
                          <w:rPr>
                            <w:szCs w:val="24"/>
                            <w14:ligatures w14:val="standardContextual"/>
                          </w:rPr>
                        </w:pPr>
                        <w:r>
                          <w:rPr>
                            <w:szCs w:val="24"/>
                          </w:rPr>
                          <w:t>22.1.1.3. Tęstinė gyvenamosios vietos deklaravimo funkcija (SVP 1-1-1-12)</w:t>
                        </w:r>
                      </w:p>
                    </w:tc>
                    <w:tc>
                      <w:tcPr>
                        <w:tcW w:w="851" w:type="dxa"/>
                      </w:tcPr>
                      <w:p>
                        <w:pPr>
                          <w:rPr>
                            <w:color w:val="000000"/>
                            <w:szCs w:val="24"/>
                          </w:rPr>
                        </w:pPr>
                        <w:r>
                          <w:rPr>
                            <w:color w:val="000000"/>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851" w:type="dxa"/>
                      </w:tcPr>
                      <w:p>
                        <w:pPr>
                          <w:rPr>
                            <w:color w:val="000000"/>
                            <w:szCs w:val="24"/>
                          </w:rPr>
                        </w:pPr>
                      </w:p>
                    </w:tc>
                    <w:tc>
                      <w:tcPr>
                        <w:tcW w:w="850" w:type="dxa"/>
                      </w:tcPr>
                      <w:p>
                        <w:pPr>
                          <w:rPr>
                            <w:szCs w:val="24"/>
                          </w:rPr>
                        </w:pPr>
                      </w:p>
                    </w:tc>
                    <w:tc>
                      <w:tcPr>
                        <w:tcW w:w="5245" w:type="dxa"/>
                      </w:tcPr>
                      <w:p>
                        <w:pPr>
                          <w:rPr>
                            <w:bCs/>
                            <w:szCs w:val="24"/>
                          </w:rPr>
                        </w:pPr>
                        <w:r>
                          <w:rPr>
                            <w:szCs w:val="24"/>
                          </w:rPr>
                          <w:t>Atvykimo deklaracijos – 1328; išvykimo deklaracijų – 86.</w:t>
                        </w:r>
                        <w:r>
                          <w:rPr>
                            <w:bCs/>
                            <w:szCs w:val="24"/>
                          </w:rPr>
                          <w:t xml:space="preserve"> </w:t>
                        </w:r>
                        <w:r>
                          <w:rPr>
                            <w:szCs w:val="24"/>
                          </w:rPr>
                          <w:t>Išduota pažymų patalpų savininkams – 39.</w:t>
                        </w:r>
                        <w:r>
                          <w:rPr>
                            <w:bCs/>
                            <w:szCs w:val="24"/>
                          </w:rPr>
                          <w:t xml:space="preserve"> </w:t>
                        </w:r>
                        <w:r>
                          <w:rPr>
                            <w:szCs w:val="24"/>
                          </w:rPr>
                          <w:t>Pateikta prašymų dėl įtraukimo į gyvenamosios vietos nedeklaravusių asmenų apskaitą (GVNA) – 413.</w:t>
                        </w:r>
                        <w:r>
                          <w:rPr>
                            <w:bCs/>
                            <w:szCs w:val="24"/>
                          </w:rPr>
                          <w:t xml:space="preserve"> </w:t>
                        </w:r>
                        <w:r>
                          <w:rPr>
                            <w:szCs w:val="24"/>
                          </w:rPr>
                          <w:t>Išduota pažymų apie deklaruotą gyvenamąją vietą – 1315.Išduota pažymų apie įtraukimą į (GVNA) – 360.</w:t>
                        </w:r>
                        <w:r>
                          <w:rPr>
                            <w:bCs/>
                            <w:szCs w:val="24"/>
                          </w:rPr>
                          <w:t xml:space="preserve"> </w:t>
                        </w:r>
                        <w:r>
                          <w:rPr>
                            <w:szCs w:val="24"/>
                          </w:rPr>
                          <w:t xml:space="preserve">Priimti sprendimai dėl duomenų taisymo, keitimo ir naikinimo – 146. </w:t>
                        </w:r>
                        <w:r>
                          <w:rPr>
                            <w:bCs/>
                            <w:szCs w:val="24"/>
                          </w:rPr>
                          <w:t>(Radviliškio miesto seniūnija)</w:t>
                        </w:r>
                      </w:p>
                    </w:tc>
                  </w:tr>
                  <w:tr>
                    <w:trPr>
                      <w:trHeight w:val="571"/>
                    </w:trPr>
                    <w:tc>
                      <w:tcPr>
                        <w:tcW w:w="4820" w:type="dxa"/>
                      </w:tcPr>
                      <w:p>
                        <w:pPr>
                          <w:rPr>
                            <w:szCs w:val="24"/>
                            <w14:ligatures w14:val="standardContextual"/>
                          </w:rPr>
                        </w:pPr>
                        <w:r>
                          <w:rPr>
                            <w:szCs w:val="24"/>
                          </w:rPr>
                          <w:t>22.1.1.4. Tęstinė tarpinstitucinio koordinatoriaus veikla (SVP 1-1-1-12)</w:t>
                        </w:r>
                      </w:p>
                    </w:tc>
                    <w:tc>
                      <w:tcPr>
                        <w:tcW w:w="851" w:type="dxa"/>
                      </w:tcPr>
                      <w:p>
                        <w:pPr>
                          <w:rPr>
                            <w:color w:val="000000"/>
                            <w:szCs w:val="24"/>
                          </w:rPr>
                        </w:pPr>
                        <w:r>
                          <w:rPr>
                            <w:color w:val="000000"/>
                            <w:szCs w:val="24"/>
                          </w:rPr>
                          <w:t>100 %</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rPr>
                        </w:pPr>
                        <w:r>
                          <w:rPr>
                            <w:szCs w:val="24"/>
                          </w:rPr>
                          <w:t>50%</w:t>
                        </w:r>
                      </w:p>
                    </w:tc>
                    <w:tc>
                      <w:tcPr>
                        <w:tcW w:w="851" w:type="dxa"/>
                      </w:tcPr>
                      <w:p>
                        <w:pPr>
                          <w:rPr>
                            <w:color w:val="000000"/>
                            <w:szCs w:val="24"/>
                          </w:rPr>
                        </w:pPr>
                      </w:p>
                    </w:tc>
                    <w:tc>
                      <w:tcPr>
                        <w:tcW w:w="850" w:type="dxa"/>
                      </w:tcPr>
                      <w:p>
                        <w:pPr>
                          <w:rPr>
                            <w:szCs w:val="24"/>
                          </w:rPr>
                        </w:pPr>
                      </w:p>
                    </w:tc>
                    <w:tc>
                      <w:tcPr>
                        <w:tcW w:w="5245" w:type="dxa"/>
                      </w:tcPr>
                      <w:p>
                        <w:pPr>
                          <w:rPr>
                            <w:bCs/>
                            <w:szCs w:val="24"/>
                          </w:rPr>
                        </w:pPr>
                        <w:r>
                          <w:rPr>
                            <w:szCs w:val="24"/>
                          </w:rPr>
                          <w:t xml:space="preserve">Sudaryta Radviliškio miesto seniūnijos tarpinstitucinė grupė. </w:t>
                        </w:r>
                        <w:r>
                          <w:rPr>
                            <w:bCs/>
                            <w:szCs w:val="24"/>
                          </w:rPr>
                          <w:t>(Radviliškio miesto seniūnija)</w:t>
                        </w:r>
                      </w:p>
                    </w:tc>
                  </w:tr>
                  <w:tr>
                    <w:trPr>
                      <w:trHeight w:val="571"/>
                    </w:trPr>
                    <w:tc>
                      <w:tcPr>
                        <w:tcW w:w="4820" w:type="dxa"/>
                      </w:tcPr>
                      <w:p>
                        <w:pPr>
                          <w:rPr>
                            <w:szCs w:val="24"/>
                            <w14:ligatures w14:val="standardContextual"/>
                          </w:rPr>
                        </w:pPr>
                        <w:r>
                          <w:rPr>
                            <w:szCs w:val="24"/>
                          </w:rPr>
                          <w:t>22.1.1.5. Tęstinė mokymų ir kvalifikacijos kėlimo veikla (SVP 1-1-1-12)</w:t>
                        </w:r>
                      </w:p>
                    </w:tc>
                    <w:tc>
                      <w:tcPr>
                        <w:tcW w:w="851" w:type="dxa"/>
                      </w:tcPr>
                      <w:p>
                        <w:pPr>
                          <w:rPr>
                            <w:color w:val="000000"/>
                            <w:szCs w:val="24"/>
                          </w:rPr>
                        </w:pPr>
                        <w:r>
                          <w:rPr>
                            <w:bCs/>
                            <w:color w:val="000000"/>
                            <w:szCs w:val="24"/>
                          </w:rPr>
                          <w:t>10 vnt.</w:t>
                        </w:r>
                      </w:p>
                    </w:tc>
                    <w:tc>
                      <w:tcPr>
                        <w:tcW w:w="850" w:type="dxa"/>
                      </w:tcPr>
                      <w:p>
                        <w:pPr>
                          <w:rPr>
                            <w:szCs w:val="24"/>
                          </w:rPr>
                        </w:pPr>
                        <w:r>
                          <w:rPr>
                            <w:bCs/>
                            <w:szCs w:val="24"/>
                          </w:rPr>
                          <w:t>-</w:t>
                        </w:r>
                      </w:p>
                    </w:tc>
                    <w:tc>
                      <w:tcPr>
                        <w:tcW w:w="851" w:type="dxa"/>
                      </w:tcPr>
                      <w:p>
                        <w:pPr>
                          <w:rPr>
                            <w:szCs w:val="24"/>
                          </w:rPr>
                        </w:pPr>
                        <w:r>
                          <w:rPr>
                            <w:bCs/>
                            <w:szCs w:val="24"/>
                          </w:rPr>
                          <w:t>-</w:t>
                        </w:r>
                      </w:p>
                    </w:tc>
                    <w:tc>
                      <w:tcPr>
                        <w:tcW w:w="850" w:type="dxa"/>
                      </w:tcPr>
                      <w:p>
                        <w:pPr>
                          <w:rPr>
                            <w:szCs w:val="24"/>
                          </w:rPr>
                        </w:pPr>
                        <w:r>
                          <w:rPr>
                            <w:szCs w:val="24"/>
                          </w:rPr>
                          <w:t>10 vnt.</w:t>
                        </w:r>
                      </w:p>
                    </w:tc>
                    <w:tc>
                      <w:tcPr>
                        <w:tcW w:w="851" w:type="dxa"/>
                      </w:tcPr>
                      <w:p>
                        <w:pPr>
                          <w:rPr>
                            <w:color w:val="000000"/>
                            <w:szCs w:val="24"/>
                          </w:rPr>
                        </w:pPr>
                      </w:p>
                    </w:tc>
                    <w:tc>
                      <w:tcPr>
                        <w:tcW w:w="850" w:type="dxa"/>
                      </w:tcPr>
                      <w:p>
                        <w:pPr>
                          <w:rPr>
                            <w:szCs w:val="24"/>
                          </w:rPr>
                        </w:pPr>
                      </w:p>
                    </w:tc>
                    <w:tc>
                      <w:tcPr>
                        <w:tcW w:w="5245" w:type="dxa"/>
                      </w:tcPr>
                      <w:p>
                        <w:pPr>
                          <w:rPr>
                            <w:szCs w:val="24"/>
                          </w:rPr>
                        </w:pPr>
                        <w:r>
                          <w:rPr>
                            <w:szCs w:val="24"/>
                          </w:rPr>
                          <w:t xml:space="preserve">Radviliškio m. seniūnijos darbuotojai dalyvavo pirmosios pagalbos, priešgaisrinės saugos, viešųjų pirkimų, gyvenamosios vietos deklaravimo, civilinės saugos, invazinių augalų gausos reguliavimo, želdinių tvarkymo ir priežiūros, darbų saugos ir kt. mokymuose, seminaruose ir kursuose. </w:t>
                        </w:r>
                        <w:r>
                          <w:rPr>
                            <w:bCs/>
                            <w:szCs w:val="24"/>
                          </w:rPr>
                          <w:t>(Radviliškio miesto seniūnija)</w:t>
                        </w:r>
                      </w:p>
                    </w:tc>
                  </w:tr>
                  <w:tr>
                    <w:trPr>
                      <w:trHeight w:val="571"/>
                    </w:trPr>
                    <w:tc>
                      <w:tcPr>
                        <w:tcW w:w="4820" w:type="dxa"/>
                      </w:tcPr>
                      <w:p>
                        <w:pPr>
                          <w:rPr>
                            <w:rFonts w:eastAsia="Calibri"/>
                            <w:bCs/>
                            <w:iCs/>
                            <w:szCs w:val="24"/>
                          </w:rPr>
                        </w:pPr>
                        <w:r>
                          <w:rPr>
                            <w:rFonts w:eastAsia="Calibri"/>
                            <w:bCs/>
                            <w:iCs/>
                            <w:szCs w:val="24"/>
                          </w:rPr>
                          <w:t>23.1.1.1. Tęstinės Savivaldybės administracijos darbo organizavimo veiklos užtikrinimas.</w:t>
                        </w:r>
                      </w:p>
                      <w:p>
                        <w:pPr>
                          <w:rPr>
                            <w:iCs/>
                            <w:szCs w:val="24"/>
                          </w:rPr>
                        </w:pPr>
                        <w:r>
                          <w:rPr>
                            <w:iCs/>
                            <w:szCs w:val="24"/>
                          </w:rPr>
                          <w:t>(SVP 1-1-1-13)</w:t>
                        </w:r>
                      </w:p>
                    </w:tc>
                    <w:tc>
                      <w:tcPr>
                        <w:tcW w:w="851" w:type="dxa"/>
                      </w:tcPr>
                      <w:p>
                        <w:pPr>
                          <w:rPr>
                            <w:bCs/>
                            <w:color w:val="000000"/>
                            <w:szCs w:val="24"/>
                          </w:rPr>
                        </w:pPr>
                        <w:r>
                          <w:rPr>
                            <w:bCs/>
                            <w:color w:val="000000"/>
                            <w:szCs w:val="24"/>
                          </w:rPr>
                          <w:t>100</w:t>
                        </w:r>
                        <w:r>
                          <w:rPr>
                            <w:bCs/>
                            <w:color w:val="000000"/>
                            <w:szCs w:val="24"/>
                            <w:lang w:val="en-US"/>
                          </w:rPr>
                          <w:t>%</w:t>
                        </w:r>
                      </w:p>
                    </w:tc>
                    <w:tc>
                      <w:tcPr>
                        <w:tcW w:w="850" w:type="dxa"/>
                      </w:tcPr>
                      <w:p>
                        <w:pPr>
                          <w:rPr>
                            <w:bCs/>
                            <w:szCs w:val="24"/>
                          </w:rPr>
                        </w:pPr>
                        <w:r>
                          <w:rPr>
                            <w:bCs/>
                            <w:szCs w:val="24"/>
                          </w:rPr>
                          <w:t>100</w:t>
                        </w:r>
                        <w:r>
                          <w:rPr>
                            <w:bCs/>
                            <w:szCs w:val="24"/>
                            <w:lang w:val="en-US"/>
                          </w:rPr>
                          <w:t>%</w:t>
                        </w:r>
                      </w:p>
                    </w:tc>
                    <w:tc>
                      <w:tcPr>
                        <w:tcW w:w="851" w:type="dxa"/>
                      </w:tcPr>
                      <w:p>
                        <w:pPr>
                          <w:rPr>
                            <w:bCs/>
                            <w:szCs w:val="24"/>
                          </w:rPr>
                        </w:pPr>
                        <w:r>
                          <w:rPr>
                            <w:bCs/>
                            <w:szCs w:val="24"/>
                          </w:rPr>
                          <w:t>100</w:t>
                        </w:r>
                        <w:r>
                          <w:rPr>
                            <w:bCs/>
                            <w:szCs w:val="24"/>
                            <w:lang w:val="en-US"/>
                          </w:rPr>
                          <w:t>%</w:t>
                        </w:r>
                      </w:p>
                    </w:tc>
                    <w:tc>
                      <w:tcPr>
                        <w:tcW w:w="850" w:type="dxa"/>
                      </w:tcPr>
                      <w:p>
                        <w:pPr>
                          <w:rPr>
                            <w:bCs/>
                            <w:szCs w:val="24"/>
                          </w:rPr>
                        </w:pPr>
                        <w:r>
                          <w:rPr>
                            <w:bCs/>
                            <w:szCs w:val="24"/>
                          </w:rPr>
                          <w:t>100</w:t>
                        </w:r>
                        <w:r>
                          <w:rPr>
                            <w:bCs/>
                            <w:szCs w:val="24"/>
                            <w:lang w:val="en-US"/>
                          </w:rPr>
                          <w:t>%</w:t>
                        </w:r>
                      </w:p>
                    </w:tc>
                    <w:tc>
                      <w:tcPr>
                        <w:tcW w:w="851" w:type="dxa"/>
                        <w:vMerge w:val="restart"/>
                      </w:tcPr>
                      <w:p>
                        <w:pPr>
                          <w:rPr>
                            <w:szCs w:val="24"/>
                          </w:rPr>
                        </w:pPr>
                        <w:r>
                          <w:rPr>
                            <w:szCs w:val="24"/>
                          </w:rPr>
                          <w:t xml:space="preserve">27 </w:t>
                        </w:r>
                      </w:p>
                      <w:p>
                        <w:pPr>
                          <w:rPr>
                            <w:color w:val="808080"/>
                            <w:szCs w:val="24"/>
                          </w:rPr>
                        </w:pPr>
                        <w:r>
                          <w:rPr>
                            <w:szCs w:val="24"/>
                          </w:rPr>
                          <w:t xml:space="preserve">SB </w:t>
                        </w:r>
                      </w:p>
                      <w:p>
                        <w:pPr>
                          <w:rPr>
                            <w:color w:val="000000"/>
                            <w:szCs w:val="24"/>
                          </w:rPr>
                        </w:pPr>
                      </w:p>
                    </w:tc>
                    <w:tc>
                      <w:tcPr>
                        <w:tcW w:w="850" w:type="dxa"/>
                        <w:vMerge w:val="restart"/>
                      </w:tcPr>
                      <w:p>
                        <w:pPr>
                          <w:rPr>
                            <w:szCs w:val="24"/>
                          </w:rPr>
                        </w:pPr>
                        <w:r>
                          <w:rPr>
                            <w:szCs w:val="24"/>
                          </w:rPr>
                          <w:t xml:space="preserve">23 </w:t>
                        </w:r>
                      </w:p>
                      <w:p>
                        <w:pPr>
                          <w:rPr>
                            <w:color w:val="808080"/>
                            <w:szCs w:val="24"/>
                          </w:rPr>
                        </w:pPr>
                        <w:r>
                          <w:rPr>
                            <w:szCs w:val="24"/>
                          </w:rPr>
                          <w:t xml:space="preserve">SB </w:t>
                        </w:r>
                      </w:p>
                      <w:p>
                        <w:pPr>
                          <w:rPr>
                            <w:szCs w:val="24"/>
                          </w:rPr>
                        </w:pPr>
                      </w:p>
                    </w:tc>
                    <w:tc>
                      <w:tcPr>
                        <w:tcW w:w="5245" w:type="dxa"/>
                      </w:tcPr>
                      <w:p>
                        <w:pPr>
                          <w:rPr>
                            <w:szCs w:val="24"/>
                          </w:rPr>
                        </w:pPr>
                        <w:r>
                          <w:rPr>
                            <w:szCs w:val="24"/>
                          </w:rPr>
                          <w:t xml:space="preserve">Kanceliarinės prekės, komunaliniai mokesčiai, transporto išlaikymas, kitos prekės, paslaugos. </w:t>
                        </w:r>
                      </w:p>
                      <w:p>
                        <w:pPr>
                          <w:rPr>
                            <w:szCs w:val="24"/>
                          </w:rPr>
                        </w:pPr>
                        <w:r>
                          <w:rPr>
                            <w:szCs w:val="24"/>
                          </w:rPr>
                          <w:t>(Radviliškio seniūnija)</w:t>
                        </w:r>
                      </w:p>
                    </w:tc>
                  </w:tr>
                  <w:tr>
                    <w:trPr>
                      <w:trHeight w:val="571"/>
                    </w:trPr>
                    <w:tc>
                      <w:tcPr>
                        <w:tcW w:w="4820" w:type="dxa"/>
                      </w:tcPr>
                      <w:p>
                        <w:pPr>
                          <w:rPr>
                            <w:rFonts w:eastAsia="Calibri"/>
                            <w:bCs/>
                            <w:i/>
                            <w:iCs/>
                            <w:szCs w:val="24"/>
                          </w:rPr>
                        </w:pPr>
                        <w:r>
                          <w:rPr>
                            <w:rFonts w:eastAsia="Calibri"/>
                            <w:bCs/>
                            <w:iCs/>
                            <w:szCs w:val="24"/>
                          </w:rPr>
                          <w:t xml:space="preserve">23.1.1.2. Gyvenamosios vietos deklaravimo funkcijų vykdymas. </w:t>
                        </w:r>
                        <w:r>
                          <w:rPr>
                            <w:rFonts w:eastAsia="Calibri"/>
                            <w:bCs/>
                            <w:i/>
                            <w:iCs/>
                            <w:szCs w:val="24"/>
                          </w:rPr>
                          <w:t>Išduodamų pažymų rūšys.</w:t>
                        </w:r>
                      </w:p>
                      <w:p>
                        <w:pPr>
                          <w:rPr>
                            <w:iCs/>
                            <w:szCs w:val="24"/>
                          </w:rPr>
                        </w:pPr>
                        <w:r>
                          <w:rPr>
                            <w:iCs/>
                            <w:szCs w:val="24"/>
                          </w:rPr>
                          <w:t>(SVP 1-1-1-13)</w:t>
                        </w:r>
                      </w:p>
                      <w:p>
                        <w:pPr>
                          <w:rPr>
                            <w:szCs w:val="24"/>
                            <w14:ligatures w14:val="standardContextual"/>
                          </w:rPr>
                        </w:pPr>
                      </w:p>
                    </w:tc>
                    <w:tc>
                      <w:tcPr>
                        <w:tcW w:w="851" w:type="dxa"/>
                      </w:tcPr>
                      <w:p>
                        <w:pPr>
                          <w:rPr>
                            <w:color w:val="000000"/>
                            <w:szCs w:val="24"/>
                          </w:rPr>
                        </w:pPr>
                        <w:r>
                          <w:rPr>
                            <w:b/>
                            <w:color w:val="000000"/>
                            <w:szCs w:val="24"/>
                          </w:rPr>
                          <w:t>7</w:t>
                        </w:r>
                      </w:p>
                    </w:tc>
                    <w:tc>
                      <w:tcPr>
                        <w:tcW w:w="850" w:type="dxa"/>
                      </w:tcPr>
                      <w:p>
                        <w:pPr>
                          <w:rPr>
                            <w:szCs w:val="24"/>
                          </w:rPr>
                        </w:pPr>
                        <w:r>
                          <w:rPr>
                            <w:b/>
                            <w:szCs w:val="24"/>
                          </w:rPr>
                          <w:t>7</w:t>
                        </w:r>
                      </w:p>
                    </w:tc>
                    <w:tc>
                      <w:tcPr>
                        <w:tcW w:w="851" w:type="dxa"/>
                      </w:tcPr>
                      <w:p>
                        <w:pPr>
                          <w:rPr>
                            <w:szCs w:val="24"/>
                          </w:rPr>
                        </w:pPr>
                        <w:r>
                          <w:rPr>
                            <w:b/>
                            <w:szCs w:val="24"/>
                          </w:rPr>
                          <w:t>7</w:t>
                        </w:r>
                      </w:p>
                    </w:tc>
                    <w:tc>
                      <w:tcPr>
                        <w:tcW w:w="850" w:type="dxa"/>
                      </w:tcPr>
                      <w:p>
                        <w:pPr>
                          <w:rPr>
                            <w:szCs w:val="24"/>
                          </w:rPr>
                        </w:pPr>
                        <w:r>
                          <w:rPr>
                            <w:b/>
                            <w:szCs w:val="24"/>
                          </w:rPr>
                          <w:t>7</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Išduota pažymų: apie asmens deklaruotą gyvenamąją vietą – 120, gyvenamosios patalpos savininkams – 15, priimtų sprendimų dėl deklaravimo duomenų taisymo, keitimo ir naikinimo – 18, įrauktų į GVNA (gyvenamosios vietos neturinčių asmenų) apskaitą – 15, atvykimą deklaravusių žmonių – 110, išvykimą deklaravusių – 16. (Radviliškio seniūnija)</w:t>
                        </w:r>
                      </w:p>
                    </w:tc>
                  </w:tr>
                  <w:tr>
                    <w:trPr>
                      <w:trHeight w:val="571"/>
                    </w:trPr>
                    <w:tc>
                      <w:tcPr>
                        <w:tcW w:w="4820" w:type="dxa"/>
                      </w:tcPr>
                      <w:p>
                        <w:pPr>
                          <w:rPr>
                            <w:rFonts w:eastAsia="Calibri"/>
                            <w:bCs/>
                            <w:i/>
                            <w:iCs/>
                            <w:szCs w:val="24"/>
                          </w:rPr>
                        </w:pPr>
                        <w:r>
                          <w:rPr>
                            <w:rFonts w:eastAsia="Calibri"/>
                            <w:bCs/>
                            <w:iCs/>
                            <w:szCs w:val="24"/>
                          </w:rPr>
                          <w:t xml:space="preserve">23.1.1.3. Leidimų pagal kompetenciją išdavimas. </w:t>
                        </w:r>
                        <w:r>
                          <w:rPr>
                            <w:rFonts w:eastAsia="Calibri"/>
                            <w:bCs/>
                            <w:i/>
                            <w:iCs/>
                            <w:szCs w:val="24"/>
                          </w:rPr>
                          <w:t>Išduotų leidimų skaičius procentais nuo pateiktų prašymų skaičiaus.</w:t>
                        </w:r>
                      </w:p>
                      <w:p>
                        <w:pPr>
                          <w:rPr>
                            <w:iCs/>
                            <w:szCs w:val="24"/>
                          </w:rPr>
                        </w:pPr>
                        <w:r>
                          <w:rPr>
                            <w:iCs/>
                            <w:szCs w:val="24"/>
                          </w:rPr>
                          <w:t>(SVP 1-1-1-13)</w:t>
                        </w:r>
                      </w:p>
                    </w:tc>
                    <w:tc>
                      <w:tcPr>
                        <w:tcW w:w="851" w:type="dxa"/>
                      </w:tcPr>
                      <w:p>
                        <w:pPr>
                          <w:rPr>
                            <w:color w:val="000000"/>
                            <w:szCs w:val="24"/>
                          </w:rPr>
                        </w:pPr>
                        <w:r>
                          <w:rPr>
                            <w:rFonts w:eastAsia="Calibri"/>
                            <w:color w:val="000000"/>
                            <w:szCs w:val="24"/>
                          </w:rPr>
                          <w:t>100</w:t>
                        </w:r>
                        <w:r>
                          <w:rPr>
                            <w:rFonts w:eastAsia="Calibri"/>
                            <w:color w:val="000000"/>
                            <w:szCs w:val="24"/>
                            <w:lang w:val="en-US"/>
                          </w:rPr>
                          <w:t xml:space="preserve"> %</w:t>
                        </w:r>
                      </w:p>
                    </w:tc>
                    <w:tc>
                      <w:tcPr>
                        <w:tcW w:w="850" w:type="dxa"/>
                      </w:tcPr>
                      <w:p>
                        <w:pPr>
                          <w:rPr>
                            <w:szCs w:val="24"/>
                          </w:rPr>
                        </w:pPr>
                        <w:r>
                          <w:rPr>
                            <w:rFonts w:eastAsia="Calibri"/>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szCs w:val="24"/>
                            <w:highlight w:val="yellow"/>
                          </w:rPr>
                        </w:pPr>
                        <w:r>
                          <w:rPr>
                            <w:szCs w:val="24"/>
                          </w:rPr>
                          <w:t>Išduoti leidimai: laidoti – 7, leidimai pertvarkyti kapavietę – 1, išsikasti ir perlaidoti urną – 1. prekybai – 3, kasimo darbams atliki – 14, renginių organizavimui – 7. (Radviliškio seniūnija)</w:t>
                        </w:r>
                      </w:p>
                    </w:tc>
                  </w:tr>
                  <w:tr>
                    <w:trPr>
                      <w:trHeight w:val="571"/>
                    </w:trPr>
                    <w:tc>
                      <w:tcPr>
                        <w:tcW w:w="4820" w:type="dxa"/>
                      </w:tcPr>
                      <w:p>
                        <w:pPr>
                          <w:rPr>
                            <w:bCs/>
                            <w:iCs/>
                            <w:szCs w:val="24"/>
                          </w:rPr>
                        </w:pPr>
                        <w:r>
                          <w:rPr>
                            <w:bCs/>
                            <w:iCs/>
                            <w:szCs w:val="24"/>
                          </w:rPr>
                          <w:t>23.2.1.1. Vietos gyventojų įtraukimas į savivaldos veiklą.</w:t>
                        </w:r>
                      </w:p>
                      <w:p>
                        <w:pPr>
                          <w:rPr>
                            <w:bCs/>
                            <w:iCs/>
                            <w:szCs w:val="24"/>
                          </w:rPr>
                        </w:pPr>
                        <w:r>
                          <w:rPr>
                            <w:bCs/>
                            <w:i/>
                            <w:iCs/>
                            <w:szCs w:val="24"/>
                          </w:rPr>
                          <w:t>Sušauktų seniūnaičių sueigų skaičius</w:t>
                        </w:r>
                        <w:r>
                          <w:rPr>
                            <w:bCs/>
                            <w:iCs/>
                            <w:szCs w:val="24"/>
                          </w:rPr>
                          <w:t xml:space="preserve"> </w:t>
                        </w:r>
                      </w:p>
                      <w:p>
                        <w:pPr>
                          <w:rPr>
                            <w:iCs/>
                            <w:szCs w:val="24"/>
                          </w:rPr>
                        </w:pPr>
                        <w:r>
                          <w:rPr>
                            <w:iCs/>
                            <w:szCs w:val="24"/>
                          </w:rPr>
                          <w:t>(SVP 1-1-1-13)</w:t>
                        </w:r>
                      </w:p>
                      <w:p>
                        <w:pPr>
                          <w:rPr>
                            <w:szCs w:val="24"/>
                            <w14:ligatures w14:val="standardContextual"/>
                          </w:rPr>
                        </w:pPr>
                      </w:p>
                    </w:tc>
                    <w:tc>
                      <w:tcPr>
                        <w:tcW w:w="851" w:type="dxa"/>
                      </w:tcPr>
                      <w:p>
                        <w:pPr>
                          <w:rPr>
                            <w:color w:val="000000"/>
                            <w:szCs w:val="24"/>
                          </w:rPr>
                        </w:pPr>
                        <w:r>
                          <w:rPr>
                            <w:rFonts w:eastAsia="Calibri"/>
                            <w:color w:val="000000"/>
                            <w:szCs w:val="24"/>
                          </w:rPr>
                          <w:t xml:space="preserve">2 </w:t>
                        </w:r>
                      </w:p>
                    </w:tc>
                    <w:tc>
                      <w:tcPr>
                        <w:tcW w:w="850" w:type="dxa"/>
                      </w:tcPr>
                      <w:p>
                        <w:pPr>
                          <w:rPr>
                            <w:szCs w:val="24"/>
                          </w:rPr>
                        </w:pPr>
                        <w:r>
                          <w:rPr>
                            <w:rFonts w:eastAsia="Calibri"/>
                            <w:szCs w:val="24"/>
                          </w:rPr>
                          <w:t>2</w:t>
                        </w:r>
                      </w:p>
                    </w:tc>
                    <w:tc>
                      <w:tcPr>
                        <w:tcW w:w="851" w:type="dxa"/>
                      </w:tcPr>
                      <w:p>
                        <w:pPr>
                          <w:rPr>
                            <w:szCs w:val="24"/>
                          </w:rPr>
                        </w:pPr>
                        <w:r>
                          <w:rPr>
                            <w:rFonts w:eastAsia="Calibri"/>
                            <w:szCs w:val="24"/>
                          </w:rPr>
                          <w:t>2</w:t>
                        </w:r>
                      </w:p>
                    </w:tc>
                    <w:tc>
                      <w:tcPr>
                        <w:tcW w:w="850" w:type="dxa"/>
                      </w:tcPr>
                      <w:p>
                        <w:pPr>
                          <w:rPr>
                            <w:szCs w:val="24"/>
                          </w:rPr>
                        </w:pPr>
                        <w:r>
                          <w:rPr>
                            <w:rFonts w:eastAsia="Calibri"/>
                            <w:szCs w:val="24"/>
                          </w:rPr>
                          <w:t>2</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 xml:space="preserve">2025-02-20 šaukta Radviliškio seniūnijos seniūnaičių sueiga, dėl 2024 m. seniūno ataskaitos ir  2025 m. seniūnijos veiklos plano tvirtinimo. 2025-11-4 d. šaukta seniūnaičių sueiga, dėl  seniūnijos kelių plėtros programos prioritetinio sąrašo sudarymo. </w:t>
                        </w:r>
                        <w:r>
                          <w:rPr>
                            <w:szCs w:val="24"/>
                          </w:rPr>
                          <w:t>(Radviliškio seniūnija)</w:t>
                        </w:r>
                      </w:p>
                    </w:tc>
                  </w:tr>
                  <w:tr>
                    <w:trPr>
                      <w:trHeight w:val="571"/>
                    </w:trPr>
                    <w:tc>
                      <w:tcPr>
                        <w:tcW w:w="4820" w:type="dxa"/>
                      </w:tcPr>
                      <w:p>
                        <w:pPr>
                          <w:rPr>
                            <w:bCs/>
                            <w:iCs/>
                            <w:szCs w:val="24"/>
                          </w:rPr>
                        </w:pPr>
                        <w:r>
                          <w:rPr>
                            <w:bCs/>
                            <w:iCs/>
                            <w:szCs w:val="24"/>
                          </w:rPr>
                          <w:t xml:space="preserve">23.2.1.2. Prašymų ir skundų susijusių su seniūnijos veikla nagrinėjimas, atsakymų pateikimas. </w:t>
                        </w:r>
                        <w:r>
                          <w:rPr>
                            <w:bCs/>
                            <w:i/>
                            <w:iCs/>
                            <w:szCs w:val="24"/>
                          </w:rPr>
                          <w:t xml:space="preserve">Išnagrinėtų skundų, prašymų susijusių su seniūnijos veikla procentas </w:t>
                        </w:r>
                        <w:r>
                          <w:rPr>
                            <w:iCs/>
                            <w:szCs w:val="24"/>
                          </w:rPr>
                          <w:t>(SVP 1-1-1-13)</w:t>
                        </w:r>
                      </w:p>
                    </w:tc>
                    <w:tc>
                      <w:tcPr>
                        <w:tcW w:w="851" w:type="dxa"/>
                      </w:tcPr>
                      <w:p>
                        <w:pPr>
                          <w:rPr>
                            <w:color w:val="000000"/>
                            <w:szCs w:val="24"/>
                          </w:rPr>
                        </w:pPr>
                        <w:r>
                          <w:rPr>
                            <w:rFonts w:eastAsia="Calibri"/>
                            <w:color w:val="000000"/>
                            <w:szCs w:val="24"/>
                          </w:rPr>
                          <w:t>100 %</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 xml:space="preserve">Skundai – 2,  prašymai – 8.</w:t>
                        </w:r>
                      </w:p>
                      <w:p>
                        <w:pPr>
                          <w:rPr>
                            <w:szCs w:val="24"/>
                          </w:rPr>
                        </w:pPr>
                        <w:r>
                          <w:rPr>
                            <w:szCs w:val="24"/>
                          </w:rPr>
                          <w:t>(Radviliškio seniūnija)</w:t>
                        </w:r>
                      </w:p>
                      <w:p>
                        <w:pPr>
                          <w:rPr>
                            <w:szCs w:val="24"/>
                          </w:rPr>
                        </w:pPr>
                      </w:p>
                    </w:tc>
                  </w:tr>
                  <w:tr>
                    <w:trPr>
                      <w:trHeight w:val="571"/>
                    </w:trPr>
                    <w:tc>
                      <w:tcPr>
                        <w:tcW w:w="4820" w:type="dxa"/>
                      </w:tcPr>
                      <w:p>
                        <w:pPr>
                          <w:rPr>
                            <w:bCs/>
                            <w:iCs/>
                            <w:szCs w:val="24"/>
                          </w:rPr>
                        </w:pPr>
                        <w:r>
                          <w:rPr>
                            <w:bCs/>
                            <w:iCs/>
                            <w:szCs w:val="24"/>
                          </w:rPr>
                          <w:t>23.3.1.1. Žemės ūkio veiklos seniūnijoje administravimas.</w:t>
                        </w:r>
                      </w:p>
                      <w:p>
                        <w:pPr>
                          <w:rPr>
                            <w:bCs/>
                            <w:i/>
                            <w:iCs/>
                            <w:szCs w:val="24"/>
                          </w:rPr>
                        </w:pPr>
                        <w:r>
                          <w:rPr>
                            <w:bCs/>
                            <w:i/>
                            <w:iCs/>
                            <w:szCs w:val="24"/>
                          </w:rPr>
                          <w:t>Žemės ūkio veiklos funkcijų vykdymas procentais</w:t>
                        </w:r>
                      </w:p>
                      <w:p>
                        <w:pPr>
                          <w:rPr>
                            <w:iCs/>
                            <w:szCs w:val="24"/>
                          </w:rPr>
                        </w:pPr>
                        <w:r>
                          <w:rPr>
                            <w:iCs/>
                            <w:szCs w:val="24"/>
                          </w:rPr>
                          <w:t>(SVP 1-1-144A.)</w:t>
                        </w:r>
                      </w:p>
                      <w:p>
                        <w:pPr>
                          <w:rPr>
                            <w:szCs w:val="24"/>
                            <w14:ligatures w14:val="standardContextual"/>
                          </w:rPr>
                        </w:pPr>
                      </w:p>
                    </w:tc>
                    <w:tc>
                      <w:tcPr>
                        <w:tcW w:w="851" w:type="dxa"/>
                      </w:tcPr>
                      <w:p>
                        <w:pPr>
                          <w:rPr>
                            <w:color w:val="000000"/>
                            <w:szCs w:val="24"/>
                          </w:rPr>
                        </w:pPr>
                        <w:r>
                          <w:rPr>
                            <w:rFonts w:eastAsia="Calibri"/>
                            <w:color w:val="000000"/>
                            <w:szCs w:val="24"/>
                          </w:rPr>
                          <w:t xml:space="preserve">100 </w:t>
                        </w:r>
                        <w:r>
                          <w:rPr>
                            <w:rFonts w:eastAsia="Calibri"/>
                            <w:color w:val="000000"/>
                            <w:szCs w:val="24"/>
                            <w:lang w:val="en-US"/>
                          </w:rPr>
                          <w:t>%</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tcPr>
                      <w:p>
                        <w:pPr>
                          <w:rPr>
                            <w:color w:val="000000"/>
                            <w:szCs w:val="24"/>
                          </w:rPr>
                        </w:pPr>
                      </w:p>
                    </w:tc>
                    <w:tc>
                      <w:tcPr>
                        <w:tcW w:w="850" w:type="dxa"/>
                      </w:tcPr>
                      <w:p>
                        <w:pPr>
                          <w:rPr>
                            <w:szCs w:val="24"/>
                          </w:rPr>
                        </w:pPr>
                      </w:p>
                    </w:tc>
                    <w:tc>
                      <w:tcPr>
                        <w:tcW w:w="5245" w:type="dxa"/>
                      </w:tcPr>
                      <w:p>
                        <w:pPr>
                          <w:rPr>
                            <w:rFonts w:eastAsia="Calibri"/>
                            <w:szCs w:val="24"/>
                          </w:rPr>
                        </w:pPr>
                        <w:r>
                          <w:rPr>
                            <w:rFonts w:eastAsia="Calibri"/>
                            <w:szCs w:val="24"/>
                          </w:rPr>
                          <w:t xml:space="preserve">Priimta ir elektroniniu būdu įbraižyta 223 paraiškos, deklaruota 15137, 23 ha žemės plotai. Priimti 35 prašymai iš žemės ūkio subjektų dėl duomenų pakeitimo. Atnaujinta 248 žemės ūkio valda, patikslinti 167 ūkininkų ūkiai, įregistruotos 2 naujos ūkininkų valdos. </w:t>
                        </w:r>
                        <w:r>
                          <w:rPr>
                            <w:szCs w:val="24"/>
                          </w:rPr>
                          <w:t>(Radviliškio seniūnija)</w:t>
                        </w:r>
                      </w:p>
                    </w:tc>
                  </w:tr>
                  <w:tr>
                    <w:trPr>
                      <w:trHeight w:val="571"/>
                    </w:trPr>
                    <w:tc>
                      <w:tcPr>
                        <w:tcW w:w="4820" w:type="dxa"/>
                      </w:tcPr>
                      <w:p>
                        <w:pPr>
                          <w:rPr>
                            <w:bCs/>
                            <w:color w:val="000000"/>
                            <w:szCs w:val="24"/>
                          </w:rPr>
                        </w:pPr>
                        <w:r>
                          <w:rPr>
                            <w:bCs/>
                            <w:color w:val="000000"/>
                            <w:szCs w:val="24"/>
                          </w:rPr>
                          <w:t>24.1.1.1. Tęstinė Sidabravo seniūnijos valdymo funkcija (SVP 1-1-1-17)</w:t>
                        </w:r>
                      </w:p>
                    </w:tc>
                    <w:tc>
                      <w:tcPr>
                        <w:tcW w:w="851" w:type="dxa"/>
                      </w:tcPr>
                      <w:p>
                        <w:pPr>
                          <w:rPr>
                            <w:color w:val="000000"/>
                            <w:szCs w:val="24"/>
                          </w:rPr>
                        </w:pPr>
                        <w:r>
                          <w:rPr>
                            <w:iCs/>
                            <w:color w:val="000000"/>
                            <w:szCs w:val="24"/>
                          </w:rPr>
                          <w:t>100</w:t>
                        </w:r>
                        <w:r>
                          <w:rPr>
                            <w:iCs/>
                            <w:color w:val="000000"/>
                            <w:szCs w:val="24"/>
                            <w:lang w:val="en-US"/>
                          </w:rPr>
                          <w:t>%</w:t>
                        </w:r>
                      </w:p>
                    </w:tc>
                    <w:tc>
                      <w:tcPr>
                        <w:tcW w:w="850" w:type="dxa"/>
                      </w:tcPr>
                      <w:p>
                        <w:pPr>
                          <w:rPr>
                            <w:szCs w:val="24"/>
                          </w:rPr>
                        </w:pPr>
                        <w:r>
                          <w:rPr>
                            <w:iCs/>
                            <w:color w:val="000000"/>
                            <w:szCs w:val="24"/>
                          </w:rPr>
                          <w:t>100</w:t>
                        </w:r>
                        <w:r>
                          <w:rPr>
                            <w:iCs/>
                            <w:color w:val="000000"/>
                            <w:szCs w:val="24"/>
                            <w:lang w:val="en-US"/>
                          </w:rPr>
                          <w:t>%</w:t>
                        </w:r>
                      </w:p>
                    </w:tc>
                    <w:tc>
                      <w:tcPr>
                        <w:tcW w:w="851" w:type="dxa"/>
                      </w:tcPr>
                      <w:p>
                        <w:pPr>
                          <w:rPr>
                            <w:szCs w:val="24"/>
                          </w:rPr>
                        </w:pPr>
                        <w:r>
                          <w:rPr>
                            <w:iCs/>
                            <w:color w:val="000000"/>
                            <w:szCs w:val="24"/>
                          </w:rPr>
                          <w:t>100</w:t>
                        </w:r>
                        <w:r>
                          <w:rPr>
                            <w:iCs/>
                            <w:color w:val="000000"/>
                            <w:szCs w:val="24"/>
                            <w:lang w:val="en-US"/>
                          </w:rPr>
                          <w:t>%</w:t>
                        </w:r>
                      </w:p>
                    </w:tc>
                    <w:tc>
                      <w:tcPr>
                        <w:tcW w:w="850" w:type="dxa"/>
                      </w:tcPr>
                      <w:p>
                        <w:pPr>
                          <w:rPr>
                            <w:szCs w:val="24"/>
                          </w:rPr>
                        </w:pPr>
                        <w:r>
                          <w:rPr>
                            <w:iCs/>
                            <w:color w:val="000000"/>
                            <w:szCs w:val="24"/>
                          </w:rPr>
                          <w:t xml:space="preserve">100 </w:t>
                        </w:r>
                        <w:r>
                          <w:rPr>
                            <w:iCs/>
                            <w:color w:val="000000"/>
                            <w:szCs w:val="24"/>
                            <w:lang w:val="en-US"/>
                          </w:rPr>
                          <w:t>%</w:t>
                        </w:r>
                      </w:p>
                    </w:tc>
                    <w:tc>
                      <w:tcPr>
                        <w:tcW w:w="851" w:type="dxa"/>
                        <w:vMerge w:val="restart"/>
                      </w:tcPr>
                      <w:p>
                        <w:pPr>
                          <w:rPr>
                            <w:iCs/>
                            <w:color w:val="000000"/>
                            <w:szCs w:val="24"/>
                          </w:rPr>
                        </w:pPr>
                        <w:r>
                          <w:rPr>
                            <w:iCs/>
                            <w:color w:val="000000"/>
                            <w:szCs w:val="24"/>
                          </w:rPr>
                          <w:t>33,7</w:t>
                        </w:r>
                      </w:p>
                      <w:p>
                        <w:pPr>
                          <w:rPr>
                            <w:iCs/>
                            <w:color w:val="808080"/>
                            <w:szCs w:val="24"/>
                          </w:rPr>
                        </w:pPr>
                        <w:r>
                          <w:rPr>
                            <w:iCs/>
                            <w:color w:val="000000"/>
                            <w:szCs w:val="24"/>
                          </w:rPr>
                          <w:t>SB</w:t>
                        </w:r>
                      </w:p>
                      <w:p>
                        <w:pPr>
                          <w:rPr>
                            <w:color w:val="000000"/>
                            <w:szCs w:val="24"/>
                          </w:rPr>
                        </w:pPr>
                      </w:p>
                    </w:tc>
                    <w:tc>
                      <w:tcPr>
                        <w:tcW w:w="850" w:type="dxa"/>
                        <w:vMerge w:val="restart"/>
                      </w:tcPr>
                      <w:p>
                        <w:pPr>
                          <w:rPr>
                            <w:iCs/>
                            <w:color w:val="000000"/>
                            <w:szCs w:val="24"/>
                          </w:rPr>
                        </w:pPr>
                        <w:r>
                          <w:rPr>
                            <w:iCs/>
                            <w:color w:val="000000"/>
                            <w:szCs w:val="24"/>
                          </w:rPr>
                          <w:t>19,52</w:t>
                        </w:r>
                      </w:p>
                      <w:p>
                        <w:pPr>
                          <w:rPr>
                            <w:iCs/>
                            <w:color w:val="808080"/>
                            <w:szCs w:val="24"/>
                          </w:rPr>
                        </w:pPr>
                        <w:r>
                          <w:rPr>
                            <w:iCs/>
                            <w:color w:val="000000"/>
                            <w:szCs w:val="24"/>
                          </w:rPr>
                          <w:t>SB</w:t>
                        </w:r>
                      </w:p>
                      <w:p>
                        <w:pPr>
                          <w:rPr>
                            <w:szCs w:val="24"/>
                          </w:rPr>
                        </w:pPr>
                      </w:p>
                    </w:tc>
                    <w:tc>
                      <w:tcPr>
                        <w:tcW w:w="5245" w:type="dxa"/>
                      </w:tcPr>
                      <w:p>
                        <w:pPr>
                          <w:rPr>
                            <w:iCs/>
                            <w:color w:val="000000"/>
                            <w:szCs w:val="24"/>
                          </w:rPr>
                        </w:pPr>
                        <w:r>
                          <w:rPr>
                            <w:iCs/>
                            <w:color w:val="000000"/>
                            <w:szCs w:val="24"/>
                          </w:rPr>
                          <w:t>Kanceliarinės prekės, komunaliniai mokesčiai, transporto išlaikymas, kitos prekės, paslaugos.</w:t>
                        </w:r>
                      </w:p>
                      <w:p>
                        <w:pPr>
                          <w:rPr>
                            <w:szCs w:val="24"/>
                          </w:rPr>
                        </w:pPr>
                        <w:r>
                          <w:rPr>
                            <w:iCs/>
                            <w:color w:val="000000"/>
                            <w:szCs w:val="24"/>
                          </w:rPr>
                          <w:t>(Sidabravo seniūnija)</w:t>
                        </w:r>
                      </w:p>
                    </w:tc>
                  </w:tr>
                  <w:tr>
                    <w:trPr>
                      <w:trHeight w:val="571"/>
                    </w:trPr>
                    <w:tc>
                      <w:tcPr>
                        <w:tcW w:w="4820" w:type="dxa"/>
                      </w:tcPr>
                      <w:p>
                        <w:pPr>
                          <w:rPr>
                            <w:bCs/>
                            <w:color w:val="000000"/>
                            <w:szCs w:val="24"/>
                          </w:rPr>
                        </w:pPr>
                        <w:r>
                          <w:rPr>
                            <w:bCs/>
                            <w:color w:val="000000"/>
                            <w:szCs w:val="24"/>
                          </w:rPr>
                          <w:t>24.1.1.2. Gyvenamosios vietos deklaravimo funkcijų vykdymas. Pažymų rūšių skaičius</w:t>
                        </w:r>
                      </w:p>
                      <w:p>
                        <w:pPr>
                          <w:rPr>
                            <w:szCs w:val="24"/>
                            <w14:ligatures w14:val="standardContextual"/>
                          </w:rPr>
                        </w:pPr>
                        <w:r>
                          <w:rPr>
                            <w:bCs/>
                            <w:color w:val="000000"/>
                            <w:szCs w:val="24"/>
                          </w:rPr>
                          <w:t>(SVP 1-1-1-17)</w:t>
                        </w:r>
                      </w:p>
                    </w:tc>
                    <w:tc>
                      <w:tcPr>
                        <w:tcW w:w="851" w:type="dxa"/>
                      </w:tcPr>
                      <w:p>
                        <w:pPr>
                          <w:rPr>
                            <w:color w:val="000000"/>
                            <w:szCs w:val="24"/>
                          </w:rPr>
                        </w:pPr>
                        <w:r>
                          <w:rPr>
                            <w:iCs/>
                            <w:color w:val="000000"/>
                            <w:szCs w:val="24"/>
                          </w:rPr>
                          <w:t>4 vnt.</w:t>
                        </w:r>
                      </w:p>
                    </w:tc>
                    <w:tc>
                      <w:tcPr>
                        <w:tcW w:w="850" w:type="dxa"/>
                      </w:tcPr>
                      <w:p>
                        <w:pPr>
                          <w:rPr>
                            <w:szCs w:val="24"/>
                          </w:rPr>
                        </w:pPr>
                        <w:r>
                          <w:rPr>
                            <w:iCs/>
                            <w:color w:val="000000"/>
                            <w:szCs w:val="24"/>
                          </w:rPr>
                          <w:t>4 vnt.</w:t>
                        </w:r>
                      </w:p>
                    </w:tc>
                    <w:tc>
                      <w:tcPr>
                        <w:tcW w:w="851" w:type="dxa"/>
                      </w:tcPr>
                      <w:p>
                        <w:pPr>
                          <w:rPr>
                            <w:szCs w:val="24"/>
                          </w:rPr>
                        </w:pPr>
                        <w:r>
                          <w:rPr>
                            <w:iCs/>
                            <w:color w:val="000000"/>
                            <w:szCs w:val="24"/>
                          </w:rPr>
                          <w:t>4 vnt.</w:t>
                        </w:r>
                      </w:p>
                    </w:tc>
                    <w:tc>
                      <w:tcPr>
                        <w:tcW w:w="850" w:type="dxa"/>
                      </w:tcPr>
                      <w:p>
                        <w:pPr>
                          <w:rPr>
                            <w:szCs w:val="24"/>
                          </w:rPr>
                        </w:pPr>
                        <w:r>
                          <w:rPr>
                            <w:iCs/>
                            <w:color w:val="000000"/>
                            <w:szCs w:val="24"/>
                          </w:rPr>
                          <w:t>4 vnt.</w:t>
                        </w:r>
                      </w:p>
                    </w:tc>
                    <w:tc>
                      <w:tcPr>
                        <w:tcW w:w="851" w:type="dxa"/>
                        <w:vMerge/>
                      </w:tcPr>
                      <w:p>
                        <w:pPr>
                          <w:rPr>
                            <w:color w:val="000000"/>
                            <w:szCs w:val="24"/>
                          </w:rPr>
                        </w:pPr>
                      </w:p>
                    </w:tc>
                    <w:tc>
                      <w:tcPr>
                        <w:tcW w:w="850" w:type="dxa"/>
                        <w:vMerge/>
                      </w:tcPr>
                      <w:p>
                        <w:pPr>
                          <w:rPr>
                            <w:szCs w:val="24"/>
                          </w:rPr>
                        </w:pPr>
                      </w:p>
                    </w:tc>
                    <w:tc>
                      <w:tcPr>
                        <w:tcW w:w="5245" w:type="dxa"/>
                      </w:tcPr>
                      <w:p>
                        <w:pPr>
                          <w:rPr>
                            <w:iCs/>
                            <w:color w:val="000000"/>
                            <w:szCs w:val="24"/>
                          </w:rPr>
                        </w:pPr>
                        <w:r>
                          <w:rPr>
                            <w:iCs/>
                            <w:color w:val="000000"/>
                            <w:szCs w:val="24"/>
                          </w:rPr>
                          <w:t>Išduota pažymų: apie asmens deklaruotą gyvenamąją vietą – 40, gyvenamosios vietos savininkui (bendraturčiams) – 3, Išvykimas / atvykimas – 33. (Sidabravo seniūnija)</w:t>
                        </w:r>
                      </w:p>
                    </w:tc>
                  </w:tr>
                  <w:tr>
                    <w:trPr>
                      <w:trHeight w:val="571"/>
                    </w:trPr>
                    <w:tc>
                      <w:tcPr>
                        <w:tcW w:w="4820" w:type="dxa"/>
                      </w:tcPr>
                      <w:p>
                        <w:pPr>
                          <w:rPr>
                            <w:bCs/>
                            <w:iCs/>
                            <w:szCs w:val="24"/>
                          </w:rPr>
                        </w:pPr>
                        <w:r>
                          <w:rPr>
                            <w:bCs/>
                            <w:iCs/>
                            <w:szCs w:val="24"/>
                          </w:rPr>
                          <w:t xml:space="preserve">24.1.1.3. Leidimų pagal kompetenciją išdavimas. </w:t>
                        </w:r>
                        <w:r>
                          <w:rPr>
                            <w:bCs/>
                            <w:color w:val="000000"/>
                            <w:szCs w:val="24"/>
                          </w:rPr>
                          <w:t>(SVP 1-1-1-17)</w:t>
                        </w:r>
                      </w:p>
                    </w:tc>
                    <w:tc>
                      <w:tcPr>
                        <w:tcW w:w="851" w:type="dxa"/>
                      </w:tcPr>
                      <w:p>
                        <w:pPr>
                          <w:rPr>
                            <w:color w:val="000000"/>
                            <w:szCs w:val="24"/>
                          </w:rPr>
                        </w:pPr>
                        <w:r>
                          <w:rPr>
                            <w:iCs/>
                            <w:color w:val="000000"/>
                            <w:szCs w:val="24"/>
                          </w:rPr>
                          <w:t>100</w:t>
                        </w:r>
                        <w:r>
                          <w:rPr>
                            <w:iCs/>
                            <w:color w:val="000000"/>
                            <w:szCs w:val="24"/>
                            <w:lang w:val="en-US"/>
                          </w:rPr>
                          <w:t>%</w:t>
                        </w:r>
                      </w:p>
                    </w:tc>
                    <w:tc>
                      <w:tcPr>
                        <w:tcW w:w="850" w:type="dxa"/>
                      </w:tcPr>
                      <w:p>
                        <w:pPr>
                          <w:rPr>
                            <w:szCs w:val="24"/>
                          </w:rPr>
                        </w:pPr>
                        <w:r>
                          <w:rPr>
                            <w:iCs/>
                            <w:color w:val="000000"/>
                            <w:szCs w:val="24"/>
                          </w:rPr>
                          <w:t>100</w:t>
                        </w:r>
                        <w:r>
                          <w:rPr>
                            <w:iCs/>
                            <w:color w:val="000000"/>
                            <w:szCs w:val="24"/>
                            <w:lang w:val="en-US"/>
                          </w:rPr>
                          <w:t>%</w:t>
                        </w:r>
                      </w:p>
                    </w:tc>
                    <w:tc>
                      <w:tcPr>
                        <w:tcW w:w="851" w:type="dxa"/>
                      </w:tcPr>
                      <w:p>
                        <w:pPr>
                          <w:rPr>
                            <w:szCs w:val="24"/>
                          </w:rPr>
                        </w:pPr>
                        <w:r>
                          <w:rPr>
                            <w:iCs/>
                            <w:color w:val="000000"/>
                            <w:szCs w:val="24"/>
                          </w:rPr>
                          <w:t>100</w:t>
                        </w:r>
                        <w:r>
                          <w:rPr>
                            <w:iCs/>
                            <w:color w:val="000000"/>
                            <w:szCs w:val="24"/>
                            <w:lang w:val="en-US"/>
                          </w:rPr>
                          <w:t>%</w:t>
                        </w:r>
                      </w:p>
                    </w:tc>
                    <w:tc>
                      <w:tcPr>
                        <w:tcW w:w="850" w:type="dxa"/>
                      </w:tcPr>
                      <w:p>
                        <w:pPr>
                          <w:rPr>
                            <w:szCs w:val="24"/>
                          </w:rPr>
                        </w:pPr>
                        <w:r>
                          <w:rPr>
                            <w:iCs/>
                            <w:color w:val="000000"/>
                            <w:szCs w:val="24"/>
                          </w:rPr>
                          <w:t>100</w:t>
                        </w:r>
                        <w:r>
                          <w:rPr>
                            <w:iCs/>
                            <w:color w:val="000000"/>
                            <w:szCs w:val="24"/>
                            <w:lang w:val="en-US"/>
                          </w:rPr>
                          <w:t>%</w:t>
                        </w:r>
                      </w:p>
                    </w:tc>
                    <w:tc>
                      <w:tcPr>
                        <w:tcW w:w="851" w:type="dxa"/>
                        <w:vMerge/>
                      </w:tcPr>
                      <w:p>
                        <w:pPr>
                          <w:rPr>
                            <w:color w:val="000000"/>
                            <w:szCs w:val="24"/>
                          </w:rPr>
                        </w:pPr>
                      </w:p>
                    </w:tc>
                    <w:tc>
                      <w:tcPr>
                        <w:tcW w:w="850" w:type="dxa"/>
                        <w:vMerge/>
                      </w:tcPr>
                      <w:p>
                        <w:pPr>
                          <w:rPr>
                            <w:szCs w:val="24"/>
                          </w:rPr>
                        </w:pPr>
                      </w:p>
                    </w:tc>
                    <w:tc>
                      <w:tcPr>
                        <w:tcW w:w="5245" w:type="dxa"/>
                      </w:tcPr>
                      <w:p>
                        <w:pPr>
                          <w:rPr>
                            <w:iCs/>
                            <w:color w:val="000000"/>
                            <w:szCs w:val="24"/>
                          </w:rPr>
                        </w:pPr>
                        <w:r>
                          <w:rPr>
                            <w:iCs/>
                            <w:color w:val="000000"/>
                            <w:szCs w:val="24"/>
                          </w:rPr>
                          <w:t>Išduoti leidimai: laidoti – 34; pertvarkyti kapavietę – 11; kasimo darbams – 2; renginių organizavimui – 6; prekybai – 17 (Sidabravo seniūnija).</w:t>
                        </w:r>
                      </w:p>
                    </w:tc>
                  </w:tr>
                  <w:tr>
                    <w:trPr>
                      <w:trHeight w:val="571"/>
                    </w:trPr>
                    <w:tc>
                      <w:tcPr>
                        <w:tcW w:w="4820" w:type="dxa"/>
                      </w:tcPr>
                      <w:p>
                        <w:pPr>
                          <w:rPr>
                            <w:bCs/>
                            <w:color w:val="000000"/>
                            <w:szCs w:val="24"/>
                          </w:rPr>
                        </w:pPr>
                        <w:r>
                          <w:rPr>
                            <w:bCs/>
                            <w:color w:val="000000"/>
                            <w:szCs w:val="24"/>
                          </w:rPr>
                          <w:t>24.1.2.1. Vietos gyventojų įtraukimas į savivaldos veiklą</w:t>
                        </w:r>
                      </w:p>
                      <w:p>
                        <w:pPr>
                          <w:rPr>
                            <w:szCs w:val="24"/>
                            <w14:ligatures w14:val="standardContextual"/>
                          </w:rPr>
                        </w:pPr>
                        <w:r>
                          <w:rPr>
                            <w:bCs/>
                            <w:color w:val="000000"/>
                            <w:szCs w:val="24"/>
                          </w:rPr>
                          <w:t>(SVP 1-1-1-17)</w:t>
                        </w:r>
                      </w:p>
                    </w:tc>
                    <w:tc>
                      <w:tcPr>
                        <w:tcW w:w="851" w:type="dxa"/>
                      </w:tcPr>
                      <w:p>
                        <w:pPr>
                          <w:rPr>
                            <w:color w:val="000000"/>
                            <w:szCs w:val="24"/>
                          </w:rPr>
                        </w:pPr>
                        <w:r>
                          <w:rPr>
                            <w:iCs/>
                            <w:color w:val="000000"/>
                            <w:szCs w:val="24"/>
                          </w:rPr>
                          <w:t>4</w:t>
                        </w:r>
                      </w:p>
                    </w:tc>
                    <w:tc>
                      <w:tcPr>
                        <w:tcW w:w="850" w:type="dxa"/>
                      </w:tcPr>
                      <w:p>
                        <w:pPr>
                          <w:rPr>
                            <w:szCs w:val="24"/>
                          </w:rPr>
                        </w:pPr>
                        <w:r>
                          <w:rPr>
                            <w:iCs/>
                            <w:color w:val="000000"/>
                            <w:szCs w:val="24"/>
                          </w:rPr>
                          <w:t>3</w:t>
                        </w:r>
                      </w:p>
                    </w:tc>
                    <w:tc>
                      <w:tcPr>
                        <w:tcW w:w="851" w:type="dxa"/>
                      </w:tcPr>
                      <w:p>
                        <w:pPr>
                          <w:rPr>
                            <w:szCs w:val="24"/>
                          </w:rPr>
                        </w:pPr>
                        <w:r>
                          <w:rPr>
                            <w:iCs/>
                            <w:color w:val="000000"/>
                            <w:szCs w:val="24"/>
                          </w:rPr>
                          <w:t>4</w:t>
                        </w:r>
                      </w:p>
                    </w:tc>
                    <w:tc>
                      <w:tcPr>
                        <w:tcW w:w="850" w:type="dxa"/>
                      </w:tcPr>
                      <w:p>
                        <w:pPr>
                          <w:rPr>
                            <w:szCs w:val="24"/>
                          </w:rPr>
                        </w:pPr>
                        <w:r>
                          <w:rPr>
                            <w:iCs/>
                            <w:szCs w:val="24"/>
                          </w:rPr>
                          <w:t>2</w:t>
                        </w:r>
                      </w:p>
                    </w:tc>
                    <w:tc>
                      <w:tcPr>
                        <w:tcW w:w="851" w:type="dxa"/>
                        <w:vMerge/>
                      </w:tcPr>
                      <w:p>
                        <w:pPr>
                          <w:rPr>
                            <w:color w:val="000000"/>
                            <w:szCs w:val="24"/>
                          </w:rPr>
                        </w:pPr>
                      </w:p>
                    </w:tc>
                    <w:tc>
                      <w:tcPr>
                        <w:tcW w:w="850" w:type="dxa"/>
                        <w:vMerge/>
                      </w:tcPr>
                      <w:p>
                        <w:pPr>
                          <w:rPr>
                            <w:szCs w:val="24"/>
                          </w:rPr>
                        </w:pPr>
                      </w:p>
                    </w:tc>
                    <w:tc>
                      <w:tcPr>
                        <w:tcW w:w="5245" w:type="dxa"/>
                      </w:tcPr>
                      <w:p>
                        <w:pPr>
                          <w:rPr>
                            <w:iCs/>
                            <w:color w:val="000000"/>
                            <w:szCs w:val="24"/>
                          </w:rPr>
                        </w:pPr>
                        <w:r>
                          <w:rPr>
                            <w:iCs/>
                            <w:color w:val="000000"/>
                            <w:szCs w:val="24"/>
                          </w:rPr>
                          <w:t>2025-02-19 Išplėstinė seniūnaičių sueiga dėl metinio 2024 metų veiklos plano įgyvendinimo ir metinio 2025 metų veiklos plano projekto svarstymo. 2025-10-02 Išplėstinė seniūnaičių sueiga dėl 2026 metais planuojamų vietinės reikšmės kelių ir gatvių tvarkymo.(Sidabravo seniūnija)</w:t>
                        </w:r>
                      </w:p>
                    </w:tc>
                  </w:tr>
                  <w:tr>
                    <w:trPr>
                      <w:trHeight w:val="571"/>
                    </w:trPr>
                    <w:tc>
                      <w:tcPr>
                        <w:tcW w:w="4820" w:type="dxa"/>
                      </w:tcPr>
                      <w:p>
                        <w:pPr>
                          <w:rPr>
                            <w:bCs/>
                            <w:color w:val="000000"/>
                            <w:szCs w:val="24"/>
                          </w:rPr>
                        </w:pPr>
                        <w:r>
                          <w:rPr>
                            <w:bCs/>
                            <w:color w:val="000000"/>
                            <w:szCs w:val="24"/>
                          </w:rPr>
                          <w:t>24.1.3.1. Žemės ūkio veiklos seniūnijoje administravimas</w:t>
                        </w:r>
                      </w:p>
                      <w:p>
                        <w:pPr>
                          <w:rPr>
                            <w:szCs w:val="24"/>
                            <w14:ligatures w14:val="standardContextual"/>
                          </w:rPr>
                        </w:pPr>
                        <w:r>
                          <w:rPr>
                            <w:bCs/>
                            <w:color w:val="000000"/>
                            <w:szCs w:val="24"/>
                          </w:rPr>
                          <w:t>(SVP 1-1-1-44A.)</w:t>
                        </w:r>
                      </w:p>
                    </w:tc>
                    <w:tc>
                      <w:tcPr>
                        <w:tcW w:w="851" w:type="dxa"/>
                      </w:tcPr>
                      <w:p>
                        <w:pPr>
                          <w:rPr>
                            <w:color w:val="000000"/>
                            <w:szCs w:val="24"/>
                          </w:rPr>
                        </w:pPr>
                        <w:r>
                          <w:rPr>
                            <w:iCs/>
                            <w:color w:val="000000"/>
                            <w:szCs w:val="24"/>
                          </w:rPr>
                          <w:t>100</w:t>
                        </w:r>
                        <w:r>
                          <w:rPr>
                            <w:iCs/>
                            <w:color w:val="000000"/>
                            <w:szCs w:val="24"/>
                            <w:lang w:val="en-US"/>
                          </w:rPr>
                          <w:t>%</w:t>
                        </w:r>
                      </w:p>
                    </w:tc>
                    <w:tc>
                      <w:tcPr>
                        <w:tcW w:w="850" w:type="dxa"/>
                      </w:tcPr>
                      <w:p>
                        <w:pPr>
                          <w:rPr>
                            <w:szCs w:val="24"/>
                          </w:rPr>
                        </w:pPr>
                        <w:r>
                          <w:rPr>
                            <w:iCs/>
                            <w:color w:val="000000"/>
                            <w:szCs w:val="24"/>
                          </w:rPr>
                          <w:t>100</w:t>
                        </w:r>
                        <w:r>
                          <w:rPr>
                            <w:iCs/>
                            <w:color w:val="000000"/>
                            <w:szCs w:val="24"/>
                            <w:lang w:val="en-US"/>
                          </w:rPr>
                          <w:t>%</w:t>
                        </w:r>
                      </w:p>
                    </w:tc>
                    <w:tc>
                      <w:tcPr>
                        <w:tcW w:w="851" w:type="dxa"/>
                      </w:tcPr>
                      <w:p>
                        <w:pPr>
                          <w:rPr>
                            <w:szCs w:val="24"/>
                          </w:rPr>
                        </w:pPr>
                        <w:r>
                          <w:rPr>
                            <w:iCs/>
                            <w:color w:val="000000"/>
                            <w:szCs w:val="24"/>
                          </w:rPr>
                          <w:t>100</w:t>
                        </w:r>
                        <w:r>
                          <w:rPr>
                            <w:iCs/>
                            <w:color w:val="000000"/>
                            <w:szCs w:val="24"/>
                            <w:lang w:val="en-US"/>
                          </w:rPr>
                          <w:t>%</w:t>
                        </w:r>
                      </w:p>
                    </w:tc>
                    <w:tc>
                      <w:tcPr>
                        <w:tcW w:w="850" w:type="dxa"/>
                      </w:tcPr>
                      <w:p>
                        <w:pPr>
                          <w:rPr>
                            <w:szCs w:val="24"/>
                          </w:rPr>
                        </w:pPr>
                        <w:r>
                          <w:rPr>
                            <w:iCs/>
                            <w:color w:val="000000"/>
                            <w:szCs w:val="24"/>
                          </w:rPr>
                          <w:t>100</w:t>
                        </w:r>
                        <w:r>
                          <w:rPr>
                            <w:iCs/>
                            <w:color w:val="000000"/>
                            <w:szCs w:val="24"/>
                            <w:lang w:val="en-US"/>
                          </w:rPr>
                          <w:t>%</w:t>
                        </w:r>
                      </w:p>
                    </w:tc>
                    <w:tc>
                      <w:tcPr>
                        <w:tcW w:w="851" w:type="dxa"/>
                        <w:vMerge/>
                      </w:tcPr>
                      <w:p>
                        <w:pPr>
                          <w:rPr>
                            <w:color w:val="000000"/>
                            <w:szCs w:val="24"/>
                          </w:rPr>
                        </w:pPr>
                      </w:p>
                    </w:tc>
                    <w:tc>
                      <w:tcPr>
                        <w:tcW w:w="850" w:type="dxa"/>
                        <w:vMerge/>
                      </w:tcPr>
                      <w:p>
                        <w:pPr>
                          <w:rPr>
                            <w:szCs w:val="24"/>
                          </w:rPr>
                        </w:pPr>
                      </w:p>
                    </w:tc>
                    <w:tc>
                      <w:tcPr>
                        <w:tcW w:w="5245" w:type="dxa"/>
                      </w:tcPr>
                      <w:p>
                        <w:pPr>
                          <w:rPr>
                            <w:iCs/>
                            <w:color w:val="000000"/>
                            <w:szCs w:val="24"/>
                          </w:rPr>
                        </w:pPr>
                        <w:r>
                          <w:rPr>
                            <w:iCs/>
                            <w:color w:val="000000"/>
                            <w:szCs w:val="24"/>
                          </w:rPr>
                          <w:t>Priimta ir elektroniniu būdu įbraižyta 163 pasėlių deklaravimo paraiškos ir 25 prašymai pakeisti paraiškos duomenis. Atnaujinta 115 žemės ūkio valdų. Įregistruotos 2 žemės ūkio valdos.Atnaujinti 84 ūkininkų ūkių duomenys. (Sidabravo seniūnija)</w:t>
                        </w:r>
                      </w:p>
                    </w:tc>
                  </w:tr>
                  <w:tr>
                    <w:trPr>
                      <w:trHeight w:val="571"/>
                    </w:trPr>
                    <w:tc>
                      <w:tcPr>
                        <w:tcW w:w="4820" w:type="dxa"/>
                      </w:tcPr>
                      <w:p>
                        <w:pPr>
                          <w:rPr>
                            <w:rFonts w:eastAsia="Calibri"/>
                            <w:bCs/>
                            <w:iCs/>
                            <w:szCs w:val="24"/>
                          </w:rPr>
                        </w:pPr>
                        <w:r>
                          <w:rPr>
                            <w:rFonts w:eastAsia="Calibri"/>
                            <w:bCs/>
                            <w:iCs/>
                            <w:szCs w:val="24"/>
                          </w:rPr>
                          <w:t>25.1.1.1. Tęstinės Savivaldybės administracijos darbo organizavimo veiklos užtikrinimas.</w:t>
                        </w:r>
                      </w:p>
                      <w:p>
                        <w:pPr>
                          <w:rPr>
                            <w:iCs/>
                            <w:szCs w:val="24"/>
                          </w:rPr>
                        </w:pPr>
                        <w:r>
                          <w:rPr>
                            <w:iCs/>
                            <w:szCs w:val="24"/>
                          </w:rPr>
                          <w:t>(SVP 1-1-1-18)</w:t>
                        </w:r>
                      </w:p>
                    </w:tc>
                    <w:tc>
                      <w:tcPr>
                        <w:tcW w:w="851" w:type="dxa"/>
                      </w:tcPr>
                      <w:p>
                        <w:pPr>
                          <w:rPr>
                            <w:bCs/>
                            <w:color w:val="000000"/>
                            <w:szCs w:val="24"/>
                          </w:rPr>
                        </w:pPr>
                        <w:r>
                          <w:rPr>
                            <w:bCs/>
                            <w:color w:val="000000"/>
                            <w:szCs w:val="24"/>
                          </w:rPr>
                          <w:t>100</w:t>
                        </w:r>
                        <w:r>
                          <w:rPr>
                            <w:bCs/>
                            <w:color w:val="000000"/>
                            <w:szCs w:val="24"/>
                            <w:lang w:val="en-US"/>
                          </w:rPr>
                          <w:t>%</w:t>
                        </w:r>
                      </w:p>
                    </w:tc>
                    <w:tc>
                      <w:tcPr>
                        <w:tcW w:w="850" w:type="dxa"/>
                      </w:tcPr>
                      <w:p>
                        <w:pPr>
                          <w:rPr>
                            <w:bCs/>
                            <w:szCs w:val="24"/>
                          </w:rPr>
                        </w:pPr>
                        <w:r>
                          <w:rPr>
                            <w:bCs/>
                            <w:szCs w:val="24"/>
                          </w:rPr>
                          <w:t>100</w:t>
                        </w:r>
                        <w:r>
                          <w:rPr>
                            <w:bCs/>
                            <w:szCs w:val="24"/>
                            <w:lang w:val="en-US"/>
                          </w:rPr>
                          <w:t>%</w:t>
                        </w:r>
                      </w:p>
                    </w:tc>
                    <w:tc>
                      <w:tcPr>
                        <w:tcW w:w="851" w:type="dxa"/>
                      </w:tcPr>
                      <w:p>
                        <w:pPr>
                          <w:rPr>
                            <w:bCs/>
                            <w:szCs w:val="24"/>
                          </w:rPr>
                        </w:pPr>
                        <w:r>
                          <w:rPr>
                            <w:bCs/>
                            <w:szCs w:val="24"/>
                          </w:rPr>
                          <w:t>100</w:t>
                        </w:r>
                        <w:r>
                          <w:rPr>
                            <w:bCs/>
                            <w:szCs w:val="24"/>
                            <w:lang w:val="en-US"/>
                          </w:rPr>
                          <w:t>%</w:t>
                        </w:r>
                      </w:p>
                    </w:tc>
                    <w:tc>
                      <w:tcPr>
                        <w:tcW w:w="850" w:type="dxa"/>
                      </w:tcPr>
                      <w:p>
                        <w:pPr>
                          <w:rPr>
                            <w:bCs/>
                            <w:szCs w:val="24"/>
                          </w:rPr>
                        </w:pPr>
                        <w:r>
                          <w:rPr>
                            <w:bCs/>
                            <w:szCs w:val="24"/>
                          </w:rPr>
                          <w:t>100</w:t>
                        </w:r>
                        <w:r>
                          <w:rPr>
                            <w:bCs/>
                            <w:szCs w:val="24"/>
                            <w:lang w:val="en-US"/>
                          </w:rPr>
                          <w:t>%</w:t>
                        </w:r>
                      </w:p>
                    </w:tc>
                    <w:tc>
                      <w:tcPr>
                        <w:tcW w:w="851" w:type="dxa"/>
                        <w:vMerge w:val="restart"/>
                      </w:tcPr>
                      <w:p>
                        <w:pPr>
                          <w:rPr>
                            <w:szCs w:val="24"/>
                          </w:rPr>
                        </w:pPr>
                        <w:r>
                          <w:rPr>
                            <w:szCs w:val="24"/>
                          </w:rPr>
                          <w:t xml:space="preserve">16,99 </w:t>
                        </w:r>
                      </w:p>
                      <w:p>
                        <w:pPr>
                          <w:rPr>
                            <w:color w:val="808080"/>
                            <w:szCs w:val="24"/>
                          </w:rPr>
                        </w:pPr>
                        <w:r>
                          <w:rPr>
                            <w:szCs w:val="24"/>
                          </w:rPr>
                          <w:t>SB</w:t>
                        </w:r>
                      </w:p>
                      <w:p>
                        <w:pPr>
                          <w:rPr>
                            <w:color w:val="000000"/>
                            <w:szCs w:val="24"/>
                          </w:rPr>
                        </w:pPr>
                      </w:p>
                    </w:tc>
                    <w:tc>
                      <w:tcPr>
                        <w:tcW w:w="850" w:type="dxa"/>
                        <w:vMerge w:val="restart"/>
                      </w:tcPr>
                      <w:p>
                        <w:pPr>
                          <w:rPr>
                            <w:szCs w:val="24"/>
                          </w:rPr>
                        </w:pPr>
                        <w:r>
                          <w:rPr>
                            <w:szCs w:val="24"/>
                          </w:rPr>
                          <w:t>16,23</w:t>
                        </w:r>
                      </w:p>
                      <w:p>
                        <w:pPr>
                          <w:rPr>
                            <w:szCs w:val="24"/>
                          </w:rPr>
                        </w:pPr>
                        <w:r>
                          <w:rPr>
                            <w:szCs w:val="24"/>
                          </w:rPr>
                          <w:t>SB</w:t>
                        </w:r>
                      </w:p>
                    </w:tc>
                    <w:tc>
                      <w:tcPr>
                        <w:tcW w:w="5245" w:type="dxa"/>
                      </w:tcPr>
                      <w:p>
                        <w:pPr>
                          <w:rPr>
                            <w:szCs w:val="24"/>
                          </w:rPr>
                        </w:pPr>
                        <w:r>
                          <w:rPr>
                            <w:szCs w:val="24"/>
                          </w:rPr>
                          <w:t xml:space="preserve">Kanceliarinės prekės, komunaliniai mokesčiai, transporto išlaikymas, kitos prekės, paslaugos. </w:t>
                        </w:r>
                      </w:p>
                      <w:p>
                        <w:pPr>
                          <w:rPr>
                            <w:szCs w:val="24"/>
                          </w:rPr>
                        </w:pPr>
                        <w:r>
                          <w:rPr>
                            <w:szCs w:val="24"/>
                          </w:rPr>
                          <w:t>(Skėmių seniūnija)</w:t>
                        </w:r>
                      </w:p>
                    </w:tc>
                  </w:tr>
                  <w:tr>
                    <w:trPr>
                      <w:trHeight w:val="571"/>
                    </w:trPr>
                    <w:tc>
                      <w:tcPr>
                        <w:tcW w:w="4820" w:type="dxa"/>
                      </w:tcPr>
                      <w:p>
                        <w:pPr>
                          <w:rPr>
                            <w:rFonts w:eastAsia="Calibri"/>
                            <w:bCs/>
                            <w:i/>
                            <w:iCs/>
                            <w:szCs w:val="24"/>
                          </w:rPr>
                        </w:pPr>
                        <w:r>
                          <w:rPr>
                            <w:rFonts w:eastAsia="Calibri"/>
                            <w:bCs/>
                            <w:iCs/>
                            <w:szCs w:val="24"/>
                          </w:rPr>
                          <w:t xml:space="preserve">25.1.1.2. Gyvenamosios vietos deklaravimo funkcijų vykdymas. </w:t>
                        </w:r>
                        <w:r>
                          <w:rPr>
                            <w:rFonts w:eastAsia="Calibri"/>
                            <w:bCs/>
                            <w:i/>
                            <w:iCs/>
                            <w:szCs w:val="24"/>
                          </w:rPr>
                          <w:t>Išduodamų pažymų rūšys.</w:t>
                        </w:r>
                      </w:p>
                      <w:p>
                        <w:pPr>
                          <w:rPr>
                            <w:iCs/>
                            <w:szCs w:val="24"/>
                          </w:rPr>
                        </w:pPr>
                        <w:r>
                          <w:rPr>
                            <w:iCs/>
                            <w:szCs w:val="24"/>
                          </w:rPr>
                          <w:t>(SVP 1-1-1-18)</w:t>
                        </w:r>
                      </w:p>
                      <w:p>
                        <w:pPr>
                          <w:rPr>
                            <w:szCs w:val="24"/>
                            <w14:ligatures w14:val="standardContextual"/>
                          </w:rPr>
                        </w:pPr>
                      </w:p>
                    </w:tc>
                    <w:tc>
                      <w:tcPr>
                        <w:tcW w:w="851" w:type="dxa"/>
                      </w:tcPr>
                      <w:p>
                        <w:pPr>
                          <w:rPr>
                            <w:color w:val="000000"/>
                            <w:szCs w:val="24"/>
                          </w:rPr>
                        </w:pPr>
                        <w:r>
                          <w:rPr>
                            <w:b/>
                            <w:color w:val="000000"/>
                            <w:szCs w:val="24"/>
                          </w:rPr>
                          <w:t>7</w:t>
                        </w:r>
                      </w:p>
                    </w:tc>
                    <w:tc>
                      <w:tcPr>
                        <w:tcW w:w="850" w:type="dxa"/>
                      </w:tcPr>
                      <w:p>
                        <w:pPr>
                          <w:rPr>
                            <w:szCs w:val="24"/>
                          </w:rPr>
                        </w:pPr>
                        <w:r>
                          <w:rPr>
                            <w:b/>
                            <w:szCs w:val="24"/>
                          </w:rPr>
                          <w:t>7</w:t>
                        </w:r>
                      </w:p>
                    </w:tc>
                    <w:tc>
                      <w:tcPr>
                        <w:tcW w:w="851" w:type="dxa"/>
                      </w:tcPr>
                      <w:p>
                        <w:pPr>
                          <w:rPr>
                            <w:szCs w:val="24"/>
                          </w:rPr>
                        </w:pPr>
                        <w:r>
                          <w:rPr>
                            <w:b/>
                            <w:szCs w:val="24"/>
                          </w:rPr>
                          <w:t>7</w:t>
                        </w:r>
                      </w:p>
                    </w:tc>
                    <w:tc>
                      <w:tcPr>
                        <w:tcW w:w="850" w:type="dxa"/>
                      </w:tcPr>
                      <w:p>
                        <w:pPr>
                          <w:rPr>
                            <w:szCs w:val="24"/>
                          </w:rPr>
                        </w:pPr>
                        <w:r>
                          <w:rPr>
                            <w:b/>
                            <w:szCs w:val="24"/>
                          </w:rPr>
                          <w:t>7</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 xml:space="preserve">Pažymų išduotų apie asmens deklaruotą gyvenamąją vietą – 34, priimtų sprendimų dėl deklaravimo duomenų taisymo, keitimo ir naikinimo – 1, įrauktų į GVNA (gyvenamosios vietos neturinčių asmenų) apskaitą – 23,  atvykimą deklaravusių žmonių – 65, išvykimą deklaravusių – 10. (Skėmių seniūnija)</w:t>
                        </w:r>
                      </w:p>
                    </w:tc>
                  </w:tr>
                  <w:tr>
                    <w:trPr>
                      <w:trHeight w:val="571"/>
                    </w:trPr>
                    <w:tc>
                      <w:tcPr>
                        <w:tcW w:w="4820" w:type="dxa"/>
                      </w:tcPr>
                      <w:p>
                        <w:pPr>
                          <w:rPr>
                            <w:rFonts w:eastAsia="Calibri"/>
                            <w:bCs/>
                            <w:i/>
                            <w:iCs/>
                            <w:szCs w:val="24"/>
                          </w:rPr>
                        </w:pPr>
                        <w:r>
                          <w:rPr>
                            <w:rFonts w:eastAsia="Calibri"/>
                            <w:bCs/>
                            <w:iCs/>
                            <w:szCs w:val="24"/>
                          </w:rPr>
                          <w:t xml:space="preserve">25.1.1.3. Leidimų pagal kompetenciją išdavimas. </w:t>
                        </w:r>
                        <w:r>
                          <w:rPr>
                            <w:rFonts w:eastAsia="Calibri"/>
                            <w:bCs/>
                            <w:i/>
                            <w:iCs/>
                            <w:szCs w:val="24"/>
                          </w:rPr>
                          <w:t>Išduotų leidimų skaičius procentais nuo pateiktų prašymų skaičiaus.</w:t>
                        </w:r>
                        <w:r>
                          <w:rPr>
                            <w:iCs/>
                            <w:szCs w:val="24"/>
                          </w:rPr>
                          <w:t>(SVP 1-1-1-18)</w:t>
                        </w:r>
                      </w:p>
                    </w:tc>
                    <w:tc>
                      <w:tcPr>
                        <w:tcW w:w="851" w:type="dxa"/>
                      </w:tcPr>
                      <w:p>
                        <w:pPr>
                          <w:rPr>
                            <w:color w:val="000000"/>
                            <w:szCs w:val="24"/>
                          </w:rPr>
                        </w:pPr>
                        <w:r>
                          <w:rPr>
                            <w:rFonts w:eastAsia="Calibri"/>
                            <w:color w:val="000000"/>
                            <w:szCs w:val="24"/>
                          </w:rPr>
                          <w:t>100</w:t>
                        </w:r>
                        <w:r>
                          <w:rPr>
                            <w:rFonts w:eastAsia="Calibri"/>
                            <w:color w:val="000000"/>
                            <w:szCs w:val="24"/>
                            <w:lang w:val="en-US"/>
                          </w:rPr>
                          <w:t xml:space="preserve"> %</w:t>
                        </w:r>
                      </w:p>
                    </w:tc>
                    <w:tc>
                      <w:tcPr>
                        <w:tcW w:w="850" w:type="dxa"/>
                      </w:tcPr>
                      <w:p>
                        <w:pPr>
                          <w:rPr>
                            <w:szCs w:val="24"/>
                          </w:rPr>
                        </w:pPr>
                        <w:r>
                          <w:rPr>
                            <w:rFonts w:eastAsia="Calibri"/>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szCs w:val="24"/>
                            <w:highlight w:val="yellow"/>
                          </w:rPr>
                        </w:pPr>
                        <w:r>
                          <w:rPr>
                            <w:szCs w:val="24"/>
                          </w:rPr>
                          <w:t>Leidimai laidoti – 21, pertvarkyti kapavietę – 22, prekybai – 17, kasimo darbams atlikti – 2. (Skėmių seniūnija)</w:t>
                        </w:r>
                      </w:p>
                    </w:tc>
                  </w:tr>
                  <w:tr>
                    <w:trPr>
                      <w:trHeight w:val="571"/>
                    </w:trPr>
                    <w:tc>
                      <w:tcPr>
                        <w:tcW w:w="4820" w:type="dxa"/>
                      </w:tcPr>
                      <w:p>
                        <w:pPr>
                          <w:rPr>
                            <w:bCs/>
                            <w:iCs/>
                            <w:szCs w:val="24"/>
                          </w:rPr>
                        </w:pPr>
                        <w:r>
                          <w:rPr>
                            <w:bCs/>
                            <w:iCs/>
                            <w:szCs w:val="24"/>
                          </w:rPr>
                          <w:t>25.1.2.1. Vietos gyventojų įtraukimas į savivaldos veiklą.</w:t>
                        </w:r>
                      </w:p>
                      <w:p>
                        <w:pPr>
                          <w:rPr>
                            <w:bCs/>
                            <w:iCs/>
                            <w:szCs w:val="24"/>
                          </w:rPr>
                        </w:pPr>
                        <w:r>
                          <w:rPr>
                            <w:bCs/>
                            <w:i/>
                            <w:iCs/>
                            <w:szCs w:val="24"/>
                          </w:rPr>
                          <w:t>Sušauktų seniūnaičių sueigų skaičius</w:t>
                        </w:r>
                        <w:r>
                          <w:rPr>
                            <w:bCs/>
                            <w:iCs/>
                            <w:szCs w:val="24"/>
                          </w:rPr>
                          <w:t xml:space="preserve"> </w:t>
                        </w:r>
                      </w:p>
                      <w:p>
                        <w:pPr>
                          <w:rPr>
                            <w:iCs/>
                            <w:szCs w:val="24"/>
                          </w:rPr>
                        </w:pPr>
                        <w:r>
                          <w:rPr>
                            <w:iCs/>
                            <w:szCs w:val="24"/>
                          </w:rPr>
                          <w:t>(SVP 1-1-1-18)</w:t>
                        </w:r>
                      </w:p>
                      <w:p>
                        <w:pPr>
                          <w:rPr>
                            <w:szCs w:val="24"/>
                            <w14:ligatures w14:val="standardContextual"/>
                          </w:rPr>
                        </w:pPr>
                      </w:p>
                    </w:tc>
                    <w:tc>
                      <w:tcPr>
                        <w:tcW w:w="851" w:type="dxa"/>
                      </w:tcPr>
                      <w:p>
                        <w:pPr>
                          <w:rPr>
                            <w:color w:val="000000"/>
                            <w:szCs w:val="24"/>
                          </w:rPr>
                        </w:pPr>
                        <w:r>
                          <w:rPr>
                            <w:rFonts w:eastAsia="Calibri"/>
                            <w:color w:val="000000"/>
                            <w:szCs w:val="24"/>
                          </w:rPr>
                          <w:t>4</w:t>
                        </w:r>
                      </w:p>
                    </w:tc>
                    <w:tc>
                      <w:tcPr>
                        <w:tcW w:w="850" w:type="dxa"/>
                      </w:tcPr>
                      <w:p>
                        <w:pPr>
                          <w:rPr>
                            <w:szCs w:val="24"/>
                          </w:rPr>
                        </w:pPr>
                        <w:r>
                          <w:rPr>
                            <w:rFonts w:eastAsia="Calibri"/>
                            <w:szCs w:val="24"/>
                          </w:rPr>
                          <w:t>4</w:t>
                        </w:r>
                      </w:p>
                    </w:tc>
                    <w:tc>
                      <w:tcPr>
                        <w:tcW w:w="851" w:type="dxa"/>
                      </w:tcPr>
                      <w:p>
                        <w:pPr>
                          <w:rPr>
                            <w:szCs w:val="24"/>
                          </w:rPr>
                        </w:pPr>
                        <w:r>
                          <w:rPr>
                            <w:rFonts w:eastAsia="Calibri"/>
                            <w:szCs w:val="24"/>
                          </w:rPr>
                          <w:t>4</w:t>
                        </w:r>
                      </w:p>
                    </w:tc>
                    <w:tc>
                      <w:tcPr>
                        <w:tcW w:w="850" w:type="dxa"/>
                      </w:tcPr>
                      <w:p>
                        <w:pPr>
                          <w:rPr>
                            <w:szCs w:val="24"/>
                          </w:rPr>
                        </w:pPr>
                        <w:r>
                          <w:rPr>
                            <w:rFonts w:eastAsia="Calibri"/>
                            <w:szCs w:val="24"/>
                          </w:rPr>
                          <w:t>4</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rFonts w:eastAsia="Calibri"/>
                            <w:szCs w:val="24"/>
                          </w:rPr>
                          <w:t xml:space="preserve">2025-02-15 šaukta išplėstinė seniūnaičių sueiga, dėl 2024 m. seniūno ataskaitos, 2025-03-15 šaukta  išplėstinė seniūnaičių sueiga dėl renginio organizavimo „Lenkų festivalis“, 2025-07-1 šaukta išplėstinė seniūnaičių sueiga dėl projektų pateikimo, 2025-08-12 šaukta išplėstinė seniūnaičių sueiga dėl kelių būklės seniūnijoje esančių kelių ir gatvių, 2025-11-27 šaukta išplėstinė seniūnaičių sueiga, dėl  seniūnijos kelių plėtros programos prioritetinio sąrašo sudarymo. (Skėmių seniūnija)</w:t>
                        </w:r>
                      </w:p>
                    </w:tc>
                  </w:tr>
                  <w:tr>
                    <w:trPr>
                      <w:trHeight w:val="571"/>
                    </w:trPr>
                    <w:tc>
                      <w:tcPr>
                        <w:tcW w:w="4820" w:type="dxa"/>
                      </w:tcPr>
                      <w:p>
                        <w:pPr>
                          <w:tabs>
                            <w:tab w:val="left" w:pos="1023"/>
                          </w:tabs>
                          <w:rPr>
                            <w:bCs/>
                            <w:iCs/>
                            <w:szCs w:val="24"/>
                          </w:rPr>
                        </w:pPr>
                        <w:r>
                          <w:rPr>
                            <w:bCs/>
                            <w:iCs/>
                            <w:szCs w:val="24"/>
                          </w:rPr>
                          <w:t xml:space="preserve">25.1.2.2. Prašymų ir skundų susijusių su seniūnijos veikla nagrinėjimas, atsakymų pateikimas. </w:t>
                        </w:r>
                        <w:r>
                          <w:rPr>
                            <w:bCs/>
                            <w:i/>
                            <w:iCs/>
                            <w:szCs w:val="24"/>
                          </w:rPr>
                          <w:t>Išnagrinėtų skundų, prašymų susijusių su seniūnijos veikla procentas</w:t>
                        </w:r>
                        <w:r>
                          <w:rPr>
                            <w:bCs/>
                            <w:iCs/>
                            <w:szCs w:val="24"/>
                          </w:rPr>
                          <w:t xml:space="preserve"> </w:t>
                        </w:r>
                        <w:r>
                          <w:rPr>
                            <w:iCs/>
                            <w:szCs w:val="24"/>
                          </w:rPr>
                          <w:t>(SVP 1-1-1-18)</w:t>
                        </w:r>
                      </w:p>
                    </w:tc>
                    <w:tc>
                      <w:tcPr>
                        <w:tcW w:w="851" w:type="dxa"/>
                      </w:tcPr>
                      <w:p>
                        <w:pPr>
                          <w:rPr>
                            <w:color w:val="000000"/>
                            <w:szCs w:val="24"/>
                          </w:rPr>
                        </w:pPr>
                        <w:r>
                          <w:rPr>
                            <w:rFonts w:eastAsia="Calibri"/>
                            <w:color w:val="000000"/>
                            <w:szCs w:val="24"/>
                          </w:rPr>
                          <w:t>100 %</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 xml:space="preserve">Skundai – 1,  prašymai – 7.</w:t>
                        </w:r>
                      </w:p>
                      <w:p>
                        <w:pPr>
                          <w:rPr>
                            <w:szCs w:val="24"/>
                          </w:rPr>
                        </w:pPr>
                        <w:r>
                          <w:rPr>
                            <w:szCs w:val="24"/>
                          </w:rPr>
                          <w:t>(Skėmių seniūnija)</w:t>
                        </w:r>
                      </w:p>
                      <w:p>
                        <w:pPr>
                          <w:rPr>
                            <w:szCs w:val="24"/>
                          </w:rPr>
                        </w:pPr>
                      </w:p>
                    </w:tc>
                  </w:tr>
                  <w:tr>
                    <w:trPr>
                      <w:trHeight w:val="571"/>
                    </w:trPr>
                    <w:tc>
                      <w:tcPr>
                        <w:tcW w:w="4820" w:type="dxa"/>
                      </w:tcPr>
                      <w:p>
                        <w:pPr>
                          <w:rPr>
                            <w:bCs/>
                            <w:iCs/>
                            <w:szCs w:val="24"/>
                          </w:rPr>
                        </w:pPr>
                        <w:r>
                          <w:rPr>
                            <w:bCs/>
                            <w:iCs/>
                            <w:szCs w:val="24"/>
                          </w:rPr>
                          <w:t xml:space="preserve">25.1.3.1. Žemės ūkio veiklos seniūnijoje administravimas. </w:t>
                        </w:r>
                        <w:r>
                          <w:rPr>
                            <w:bCs/>
                            <w:i/>
                            <w:iCs/>
                            <w:szCs w:val="24"/>
                          </w:rPr>
                          <w:t>Žemės ūkio veiklos funkcijų vykdymas procentais</w:t>
                        </w:r>
                        <w:r>
                          <w:rPr>
                            <w:bCs/>
                            <w:iCs/>
                            <w:szCs w:val="24"/>
                          </w:rPr>
                          <w:t xml:space="preserve"> </w:t>
                        </w:r>
                        <w:r>
                          <w:rPr>
                            <w:iCs/>
                            <w:szCs w:val="24"/>
                          </w:rPr>
                          <w:t>(SVP1-1-1-44A)</w:t>
                        </w:r>
                      </w:p>
                    </w:tc>
                    <w:tc>
                      <w:tcPr>
                        <w:tcW w:w="851" w:type="dxa"/>
                      </w:tcPr>
                      <w:p>
                        <w:pPr>
                          <w:rPr>
                            <w:color w:val="000000"/>
                            <w:szCs w:val="24"/>
                          </w:rPr>
                        </w:pPr>
                        <w:r>
                          <w:rPr>
                            <w:rFonts w:eastAsia="Calibri"/>
                            <w:color w:val="000000"/>
                            <w:szCs w:val="24"/>
                          </w:rPr>
                          <w:t xml:space="preserve">100 </w:t>
                        </w:r>
                        <w:r>
                          <w:rPr>
                            <w:rFonts w:eastAsia="Calibri"/>
                            <w:color w:val="000000"/>
                            <w:szCs w:val="24"/>
                            <w:lang w:val="en-US"/>
                          </w:rPr>
                          <w:t>%</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 xml:space="preserve">Priimta ir elektroniniu būdu įbraižyta 87 paraiškos. Atnaujinta 91 žemės ūkio valda, įregistruotos 2 naujos ūkininkų valdos. </w:t>
                        </w:r>
                        <w:r>
                          <w:rPr>
                            <w:szCs w:val="24"/>
                          </w:rPr>
                          <w:t>(Skėmių seniūnija)</w:t>
                        </w:r>
                      </w:p>
                    </w:tc>
                  </w:tr>
                  <w:tr>
                    <w:trPr>
                      <w:trHeight w:val="571"/>
                    </w:trPr>
                    <w:tc>
                      <w:tcPr>
                        <w:tcW w:w="4820" w:type="dxa"/>
                      </w:tcPr>
                      <w:p>
                        <w:pPr>
                          <w:rPr>
                            <w:rFonts w:eastAsia="Calibri"/>
                            <w:bCs/>
                            <w:iCs/>
                            <w:szCs w:val="24"/>
                          </w:rPr>
                        </w:pPr>
                        <w:r>
                          <w:rPr>
                            <w:rFonts w:eastAsia="Calibri"/>
                            <w:bCs/>
                            <w:iCs/>
                            <w:szCs w:val="24"/>
                          </w:rPr>
                          <w:t>26.1.1.1. Tęstinės Savivaldybės administracijos darbo organizavimo veiklos užtikrinimas.</w:t>
                        </w:r>
                      </w:p>
                      <w:p>
                        <w:pPr>
                          <w:rPr>
                            <w:iCs/>
                            <w:szCs w:val="24"/>
                          </w:rPr>
                        </w:pPr>
                        <w:r>
                          <w:rPr>
                            <w:iCs/>
                            <w:szCs w:val="24"/>
                          </w:rPr>
                          <w:t>(SVP 1-1-1-14)</w:t>
                        </w:r>
                      </w:p>
                    </w:tc>
                    <w:tc>
                      <w:tcPr>
                        <w:tcW w:w="851" w:type="dxa"/>
                      </w:tcPr>
                      <w:p>
                        <w:pPr>
                          <w:rPr>
                            <w:bCs/>
                            <w:color w:val="000000"/>
                            <w:szCs w:val="24"/>
                          </w:rPr>
                        </w:pPr>
                        <w:r>
                          <w:rPr>
                            <w:bCs/>
                            <w:color w:val="000000"/>
                            <w:szCs w:val="24"/>
                          </w:rPr>
                          <w:t>100</w:t>
                        </w:r>
                        <w:r>
                          <w:rPr>
                            <w:bCs/>
                            <w:color w:val="000000"/>
                            <w:szCs w:val="24"/>
                            <w:lang w:val="en-US"/>
                          </w:rPr>
                          <w:t>%</w:t>
                        </w:r>
                      </w:p>
                    </w:tc>
                    <w:tc>
                      <w:tcPr>
                        <w:tcW w:w="850" w:type="dxa"/>
                      </w:tcPr>
                      <w:p>
                        <w:pPr>
                          <w:rPr>
                            <w:bCs/>
                            <w:szCs w:val="24"/>
                          </w:rPr>
                        </w:pPr>
                        <w:r>
                          <w:rPr>
                            <w:bCs/>
                            <w:szCs w:val="24"/>
                          </w:rPr>
                          <w:t>100</w:t>
                        </w:r>
                        <w:r>
                          <w:rPr>
                            <w:bCs/>
                            <w:szCs w:val="24"/>
                            <w:lang w:val="en-US"/>
                          </w:rPr>
                          <w:t>%</w:t>
                        </w:r>
                      </w:p>
                    </w:tc>
                    <w:tc>
                      <w:tcPr>
                        <w:tcW w:w="851" w:type="dxa"/>
                      </w:tcPr>
                      <w:p>
                        <w:pPr>
                          <w:rPr>
                            <w:bCs/>
                            <w:szCs w:val="24"/>
                          </w:rPr>
                        </w:pPr>
                        <w:r>
                          <w:rPr>
                            <w:bCs/>
                            <w:szCs w:val="24"/>
                          </w:rPr>
                          <w:t>100</w:t>
                        </w:r>
                        <w:r>
                          <w:rPr>
                            <w:bCs/>
                            <w:szCs w:val="24"/>
                            <w:lang w:val="en-US"/>
                          </w:rPr>
                          <w:t>%</w:t>
                        </w:r>
                      </w:p>
                    </w:tc>
                    <w:tc>
                      <w:tcPr>
                        <w:tcW w:w="850" w:type="dxa"/>
                      </w:tcPr>
                      <w:p>
                        <w:pPr>
                          <w:rPr>
                            <w:bCs/>
                            <w:szCs w:val="24"/>
                          </w:rPr>
                        </w:pPr>
                        <w:r>
                          <w:rPr>
                            <w:bCs/>
                            <w:szCs w:val="24"/>
                          </w:rPr>
                          <w:t>100</w:t>
                        </w:r>
                        <w:r>
                          <w:rPr>
                            <w:bCs/>
                            <w:szCs w:val="24"/>
                            <w:lang w:val="en-US"/>
                          </w:rPr>
                          <w:t>%</w:t>
                        </w:r>
                      </w:p>
                    </w:tc>
                    <w:tc>
                      <w:tcPr>
                        <w:tcW w:w="851" w:type="dxa"/>
                        <w:vMerge w:val="restart"/>
                      </w:tcPr>
                      <w:p>
                        <w:pPr>
                          <w:rPr>
                            <w:szCs w:val="24"/>
                          </w:rPr>
                        </w:pPr>
                        <w:r>
                          <w:rPr>
                            <w:szCs w:val="24"/>
                          </w:rPr>
                          <w:t xml:space="preserve">19,9 </w:t>
                        </w:r>
                      </w:p>
                      <w:p>
                        <w:pPr>
                          <w:rPr>
                            <w:color w:val="808080"/>
                            <w:szCs w:val="24"/>
                          </w:rPr>
                        </w:pPr>
                        <w:r>
                          <w:rPr>
                            <w:szCs w:val="24"/>
                          </w:rPr>
                          <w:t>SB</w:t>
                        </w:r>
                      </w:p>
                      <w:p>
                        <w:pPr>
                          <w:rPr>
                            <w:color w:val="000000"/>
                            <w:szCs w:val="24"/>
                          </w:rPr>
                        </w:pPr>
                      </w:p>
                    </w:tc>
                    <w:tc>
                      <w:tcPr>
                        <w:tcW w:w="850" w:type="dxa"/>
                        <w:vMerge w:val="restart"/>
                      </w:tcPr>
                      <w:p>
                        <w:pPr>
                          <w:rPr>
                            <w:szCs w:val="24"/>
                          </w:rPr>
                        </w:pPr>
                        <w:r>
                          <w:rPr>
                            <w:szCs w:val="24"/>
                          </w:rPr>
                          <w:t>13,85</w:t>
                        </w:r>
                      </w:p>
                      <w:p>
                        <w:pPr>
                          <w:rPr>
                            <w:szCs w:val="24"/>
                          </w:rPr>
                        </w:pPr>
                        <w:r>
                          <w:rPr>
                            <w:szCs w:val="24"/>
                          </w:rPr>
                          <w:t>SB</w:t>
                        </w:r>
                      </w:p>
                    </w:tc>
                    <w:tc>
                      <w:tcPr>
                        <w:tcW w:w="5245" w:type="dxa"/>
                      </w:tcPr>
                      <w:p>
                        <w:pPr>
                          <w:rPr>
                            <w:szCs w:val="24"/>
                          </w:rPr>
                        </w:pPr>
                        <w:r>
                          <w:rPr>
                            <w:szCs w:val="24"/>
                          </w:rPr>
                          <w:t xml:space="preserve">Kanceliarinės prekės, komunaliniai mokesčiai, transporto išlaikymas, kitos prekės, paslaugos. </w:t>
                        </w:r>
                      </w:p>
                      <w:p>
                        <w:pPr>
                          <w:rPr>
                            <w:szCs w:val="24"/>
                          </w:rPr>
                        </w:pPr>
                        <w:r>
                          <w:rPr>
                            <w:szCs w:val="24"/>
                          </w:rPr>
                          <w:t>(Šaukoto seniūnija)</w:t>
                        </w:r>
                      </w:p>
                    </w:tc>
                  </w:tr>
                  <w:tr>
                    <w:trPr>
                      <w:trHeight w:val="571"/>
                    </w:trPr>
                    <w:tc>
                      <w:tcPr>
                        <w:tcW w:w="4820" w:type="dxa"/>
                      </w:tcPr>
                      <w:p>
                        <w:pPr>
                          <w:rPr>
                            <w:rFonts w:eastAsia="Calibri"/>
                            <w:bCs/>
                            <w:i/>
                            <w:iCs/>
                            <w:szCs w:val="24"/>
                          </w:rPr>
                        </w:pPr>
                        <w:r>
                          <w:rPr>
                            <w:rFonts w:eastAsia="Calibri"/>
                            <w:bCs/>
                            <w:iCs/>
                            <w:szCs w:val="24"/>
                          </w:rPr>
                          <w:t xml:space="preserve">26.1.1.2. Gyvenamosios vietos deklaravimo funkcijų vykdymas. </w:t>
                        </w:r>
                        <w:r>
                          <w:rPr>
                            <w:rFonts w:eastAsia="Calibri"/>
                            <w:bCs/>
                            <w:i/>
                            <w:iCs/>
                            <w:szCs w:val="24"/>
                          </w:rPr>
                          <w:t>Išduodamų pažymų rūšys.</w:t>
                        </w:r>
                      </w:p>
                      <w:p>
                        <w:pPr>
                          <w:rPr>
                            <w:iCs/>
                            <w:szCs w:val="24"/>
                          </w:rPr>
                        </w:pPr>
                        <w:r>
                          <w:rPr>
                            <w:iCs/>
                            <w:szCs w:val="24"/>
                          </w:rPr>
                          <w:t>(SVP 1-1-1-14)</w:t>
                        </w:r>
                      </w:p>
                      <w:p>
                        <w:pPr>
                          <w:rPr>
                            <w:szCs w:val="24"/>
                            <w14:ligatures w14:val="standardContextual"/>
                          </w:rPr>
                        </w:pPr>
                      </w:p>
                    </w:tc>
                    <w:tc>
                      <w:tcPr>
                        <w:tcW w:w="851" w:type="dxa"/>
                      </w:tcPr>
                      <w:p>
                        <w:pPr>
                          <w:rPr>
                            <w:bCs/>
                            <w:color w:val="000000"/>
                            <w:szCs w:val="24"/>
                          </w:rPr>
                        </w:pPr>
                        <w:r>
                          <w:rPr>
                            <w:bCs/>
                            <w:color w:val="000000"/>
                            <w:szCs w:val="24"/>
                          </w:rPr>
                          <w:t>6</w:t>
                        </w:r>
                      </w:p>
                    </w:tc>
                    <w:tc>
                      <w:tcPr>
                        <w:tcW w:w="850" w:type="dxa"/>
                      </w:tcPr>
                      <w:p>
                        <w:pPr>
                          <w:rPr>
                            <w:bCs/>
                            <w:szCs w:val="24"/>
                          </w:rPr>
                        </w:pPr>
                        <w:r>
                          <w:rPr>
                            <w:bCs/>
                            <w:szCs w:val="24"/>
                          </w:rPr>
                          <w:t>6</w:t>
                        </w:r>
                      </w:p>
                    </w:tc>
                    <w:tc>
                      <w:tcPr>
                        <w:tcW w:w="851" w:type="dxa"/>
                      </w:tcPr>
                      <w:p>
                        <w:pPr>
                          <w:rPr>
                            <w:bCs/>
                            <w:szCs w:val="24"/>
                          </w:rPr>
                        </w:pPr>
                        <w:r>
                          <w:rPr>
                            <w:bCs/>
                            <w:szCs w:val="24"/>
                          </w:rPr>
                          <w:t>6</w:t>
                        </w:r>
                      </w:p>
                    </w:tc>
                    <w:tc>
                      <w:tcPr>
                        <w:tcW w:w="850" w:type="dxa"/>
                      </w:tcPr>
                      <w:p>
                        <w:pPr>
                          <w:rPr>
                            <w:bCs/>
                            <w:szCs w:val="24"/>
                          </w:rPr>
                        </w:pPr>
                        <w:r>
                          <w:rPr>
                            <w:bCs/>
                            <w:szCs w:val="24"/>
                          </w:rPr>
                          <w:t>6</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Pažymų išduotų apie asmens deklaruotą gyvenamąją vietą – 34, priimtų sprendimų dėl deklaravimo duomenų taisymo, keitimo ir naikinimo – 3, įrauktų į GVNA (gyvenamosios vietos neturinčių asmenų) apskaitą – 11, atvykimą deklaravusių žmonių – 36, išvykimą deklaravusių – 2. (Šaukoto seniūnija)</w:t>
                        </w:r>
                      </w:p>
                    </w:tc>
                  </w:tr>
                  <w:tr>
                    <w:trPr>
                      <w:trHeight w:val="571"/>
                    </w:trPr>
                    <w:tc>
                      <w:tcPr>
                        <w:tcW w:w="4820" w:type="dxa"/>
                      </w:tcPr>
                      <w:p>
                        <w:pPr>
                          <w:rPr>
                            <w:rFonts w:eastAsia="Calibri"/>
                            <w:bCs/>
                            <w:i/>
                            <w:iCs/>
                            <w:szCs w:val="24"/>
                          </w:rPr>
                        </w:pPr>
                        <w:r>
                          <w:rPr>
                            <w:rFonts w:eastAsia="Calibri"/>
                            <w:bCs/>
                            <w:iCs/>
                            <w:szCs w:val="24"/>
                          </w:rPr>
                          <w:t xml:space="preserve">26.1.1.3. Leidimų pagal kompetenciją išdavimas. </w:t>
                        </w:r>
                        <w:r>
                          <w:rPr>
                            <w:rFonts w:eastAsia="Calibri"/>
                            <w:bCs/>
                            <w:i/>
                            <w:iCs/>
                            <w:szCs w:val="24"/>
                          </w:rPr>
                          <w:t>Išduotų leidimų skaičius procentais nuo pateiktų prašymų skaičiaus.</w:t>
                        </w:r>
                        <w:r>
                          <w:rPr>
                            <w:iCs/>
                            <w:szCs w:val="24"/>
                          </w:rPr>
                          <w:t>(SVP 1-1-1-14)</w:t>
                        </w:r>
                      </w:p>
                    </w:tc>
                    <w:tc>
                      <w:tcPr>
                        <w:tcW w:w="851" w:type="dxa"/>
                      </w:tcPr>
                      <w:p>
                        <w:pPr>
                          <w:rPr>
                            <w:color w:val="000000"/>
                            <w:szCs w:val="24"/>
                          </w:rPr>
                        </w:pPr>
                        <w:r>
                          <w:rPr>
                            <w:rFonts w:eastAsia="Calibri"/>
                            <w:color w:val="000000"/>
                            <w:szCs w:val="24"/>
                          </w:rPr>
                          <w:t>100</w:t>
                        </w:r>
                        <w:r>
                          <w:rPr>
                            <w:rFonts w:eastAsia="Calibri"/>
                            <w:color w:val="000000"/>
                            <w:szCs w:val="24"/>
                            <w:lang w:val="en-US"/>
                          </w:rPr>
                          <w:t xml:space="preserve"> %</w:t>
                        </w:r>
                      </w:p>
                    </w:tc>
                    <w:tc>
                      <w:tcPr>
                        <w:tcW w:w="850" w:type="dxa"/>
                      </w:tcPr>
                      <w:p>
                        <w:pPr>
                          <w:rPr>
                            <w:szCs w:val="24"/>
                          </w:rPr>
                        </w:pPr>
                        <w:r>
                          <w:rPr>
                            <w:rFonts w:eastAsia="Calibri"/>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szCs w:val="24"/>
                            <w:highlight w:val="yellow"/>
                          </w:rPr>
                        </w:pPr>
                        <w:r>
                          <w:rPr>
                            <w:szCs w:val="24"/>
                          </w:rPr>
                          <w:t>Leidimai laidoti – 21, pertvarkyti kapavietę – 4, prekybai – 3. (Šaukoto seniūnija)</w:t>
                        </w:r>
                      </w:p>
                    </w:tc>
                  </w:tr>
                  <w:tr>
                    <w:trPr>
                      <w:trHeight w:val="571"/>
                    </w:trPr>
                    <w:tc>
                      <w:tcPr>
                        <w:tcW w:w="4820" w:type="dxa"/>
                      </w:tcPr>
                      <w:p>
                        <w:pPr>
                          <w:rPr>
                            <w:bCs/>
                            <w:iCs/>
                            <w:szCs w:val="24"/>
                          </w:rPr>
                        </w:pPr>
                        <w:r>
                          <w:rPr>
                            <w:bCs/>
                            <w:iCs/>
                            <w:szCs w:val="24"/>
                          </w:rPr>
                          <w:t>26.1.1.4. Vietos gyventojų įtraukimas į savivaldos veiklą.</w:t>
                        </w:r>
                      </w:p>
                      <w:p>
                        <w:pPr>
                          <w:rPr>
                            <w:bCs/>
                            <w:iCs/>
                            <w:szCs w:val="24"/>
                          </w:rPr>
                        </w:pPr>
                        <w:r>
                          <w:rPr>
                            <w:bCs/>
                            <w:i/>
                            <w:iCs/>
                            <w:szCs w:val="24"/>
                          </w:rPr>
                          <w:t>Sušauktų seniūnaičių sueigų skaičius</w:t>
                        </w:r>
                        <w:r>
                          <w:rPr>
                            <w:bCs/>
                            <w:iCs/>
                            <w:szCs w:val="24"/>
                          </w:rPr>
                          <w:t xml:space="preserve"> </w:t>
                        </w:r>
                      </w:p>
                      <w:p>
                        <w:pPr>
                          <w:rPr>
                            <w:iCs/>
                            <w:szCs w:val="24"/>
                          </w:rPr>
                        </w:pPr>
                        <w:r>
                          <w:rPr>
                            <w:iCs/>
                            <w:szCs w:val="24"/>
                          </w:rPr>
                          <w:t>(SVP 1-1-1-14)</w:t>
                        </w:r>
                      </w:p>
                    </w:tc>
                    <w:tc>
                      <w:tcPr>
                        <w:tcW w:w="851" w:type="dxa"/>
                      </w:tcPr>
                      <w:p>
                        <w:pPr>
                          <w:rPr>
                            <w:color w:val="000000"/>
                            <w:szCs w:val="24"/>
                          </w:rPr>
                        </w:pPr>
                        <w:r>
                          <w:rPr>
                            <w:rFonts w:eastAsia="Calibri"/>
                            <w:color w:val="000000"/>
                            <w:szCs w:val="24"/>
                          </w:rPr>
                          <w:t>2</w:t>
                        </w:r>
                      </w:p>
                    </w:tc>
                    <w:tc>
                      <w:tcPr>
                        <w:tcW w:w="850" w:type="dxa"/>
                      </w:tcPr>
                      <w:p>
                        <w:pPr>
                          <w:rPr>
                            <w:iCs/>
                            <w:szCs w:val="24"/>
                          </w:rPr>
                        </w:pPr>
                        <w:r>
                          <w:rPr>
                            <w:iCs/>
                            <w:szCs w:val="24"/>
                          </w:rPr>
                          <w:t>2</w:t>
                        </w:r>
                      </w:p>
                    </w:tc>
                    <w:tc>
                      <w:tcPr>
                        <w:tcW w:w="851" w:type="dxa"/>
                      </w:tcPr>
                      <w:p>
                        <w:pPr>
                          <w:rPr>
                            <w:iCs/>
                            <w:szCs w:val="24"/>
                          </w:rPr>
                        </w:pPr>
                        <w:r>
                          <w:rPr>
                            <w:iCs/>
                            <w:szCs w:val="24"/>
                          </w:rPr>
                          <w:t>2</w:t>
                        </w:r>
                      </w:p>
                    </w:tc>
                    <w:tc>
                      <w:tcPr>
                        <w:tcW w:w="850" w:type="dxa"/>
                      </w:tcPr>
                      <w:p>
                        <w:pPr>
                          <w:rPr>
                            <w:iCs/>
                            <w:szCs w:val="24"/>
                          </w:rPr>
                        </w:pPr>
                        <w:r>
                          <w:rPr>
                            <w:iCs/>
                            <w:szCs w:val="24"/>
                          </w:rPr>
                          <w:t>2</w:t>
                        </w:r>
                      </w:p>
                    </w:tc>
                    <w:tc>
                      <w:tcPr>
                        <w:tcW w:w="851" w:type="dxa"/>
                      </w:tcPr>
                      <w:p>
                        <w:pPr>
                          <w:rPr>
                            <w:color w:val="000000"/>
                            <w:szCs w:val="24"/>
                          </w:rPr>
                        </w:pPr>
                      </w:p>
                    </w:tc>
                    <w:tc>
                      <w:tcPr>
                        <w:tcW w:w="850" w:type="dxa"/>
                      </w:tcPr>
                      <w:p>
                        <w:pPr>
                          <w:rPr>
                            <w:szCs w:val="24"/>
                          </w:rPr>
                        </w:pPr>
                      </w:p>
                    </w:tc>
                    <w:tc>
                      <w:tcPr>
                        <w:tcW w:w="5245" w:type="dxa"/>
                      </w:tcPr>
                      <w:p>
                        <w:pPr>
                          <w:rPr>
                            <w:szCs w:val="24"/>
                          </w:rPr>
                        </w:pPr>
                        <w:r>
                          <w:rPr>
                            <w:rFonts w:eastAsia="Calibri"/>
                            <w:szCs w:val="24"/>
                          </w:rPr>
                          <w:t xml:space="preserve">2025-02-27 šaukta išplėstinė seniūnaičių sueiga, dėl 2024 m. seniūno ataskaitos, 2025 m. veiklos plano, 2025-10-24 šaukta išplėstinė seniūnaičių sueiga, dėl  seniūnijos kelių plėtros programos prioritetinio sąrašo sudarymo, dėl investicinių lėšų poreikio 2026 m.</w:t>
                        </w:r>
                        <w:r>
                          <w:rPr>
                            <w:szCs w:val="24"/>
                          </w:rPr>
                          <w:t xml:space="preserve"> (Šaukoto seniūnija)</w:t>
                        </w:r>
                      </w:p>
                    </w:tc>
                  </w:tr>
                  <w:tr>
                    <w:trPr>
                      <w:trHeight w:val="571"/>
                    </w:trPr>
                    <w:tc>
                      <w:tcPr>
                        <w:tcW w:w="4820" w:type="dxa"/>
                      </w:tcPr>
                      <w:p>
                        <w:pPr>
                          <w:rPr>
                            <w:bCs/>
                            <w:iCs/>
                            <w:szCs w:val="24"/>
                          </w:rPr>
                        </w:pPr>
                        <w:r>
                          <w:rPr>
                            <w:bCs/>
                            <w:iCs/>
                            <w:szCs w:val="24"/>
                          </w:rPr>
                          <w:t xml:space="preserve">26.1.1.5. Prašymų ir skundų susijusių su seniūnijos veikla nagrinėjimas, atsakymų pateikimas. </w:t>
                        </w:r>
                        <w:r>
                          <w:rPr>
                            <w:bCs/>
                            <w:i/>
                            <w:iCs/>
                            <w:szCs w:val="24"/>
                          </w:rPr>
                          <w:t>Išnagrinėtų skundų, prašymų susijusių su seniūnijos veikla procentas</w:t>
                        </w:r>
                      </w:p>
                      <w:p>
                        <w:pPr>
                          <w:rPr>
                            <w:iCs/>
                            <w:szCs w:val="24"/>
                          </w:rPr>
                        </w:pPr>
                        <w:r>
                          <w:rPr>
                            <w:iCs/>
                            <w:szCs w:val="24"/>
                          </w:rPr>
                          <w:t>(SVP 1-1-1-14)</w:t>
                        </w:r>
                      </w:p>
                    </w:tc>
                    <w:tc>
                      <w:tcPr>
                        <w:tcW w:w="851" w:type="dxa"/>
                      </w:tcPr>
                      <w:p>
                        <w:pPr>
                          <w:rPr>
                            <w:color w:val="000000"/>
                            <w:szCs w:val="24"/>
                          </w:rPr>
                        </w:pPr>
                        <w:r>
                          <w:rPr>
                            <w:rFonts w:eastAsia="Calibri"/>
                            <w:color w:val="000000"/>
                            <w:szCs w:val="24"/>
                          </w:rPr>
                          <w:t>100 %</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tcPr>
                      <w:p>
                        <w:pPr>
                          <w:rPr>
                            <w:color w:val="000000"/>
                            <w:szCs w:val="24"/>
                          </w:rPr>
                        </w:pPr>
                      </w:p>
                    </w:tc>
                    <w:tc>
                      <w:tcPr>
                        <w:tcW w:w="850" w:type="dxa"/>
                      </w:tcPr>
                      <w:p>
                        <w:pPr>
                          <w:rPr>
                            <w:szCs w:val="24"/>
                          </w:rPr>
                        </w:pPr>
                      </w:p>
                    </w:tc>
                    <w:tc>
                      <w:tcPr>
                        <w:tcW w:w="5245" w:type="dxa"/>
                      </w:tcPr>
                      <w:p>
                        <w:pPr>
                          <w:rPr>
                            <w:rFonts w:eastAsia="Calibri"/>
                            <w:szCs w:val="24"/>
                          </w:rPr>
                        </w:pPr>
                        <w:r>
                          <w:rPr>
                            <w:rFonts w:eastAsia="Calibri"/>
                            <w:szCs w:val="24"/>
                          </w:rPr>
                          <w:t xml:space="preserve">Skundai – 0,  prašymai – 0.</w:t>
                        </w:r>
                      </w:p>
                      <w:p>
                        <w:pPr>
                          <w:rPr>
                            <w:szCs w:val="24"/>
                          </w:rPr>
                        </w:pPr>
                        <w:r>
                          <w:rPr>
                            <w:szCs w:val="24"/>
                          </w:rPr>
                          <w:t>(Šaukoto seniūnija)</w:t>
                        </w:r>
                      </w:p>
                      <w:p>
                        <w:pPr>
                          <w:rPr>
                            <w:szCs w:val="24"/>
                          </w:rPr>
                        </w:pPr>
                      </w:p>
                    </w:tc>
                  </w:tr>
                  <w:tr>
                    <w:trPr>
                      <w:trHeight w:val="571"/>
                    </w:trPr>
                    <w:tc>
                      <w:tcPr>
                        <w:tcW w:w="4820" w:type="dxa"/>
                      </w:tcPr>
                      <w:p>
                        <w:pPr>
                          <w:rPr>
                            <w:bCs/>
                            <w:iCs/>
                            <w:szCs w:val="24"/>
                          </w:rPr>
                        </w:pPr>
                        <w:r>
                          <w:rPr>
                            <w:bCs/>
                            <w:iCs/>
                            <w:szCs w:val="24"/>
                          </w:rPr>
                          <w:t xml:space="preserve">26.1.2.1. Žemės ūkio veiklos seniūnijoje administravimas. </w:t>
                        </w:r>
                        <w:r>
                          <w:rPr>
                            <w:bCs/>
                            <w:i/>
                            <w:iCs/>
                            <w:szCs w:val="24"/>
                          </w:rPr>
                          <w:t>Žemės ūkio veiklos funkcijų vykdymas procentais</w:t>
                        </w:r>
                        <w:r>
                          <w:rPr>
                            <w:bCs/>
                            <w:iCs/>
                            <w:szCs w:val="24"/>
                          </w:rPr>
                          <w:t xml:space="preserve"> </w:t>
                        </w:r>
                        <w:r>
                          <w:rPr>
                            <w:iCs/>
                            <w:szCs w:val="24"/>
                          </w:rPr>
                          <w:t>(SVP 1-1-1-44A)</w:t>
                        </w:r>
                      </w:p>
                      <w:p>
                        <w:pPr>
                          <w:rPr>
                            <w:szCs w:val="24"/>
                            <w14:ligatures w14:val="standardContextual"/>
                          </w:rPr>
                        </w:pPr>
                      </w:p>
                    </w:tc>
                    <w:tc>
                      <w:tcPr>
                        <w:tcW w:w="851" w:type="dxa"/>
                      </w:tcPr>
                      <w:p>
                        <w:pPr>
                          <w:rPr>
                            <w:color w:val="000000"/>
                            <w:szCs w:val="24"/>
                          </w:rPr>
                        </w:pPr>
                        <w:r>
                          <w:rPr>
                            <w:rFonts w:eastAsia="Calibri"/>
                            <w:color w:val="000000"/>
                            <w:szCs w:val="24"/>
                          </w:rPr>
                          <w:t xml:space="preserve">100 </w:t>
                        </w:r>
                        <w:r>
                          <w:rPr>
                            <w:rFonts w:eastAsia="Calibri"/>
                            <w:color w:val="000000"/>
                            <w:szCs w:val="24"/>
                            <w:lang w:val="en-US"/>
                          </w:rPr>
                          <w:t>%</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tcPr>
                      <w:p>
                        <w:pPr>
                          <w:rPr>
                            <w:color w:val="000000"/>
                            <w:szCs w:val="24"/>
                          </w:rPr>
                        </w:pPr>
                      </w:p>
                    </w:tc>
                    <w:tc>
                      <w:tcPr>
                        <w:tcW w:w="850" w:type="dxa"/>
                      </w:tcPr>
                      <w:p>
                        <w:pPr>
                          <w:rPr>
                            <w:szCs w:val="24"/>
                          </w:rPr>
                        </w:pPr>
                      </w:p>
                    </w:tc>
                    <w:tc>
                      <w:tcPr>
                        <w:tcW w:w="5245" w:type="dxa"/>
                      </w:tcPr>
                      <w:p>
                        <w:pPr>
                          <w:rPr>
                            <w:rFonts w:eastAsia="Calibri"/>
                            <w:szCs w:val="24"/>
                          </w:rPr>
                        </w:pPr>
                        <w:r>
                          <w:rPr>
                            <w:rFonts w:eastAsia="Calibri"/>
                            <w:szCs w:val="24"/>
                          </w:rPr>
                          <w:t xml:space="preserve">Priimta ir elektroniniu būdu įbraižyta 135 paraiškos, deklaruota 3681 ha žemės plotai, priimti 299 prašymai iš žemės ūkio subjektų dėl duomenų keitimo, atnaujinta 192 žemės ūkio valdų, patikslinti 107 ūkininkų ūkiai, išregistruotos 5 žemės ūkio valdos. Išduotos 32 pažymos dėl VED ir EDV. </w:t>
                        </w:r>
                        <w:r>
                          <w:rPr>
                            <w:szCs w:val="24"/>
                          </w:rPr>
                          <w:t>(Šaukoto seniūnija)</w:t>
                        </w:r>
                      </w:p>
                    </w:tc>
                  </w:tr>
                  <w:tr>
                    <w:trPr>
                      <w:trHeight w:val="571"/>
                    </w:trPr>
                    <w:tc>
                      <w:tcPr>
                        <w:tcW w:w="4820" w:type="dxa"/>
                      </w:tcPr>
                      <w:p>
                        <w:pPr>
                          <w:tabs>
                            <w:tab w:val="left" w:pos="340"/>
                          </w:tabs>
                          <w:rPr>
                            <w:bCs/>
                            <w:iCs/>
                            <w:szCs w:val="24"/>
                          </w:rPr>
                        </w:pPr>
                        <w:r>
                          <w:rPr>
                            <w:bCs/>
                            <w:iCs/>
                            <w:szCs w:val="24"/>
                          </w:rPr>
                          <w:t xml:space="preserve">27. 1.1.1. Savivaldybės administracijos darbo organizavimo veiklos Šeduvos miesto seniūnijoje užtikrinimas (SVP 1-1-1-15)                 </w:t>
                        </w:r>
                      </w:p>
                    </w:tc>
                    <w:tc>
                      <w:tcPr>
                        <w:tcW w:w="851" w:type="dxa"/>
                      </w:tcPr>
                      <w:p>
                        <w:pPr>
                          <w:rPr>
                            <w:color w:val="000000"/>
                            <w:szCs w:val="24"/>
                          </w:rPr>
                        </w:pPr>
                        <w:r>
                          <w:rPr>
                            <w:bCs/>
                            <w:iCs/>
                            <w:color w:val="000000"/>
                            <w:szCs w:val="24"/>
                          </w:rPr>
                          <w:t>100 %</w:t>
                        </w:r>
                      </w:p>
                    </w:tc>
                    <w:tc>
                      <w:tcPr>
                        <w:tcW w:w="850" w:type="dxa"/>
                      </w:tcPr>
                      <w:p>
                        <w:pPr>
                          <w:rPr>
                            <w:szCs w:val="24"/>
                          </w:rPr>
                        </w:pPr>
                        <w:r>
                          <w:rPr>
                            <w:bCs/>
                            <w:iCs/>
                            <w:szCs w:val="24"/>
                          </w:rPr>
                          <w:t>100 %</w:t>
                        </w:r>
                      </w:p>
                    </w:tc>
                    <w:tc>
                      <w:tcPr>
                        <w:tcW w:w="851" w:type="dxa"/>
                      </w:tcPr>
                      <w:p>
                        <w:pPr>
                          <w:rPr>
                            <w:szCs w:val="24"/>
                          </w:rPr>
                        </w:pPr>
                        <w:r>
                          <w:rPr>
                            <w:bCs/>
                            <w:iCs/>
                            <w:szCs w:val="24"/>
                          </w:rPr>
                          <w:t>100 %</w:t>
                        </w:r>
                      </w:p>
                    </w:tc>
                    <w:tc>
                      <w:tcPr>
                        <w:tcW w:w="850" w:type="dxa"/>
                      </w:tcPr>
                      <w:p>
                        <w:pPr>
                          <w:rPr>
                            <w:szCs w:val="24"/>
                          </w:rPr>
                        </w:pPr>
                        <w:r>
                          <w:rPr>
                            <w:bCs/>
                            <w:iCs/>
                            <w:szCs w:val="24"/>
                          </w:rPr>
                          <w:t>100 %</w:t>
                        </w:r>
                      </w:p>
                    </w:tc>
                    <w:tc>
                      <w:tcPr>
                        <w:tcW w:w="851" w:type="dxa"/>
                      </w:tcPr>
                      <w:p>
                        <w:pPr>
                          <w:rPr>
                            <w:color w:val="000000"/>
                            <w:szCs w:val="24"/>
                          </w:rPr>
                        </w:pPr>
                        <w:r>
                          <w:rPr>
                            <w:bCs/>
                            <w:iCs/>
                            <w:color w:val="000000"/>
                            <w:szCs w:val="24"/>
                          </w:rPr>
                          <w:t>35,9 SB</w:t>
                        </w:r>
                      </w:p>
                    </w:tc>
                    <w:tc>
                      <w:tcPr>
                        <w:tcW w:w="850" w:type="dxa"/>
                      </w:tcPr>
                      <w:p>
                        <w:pPr>
                          <w:rPr>
                            <w:szCs w:val="24"/>
                          </w:rPr>
                        </w:pPr>
                        <w:r>
                          <w:rPr>
                            <w:bCs/>
                            <w:iCs/>
                            <w:szCs w:val="24"/>
                          </w:rPr>
                          <w:t>33,40 SB</w:t>
                        </w:r>
                      </w:p>
                    </w:tc>
                    <w:tc>
                      <w:tcPr>
                        <w:tcW w:w="5245" w:type="dxa"/>
                      </w:tcPr>
                      <w:p>
                        <w:pPr>
                          <w:rPr>
                            <w:bCs/>
                            <w:iCs/>
                            <w:szCs w:val="24"/>
                          </w:rPr>
                        </w:pPr>
                        <w:r>
                          <w:rPr>
                            <w:bCs/>
                            <w:iCs/>
                            <w:szCs w:val="24"/>
                          </w:rPr>
                          <w:t>Įsigytos kanceliarinės prekės, mokėti komunaliniai mokesčiai, išlaikytas transportas, pirktos kitos prekės, paslaugos. (Šeduvos miesto seniūnija)</w:t>
                        </w:r>
                      </w:p>
                    </w:tc>
                  </w:tr>
                  <w:tr>
                    <w:trPr>
                      <w:trHeight w:val="571"/>
                    </w:trPr>
                    <w:tc>
                      <w:tcPr>
                        <w:tcW w:w="4820" w:type="dxa"/>
                      </w:tcPr>
                      <w:p>
                        <w:pPr>
                          <w:rPr>
                            <w:bCs/>
                            <w:iCs/>
                            <w:szCs w:val="24"/>
                          </w:rPr>
                        </w:pPr>
                        <w:r>
                          <w:rPr>
                            <w:bCs/>
                            <w:iCs/>
                            <w:szCs w:val="24"/>
                          </w:rPr>
                          <w:t>27.1.1.2 Gyvenamosios vietos deklaravimo funkcijų vykdymas. Išduodamų pažymų rūšys.</w:t>
                        </w:r>
                      </w:p>
                      <w:p>
                        <w:pPr>
                          <w:rPr>
                            <w:szCs w:val="24"/>
                            <w14:ligatures w14:val="standardContextual"/>
                          </w:rPr>
                        </w:pPr>
                        <w:r>
                          <w:rPr>
                            <w:bCs/>
                            <w:iCs/>
                            <w:szCs w:val="24"/>
                          </w:rPr>
                          <w:t>(SVP 1-1-1-15)</w:t>
                        </w:r>
                      </w:p>
                    </w:tc>
                    <w:tc>
                      <w:tcPr>
                        <w:tcW w:w="851" w:type="dxa"/>
                      </w:tcPr>
                      <w:p>
                        <w:pPr>
                          <w:rPr>
                            <w:color w:val="000000"/>
                            <w:szCs w:val="24"/>
                          </w:rPr>
                        </w:pPr>
                        <w:r>
                          <w:rPr>
                            <w:bCs/>
                            <w:iCs/>
                            <w:color w:val="000000"/>
                            <w:szCs w:val="24"/>
                          </w:rPr>
                          <w:t xml:space="preserve">7 </w:t>
                        </w:r>
                      </w:p>
                    </w:tc>
                    <w:tc>
                      <w:tcPr>
                        <w:tcW w:w="850" w:type="dxa"/>
                      </w:tcPr>
                      <w:p>
                        <w:pPr>
                          <w:rPr>
                            <w:szCs w:val="24"/>
                          </w:rPr>
                        </w:pPr>
                        <w:r>
                          <w:rPr>
                            <w:bCs/>
                            <w:iCs/>
                            <w:szCs w:val="24"/>
                          </w:rPr>
                          <w:t xml:space="preserve">7 </w:t>
                        </w:r>
                      </w:p>
                    </w:tc>
                    <w:tc>
                      <w:tcPr>
                        <w:tcW w:w="851" w:type="dxa"/>
                      </w:tcPr>
                      <w:p>
                        <w:pPr>
                          <w:rPr>
                            <w:szCs w:val="24"/>
                          </w:rPr>
                        </w:pPr>
                        <w:r>
                          <w:rPr>
                            <w:bCs/>
                            <w:iCs/>
                            <w:szCs w:val="24"/>
                          </w:rPr>
                          <w:t xml:space="preserve">7 </w:t>
                        </w:r>
                      </w:p>
                    </w:tc>
                    <w:tc>
                      <w:tcPr>
                        <w:tcW w:w="850" w:type="dxa"/>
                      </w:tcPr>
                      <w:p>
                        <w:pPr>
                          <w:rPr>
                            <w:szCs w:val="24"/>
                          </w:rPr>
                        </w:pPr>
                        <w:r>
                          <w:rPr>
                            <w:bCs/>
                            <w:iCs/>
                            <w:szCs w:val="24"/>
                          </w:rPr>
                          <w:t xml:space="preserve">7 </w:t>
                        </w:r>
                      </w:p>
                    </w:tc>
                    <w:tc>
                      <w:tcPr>
                        <w:tcW w:w="851" w:type="dxa"/>
                      </w:tcPr>
                      <w:p>
                        <w:pPr>
                          <w:rPr>
                            <w:color w:val="000000"/>
                            <w:szCs w:val="24"/>
                          </w:rPr>
                        </w:pPr>
                      </w:p>
                    </w:tc>
                    <w:tc>
                      <w:tcPr>
                        <w:tcW w:w="850" w:type="dxa"/>
                      </w:tcPr>
                      <w:p>
                        <w:pPr>
                          <w:rPr>
                            <w:szCs w:val="24"/>
                          </w:rPr>
                        </w:pPr>
                      </w:p>
                    </w:tc>
                    <w:tc>
                      <w:tcPr>
                        <w:tcW w:w="5245" w:type="dxa"/>
                      </w:tcPr>
                      <w:p>
                        <w:pPr>
                          <w:rPr>
                            <w:bCs/>
                            <w:iCs/>
                            <w:szCs w:val="24"/>
                          </w:rPr>
                        </w:pPr>
                        <w:r>
                          <w:rPr>
                            <w:bCs/>
                            <w:iCs/>
                            <w:szCs w:val="24"/>
                          </w:rPr>
                          <w:t>Išduota pažymų: gyvenamosios vietos deklaravimo– 223; išvykimo– 21; apie asmens gyvenamąją vietą – 198; įtraukimo GVNA apskaitą – 26; sprendimų dėl deklaravimo duomenų keitimo – 4; sprendimų dėl deklaravimo duomenų naikinimo – 20; patalpų savininkams – 4. (Šeduvos miesto seniūnija)</w:t>
                        </w:r>
                      </w:p>
                    </w:tc>
                  </w:tr>
                  <w:tr>
                    <w:trPr>
                      <w:trHeight w:val="571"/>
                    </w:trPr>
                    <w:tc>
                      <w:tcPr>
                        <w:tcW w:w="4820" w:type="dxa"/>
                      </w:tcPr>
                      <w:p>
                        <w:pPr>
                          <w:rPr>
                            <w:bCs/>
                            <w:iCs/>
                            <w:szCs w:val="24"/>
                          </w:rPr>
                        </w:pPr>
                        <w:r>
                          <w:rPr>
                            <w:bCs/>
                            <w:iCs/>
                            <w:szCs w:val="24"/>
                          </w:rPr>
                          <w:t>27.1.1.3 Leidimų pagal kompetenciją išdavimas (SVP 1-1-1-15)</w:t>
                        </w:r>
                      </w:p>
                    </w:tc>
                    <w:tc>
                      <w:tcPr>
                        <w:tcW w:w="851" w:type="dxa"/>
                      </w:tcPr>
                      <w:p>
                        <w:pPr>
                          <w:rPr>
                            <w:color w:val="000000"/>
                            <w:szCs w:val="24"/>
                          </w:rPr>
                        </w:pPr>
                        <w:r>
                          <w:rPr>
                            <w:bCs/>
                            <w:iCs/>
                            <w:color w:val="000000"/>
                            <w:szCs w:val="24"/>
                          </w:rPr>
                          <w:t>100 %</w:t>
                        </w:r>
                      </w:p>
                    </w:tc>
                    <w:tc>
                      <w:tcPr>
                        <w:tcW w:w="850" w:type="dxa"/>
                      </w:tcPr>
                      <w:p>
                        <w:pPr>
                          <w:rPr>
                            <w:bCs/>
                            <w:iCs/>
                            <w:szCs w:val="24"/>
                          </w:rPr>
                        </w:pPr>
                        <w:r>
                          <w:rPr>
                            <w:bCs/>
                            <w:iCs/>
                            <w:szCs w:val="24"/>
                          </w:rPr>
                          <w:t>100 %</w:t>
                        </w:r>
                      </w:p>
                      <w:p>
                        <w:pPr>
                          <w:rPr>
                            <w:szCs w:val="24"/>
                          </w:rPr>
                        </w:pPr>
                      </w:p>
                    </w:tc>
                    <w:tc>
                      <w:tcPr>
                        <w:tcW w:w="851" w:type="dxa"/>
                      </w:tcPr>
                      <w:p>
                        <w:pPr>
                          <w:rPr>
                            <w:bCs/>
                            <w:iCs/>
                            <w:szCs w:val="24"/>
                          </w:rPr>
                        </w:pPr>
                        <w:r>
                          <w:rPr>
                            <w:bCs/>
                            <w:iCs/>
                            <w:szCs w:val="24"/>
                          </w:rPr>
                          <w:t>100 %</w:t>
                        </w:r>
                      </w:p>
                      <w:p>
                        <w:pPr>
                          <w:rPr>
                            <w:szCs w:val="24"/>
                          </w:rPr>
                        </w:pPr>
                      </w:p>
                    </w:tc>
                    <w:tc>
                      <w:tcPr>
                        <w:tcW w:w="850" w:type="dxa"/>
                      </w:tcPr>
                      <w:p>
                        <w:pPr>
                          <w:rPr>
                            <w:bCs/>
                            <w:iCs/>
                            <w:szCs w:val="24"/>
                          </w:rPr>
                        </w:pPr>
                        <w:r>
                          <w:rPr>
                            <w:bCs/>
                            <w:iCs/>
                            <w:szCs w:val="24"/>
                          </w:rPr>
                          <w:t>100 %</w:t>
                        </w:r>
                      </w:p>
                      <w:p>
                        <w:pPr>
                          <w:rPr>
                            <w:szCs w:val="24"/>
                          </w:rPr>
                        </w:pPr>
                      </w:p>
                    </w:tc>
                    <w:tc>
                      <w:tcPr>
                        <w:tcW w:w="851" w:type="dxa"/>
                      </w:tcPr>
                      <w:p>
                        <w:pPr>
                          <w:rPr>
                            <w:color w:val="000000"/>
                            <w:szCs w:val="24"/>
                          </w:rPr>
                        </w:pPr>
                      </w:p>
                    </w:tc>
                    <w:tc>
                      <w:tcPr>
                        <w:tcW w:w="850" w:type="dxa"/>
                      </w:tcPr>
                      <w:p>
                        <w:pPr>
                          <w:rPr>
                            <w:szCs w:val="24"/>
                          </w:rPr>
                        </w:pPr>
                      </w:p>
                    </w:tc>
                    <w:tc>
                      <w:tcPr>
                        <w:tcW w:w="5245" w:type="dxa"/>
                      </w:tcPr>
                      <w:p>
                        <w:pPr>
                          <w:rPr>
                            <w:bCs/>
                            <w:iCs/>
                            <w:szCs w:val="24"/>
                          </w:rPr>
                        </w:pPr>
                        <w:r>
                          <w:rPr>
                            <w:bCs/>
                            <w:iCs/>
                            <w:szCs w:val="24"/>
                          </w:rPr>
                          <w:t>Išduoti leidimai: atlikti kasinėjimo darbus – 28; masinių renginių organizavimui – 8; prekiauti – 259 (Šeduvos miesto seniūnija)</w:t>
                        </w:r>
                      </w:p>
                    </w:tc>
                  </w:tr>
                  <w:tr>
                    <w:trPr>
                      <w:trHeight w:val="571"/>
                    </w:trPr>
                    <w:tc>
                      <w:tcPr>
                        <w:tcW w:w="4820" w:type="dxa"/>
                      </w:tcPr>
                      <w:p>
                        <w:pPr>
                          <w:rPr>
                            <w:bCs/>
                            <w:iCs/>
                            <w:szCs w:val="24"/>
                          </w:rPr>
                        </w:pPr>
                        <w:r>
                          <w:rPr>
                            <w:bCs/>
                            <w:iCs/>
                            <w:szCs w:val="24"/>
                          </w:rPr>
                          <w:t>27.1.2.1 Vietos gyventojų įtraukimas į savivaldos veiklą.</w:t>
                        </w:r>
                      </w:p>
                      <w:p>
                        <w:pPr>
                          <w:rPr>
                            <w:bCs/>
                            <w:iCs/>
                            <w:szCs w:val="24"/>
                          </w:rPr>
                        </w:pPr>
                        <w:r>
                          <w:rPr>
                            <w:bCs/>
                            <w:iCs/>
                            <w:szCs w:val="24"/>
                          </w:rPr>
                          <w:t>Suorganizuotų seniūnaičių sueigų skaičius</w:t>
                        </w:r>
                      </w:p>
                      <w:p>
                        <w:pPr>
                          <w:rPr>
                            <w:szCs w:val="24"/>
                            <w14:ligatures w14:val="standardContextual"/>
                          </w:rPr>
                        </w:pPr>
                        <w:r>
                          <w:rPr>
                            <w:bCs/>
                            <w:iCs/>
                            <w:szCs w:val="24"/>
                          </w:rPr>
                          <w:t>(SVP 1-1-1-15)</w:t>
                        </w:r>
                      </w:p>
                    </w:tc>
                    <w:tc>
                      <w:tcPr>
                        <w:tcW w:w="851" w:type="dxa"/>
                      </w:tcPr>
                      <w:p>
                        <w:pPr>
                          <w:rPr>
                            <w:bCs/>
                            <w:iCs/>
                            <w:color w:val="808080"/>
                            <w:szCs w:val="24"/>
                          </w:rPr>
                        </w:pPr>
                        <w:r>
                          <w:rPr>
                            <w:bCs/>
                            <w:iCs/>
                            <w:szCs w:val="24"/>
                          </w:rPr>
                          <w:t xml:space="preserve">4 </w:t>
                        </w:r>
                      </w:p>
                      <w:p>
                        <w:pPr>
                          <w:rPr>
                            <w:color w:val="000000"/>
                            <w:szCs w:val="24"/>
                          </w:rPr>
                        </w:pPr>
                      </w:p>
                    </w:tc>
                    <w:tc>
                      <w:tcPr>
                        <w:tcW w:w="850" w:type="dxa"/>
                      </w:tcPr>
                      <w:p>
                        <w:pPr>
                          <w:rPr>
                            <w:szCs w:val="24"/>
                          </w:rPr>
                        </w:pPr>
                        <w:r>
                          <w:rPr>
                            <w:bCs/>
                            <w:iCs/>
                            <w:szCs w:val="24"/>
                          </w:rPr>
                          <w:t>2</w:t>
                        </w:r>
                      </w:p>
                    </w:tc>
                    <w:tc>
                      <w:tcPr>
                        <w:tcW w:w="851" w:type="dxa"/>
                      </w:tcPr>
                      <w:p>
                        <w:pPr>
                          <w:rPr>
                            <w:szCs w:val="24"/>
                          </w:rPr>
                        </w:pPr>
                        <w:r>
                          <w:rPr>
                            <w:bCs/>
                            <w:iCs/>
                            <w:szCs w:val="24"/>
                          </w:rPr>
                          <w:t>2</w:t>
                        </w:r>
                      </w:p>
                    </w:tc>
                    <w:tc>
                      <w:tcPr>
                        <w:tcW w:w="850" w:type="dxa"/>
                      </w:tcPr>
                      <w:p>
                        <w:pPr>
                          <w:rPr>
                            <w:szCs w:val="24"/>
                          </w:rPr>
                        </w:pPr>
                        <w:r>
                          <w:rPr>
                            <w:bCs/>
                            <w:iCs/>
                            <w:szCs w:val="24"/>
                          </w:rPr>
                          <w:t>3</w:t>
                        </w:r>
                      </w:p>
                    </w:tc>
                    <w:tc>
                      <w:tcPr>
                        <w:tcW w:w="851" w:type="dxa"/>
                      </w:tcPr>
                      <w:p>
                        <w:pPr>
                          <w:rPr>
                            <w:color w:val="000000"/>
                            <w:szCs w:val="24"/>
                          </w:rPr>
                        </w:pPr>
                      </w:p>
                    </w:tc>
                    <w:tc>
                      <w:tcPr>
                        <w:tcW w:w="850" w:type="dxa"/>
                      </w:tcPr>
                      <w:p>
                        <w:pPr>
                          <w:rPr>
                            <w:szCs w:val="24"/>
                          </w:rPr>
                        </w:pPr>
                      </w:p>
                    </w:tc>
                    <w:tc>
                      <w:tcPr>
                        <w:tcW w:w="5245" w:type="dxa"/>
                      </w:tcPr>
                      <w:p>
                        <w:pPr>
                          <w:rPr>
                            <w:bCs/>
                            <w:iCs/>
                            <w:szCs w:val="24"/>
                          </w:rPr>
                        </w:pPr>
                        <w:r>
                          <w:rPr>
                            <w:bCs/>
                            <w:iCs/>
                            <w:szCs w:val="24"/>
                          </w:rPr>
                          <w:t>2025-02-25 Seniūnijos 2024 m. veiklos ataskaitos pristatymas ir 2025 m. seniūnijos veiklos plano pristatymas. 2025-10-10 Dėl automobilių stovėjimo aikštelių trūkumo, pėsčiųjų perėjų panaikinimo ir kriminogeninės situacijos Šeduvoje aptarimas. 2025-11-13 Dėl kelių priežiūros ir plėtros darbų, numatomų atlikti 2026–2028 m. sąrašo. (Šeduvos miesto seniūnija)</w:t>
                        </w:r>
                      </w:p>
                    </w:tc>
                  </w:tr>
                  <w:tr>
                    <w:trPr>
                      <w:trHeight w:val="571"/>
                    </w:trPr>
                    <w:tc>
                      <w:tcPr>
                        <w:tcW w:w="4820" w:type="dxa"/>
                      </w:tcPr>
                      <w:p>
                        <w:pPr>
                          <w:rPr>
                            <w:bCs/>
                            <w:iCs/>
                            <w:color w:val="808080"/>
                            <w:szCs w:val="24"/>
                          </w:rPr>
                        </w:pPr>
                        <w:r>
                          <w:rPr>
                            <w:bCs/>
                            <w:iCs/>
                            <w:szCs w:val="24"/>
                          </w:rPr>
                          <w:t>27.1.2.2. Prašymų, skundų, susijusių su seniūnijos veikla nagrinėjimas, atsakymų pateikimas</w:t>
                        </w:r>
                        <w:r>
                          <w:rPr>
                            <w:bCs/>
                            <w:iCs/>
                            <w:color w:val="808080"/>
                            <w:szCs w:val="24"/>
                          </w:rPr>
                          <w:t xml:space="preserve"> </w:t>
                        </w:r>
                        <w:r>
                          <w:rPr>
                            <w:bCs/>
                            <w:iCs/>
                            <w:szCs w:val="24"/>
                          </w:rPr>
                          <w:t>(SVP 1-1-1-15)</w:t>
                        </w:r>
                      </w:p>
                    </w:tc>
                    <w:tc>
                      <w:tcPr>
                        <w:tcW w:w="851" w:type="dxa"/>
                      </w:tcPr>
                      <w:p>
                        <w:pPr>
                          <w:rPr>
                            <w:color w:val="000000"/>
                            <w:szCs w:val="24"/>
                          </w:rPr>
                        </w:pPr>
                        <w:r>
                          <w:rPr>
                            <w:bCs/>
                            <w:iCs/>
                            <w:color w:val="000000"/>
                            <w:szCs w:val="24"/>
                          </w:rPr>
                          <w:t>100 %</w:t>
                        </w:r>
                      </w:p>
                    </w:tc>
                    <w:tc>
                      <w:tcPr>
                        <w:tcW w:w="850" w:type="dxa"/>
                      </w:tcPr>
                      <w:p>
                        <w:pPr>
                          <w:rPr>
                            <w:bCs/>
                            <w:iCs/>
                            <w:szCs w:val="24"/>
                            <w:lang w:val="en-US"/>
                          </w:rPr>
                        </w:pPr>
                        <w:r>
                          <w:rPr>
                            <w:bCs/>
                            <w:iCs/>
                            <w:szCs w:val="24"/>
                            <w:lang w:val="en-US"/>
                          </w:rPr>
                          <w:t>100 %</w:t>
                        </w:r>
                      </w:p>
                      <w:p>
                        <w:pPr>
                          <w:rPr>
                            <w:szCs w:val="24"/>
                          </w:rPr>
                        </w:pPr>
                      </w:p>
                    </w:tc>
                    <w:tc>
                      <w:tcPr>
                        <w:tcW w:w="851" w:type="dxa"/>
                      </w:tcPr>
                      <w:p>
                        <w:pPr>
                          <w:rPr>
                            <w:bCs/>
                            <w:iCs/>
                            <w:szCs w:val="24"/>
                          </w:rPr>
                        </w:pPr>
                        <w:r>
                          <w:rPr>
                            <w:bCs/>
                            <w:iCs/>
                            <w:szCs w:val="24"/>
                          </w:rPr>
                          <w:t>100 %</w:t>
                        </w:r>
                      </w:p>
                      <w:p>
                        <w:pPr>
                          <w:rPr>
                            <w:szCs w:val="24"/>
                          </w:rPr>
                        </w:pPr>
                      </w:p>
                    </w:tc>
                    <w:tc>
                      <w:tcPr>
                        <w:tcW w:w="850" w:type="dxa"/>
                      </w:tcPr>
                      <w:p>
                        <w:pPr>
                          <w:rPr>
                            <w:bCs/>
                            <w:iCs/>
                            <w:szCs w:val="24"/>
                          </w:rPr>
                        </w:pPr>
                        <w:r>
                          <w:rPr>
                            <w:bCs/>
                            <w:iCs/>
                            <w:szCs w:val="24"/>
                          </w:rPr>
                          <w:t>100 %</w:t>
                        </w:r>
                      </w:p>
                      <w:p>
                        <w:pPr>
                          <w:rPr>
                            <w:szCs w:val="24"/>
                          </w:rPr>
                        </w:pPr>
                      </w:p>
                    </w:tc>
                    <w:tc>
                      <w:tcPr>
                        <w:tcW w:w="851" w:type="dxa"/>
                      </w:tcPr>
                      <w:p>
                        <w:pPr>
                          <w:rPr>
                            <w:color w:val="000000"/>
                            <w:szCs w:val="24"/>
                          </w:rPr>
                        </w:pPr>
                      </w:p>
                    </w:tc>
                    <w:tc>
                      <w:tcPr>
                        <w:tcW w:w="850" w:type="dxa"/>
                      </w:tcPr>
                      <w:p>
                        <w:pPr>
                          <w:rPr>
                            <w:szCs w:val="24"/>
                          </w:rPr>
                        </w:pPr>
                      </w:p>
                    </w:tc>
                    <w:tc>
                      <w:tcPr>
                        <w:tcW w:w="5245" w:type="dxa"/>
                      </w:tcPr>
                      <w:p>
                        <w:pPr>
                          <w:rPr>
                            <w:bCs/>
                            <w:iCs/>
                            <w:szCs w:val="24"/>
                          </w:rPr>
                        </w:pPr>
                        <w:r>
                          <w:rPr>
                            <w:bCs/>
                            <w:iCs/>
                            <w:szCs w:val="24"/>
                          </w:rPr>
                          <w:t>Buvo gauti 5 gyventojų prašymai, išnagrinėti – 5 prašymai.</w:t>
                        </w:r>
                      </w:p>
                      <w:p>
                        <w:pPr>
                          <w:rPr>
                            <w:szCs w:val="24"/>
                          </w:rPr>
                        </w:pPr>
                        <w:r>
                          <w:rPr>
                            <w:bCs/>
                            <w:iCs/>
                            <w:szCs w:val="24"/>
                          </w:rPr>
                          <w:t>(Šeduvos miesto seniūnija)</w:t>
                        </w:r>
                      </w:p>
                    </w:tc>
                  </w:tr>
                  <w:tr>
                    <w:trPr>
                      <w:trHeight w:val="571"/>
                    </w:trPr>
                    <w:tc>
                      <w:tcPr>
                        <w:tcW w:w="4820" w:type="dxa"/>
                      </w:tcPr>
                      <w:p>
                        <w:pPr>
                          <w:rPr>
                            <w:bCs/>
                            <w:iCs/>
                            <w:szCs w:val="24"/>
                          </w:rPr>
                        </w:pPr>
                        <w:r>
                          <w:rPr>
                            <w:bCs/>
                            <w:iCs/>
                            <w:szCs w:val="24"/>
                          </w:rPr>
                          <w:t>27.1.3.1. Žemės ūkio funkcijų vykdymo veiklos Šeduvos miesto seniūnijoje užtikrinimas</w:t>
                        </w:r>
                      </w:p>
                      <w:p>
                        <w:pPr>
                          <w:ind w:firstLine="62"/>
                          <w:rPr>
                            <w:szCs w:val="24"/>
                            <w14:ligatures w14:val="standardContextual"/>
                          </w:rPr>
                        </w:pPr>
                        <w:r>
                          <w:rPr>
                            <w:bCs/>
                            <w:iCs/>
                            <w:szCs w:val="24"/>
                          </w:rPr>
                          <w:t>(SVP 1-1-1-44A)</w:t>
                        </w:r>
                      </w:p>
                    </w:tc>
                    <w:tc>
                      <w:tcPr>
                        <w:tcW w:w="851" w:type="dxa"/>
                      </w:tcPr>
                      <w:p>
                        <w:pPr>
                          <w:rPr>
                            <w:color w:val="000000"/>
                            <w:szCs w:val="24"/>
                          </w:rPr>
                        </w:pPr>
                        <w:r>
                          <w:rPr>
                            <w:bCs/>
                            <w:iCs/>
                            <w:color w:val="000000"/>
                            <w:szCs w:val="24"/>
                          </w:rPr>
                          <w:t>100 %</w:t>
                        </w:r>
                      </w:p>
                    </w:tc>
                    <w:tc>
                      <w:tcPr>
                        <w:tcW w:w="850" w:type="dxa"/>
                      </w:tcPr>
                      <w:p>
                        <w:pPr>
                          <w:rPr>
                            <w:szCs w:val="24"/>
                          </w:rPr>
                        </w:pPr>
                        <w:r>
                          <w:rPr>
                            <w:bCs/>
                            <w:iCs/>
                            <w:szCs w:val="24"/>
                          </w:rPr>
                          <w:t>100 %</w:t>
                        </w:r>
                      </w:p>
                    </w:tc>
                    <w:tc>
                      <w:tcPr>
                        <w:tcW w:w="851" w:type="dxa"/>
                      </w:tcPr>
                      <w:p>
                        <w:pPr>
                          <w:rPr>
                            <w:szCs w:val="24"/>
                          </w:rPr>
                        </w:pPr>
                        <w:r>
                          <w:rPr>
                            <w:bCs/>
                            <w:iCs/>
                            <w:szCs w:val="24"/>
                          </w:rPr>
                          <w:t>100 %</w:t>
                        </w:r>
                      </w:p>
                    </w:tc>
                    <w:tc>
                      <w:tcPr>
                        <w:tcW w:w="850" w:type="dxa"/>
                      </w:tcPr>
                      <w:p>
                        <w:pPr>
                          <w:rPr>
                            <w:szCs w:val="24"/>
                          </w:rPr>
                        </w:pPr>
                        <w:r>
                          <w:rPr>
                            <w:bCs/>
                            <w:iCs/>
                            <w:szCs w:val="24"/>
                          </w:rPr>
                          <w:t>100 %</w:t>
                        </w:r>
                      </w:p>
                    </w:tc>
                    <w:tc>
                      <w:tcPr>
                        <w:tcW w:w="851" w:type="dxa"/>
                      </w:tcPr>
                      <w:p>
                        <w:pPr>
                          <w:rPr>
                            <w:color w:val="000000"/>
                            <w:szCs w:val="24"/>
                          </w:rPr>
                        </w:pPr>
                      </w:p>
                    </w:tc>
                    <w:tc>
                      <w:tcPr>
                        <w:tcW w:w="850" w:type="dxa"/>
                      </w:tcPr>
                      <w:p>
                        <w:pPr>
                          <w:rPr>
                            <w:szCs w:val="24"/>
                          </w:rPr>
                        </w:pPr>
                      </w:p>
                    </w:tc>
                    <w:tc>
                      <w:tcPr>
                        <w:tcW w:w="5245" w:type="dxa"/>
                      </w:tcPr>
                      <w:p>
                        <w:pPr>
                          <w:rPr>
                            <w:bCs/>
                            <w:iCs/>
                            <w:szCs w:val="24"/>
                          </w:rPr>
                        </w:pPr>
                        <w:r>
                          <w:rPr>
                            <w:bCs/>
                            <w:iCs/>
                            <w:szCs w:val="24"/>
                          </w:rPr>
                          <w:t>Priimtos ir elektroniniu būdu įbraižytos 155 pasėlių deklaravimo paraiškos, atnaujintos 175 žemės ūkio valdos, įregistruotos 4 naujos žemės ūkio valdos, patikslinti 112 ūkininkų ūkių duomenys, atnaujinti 53 kiaulių ūkių duomenys (Šeduvos miesto seniūnija)</w:t>
                        </w:r>
                      </w:p>
                    </w:tc>
                  </w:tr>
                  <w:tr>
                    <w:trPr>
                      <w:trHeight w:val="571"/>
                    </w:trPr>
                    <w:tc>
                      <w:tcPr>
                        <w:tcW w:w="4820" w:type="dxa"/>
                      </w:tcPr>
                      <w:p>
                        <w:pPr>
                          <w:rPr>
                            <w:rFonts w:eastAsia="Calibri"/>
                            <w:bCs/>
                            <w:iCs/>
                            <w:szCs w:val="24"/>
                          </w:rPr>
                        </w:pPr>
                        <w:r>
                          <w:rPr>
                            <w:rFonts w:eastAsia="Calibri"/>
                            <w:bCs/>
                            <w:iCs/>
                            <w:szCs w:val="24"/>
                          </w:rPr>
                          <w:t>28.1.1.1. Tęstinės Savivaldybės administracijos darbo organizavimo veiklos užtikrinimas.</w:t>
                        </w:r>
                      </w:p>
                      <w:p>
                        <w:pPr>
                          <w:rPr>
                            <w:iCs/>
                            <w:szCs w:val="24"/>
                          </w:rPr>
                        </w:pPr>
                        <w:r>
                          <w:rPr>
                            <w:iCs/>
                            <w:szCs w:val="24"/>
                          </w:rPr>
                          <w:t>(SVP 1-1-1-16)</w:t>
                        </w:r>
                      </w:p>
                    </w:tc>
                    <w:tc>
                      <w:tcPr>
                        <w:tcW w:w="851" w:type="dxa"/>
                      </w:tcPr>
                      <w:p>
                        <w:pPr>
                          <w:rPr>
                            <w:bCs/>
                            <w:color w:val="000000"/>
                            <w:szCs w:val="24"/>
                          </w:rPr>
                        </w:pPr>
                        <w:r>
                          <w:rPr>
                            <w:bCs/>
                            <w:color w:val="000000"/>
                            <w:szCs w:val="24"/>
                          </w:rPr>
                          <w:t>100</w:t>
                        </w:r>
                        <w:r>
                          <w:rPr>
                            <w:bCs/>
                            <w:color w:val="000000"/>
                            <w:szCs w:val="24"/>
                            <w:lang w:val="en-US"/>
                          </w:rPr>
                          <w:t>%</w:t>
                        </w:r>
                      </w:p>
                    </w:tc>
                    <w:tc>
                      <w:tcPr>
                        <w:tcW w:w="850" w:type="dxa"/>
                      </w:tcPr>
                      <w:p>
                        <w:pPr>
                          <w:rPr>
                            <w:bCs/>
                            <w:szCs w:val="24"/>
                          </w:rPr>
                        </w:pPr>
                        <w:r>
                          <w:rPr>
                            <w:bCs/>
                            <w:szCs w:val="24"/>
                          </w:rPr>
                          <w:t>100</w:t>
                        </w:r>
                        <w:r>
                          <w:rPr>
                            <w:bCs/>
                            <w:szCs w:val="24"/>
                            <w:lang w:val="en-US"/>
                          </w:rPr>
                          <w:t>%</w:t>
                        </w:r>
                      </w:p>
                    </w:tc>
                    <w:tc>
                      <w:tcPr>
                        <w:tcW w:w="851" w:type="dxa"/>
                      </w:tcPr>
                      <w:p>
                        <w:pPr>
                          <w:rPr>
                            <w:bCs/>
                            <w:szCs w:val="24"/>
                          </w:rPr>
                        </w:pPr>
                        <w:r>
                          <w:rPr>
                            <w:bCs/>
                            <w:szCs w:val="24"/>
                          </w:rPr>
                          <w:t>100</w:t>
                        </w:r>
                        <w:r>
                          <w:rPr>
                            <w:bCs/>
                            <w:szCs w:val="24"/>
                            <w:lang w:val="en-US"/>
                          </w:rPr>
                          <w:t>%</w:t>
                        </w:r>
                      </w:p>
                    </w:tc>
                    <w:tc>
                      <w:tcPr>
                        <w:tcW w:w="850" w:type="dxa"/>
                      </w:tcPr>
                      <w:p>
                        <w:pPr>
                          <w:rPr>
                            <w:bCs/>
                            <w:szCs w:val="24"/>
                          </w:rPr>
                        </w:pPr>
                        <w:r>
                          <w:rPr>
                            <w:bCs/>
                            <w:szCs w:val="24"/>
                          </w:rPr>
                          <w:t>100</w:t>
                        </w:r>
                        <w:r>
                          <w:rPr>
                            <w:bCs/>
                            <w:szCs w:val="24"/>
                            <w:lang w:val="en-US"/>
                          </w:rPr>
                          <w:t>%</w:t>
                        </w:r>
                      </w:p>
                    </w:tc>
                    <w:tc>
                      <w:tcPr>
                        <w:tcW w:w="851" w:type="dxa"/>
                        <w:vMerge w:val="restart"/>
                      </w:tcPr>
                      <w:p>
                        <w:pPr>
                          <w:rPr>
                            <w:color w:val="000000"/>
                            <w:szCs w:val="24"/>
                          </w:rPr>
                        </w:pPr>
                        <w:r>
                          <w:rPr>
                            <w:color w:val="000000"/>
                            <w:szCs w:val="24"/>
                          </w:rPr>
                          <w:t xml:space="preserve">45,0 </w:t>
                        </w:r>
                      </w:p>
                      <w:p>
                        <w:pPr>
                          <w:rPr>
                            <w:color w:val="000000"/>
                            <w:szCs w:val="24"/>
                          </w:rPr>
                        </w:pPr>
                        <w:r>
                          <w:rPr>
                            <w:color w:val="000000"/>
                            <w:szCs w:val="24"/>
                          </w:rPr>
                          <w:t xml:space="preserve">SB </w:t>
                        </w:r>
                      </w:p>
                      <w:p>
                        <w:pPr>
                          <w:rPr>
                            <w:i/>
                            <w:color w:val="808080"/>
                            <w:szCs w:val="24"/>
                          </w:rPr>
                        </w:pPr>
                      </w:p>
                      <w:p>
                        <w:pPr>
                          <w:rPr>
                            <w:color w:val="000000"/>
                            <w:szCs w:val="24"/>
                          </w:rPr>
                        </w:pPr>
                      </w:p>
                    </w:tc>
                    <w:tc>
                      <w:tcPr>
                        <w:tcW w:w="850" w:type="dxa"/>
                        <w:vMerge w:val="restart"/>
                      </w:tcPr>
                      <w:p>
                        <w:pPr>
                          <w:rPr>
                            <w:szCs w:val="24"/>
                          </w:rPr>
                        </w:pPr>
                        <w:r>
                          <w:rPr>
                            <w:szCs w:val="24"/>
                          </w:rPr>
                          <w:t xml:space="preserve">42,9 </w:t>
                        </w:r>
                      </w:p>
                      <w:p>
                        <w:pPr>
                          <w:rPr>
                            <w:szCs w:val="24"/>
                          </w:rPr>
                        </w:pPr>
                        <w:r>
                          <w:rPr>
                            <w:szCs w:val="24"/>
                          </w:rPr>
                          <w:t xml:space="preserve">SB </w:t>
                        </w:r>
                      </w:p>
                    </w:tc>
                    <w:tc>
                      <w:tcPr>
                        <w:tcW w:w="5245" w:type="dxa"/>
                      </w:tcPr>
                      <w:p>
                        <w:pPr>
                          <w:rPr>
                            <w:szCs w:val="24"/>
                          </w:rPr>
                        </w:pPr>
                        <w:r>
                          <w:rPr>
                            <w:szCs w:val="24"/>
                          </w:rPr>
                          <w:t xml:space="preserve">Kanceliarinės prekės, komunaliniai mokesčiai, transporto išlaikymas, kitos prekės, paslaugos. </w:t>
                        </w:r>
                      </w:p>
                      <w:p>
                        <w:pPr>
                          <w:rPr>
                            <w:szCs w:val="24"/>
                          </w:rPr>
                        </w:pPr>
                        <w:r>
                          <w:rPr>
                            <w:szCs w:val="24"/>
                          </w:rPr>
                          <w:t>(Šiaulėnų seniūnija)</w:t>
                        </w:r>
                      </w:p>
                    </w:tc>
                  </w:tr>
                  <w:tr>
                    <w:trPr>
                      <w:trHeight w:val="571"/>
                    </w:trPr>
                    <w:tc>
                      <w:tcPr>
                        <w:tcW w:w="4820" w:type="dxa"/>
                      </w:tcPr>
                      <w:p>
                        <w:pPr>
                          <w:rPr>
                            <w:rFonts w:eastAsia="Calibri"/>
                            <w:bCs/>
                            <w:i/>
                            <w:iCs/>
                            <w:szCs w:val="24"/>
                          </w:rPr>
                        </w:pPr>
                        <w:r>
                          <w:rPr>
                            <w:rFonts w:eastAsia="Calibri"/>
                            <w:bCs/>
                            <w:iCs/>
                            <w:szCs w:val="24"/>
                          </w:rPr>
                          <w:t xml:space="preserve">28.1.1.2. Gyvenamosios vietos deklaravimo funkcijų vykdymas. </w:t>
                        </w:r>
                        <w:r>
                          <w:rPr>
                            <w:rFonts w:eastAsia="Calibri"/>
                            <w:bCs/>
                            <w:i/>
                            <w:iCs/>
                            <w:szCs w:val="24"/>
                          </w:rPr>
                          <w:t>Išduodamų pažymų rūšys.</w:t>
                        </w:r>
                      </w:p>
                      <w:p>
                        <w:pPr>
                          <w:rPr>
                            <w:szCs w:val="24"/>
                            <w14:ligatures w14:val="standardContextual"/>
                          </w:rPr>
                        </w:pPr>
                        <w:r>
                          <w:rPr>
                            <w:iCs/>
                            <w:szCs w:val="24"/>
                          </w:rPr>
                          <w:t>(SVP 1-1-1-16)</w:t>
                        </w:r>
                      </w:p>
                    </w:tc>
                    <w:tc>
                      <w:tcPr>
                        <w:tcW w:w="851" w:type="dxa"/>
                      </w:tcPr>
                      <w:p>
                        <w:pPr>
                          <w:rPr>
                            <w:bCs/>
                            <w:szCs w:val="24"/>
                          </w:rPr>
                        </w:pPr>
                        <w:r>
                          <w:rPr>
                            <w:bCs/>
                            <w:szCs w:val="24"/>
                          </w:rPr>
                          <w:t>7</w:t>
                        </w:r>
                      </w:p>
                    </w:tc>
                    <w:tc>
                      <w:tcPr>
                        <w:tcW w:w="850" w:type="dxa"/>
                      </w:tcPr>
                      <w:p>
                        <w:pPr>
                          <w:rPr>
                            <w:bCs/>
                            <w:szCs w:val="24"/>
                          </w:rPr>
                        </w:pPr>
                        <w:r>
                          <w:rPr>
                            <w:bCs/>
                            <w:szCs w:val="24"/>
                          </w:rPr>
                          <w:t>7</w:t>
                        </w:r>
                      </w:p>
                    </w:tc>
                    <w:tc>
                      <w:tcPr>
                        <w:tcW w:w="851" w:type="dxa"/>
                      </w:tcPr>
                      <w:p>
                        <w:pPr>
                          <w:rPr>
                            <w:bCs/>
                            <w:szCs w:val="24"/>
                          </w:rPr>
                        </w:pPr>
                        <w:r>
                          <w:rPr>
                            <w:bCs/>
                            <w:szCs w:val="24"/>
                          </w:rPr>
                          <w:t>7</w:t>
                        </w:r>
                      </w:p>
                    </w:tc>
                    <w:tc>
                      <w:tcPr>
                        <w:tcW w:w="850" w:type="dxa"/>
                      </w:tcPr>
                      <w:p>
                        <w:pPr>
                          <w:rPr>
                            <w:bCs/>
                            <w:szCs w:val="24"/>
                          </w:rPr>
                        </w:pPr>
                        <w:r>
                          <w:rPr>
                            <w:bCs/>
                            <w:szCs w:val="24"/>
                          </w:rPr>
                          <w:t>7</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Išduotų pažymų apie asmens deklaruotą gyvenamąją vietą – 46; priimtų sprendimų dėl deklaravimo duomenų taisymo, keitimo ir naikinimo – 7; įrauktų į GVNA (gyvenamosios vietos neturinčių asmenų) apskaitą –74; atvykimą deklaravusių žmonių – 74; išvykimą deklaravusių – 8. (Šiaulėnų seniūnija)</w:t>
                        </w:r>
                      </w:p>
                    </w:tc>
                  </w:tr>
                  <w:tr>
                    <w:trPr>
                      <w:trHeight w:val="571"/>
                    </w:trPr>
                    <w:tc>
                      <w:tcPr>
                        <w:tcW w:w="4820" w:type="dxa"/>
                      </w:tcPr>
                      <w:p>
                        <w:pPr>
                          <w:rPr>
                            <w:i/>
                            <w:szCs w:val="24"/>
                          </w:rPr>
                        </w:pPr>
                        <w:r>
                          <w:rPr>
                            <w:rFonts w:eastAsia="Calibri"/>
                            <w:bCs/>
                            <w:iCs/>
                            <w:szCs w:val="24"/>
                          </w:rPr>
                          <w:t xml:space="preserve">28.1.1.3. Leidimų pagal kompetenciją išdavimas. </w:t>
                        </w:r>
                        <w:r>
                          <w:rPr>
                            <w:iCs/>
                            <w:szCs w:val="24"/>
                          </w:rPr>
                          <w:t>(SVP 1-1-1-16)</w:t>
                        </w:r>
                      </w:p>
                    </w:tc>
                    <w:tc>
                      <w:tcPr>
                        <w:tcW w:w="851" w:type="dxa"/>
                      </w:tcPr>
                      <w:p>
                        <w:pPr>
                          <w:rPr>
                            <w:color w:val="000000"/>
                            <w:szCs w:val="24"/>
                          </w:rPr>
                        </w:pPr>
                        <w:r>
                          <w:rPr>
                            <w:rFonts w:eastAsia="Calibri"/>
                            <w:color w:val="000000"/>
                            <w:szCs w:val="24"/>
                          </w:rPr>
                          <w:t>100</w:t>
                        </w:r>
                        <w:r>
                          <w:rPr>
                            <w:rFonts w:eastAsia="Calibri"/>
                            <w:color w:val="000000"/>
                            <w:szCs w:val="24"/>
                            <w:lang w:val="en-US"/>
                          </w:rPr>
                          <w:t xml:space="preserve"> %</w:t>
                        </w:r>
                      </w:p>
                    </w:tc>
                    <w:tc>
                      <w:tcPr>
                        <w:tcW w:w="850" w:type="dxa"/>
                      </w:tcPr>
                      <w:p>
                        <w:pPr>
                          <w:rPr>
                            <w:szCs w:val="24"/>
                          </w:rPr>
                        </w:pPr>
                        <w:r>
                          <w:rPr>
                            <w:rFonts w:eastAsia="Calibri"/>
                            <w:szCs w:val="24"/>
                          </w:rPr>
                          <w:t>100 %</w:t>
                        </w:r>
                      </w:p>
                    </w:tc>
                    <w:tc>
                      <w:tcPr>
                        <w:tcW w:w="851" w:type="dxa"/>
                      </w:tcPr>
                      <w:p>
                        <w:pPr>
                          <w:rPr>
                            <w:szCs w:val="24"/>
                          </w:rPr>
                        </w:pPr>
                        <w:r>
                          <w:rPr>
                            <w:szCs w:val="24"/>
                          </w:rPr>
                          <w:t>100 %</w:t>
                        </w:r>
                      </w:p>
                    </w:tc>
                    <w:tc>
                      <w:tcPr>
                        <w:tcW w:w="850" w:type="dxa"/>
                      </w:tcPr>
                      <w:p>
                        <w:pPr>
                          <w:rPr>
                            <w:szCs w:val="24"/>
                          </w:rPr>
                        </w:pPr>
                        <w:r>
                          <w:rPr>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szCs w:val="24"/>
                            <w:highlight w:val="yellow"/>
                          </w:rPr>
                        </w:pPr>
                        <w:r>
                          <w:rPr>
                            <w:szCs w:val="24"/>
                          </w:rPr>
                          <w:t>Leidimai laidoti – 43, leidimai pertvarkyti kapavietę –34. Leidimai prekybai – 2. (Šiaulėnų seniūnija)</w:t>
                        </w:r>
                      </w:p>
                    </w:tc>
                  </w:tr>
                  <w:tr>
                    <w:trPr>
                      <w:trHeight w:val="571"/>
                    </w:trPr>
                    <w:tc>
                      <w:tcPr>
                        <w:tcW w:w="4820" w:type="dxa"/>
                      </w:tcPr>
                      <w:p>
                        <w:pPr>
                          <w:rPr>
                            <w:bCs/>
                            <w:iCs/>
                            <w:szCs w:val="24"/>
                          </w:rPr>
                        </w:pPr>
                        <w:r>
                          <w:rPr>
                            <w:bCs/>
                            <w:iCs/>
                            <w:szCs w:val="24"/>
                          </w:rPr>
                          <w:t>28.1.2.1. Vietos gyventojų įtraukimas į savivaldos veiklą.</w:t>
                        </w:r>
                      </w:p>
                      <w:p>
                        <w:pPr>
                          <w:rPr>
                            <w:bCs/>
                            <w:iCs/>
                            <w:szCs w:val="24"/>
                          </w:rPr>
                        </w:pPr>
                        <w:r>
                          <w:rPr>
                            <w:bCs/>
                            <w:i/>
                            <w:iCs/>
                            <w:szCs w:val="24"/>
                          </w:rPr>
                          <w:t>Sušauktų seniūnaičių sueigų skaičius</w:t>
                        </w:r>
                        <w:r>
                          <w:rPr>
                            <w:bCs/>
                            <w:iCs/>
                            <w:szCs w:val="24"/>
                          </w:rPr>
                          <w:t xml:space="preserve"> </w:t>
                        </w:r>
                      </w:p>
                      <w:p>
                        <w:pPr>
                          <w:rPr>
                            <w:szCs w:val="24"/>
                            <w14:ligatures w14:val="standardContextual"/>
                          </w:rPr>
                        </w:pPr>
                        <w:r>
                          <w:rPr>
                            <w:iCs/>
                            <w:szCs w:val="24"/>
                          </w:rPr>
                          <w:t>(SVP 1-1-1-16)</w:t>
                        </w:r>
                      </w:p>
                    </w:tc>
                    <w:tc>
                      <w:tcPr>
                        <w:tcW w:w="851" w:type="dxa"/>
                      </w:tcPr>
                      <w:p>
                        <w:pPr>
                          <w:rPr>
                            <w:color w:val="000000"/>
                            <w:szCs w:val="24"/>
                          </w:rPr>
                        </w:pPr>
                        <w:r>
                          <w:rPr>
                            <w:rFonts w:eastAsia="Calibri"/>
                            <w:color w:val="000000"/>
                            <w:szCs w:val="24"/>
                          </w:rPr>
                          <w:t>2</w:t>
                        </w:r>
                      </w:p>
                    </w:tc>
                    <w:tc>
                      <w:tcPr>
                        <w:tcW w:w="850" w:type="dxa"/>
                      </w:tcPr>
                      <w:p>
                        <w:pPr>
                          <w:rPr>
                            <w:szCs w:val="24"/>
                          </w:rPr>
                        </w:pPr>
                        <w:r>
                          <w:rPr>
                            <w:rFonts w:eastAsia="Calibri"/>
                            <w:szCs w:val="24"/>
                          </w:rPr>
                          <w:t>2</w:t>
                        </w:r>
                      </w:p>
                    </w:tc>
                    <w:tc>
                      <w:tcPr>
                        <w:tcW w:w="851" w:type="dxa"/>
                      </w:tcPr>
                      <w:p>
                        <w:pPr>
                          <w:rPr>
                            <w:szCs w:val="24"/>
                          </w:rPr>
                        </w:pPr>
                        <w:r>
                          <w:rPr>
                            <w:rFonts w:eastAsia="Calibri"/>
                            <w:szCs w:val="24"/>
                          </w:rPr>
                          <w:t>2</w:t>
                        </w:r>
                      </w:p>
                    </w:tc>
                    <w:tc>
                      <w:tcPr>
                        <w:tcW w:w="850" w:type="dxa"/>
                      </w:tcPr>
                      <w:p>
                        <w:pPr>
                          <w:rPr>
                            <w:szCs w:val="24"/>
                          </w:rPr>
                        </w:pPr>
                        <w:r>
                          <w:rPr>
                            <w:rFonts w:eastAsia="Calibri"/>
                            <w:szCs w:val="24"/>
                          </w:rPr>
                          <w:t>2</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2025-02-10 šaukta išplėstinė seniūnaičių sueiga, dėl 2024 m. seniūno ataskaitos, kelių ir gatvių prioritetinio sąrašo, 2025 m. seniūnijos veiklos plano tvirtinimo. 2025-12-12 šaukta išplėstinė seniūnaičių sueiga, dėl seniūnijos kelių plėtros programos prioritetinio sąrašo sudarymo.</w:t>
                        </w:r>
                        <w:r>
                          <w:rPr>
                            <w:szCs w:val="24"/>
                          </w:rPr>
                          <w:t xml:space="preserve"> (Šiaulėnų seniūnija)</w:t>
                        </w:r>
                      </w:p>
                    </w:tc>
                  </w:tr>
                  <w:tr>
                    <w:trPr>
                      <w:trHeight w:val="571"/>
                    </w:trPr>
                    <w:tc>
                      <w:tcPr>
                        <w:tcW w:w="4820" w:type="dxa"/>
                      </w:tcPr>
                      <w:p>
                        <w:pPr>
                          <w:rPr>
                            <w:szCs w:val="24"/>
                            <w14:ligatures w14:val="standardContextual"/>
                          </w:rPr>
                        </w:pPr>
                        <w:r>
                          <w:rPr>
                            <w:iCs/>
                            <w:szCs w:val="24"/>
                          </w:rPr>
                          <w:t>28.1.2.2.</w:t>
                        </w:r>
                        <w:r>
                          <w:rPr>
                            <w:b/>
                            <w:bCs/>
                            <w:iCs/>
                            <w:szCs w:val="24"/>
                          </w:rPr>
                          <w:t xml:space="preserve"> </w:t>
                        </w:r>
                        <w:r>
                          <w:rPr>
                            <w:iCs/>
                            <w:color w:val="000000"/>
                            <w:szCs w:val="24"/>
                          </w:rPr>
                          <w:t>Prašymų ir skundų susijusių su seniūnijos veikla nagrinėjimas, atsakymų pateikimas.</w:t>
                        </w:r>
                        <w:r>
                          <w:rPr>
                            <w:i/>
                            <w:color w:val="000000"/>
                            <w:szCs w:val="24"/>
                          </w:rPr>
                          <w:t xml:space="preserve"> Išnagrinėtų skundų, prašymų susijusių su seniūnijos veikla procentas</w:t>
                        </w:r>
                      </w:p>
                    </w:tc>
                    <w:tc>
                      <w:tcPr>
                        <w:tcW w:w="851" w:type="dxa"/>
                      </w:tcPr>
                      <w:p>
                        <w:pPr>
                          <w:rPr>
                            <w:color w:val="000000"/>
                            <w:szCs w:val="24"/>
                          </w:rPr>
                        </w:pPr>
                        <w:r>
                          <w:rPr>
                            <w:rFonts w:eastAsia="Calibri"/>
                            <w:color w:val="000000"/>
                            <w:szCs w:val="24"/>
                          </w:rPr>
                          <w:t>100 %</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 xml:space="preserve">Skundai – 1,  prašymai – 12.</w:t>
                        </w:r>
                      </w:p>
                      <w:p>
                        <w:pPr>
                          <w:rPr>
                            <w:szCs w:val="24"/>
                          </w:rPr>
                        </w:pPr>
                        <w:r>
                          <w:rPr>
                            <w:szCs w:val="24"/>
                          </w:rPr>
                          <w:t>(Šiaulėnų seniūnija)</w:t>
                        </w:r>
                      </w:p>
                      <w:p>
                        <w:pPr>
                          <w:rPr>
                            <w:szCs w:val="24"/>
                          </w:rPr>
                        </w:pPr>
                      </w:p>
                    </w:tc>
                  </w:tr>
                  <w:tr>
                    <w:trPr>
                      <w:trHeight w:val="571"/>
                    </w:trPr>
                    <w:tc>
                      <w:tcPr>
                        <w:tcW w:w="4820" w:type="dxa"/>
                      </w:tcPr>
                      <w:p>
                        <w:pPr>
                          <w:rPr>
                            <w:bCs/>
                            <w:iCs/>
                            <w:szCs w:val="24"/>
                          </w:rPr>
                        </w:pPr>
                        <w:r>
                          <w:rPr>
                            <w:bCs/>
                            <w:iCs/>
                            <w:szCs w:val="24"/>
                          </w:rPr>
                          <w:t>28.1.3.1. Žemės ūkio veiklos seniūnijoje administravimas.</w:t>
                        </w:r>
                      </w:p>
                      <w:p>
                        <w:pPr>
                          <w:rPr>
                            <w:bCs/>
                            <w:i/>
                            <w:iCs/>
                            <w:szCs w:val="24"/>
                          </w:rPr>
                        </w:pPr>
                        <w:r>
                          <w:rPr>
                            <w:bCs/>
                            <w:i/>
                            <w:iCs/>
                            <w:szCs w:val="24"/>
                          </w:rPr>
                          <w:t>Žemės ūkio veiklos funkcijų vykdymas procentais</w:t>
                        </w:r>
                      </w:p>
                      <w:p>
                        <w:pPr>
                          <w:rPr>
                            <w:iCs/>
                            <w:szCs w:val="24"/>
                          </w:rPr>
                        </w:pPr>
                        <w:r>
                          <w:rPr>
                            <w:iCs/>
                            <w:szCs w:val="24"/>
                          </w:rPr>
                          <w:t>(SVP 1-1-1-44A.)</w:t>
                        </w:r>
                      </w:p>
                    </w:tc>
                    <w:tc>
                      <w:tcPr>
                        <w:tcW w:w="851" w:type="dxa"/>
                      </w:tcPr>
                      <w:p>
                        <w:pPr>
                          <w:rPr>
                            <w:color w:val="000000"/>
                            <w:szCs w:val="24"/>
                          </w:rPr>
                        </w:pPr>
                        <w:r>
                          <w:rPr>
                            <w:rFonts w:eastAsia="Calibri"/>
                            <w:color w:val="000000"/>
                            <w:szCs w:val="24"/>
                          </w:rPr>
                          <w:t xml:space="preserve">100 </w:t>
                        </w:r>
                        <w:r>
                          <w:rPr>
                            <w:rFonts w:eastAsia="Calibri"/>
                            <w:color w:val="000000"/>
                            <w:szCs w:val="24"/>
                            <w:lang w:val="en-US"/>
                          </w:rPr>
                          <w:t>%</w:t>
                        </w:r>
                      </w:p>
                    </w:tc>
                    <w:tc>
                      <w:tcPr>
                        <w:tcW w:w="850" w:type="dxa"/>
                      </w:tcPr>
                      <w:p>
                        <w:pPr>
                          <w:rPr>
                            <w:szCs w:val="24"/>
                          </w:rPr>
                        </w:pPr>
                        <w:r>
                          <w:rPr>
                            <w:rFonts w:eastAsia="Calibri"/>
                            <w:szCs w:val="24"/>
                          </w:rPr>
                          <w:t>100 %</w:t>
                        </w:r>
                      </w:p>
                    </w:tc>
                    <w:tc>
                      <w:tcPr>
                        <w:tcW w:w="851" w:type="dxa"/>
                      </w:tcPr>
                      <w:p>
                        <w:pPr>
                          <w:rPr>
                            <w:szCs w:val="24"/>
                          </w:rPr>
                        </w:pPr>
                        <w:r>
                          <w:rPr>
                            <w:rFonts w:eastAsia="Calibri"/>
                            <w:szCs w:val="24"/>
                          </w:rPr>
                          <w:t>100 %</w:t>
                        </w:r>
                      </w:p>
                    </w:tc>
                    <w:tc>
                      <w:tcPr>
                        <w:tcW w:w="850" w:type="dxa"/>
                      </w:tcPr>
                      <w:p>
                        <w:pPr>
                          <w:rPr>
                            <w:szCs w:val="24"/>
                          </w:rPr>
                        </w:pPr>
                        <w:r>
                          <w:rPr>
                            <w:rFonts w:eastAsia="Calibri"/>
                            <w:szCs w:val="24"/>
                          </w:rPr>
                          <w:t>100 %</w:t>
                        </w:r>
                      </w:p>
                    </w:tc>
                    <w:tc>
                      <w:tcPr>
                        <w:tcW w:w="851" w:type="dxa"/>
                        <w:vMerge/>
                      </w:tcPr>
                      <w:p>
                        <w:pPr>
                          <w:rPr>
                            <w:color w:val="000000"/>
                            <w:szCs w:val="24"/>
                          </w:rPr>
                        </w:pPr>
                      </w:p>
                    </w:tc>
                    <w:tc>
                      <w:tcPr>
                        <w:tcW w:w="850" w:type="dxa"/>
                        <w:vMerge/>
                      </w:tcPr>
                      <w:p>
                        <w:pPr>
                          <w:rPr>
                            <w:szCs w:val="24"/>
                          </w:rPr>
                        </w:pPr>
                      </w:p>
                    </w:tc>
                    <w:tc>
                      <w:tcPr>
                        <w:tcW w:w="5245" w:type="dxa"/>
                      </w:tcPr>
                      <w:p>
                        <w:pPr>
                          <w:rPr>
                            <w:rFonts w:eastAsia="Calibri"/>
                            <w:szCs w:val="24"/>
                          </w:rPr>
                        </w:pPr>
                        <w:r>
                          <w:rPr>
                            <w:rFonts w:eastAsia="Calibri"/>
                            <w:szCs w:val="24"/>
                          </w:rPr>
                          <w:t xml:space="preserve">Priimta ir elektroniniu būdu įbraižyta 160 paraiškos. Atnaujinta 180 žemės ūkio valdų, įregistruota 1 nauja ūkininkų valda. Išregistruotos 2 valdos, perrašytos 2 valdos, valdų perrašymas mirus pareiškėjui – 2, atnaujinta 113 ūkių. Deklaruota žemės 6987,84 ha </w:t>
                        </w:r>
                        <w:r>
                          <w:rPr>
                            <w:szCs w:val="24"/>
                          </w:rPr>
                          <w:t>(Šiaulėnų seniūnija).</w:t>
                        </w:r>
                      </w:p>
                    </w:tc>
                  </w:tr>
                  <w:tr>
                    <w:trPr>
                      <w:trHeight w:val="571"/>
                    </w:trPr>
                    <w:tc>
                      <w:tcPr>
                        <w:tcW w:w="4820" w:type="dxa"/>
                      </w:tcPr>
                      <w:p>
                        <w:pPr>
                          <w:rPr>
                            <w:rFonts w:eastAsia="Calibri"/>
                            <w:bCs/>
                            <w:iCs/>
                            <w:szCs w:val="24"/>
                          </w:rPr>
                        </w:pPr>
                        <w:r>
                          <w:rPr>
                            <w:rFonts w:eastAsia="Calibri"/>
                            <w:bCs/>
                            <w:iCs/>
                            <w:szCs w:val="24"/>
                          </w:rPr>
                          <w:t>29.1.1.1. Tęstinė Savivaldybės administracijos darbo organizavimo veikla Tyrulių seniūnijoje.</w:t>
                        </w:r>
                      </w:p>
                      <w:p>
                        <w:pPr>
                          <w:rPr>
                            <w:szCs w:val="24"/>
                            <w14:ligatures w14:val="standardContextual"/>
                          </w:rPr>
                        </w:pPr>
                        <w:r>
                          <w:rPr>
                            <w:rFonts w:eastAsia="Calibri"/>
                            <w:bCs/>
                            <w:iCs/>
                            <w:szCs w:val="24"/>
                          </w:rPr>
                          <w:t>(</w:t>
                        </w:r>
                        <w:r>
                          <w:rPr>
                            <w:szCs w:val="24"/>
                          </w:rPr>
                          <w:t>SVP 1-1-1-19)</w:t>
                        </w:r>
                      </w:p>
                    </w:tc>
                    <w:tc>
                      <w:tcPr>
                        <w:tcW w:w="851" w:type="dxa"/>
                      </w:tcPr>
                      <w:p>
                        <w:pPr>
                          <w:rPr>
                            <w:color w:val="000000"/>
                            <w:szCs w:val="24"/>
                          </w:rPr>
                        </w:pPr>
                        <w:r>
                          <w:rPr>
                            <w:rFonts w:eastAsia="Calibri"/>
                            <w:color w:val="000000"/>
                            <w:szCs w:val="24"/>
                          </w:rPr>
                          <w:t>100%</w:t>
                        </w:r>
                      </w:p>
                    </w:tc>
                    <w:tc>
                      <w:tcPr>
                        <w:tcW w:w="850" w:type="dxa"/>
                      </w:tcPr>
                      <w:p>
                        <w:pPr>
                          <w:rPr>
                            <w:szCs w:val="24"/>
                          </w:rPr>
                        </w:pPr>
                        <w:r>
                          <w:rPr>
                            <w:rFonts w:eastAsia="Calibri"/>
                            <w:szCs w:val="24"/>
                          </w:rPr>
                          <w:t>100%</w:t>
                        </w:r>
                      </w:p>
                    </w:tc>
                    <w:tc>
                      <w:tcPr>
                        <w:tcW w:w="851" w:type="dxa"/>
                      </w:tcPr>
                      <w:p>
                        <w:pPr>
                          <w:rPr>
                            <w:szCs w:val="24"/>
                          </w:rPr>
                        </w:pPr>
                        <w:r>
                          <w:rPr>
                            <w:rFonts w:eastAsia="Calibri"/>
                            <w:szCs w:val="24"/>
                          </w:rPr>
                          <w:t>100%</w:t>
                        </w:r>
                      </w:p>
                    </w:tc>
                    <w:tc>
                      <w:tcPr>
                        <w:tcW w:w="850" w:type="dxa"/>
                      </w:tcPr>
                      <w:p>
                        <w:pPr>
                          <w:rPr>
                            <w:szCs w:val="24"/>
                          </w:rPr>
                        </w:pPr>
                        <w:r>
                          <w:rPr>
                            <w:rFonts w:eastAsia="Calibri"/>
                            <w:szCs w:val="24"/>
                          </w:rPr>
                          <w:t>100%</w:t>
                        </w:r>
                      </w:p>
                    </w:tc>
                    <w:tc>
                      <w:tcPr>
                        <w:tcW w:w="851" w:type="dxa"/>
                        <w:vMerge w:val="restart"/>
                      </w:tcPr>
                      <w:p>
                        <w:pPr>
                          <w:textAlignment w:val="baseline"/>
                          <w:rPr>
                            <w:szCs w:val="24"/>
                            <w:lang w:eastAsia="lt-LT"/>
                          </w:rPr>
                        </w:pPr>
                        <w:r>
                          <w:rPr>
                            <w:szCs w:val="24"/>
                            <w:lang w:eastAsia="lt-LT"/>
                          </w:rPr>
                          <w:t>32,5 SB</w:t>
                        </w:r>
                      </w:p>
                      <w:p>
                        <w:pPr>
                          <w:ind w:firstLine="62"/>
                          <w:textAlignment w:val="baseline"/>
                          <w:rPr>
                            <w:szCs w:val="24"/>
                            <w:lang w:eastAsia="lt-LT"/>
                          </w:rPr>
                        </w:pPr>
                      </w:p>
                      <w:p>
                        <w:pPr>
                          <w:ind w:firstLine="62"/>
                          <w:rPr>
                            <w:color w:val="000000"/>
                            <w:szCs w:val="24"/>
                          </w:rPr>
                        </w:pPr>
                      </w:p>
                      <w:p>
                        <w:pPr>
                          <w:ind w:firstLine="62"/>
                          <w:rPr>
                            <w:color w:val="000000"/>
                            <w:szCs w:val="24"/>
                          </w:rPr>
                        </w:pPr>
                      </w:p>
                      <w:p>
                        <w:pPr>
                          <w:ind w:firstLine="62"/>
                          <w:rPr>
                            <w:color w:val="000000"/>
                            <w:szCs w:val="24"/>
                          </w:rPr>
                        </w:pPr>
                      </w:p>
                      <w:p>
                        <w:pPr>
                          <w:ind w:firstLine="62"/>
                          <w:rPr>
                            <w:color w:val="000000"/>
                            <w:szCs w:val="24"/>
                          </w:rPr>
                        </w:pPr>
                      </w:p>
                    </w:tc>
                    <w:tc>
                      <w:tcPr>
                        <w:tcW w:w="850" w:type="dxa"/>
                        <w:vMerge w:val="restart"/>
                      </w:tcPr>
                      <w:p>
                        <w:pPr>
                          <w:textAlignment w:val="baseline"/>
                          <w:rPr>
                            <w:szCs w:val="24"/>
                            <w:lang w:eastAsia="lt-LT"/>
                          </w:rPr>
                        </w:pPr>
                        <w:r>
                          <w:rPr>
                            <w:szCs w:val="24"/>
                            <w:lang w:eastAsia="lt-LT"/>
                          </w:rPr>
                          <w:t>31,1 SB</w:t>
                        </w:r>
                      </w:p>
                      <w:p>
                        <w:pPr>
                          <w:ind w:firstLine="62"/>
                          <w:textAlignment w:val="baseline"/>
                          <w:rPr>
                            <w:szCs w:val="24"/>
                            <w:lang w:eastAsia="lt-LT"/>
                          </w:rPr>
                        </w:pPr>
                      </w:p>
                      <w:p>
                        <w:pPr>
                          <w:ind w:firstLine="62"/>
                          <w:rPr>
                            <w:szCs w:val="24"/>
                          </w:rPr>
                        </w:pPr>
                      </w:p>
                      <w:p>
                        <w:pPr>
                          <w:ind w:firstLine="62"/>
                          <w:rPr>
                            <w:szCs w:val="24"/>
                          </w:rPr>
                        </w:pPr>
                      </w:p>
                      <w:p>
                        <w:pPr>
                          <w:ind w:firstLine="62"/>
                          <w:rPr>
                            <w:szCs w:val="24"/>
                            <w:lang w:eastAsia="lt-LT"/>
                          </w:rPr>
                        </w:pPr>
                      </w:p>
                    </w:tc>
                    <w:tc>
                      <w:tcPr>
                        <w:tcW w:w="5245" w:type="dxa"/>
                      </w:tcPr>
                      <w:p>
                        <w:pPr>
                          <w:rPr>
                            <w:szCs w:val="24"/>
                          </w:rPr>
                        </w:pPr>
                        <w:r>
                          <w:rPr>
                            <w:szCs w:val="24"/>
                          </w:rPr>
                          <w:t>Kanceliarinės prekės, komunaliniai mokesčiai, transporto išlaikymas, kitos paslaugos (Tyrulių seniūnija)</w:t>
                        </w:r>
                      </w:p>
                    </w:tc>
                  </w:tr>
                  <w:tr>
                    <w:trPr>
                      <w:trHeight w:val="571"/>
                    </w:trPr>
                    <w:tc>
                      <w:tcPr>
                        <w:tcW w:w="4820" w:type="dxa"/>
                      </w:tcPr>
                      <w:p>
                        <w:pPr>
                          <w:rPr>
                            <w:rFonts w:eastAsia="Calibri"/>
                            <w:bCs/>
                            <w:i/>
                            <w:iCs/>
                            <w:szCs w:val="24"/>
                          </w:rPr>
                        </w:pPr>
                        <w:r>
                          <w:rPr>
                            <w:rFonts w:eastAsia="Calibri"/>
                            <w:bCs/>
                            <w:iCs/>
                            <w:szCs w:val="24"/>
                          </w:rPr>
                          <w:t xml:space="preserve">29.1.1.2. Gyvenamosios vietos deklaravimo funkcijų vykdymas. </w:t>
                        </w:r>
                        <w:r>
                          <w:rPr>
                            <w:rFonts w:eastAsia="Calibri"/>
                            <w:bCs/>
                            <w:i/>
                            <w:iCs/>
                            <w:szCs w:val="24"/>
                          </w:rPr>
                          <w:t>Išduodamų pažymų rūšys</w:t>
                        </w:r>
                      </w:p>
                      <w:p>
                        <w:pPr>
                          <w:rPr>
                            <w:szCs w:val="24"/>
                            <w14:ligatures w14:val="standardContextual"/>
                          </w:rPr>
                        </w:pPr>
                        <w:r>
                          <w:rPr>
                            <w:rFonts w:eastAsia="Calibri"/>
                            <w:bCs/>
                            <w:iCs/>
                            <w:szCs w:val="24"/>
                          </w:rPr>
                          <w:t>(</w:t>
                        </w:r>
                        <w:r>
                          <w:rPr>
                            <w:szCs w:val="24"/>
                          </w:rPr>
                          <w:t>SVP 1-1-1-19)</w:t>
                        </w:r>
                      </w:p>
                    </w:tc>
                    <w:tc>
                      <w:tcPr>
                        <w:tcW w:w="851" w:type="dxa"/>
                      </w:tcPr>
                      <w:p>
                        <w:pPr>
                          <w:rPr>
                            <w:color w:val="000000"/>
                            <w:szCs w:val="24"/>
                          </w:rPr>
                        </w:pPr>
                        <w:r>
                          <w:rPr>
                            <w:color w:val="000000"/>
                            <w:szCs w:val="24"/>
                            <w:lang w:eastAsia="lt-LT"/>
                          </w:rPr>
                          <w:t>7</w:t>
                        </w:r>
                      </w:p>
                    </w:tc>
                    <w:tc>
                      <w:tcPr>
                        <w:tcW w:w="850" w:type="dxa"/>
                      </w:tcPr>
                      <w:p>
                        <w:pPr>
                          <w:rPr>
                            <w:szCs w:val="24"/>
                          </w:rPr>
                        </w:pPr>
                        <w:r>
                          <w:rPr>
                            <w:szCs w:val="24"/>
                            <w:lang w:eastAsia="lt-LT"/>
                          </w:rPr>
                          <w:t>7</w:t>
                        </w:r>
                      </w:p>
                    </w:tc>
                    <w:tc>
                      <w:tcPr>
                        <w:tcW w:w="851" w:type="dxa"/>
                      </w:tcPr>
                      <w:p>
                        <w:pPr>
                          <w:rPr>
                            <w:szCs w:val="24"/>
                          </w:rPr>
                        </w:pPr>
                        <w:r>
                          <w:rPr>
                            <w:szCs w:val="24"/>
                            <w:lang w:eastAsia="lt-LT"/>
                          </w:rPr>
                          <w:t>7</w:t>
                        </w:r>
                      </w:p>
                    </w:tc>
                    <w:tc>
                      <w:tcPr>
                        <w:tcW w:w="850" w:type="dxa"/>
                      </w:tcPr>
                      <w:p>
                        <w:pPr>
                          <w:rPr>
                            <w:szCs w:val="24"/>
                          </w:rPr>
                        </w:pPr>
                        <w:r>
                          <w:rPr>
                            <w:szCs w:val="24"/>
                            <w:lang w:eastAsia="lt-LT"/>
                          </w:rPr>
                          <w:t>7</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Išduota pažymų: apie asmens deklaruotą gyvenamą vietą – 51; gyvenamosios patalpos savininkams – 1; apie įtraukimą į gyvenamosios vietos nedeklaravusių asmenų apskaitą – 10; sprendimų dėl deklaravimo duomenų taisymo, keitimo ir naikinimo – 8; asmenų, įtrauktų į GVNA (gyvenamosios vietos neturinčių asmenų) apskaitą – 10; atvykimo – 55; išvykimo – 1. (Tyrulių seniūnija)</w:t>
                        </w:r>
                      </w:p>
                    </w:tc>
                  </w:tr>
                  <w:tr>
                    <w:trPr>
                      <w:trHeight w:val="571"/>
                    </w:trPr>
                    <w:tc>
                      <w:tcPr>
                        <w:tcW w:w="4820" w:type="dxa"/>
                      </w:tcPr>
                      <w:p>
                        <w:pPr>
                          <w:rPr>
                            <w:rFonts w:eastAsia="Calibri"/>
                            <w:bCs/>
                            <w:i/>
                            <w:iCs/>
                            <w:szCs w:val="24"/>
                          </w:rPr>
                        </w:pPr>
                        <w:r>
                          <w:rPr>
                            <w:rFonts w:eastAsia="Calibri"/>
                            <w:bCs/>
                            <w:iCs/>
                            <w:szCs w:val="24"/>
                          </w:rPr>
                          <w:t xml:space="preserve">29.1.1.3. Leidimų pagal kompetenciją išdavimas. </w:t>
                        </w:r>
                        <w:r>
                          <w:rPr>
                            <w:rFonts w:eastAsia="Calibri"/>
                            <w:bCs/>
                            <w:i/>
                            <w:iCs/>
                            <w:szCs w:val="24"/>
                          </w:rPr>
                          <w:t xml:space="preserve">Išduotų leidimų skaičius procentais nuo pateiktų prašymų skaičiaus </w:t>
                        </w:r>
                        <w:r>
                          <w:rPr>
                            <w:rFonts w:eastAsia="Calibri"/>
                            <w:bCs/>
                            <w:iCs/>
                            <w:szCs w:val="24"/>
                          </w:rPr>
                          <w:t>(</w:t>
                        </w:r>
                        <w:r>
                          <w:rPr>
                            <w:szCs w:val="24"/>
                          </w:rPr>
                          <w:t>SVP 1-1-1-19)</w:t>
                        </w:r>
                      </w:p>
                    </w:tc>
                    <w:tc>
                      <w:tcPr>
                        <w:tcW w:w="851" w:type="dxa"/>
                      </w:tcPr>
                      <w:p>
                        <w:pPr>
                          <w:rPr>
                            <w:color w:val="000000"/>
                            <w:szCs w:val="24"/>
                          </w:rPr>
                        </w:pPr>
                        <w:r>
                          <w:rPr>
                            <w:rFonts w:eastAsia="Calibri"/>
                            <w:color w:val="000000"/>
                            <w:szCs w:val="24"/>
                          </w:rPr>
                          <w:t>100%</w:t>
                        </w:r>
                      </w:p>
                    </w:tc>
                    <w:tc>
                      <w:tcPr>
                        <w:tcW w:w="850" w:type="dxa"/>
                      </w:tcPr>
                      <w:p>
                        <w:pPr>
                          <w:rPr>
                            <w:szCs w:val="24"/>
                          </w:rPr>
                        </w:pPr>
                        <w:r>
                          <w:rPr>
                            <w:rFonts w:eastAsia="Calibri"/>
                            <w:szCs w:val="24"/>
                          </w:rPr>
                          <w:t>100%</w:t>
                        </w:r>
                      </w:p>
                    </w:tc>
                    <w:tc>
                      <w:tcPr>
                        <w:tcW w:w="851" w:type="dxa"/>
                      </w:tcPr>
                      <w:p>
                        <w:pPr>
                          <w:rPr>
                            <w:szCs w:val="24"/>
                          </w:rPr>
                        </w:pPr>
                        <w:r>
                          <w:rPr>
                            <w:rFonts w:eastAsia="Calibri"/>
                            <w:szCs w:val="24"/>
                          </w:rPr>
                          <w:t>100%</w:t>
                        </w:r>
                      </w:p>
                    </w:tc>
                    <w:tc>
                      <w:tcPr>
                        <w:tcW w:w="850" w:type="dxa"/>
                      </w:tcPr>
                      <w:p>
                        <w:pPr>
                          <w:rPr>
                            <w:szCs w:val="24"/>
                          </w:rPr>
                        </w:pPr>
                        <w:r>
                          <w:rPr>
                            <w:rFonts w:eastAsia="Calibri"/>
                            <w:szCs w:val="24"/>
                          </w:rPr>
                          <w:t>100%</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lang w:eastAsia="lt-LT"/>
                          </w:rPr>
                          <w:t>Išduoti l</w:t>
                        </w:r>
                        <w:r>
                          <w:rPr>
                            <w:szCs w:val="24"/>
                          </w:rPr>
                          <w:t xml:space="preserve">eidimai; laidoti – 13, pertvarkyti kapavietę – 8, prekybai – 2 (Tyrulių seniūnija). </w:t>
                        </w:r>
                      </w:p>
                    </w:tc>
                  </w:tr>
                  <w:tr>
                    <w:trPr>
                      <w:trHeight w:val="571"/>
                    </w:trPr>
                    <w:tc>
                      <w:tcPr>
                        <w:tcW w:w="4820" w:type="dxa"/>
                      </w:tcPr>
                      <w:p>
                        <w:pPr>
                          <w:rPr>
                            <w:rFonts w:eastAsia="Calibri"/>
                            <w:bCs/>
                            <w:i/>
                            <w:iCs/>
                            <w:szCs w:val="24"/>
                          </w:rPr>
                        </w:pPr>
                        <w:r>
                          <w:rPr>
                            <w:rFonts w:eastAsia="Calibri"/>
                            <w:bCs/>
                            <w:iCs/>
                            <w:szCs w:val="24"/>
                          </w:rPr>
                          <w:t xml:space="preserve">29.1.1.4. Vietos gyventojų įtraukimas į savivaldos veiklą. </w:t>
                        </w:r>
                        <w:r>
                          <w:rPr>
                            <w:rFonts w:eastAsia="Calibri"/>
                            <w:bCs/>
                            <w:i/>
                            <w:iCs/>
                            <w:szCs w:val="24"/>
                          </w:rPr>
                          <w:t xml:space="preserve">Sušauktų seniūnaičių sueigų skaičius </w:t>
                        </w:r>
                        <w:r>
                          <w:rPr>
                            <w:rFonts w:eastAsia="Calibri"/>
                            <w:bCs/>
                            <w:iCs/>
                            <w:szCs w:val="24"/>
                          </w:rPr>
                          <w:t>(</w:t>
                        </w:r>
                        <w:r>
                          <w:rPr>
                            <w:szCs w:val="24"/>
                          </w:rPr>
                          <w:t>SVP 1-1-1-19)</w:t>
                        </w:r>
                      </w:p>
                    </w:tc>
                    <w:tc>
                      <w:tcPr>
                        <w:tcW w:w="851" w:type="dxa"/>
                      </w:tcPr>
                      <w:p>
                        <w:pPr>
                          <w:rPr>
                            <w:color w:val="000000"/>
                            <w:szCs w:val="24"/>
                          </w:rPr>
                        </w:pPr>
                        <w:r>
                          <w:rPr>
                            <w:color w:val="000000"/>
                            <w:szCs w:val="24"/>
                            <w:lang w:eastAsia="lt-LT"/>
                          </w:rPr>
                          <w:t>2</w:t>
                        </w:r>
                      </w:p>
                    </w:tc>
                    <w:tc>
                      <w:tcPr>
                        <w:tcW w:w="850" w:type="dxa"/>
                      </w:tcPr>
                      <w:p>
                        <w:pPr>
                          <w:rPr>
                            <w:szCs w:val="24"/>
                          </w:rPr>
                        </w:pPr>
                        <w:r>
                          <w:rPr>
                            <w:szCs w:val="24"/>
                            <w:lang w:eastAsia="lt-LT"/>
                          </w:rPr>
                          <w:t>1</w:t>
                        </w:r>
                      </w:p>
                    </w:tc>
                    <w:tc>
                      <w:tcPr>
                        <w:tcW w:w="851" w:type="dxa"/>
                      </w:tcPr>
                      <w:p>
                        <w:pPr>
                          <w:rPr>
                            <w:szCs w:val="24"/>
                          </w:rPr>
                        </w:pPr>
                        <w:r>
                          <w:rPr>
                            <w:szCs w:val="24"/>
                            <w:lang w:eastAsia="lt-LT"/>
                          </w:rPr>
                          <w:t>2</w:t>
                        </w:r>
                      </w:p>
                    </w:tc>
                    <w:tc>
                      <w:tcPr>
                        <w:tcW w:w="850" w:type="dxa"/>
                      </w:tcPr>
                      <w:p>
                        <w:pPr>
                          <w:rPr>
                            <w:szCs w:val="24"/>
                          </w:rPr>
                        </w:pPr>
                        <w:r>
                          <w:rPr>
                            <w:szCs w:val="24"/>
                            <w:lang w:eastAsia="lt-LT"/>
                          </w:rPr>
                          <w:t>1</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2025-10-07 vyko Tyrulių seniūnijos išplėstinė seniūnaičių sueiga dėl 2026 m. Tyrulių seniūnijos kelių ir gatvių paprasto remonto darbų prioritetų sąrašo patvirtinimo, dėl 2026 m. reikalingų atlikti darbų (Tyrulių seniūnija)</w:t>
                        </w:r>
                      </w:p>
                    </w:tc>
                  </w:tr>
                  <w:tr>
                    <w:trPr>
                      <w:trHeight w:val="571"/>
                    </w:trPr>
                    <w:tc>
                      <w:tcPr>
                        <w:tcW w:w="4820" w:type="dxa"/>
                      </w:tcPr>
                      <w:p>
                        <w:pPr>
                          <w:rPr>
                            <w:rFonts w:eastAsia="Calibri"/>
                            <w:bCs/>
                            <w:i/>
                            <w:iCs/>
                            <w:szCs w:val="24"/>
                          </w:rPr>
                        </w:pPr>
                        <w:r>
                          <w:rPr>
                            <w:rFonts w:eastAsia="Calibri"/>
                            <w:bCs/>
                            <w:iCs/>
                            <w:szCs w:val="24"/>
                          </w:rPr>
                          <w:t xml:space="preserve">29.1.1.5. Prašymų ir skundų susijusių su seniūnijos veikla nagrinėjimas, atsakymų pateikimas. </w:t>
                        </w:r>
                        <w:r>
                          <w:rPr>
                            <w:rFonts w:eastAsia="Calibri"/>
                            <w:bCs/>
                            <w:i/>
                            <w:iCs/>
                            <w:szCs w:val="24"/>
                          </w:rPr>
                          <w:t xml:space="preserve">Išnagrinėtų skundų, prašymų susijusių su seniūnijos veikla procentas </w:t>
                        </w:r>
                        <w:r>
                          <w:rPr>
                            <w:rFonts w:eastAsia="Calibri"/>
                            <w:bCs/>
                            <w:iCs/>
                            <w:szCs w:val="24"/>
                          </w:rPr>
                          <w:t>(</w:t>
                        </w:r>
                        <w:r>
                          <w:rPr>
                            <w:szCs w:val="24"/>
                          </w:rPr>
                          <w:t>SVP 1-1-1-19)</w:t>
                        </w:r>
                      </w:p>
                    </w:tc>
                    <w:tc>
                      <w:tcPr>
                        <w:tcW w:w="851" w:type="dxa"/>
                      </w:tcPr>
                      <w:p>
                        <w:pPr>
                          <w:rPr>
                            <w:color w:val="000000"/>
                            <w:szCs w:val="24"/>
                          </w:rPr>
                        </w:pPr>
                        <w:r>
                          <w:rPr>
                            <w:rFonts w:eastAsia="Calibri"/>
                            <w:color w:val="000000"/>
                            <w:szCs w:val="24"/>
                          </w:rPr>
                          <w:t>100%</w:t>
                        </w:r>
                      </w:p>
                    </w:tc>
                    <w:tc>
                      <w:tcPr>
                        <w:tcW w:w="850" w:type="dxa"/>
                      </w:tcPr>
                      <w:p>
                        <w:pPr>
                          <w:rPr>
                            <w:szCs w:val="24"/>
                          </w:rPr>
                        </w:pPr>
                        <w:r>
                          <w:rPr>
                            <w:rFonts w:eastAsia="Calibri"/>
                            <w:szCs w:val="24"/>
                          </w:rPr>
                          <w:t>100%</w:t>
                        </w:r>
                      </w:p>
                    </w:tc>
                    <w:tc>
                      <w:tcPr>
                        <w:tcW w:w="851" w:type="dxa"/>
                      </w:tcPr>
                      <w:p>
                        <w:pPr>
                          <w:rPr>
                            <w:szCs w:val="24"/>
                          </w:rPr>
                        </w:pPr>
                        <w:r>
                          <w:rPr>
                            <w:rFonts w:eastAsia="Calibri"/>
                            <w:szCs w:val="24"/>
                          </w:rPr>
                          <w:t>100%</w:t>
                        </w:r>
                      </w:p>
                    </w:tc>
                    <w:tc>
                      <w:tcPr>
                        <w:tcW w:w="850" w:type="dxa"/>
                      </w:tcPr>
                      <w:p>
                        <w:pPr>
                          <w:rPr>
                            <w:szCs w:val="24"/>
                          </w:rPr>
                        </w:pPr>
                        <w:r>
                          <w:rPr>
                            <w:rFonts w:eastAsia="Calibri"/>
                            <w:szCs w:val="24"/>
                          </w:rPr>
                          <w:t>100%</w:t>
                        </w:r>
                      </w:p>
                    </w:tc>
                    <w:tc>
                      <w:tcPr>
                        <w:tcW w:w="851" w:type="dxa"/>
                        <w:vMerge/>
                      </w:tcPr>
                      <w:p>
                        <w:pPr>
                          <w:rPr>
                            <w:color w:val="000000"/>
                            <w:szCs w:val="24"/>
                          </w:rPr>
                        </w:pPr>
                      </w:p>
                    </w:tc>
                    <w:tc>
                      <w:tcPr>
                        <w:tcW w:w="850" w:type="dxa"/>
                        <w:vMerge/>
                      </w:tcPr>
                      <w:p>
                        <w:pPr>
                          <w:rPr>
                            <w:szCs w:val="24"/>
                          </w:rPr>
                        </w:pPr>
                      </w:p>
                    </w:tc>
                    <w:tc>
                      <w:tcPr>
                        <w:tcW w:w="5245" w:type="dxa"/>
                      </w:tcPr>
                      <w:p>
                        <w:pPr>
                          <w:ind w:firstLine="62"/>
                          <w:rPr>
                            <w:szCs w:val="24"/>
                          </w:rPr>
                        </w:pPr>
                        <w:r>
                          <w:rPr>
                            <w:szCs w:val="24"/>
                          </w:rPr>
                          <w:t>Prašymas – 1</w:t>
                        </w:r>
                      </w:p>
                      <w:p>
                        <w:pPr>
                          <w:textAlignment w:val="baseline"/>
                          <w:rPr>
                            <w:szCs w:val="24"/>
                          </w:rPr>
                        </w:pPr>
                        <w:r>
                          <w:rPr>
                            <w:szCs w:val="24"/>
                          </w:rPr>
                          <w:t>Skundas – 1</w:t>
                        </w:r>
                      </w:p>
                      <w:p>
                        <w:pPr>
                          <w:rPr>
                            <w:szCs w:val="24"/>
                          </w:rPr>
                        </w:pPr>
                        <w:r>
                          <w:rPr>
                            <w:szCs w:val="24"/>
                          </w:rPr>
                          <w:t>(Tyrulių seniūnija)</w:t>
                        </w:r>
                      </w:p>
                    </w:tc>
                  </w:tr>
                  <w:tr>
                    <w:trPr>
                      <w:trHeight w:val="571"/>
                    </w:trPr>
                    <w:tc>
                      <w:tcPr>
                        <w:tcW w:w="4820" w:type="dxa"/>
                      </w:tcPr>
                      <w:p>
                        <w:pPr>
                          <w:rPr>
                            <w:rFonts w:eastAsia="Calibri"/>
                            <w:bCs/>
                            <w:i/>
                            <w:iCs/>
                            <w:szCs w:val="24"/>
                          </w:rPr>
                        </w:pPr>
                        <w:r>
                          <w:rPr>
                            <w:szCs w:val="24"/>
                            <w:lang w:eastAsia="lt-LT"/>
                          </w:rPr>
                          <w:t>29.</w:t>
                        </w:r>
                        <w:r>
                          <w:rPr>
                            <w:rFonts w:eastAsia="Calibri"/>
                            <w:bCs/>
                            <w:iCs/>
                            <w:szCs w:val="24"/>
                          </w:rPr>
                          <w:t xml:space="preserve">1.2.1. Žemės ūkio veiklos seniūnijoje administravimas. </w:t>
                        </w:r>
                        <w:r>
                          <w:rPr>
                            <w:rFonts w:eastAsia="Calibri"/>
                            <w:bCs/>
                            <w:i/>
                            <w:iCs/>
                            <w:szCs w:val="24"/>
                          </w:rPr>
                          <w:t xml:space="preserve">Žemės ūkio veiklos funkcijų vykdymas procentais </w:t>
                        </w:r>
                        <w:r>
                          <w:rPr>
                            <w:rFonts w:eastAsia="Calibri"/>
                            <w:bCs/>
                            <w:szCs w:val="24"/>
                          </w:rPr>
                          <w:t>(</w:t>
                        </w:r>
                        <w:r>
                          <w:rPr>
                            <w:szCs w:val="24"/>
                          </w:rPr>
                          <w:t>SVP 1-1-1-44A.)</w:t>
                        </w:r>
                      </w:p>
                    </w:tc>
                    <w:tc>
                      <w:tcPr>
                        <w:tcW w:w="851" w:type="dxa"/>
                      </w:tcPr>
                      <w:p>
                        <w:pPr>
                          <w:rPr>
                            <w:color w:val="000000"/>
                            <w:szCs w:val="24"/>
                          </w:rPr>
                        </w:pPr>
                        <w:r>
                          <w:rPr>
                            <w:rFonts w:eastAsia="Calibri"/>
                            <w:color w:val="000000"/>
                            <w:szCs w:val="24"/>
                          </w:rPr>
                          <w:t>100%</w:t>
                        </w:r>
                      </w:p>
                    </w:tc>
                    <w:tc>
                      <w:tcPr>
                        <w:tcW w:w="850" w:type="dxa"/>
                      </w:tcPr>
                      <w:p>
                        <w:pPr>
                          <w:rPr>
                            <w:szCs w:val="24"/>
                          </w:rPr>
                        </w:pPr>
                        <w:r>
                          <w:rPr>
                            <w:rFonts w:eastAsia="Calibri"/>
                            <w:szCs w:val="24"/>
                          </w:rPr>
                          <w:t>100%</w:t>
                        </w:r>
                      </w:p>
                    </w:tc>
                    <w:tc>
                      <w:tcPr>
                        <w:tcW w:w="851" w:type="dxa"/>
                      </w:tcPr>
                      <w:p>
                        <w:pPr>
                          <w:rPr>
                            <w:szCs w:val="24"/>
                          </w:rPr>
                        </w:pPr>
                        <w:r>
                          <w:rPr>
                            <w:rFonts w:eastAsia="Calibri"/>
                            <w:szCs w:val="24"/>
                          </w:rPr>
                          <w:t>100%</w:t>
                        </w:r>
                      </w:p>
                    </w:tc>
                    <w:tc>
                      <w:tcPr>
                        <w:tcW w:w="850" w:type="dxa"/>
                      </w:tcPr>
                      <w:p>
                        <w:pPr>
                          <w:rPr>
                            <w:szCs w:val="24"/>
                          </w:rPr>
                        </w:pPr>
                        <w:r>
                          <w:rPr>
                            <w:rFonts w:eastAsia="Calibri"/>
                            <w:szCs w:val="24"/>
                          </w:rPr>
                          <w:t>100%</w:t>
                        </w:r>
                      </w:p>
                    </w:tc>
                    <w:tc>
                      <w:tcPr>
                        <w:tcW w:w="851" w:type="dxa"/>
                        <w:vMerge/>
                      </w:tcPr>
                      <w:p>
                        <w:pPr>
                          <w:rPr>
                            <w:color w:val="000000"/>
                            <w:szCs w:val="24"/>
                          </w:rPr>
                        </w:pPr>
                      </w:p>
                    </w:tc>
                    <w:tc>
                      <w:tcPr>
                        <w:tcW w:w="850" w:type="dxa"/>
                        <w:vMerge/>
                      </w:tcPr>
                      <w:p>
                        <w:pPr>
                          <w:rPr>
                            <w:szCs w:val="24"/>
                          </w:rPr>
                        </w:pPr>
                      </w:p>
                    </w:tc>
                    <w:tc>
                      <w:tcPr>
                        <w:tcW w:w="5245" w:type="dxa"/>
                      </w:tcPr>
                      <w:p>
                        <w:pPr>
                          <w:rPr>
                            <w:szCs w:val="24"/>
                          </w:rPr>
                        </w:pPr>
                        <w:r>
                          <w:rPr>
                            <w:szCs w:val="24"/>
                          </w:rPr>
                          <w:t>Priimta ir elektroniniu būdu įbraižyta 59 paraiškos, deklaruota 4133,92 ha žemės plotai. Priimta 5 prašymai iš žemės ūkio subjektų dėl duomenų pakeitimo. Atnaujinta 59 žemės ūkio valdų bei 35 ūkininkų ūkiai, išduota 7 pažymos apie valdos ekonominį dydį. (Tyrulių seniūnija)</w:t>
                        </w:r>
                      </w:p>
                    </w:tc>
                  </w:tr>
                  <w:tr>
                    <w:trPr>
                      <w:trHeight w:val="339"/>
                    </w:trPr>
                    <w:tc>
                      <w:tcPr>
                        <w:tcW w:w="15168" w:type="dxa"/>
                        <w:gridSpan w:val="8"/>
                      </w:tcPr>
                      <w:p>
                        <w:pPr>
                          <w:tabs>
                            <w:tab w:val="left" w:pos="720"/>
                          </w:tabs>
                          <w:ind w:right="191"/>
                          <w:rPr>
                            <w:szCs w:val="24"/>
                          </w:rPr>
                        </w:pPr>
                        <w:r>
                          <w:rPr>
                            <w:szCs w:val="24"/>
                          </w:rPr>
                          <w:t xml:space="preserve">1.2. Uždavinys: Tobulinti vidaus administravimą ir gyventojų aptarnavimą </w:t>
                        </w:r>
                      </w:p>
                    </w:tc>
                  </w:tr>
                  <w:tr>
                    <w:trPr>
                      <w:trHeight w:val="697"/>
                    </w:trPr>
                    <w:tc>
                      <w:tcPr>
                        <w:tcW w:w="4820" w:type="dxa"/>
                      </w:tcPr>
                      <w:p>
                        <w:pPr>
                          <w:rPr>
                            <w:bCs/>
                            <w:color w:val="000000"/>
                            <w:szCs w:val="24"/>
                          </w:rPr>
                        </w:pPr>
                        <w:r>
                          <w:rPr>
                            <w:bCs/>
                            <w:szCs w:val="24"/>
                          </w:rPr>
                          <w:t xml:space="preserve">2.1.2.1. Mokymuose dalyvavusių darbuotojų dalis nuo bendro Administracijos darbuotojų skaičiaus (SVP </w:t>
                        </w:r>
                        <w:r>
                          <w:rPr>
                            <w:szCs w:val="24"/>
                          </w:rPr>
                          <w:t>1-1-2-01)</w:t>
                        </w:r>
                      </w:p>
                    </w:tc>
                    <w:tc>
                      <w:tcPr>
                        <w:tcW w:w="851" w:type="dxa"/>
                      </w:tcPr>
                      <w:p>
                        <w:pPr>
                          <w:rPr>
                            <w:iCs/>
                            <w:color w:val="000000"/>
                            <w:szCs w:val="24"/>
                          </w:rPr>
                        </w:pPr>
                        <w:r>
                          <w:rPr>
                            <w:iCs/>
                            <w:szCs w:val="24"/>
                          </w:rPr>
                          <w:t>47 %</w:t>
                        </w:r>
                      </w:p>
                    </w:tc>
                    <w:tc>
                      <w:tcPr>
                        <w:tcW w:w="850" w:type="dxa"/>
                      </w:tcPr>
                      <w:p>
                        <w:pPr>
                          <w:rPr>
                            <w:iCs/>
                            <w:color w:val="000000"/>
                            <w:szCs w:val="24"/>
                          </w:rPr>
                        </w:pPr>
                        <w:r>
                          <w:rPr>
                            <w:iCs/>
                            <w:szCs w:val="24"/>
                          </w:rPr>
                          <w:t>50 %</w:t>
                        </w:r>
                      </w:p>
                    </w:tc>
                    <w:tc>
                      <w:tcPr>
                        <w:tcW w:w="851" w:type="dxa"/>
                      </w:tcPr>
                      <w:p>
                        <w:pPr>
                          <w:rPr>
                            <w:iCs/>
                            <w:color w:val="000000"/>
                            <w:szCs w:val="24"/>
                          </w:rPr>
                        </w:pPr>
                        <w:r>
                          <w:rPr>
                            <w:iCs/>
                            <w:szCs w:val="24"/>
                          </w:rPr>
                          <w:t>50 %</w:t>
                        </w:r>
                      </w:p>
                    </w:tc>
                    <w:tc>
                      <w:tcPr>
                        <w:tcW w:w="850" w:type="dxa"/>
                      </w:tcPr>
                      <w:p>
                        <w:pPr>
                          <w:rPr>
                            <w:iCs/>
                            <w:color w:val="000000"/>
                            <w:szCs w:val="24"/>
                          </w:rPr>
                        </w:pPr>
                        <w:r>
                          <w:rPr>
                            <w:iCs/>
                            <w:szCs w:val="24"/>
                          </w:rPr>
                          <w:t>80 %</w:t>
                        </w:r>
                      </w:p>
                    </w:tc>
                    <w:tc>
                      <w:tcPr>
                        <w:tcW w:w="851" w:type="dxa"/>
                      </w:tcPr>
                      <w:p>
                        <w:pPr>
                          <w:rPr>
                            <w:szCs w:val="24"/>
                          </w:rPr>
                        </w:pPr>
                        <w:r>
                          <w:rPr>
                            <w:iCs/>
                            <w:szCs w:val="24"/>
                          </w:rPr>
                          <w:t>10 SB</w:t>
                        </w:r>
                      </w:p>
                    </w:tc>
                    <w:tc>
                      <w:tcPr>
                        <w:tcW w:w="850" w:type="dxa"/>
                      </w:tcPr>
                      <w:p>
                        <w:pPr>
                          <w:rPr>
                            <w:szCs w:val="24"/>
                          </w:rPr>
                        </w:pPr>
                        <w:r>
                          <w:rPr>
                            <w:szCs w:val="24"/>
                          </w:rPr>
                          <w:t>6,3 SB</w:t>
                        </w:r>
                      </w:p>
                    </w:tc>
                    <w:tc>
                      <w:tcPr>
                        <w:tcW w:w="5245" w:type="dxa"/>
                      </w:tcPr>
                      <w:p>
                        <w:pPr>
                          <w:rPr>
                            <w:iCs/>
                            <w:color w:val="000000"/>
                            <w:szCs w:val="24"/>
                          </w:rPr>
                        </w:pPr>
                        <w:r>
                          <w:rPr>
                            <w:iCs/>
                            <w:color w:val="000000"/>
                            <w:szCs w:val="24"/>
                          </w:rPr>
                          <w:t>2025 m. plane buvo numatyta, kad kvalifikaciją kels 49 darbuotojai, iš 105. Kadangi aktualūs mokymai mobingo tema buvo nemokami, tai juose sudalyvavo ir seniūnijų darbuotojai. (Bendrųjų reikalų skyrius).</w:t>
                        </w:r>
                      </w:p>
                    </w:tc>
                  </w:tr>
                  <w:tr>
                    <w:trPr>
                      <w:trHeight w:val="697"/>
                    </w:trPr>
                    <w:tc>
                      <w:tcPr>
                        <w:tcW w:w="4820" w:type="dxa"/>
                      </w:tcPr>
                      <w:p>
                        <w:pPr>
                          <w:rPr>
                            <w:bCs/>
                            <w:szCs w:val="24"/>
                          </w:rPr>
                        </w:pPr>
                        <w:r>
                          <w:rPr>
                            <w:szCs w:val="24"/>
                          </w:rPr>
                          <w:t>5.1.2.2. Suorganizuotų ir sukoordinuotų tarptautinių vizitų skaičius (SVP 1.1.2.01)</w:t>
                        </w:r>
                      </w:p>
                    </w:tc>
                    <w:tc>
                      <w:tcPr>
                        <w:tcW w:w="851" w:type="dxa"/>
                      </w:tcPr>
                      <w:p>
                        <w:pPr>
                          <w:rPr>
                            <w:iCs/>
                            <w:szCs w:val="24"/>
                          </w:rPr>
                        </w:pPr>
                        <w:r>
                          <w:rPr>
                            <w:szCs w:val="24"/>
                          </w:rPr>
                          <w:t>2</w:t>
                        </w:r>
                      </w:p>
                    </w:tc>
                    <w:tc>
                      <w:tcPr>
                        <w:tcW w:w="850" w:type="dxa"/>
                      </w:tcPr>
                      <w:p>
                        <w:pPr>
                          <w:rPr>
                            <w:iCs/>
                            <w:szCs w:val="24"/>
                          </w:rPr>
                        </w:pPr>
                        <w:r>
                          <w:rPr>
                            <w:szCs w:val="24"/>
                          </w:rPr>
                          <w:t>-</w:t>
                        </w:r>
                      </w:p>
                    </w:tc>
                    <w:tc>
                      <w:tcPr>
                        <w:tcW w:w="851" w:type="dxa"/>
                      </w:tcPr>
                      <w:p>
                        <w:pPr>
                          <w:rPr>
                            <w:iCs/>
                            <w:szCs w:val="24"/>
                          </w:rPr>
                        </w:pPr>
                        <w:r>
                          <w:rPr>
                            <w:szCs w:val="24"/>
                          </w:rPr>
                          <w:t>3</w:t>
                        </w:r>
                      </w:p>
                    </w:tc>
                    <w:tc>
                      <w:tcPr>
                        <w:tcW w:w="850" w:type="dxa"/>
                      </w:tcPr>
                      <w:p>
                        <w:pPr>
                          <w:rPr>
                            <w:iCs/>
                            <w:szCs w:val="24"/>
                          </w:rPr>
                        </w:pPr>
                        <w:r>
                          <w:rPr>
                            <w:szCs w:val="24"/>
                          </w:rPr>
                          <w:t>2</w:t>
                        </w:r>
                      </w:p>
                    </w:tc>
                    <w:tc>
                      <w:tcPr>
                        <w:tcW w:w="851" w:type="dxa"/>
                      </w:tcPr>
                      <w:p>
                        <w:pPr>
                          <w:rPr>
                            <w:iCs/>
                            <w:szCs w:val="24"/>
                          </w:rPr>
                        </w:pPr>
                        <w:r>
                          <w:rPr>
                            <w:szCs w:val="24"/>
                          </w:rPr>
                          <w:t>15 SB</w:t>
                        </w:r>
                      </w:p>
                    </w:tc>
                    <w:tc>
                      <w:tcPr>
                        <w:tcW w:w="850" w:type="dxa"/>
                      </w:tcPr>
                      <w:p>
                        <w:pPr>
                          <w:rPr>
                            <w:szCs w:val="24"/>
                          </w:rPr>
                        </w:pPr>
                        <w:r>
                          <w:rPr>
                            <w:szCs w:val="24"/>
                          </w:rPr>
                          <w:t>8,1 SB</w:t>
                        </w:r>
                      </w:p>
                    </w:tc>
                    <w:tc>
                      <w:tcPr>
                        <w:tcW w:w="5245" w:type="dxa"/>
                      </w:tcPr>
                      <w:p>
                        <w:pPr>
                          <w:rPr>
                            <w:szCs w:val="24"/>
                          </w:rPr>
                        </w:pPr>
                        <w:r>
                          <w:rPr>
                            <w:szCs w:val="24"/>
                          </w:rPr>
                          <w:t xml:space="preserve">Radviliškio miesto šventėje apsilankė 4 delegacijos:  iš Lenkijos (2), iš Ukrainos ir iš Latvijos. Vieną kartą vykta į Umanę (Ukraina).(Civilinės metrikacijos, informacinių technologijų ir komunikacijos skyrius)</w:t>
                        </w:r>
                      </w:p>
                    </w:tc>
                  </w:tr>
                  <w:tr>
                    <w:trPr>
                      <w:trHeight w:val="301"/>
                    </w:trPr>
                    <w:tc>
                      <w:tcPr>
                        <w:tcW w:w="15168" w:type="dxa"/>
                        <w:gridSpan w:val="8"/>
                      </w:tcPr>
                      <w:p>
                        <w:pPr>
                          <w:rPr>
                            <w:i/>
                            <w:szCs w:val="24"/>
                          </w:rPr>
                        </w:pPr>
                        <w:r>
                          <w:rPr>
                            <w:iCs/>
                            <w:szCs w:val="24"/>
                          </w:rPr>
                          <w:t xml:space="preserve">1.3. Uždavinys: </w:t>
                        </w:r>
                        <w:r>
                          <w:rPr>
                            <w:szCs w:val="24"/>
                          </w:rPr>
                          <w:t xml:space="preserve">Užtikrinti efektyvų savivaldybei nuosavybės teise priklausančio turto valdymą bei naudojimą </w:t>
                        </w:r>
                      </w:p>
                    </w:tc>
                  </w:tr>
                  <w:tr>
                    <w:trPr>
                      <w:trHeight w:val="697"/>
                    </w:trPr>
                    <w:tc>
                      <w:tcPr>
                        <w:tcW w:w="4820" w:type="dxa"/>
                      </w:tcPr>
                      <w:p>
                        <w:pPr>
                          <w:rPr>
                            <w:szCs w:val="24"/>
                          </w:rPr>
                        </w:pPr>
                        <w:r>
                          <w:rPr>
                            <w:szCs w:val="24"/>
                          </w:rPr>
                          <w:t>R-01-01-03-01 Atliktų kadastrinių matavimų ir turto vertinimų skaičius (SVP R-01-01-03-01)</w:t>
                        </w:r>
                      </w:p>
                    </w:tc>
                    <w:tc>
                      <w:tcPr>
                        <w:tcW w:w="851" w:type="dxa"/>
                      </w:tcPr>
                      <w:p>
                        <w:pPr>
                          <w:rPr>
                            <w:color w:val="000000"/>
                            <w:szCs w:val="24"/>
                          </w:rPr>
                        </w:pPr>
                        <w:r>
                          <w:rPr>
                            <w:color w:val="000000"/>
                            <w:szCs w:val="24"/>
                          </w:rPr>
                          <w:t xml:space="preserve">15 vnt. </w:t>
                        </w:r>
                      </w:p>
                      <w:p>
                        <w:pPr>
                          <w:rPr>
                            <w:szCs w:val="24"/>
                          </w:rPr>
                        </w:pPr>
                      </w:p>
                    </w:tc>
                    <w:tc>
                      <w:tcPr>
                        <w:tcW w:w="850" w:type="dxa"/>
                      </w:tcPr>
                      <w:p>
                        <w:pPr>
                          <w:rPr>
                            <w:szCs w:val="24"/>
                          </w:rPr>
                        </w:pPr>
                        <w:r>
                          <w:rPr>
                            <w:szCs w:val="24"/>
                          </w:rPr>
                          <w:t>11</w:t>
                        </w:r>
                      </w:p>
                      <w:p>
                        <w:pPr>
                          <w:rPr>
                            <w:szCs w:val="24"/>
                          </w:rPr>
                        </w:pPr>
                        <w:r>
                          <w:rPr>
                            <w:szCs w:val="24"/>
                          </w:rPr>
                          <w:t>vnt.</w:t>
                        </w:r>
                      </w:p>
                    </w:tc>
                    <w:tc>
                      <w:tcPr>
                        <w:tcW w:w="851" w:type="dxa"/>
                      </w:tcPr>
                      <w:p>
                        <w:pPr>
                          <w:rPr>
                            <w:szCs w:val="24"/>
                          </w:rPr>
                        </w:pPr>
                        <w:r>
                          <w:rPr>
                            <w:szCs w:val="24"/>
                          </w:rPr>
                          <w:t>12</w:t>
                        </w:r>
                      </w:p>
                      <w:p>
                        <w:pPr>
                          <w:rPr>
                            <w:szCs w:val="24"/>
                          </w:rPr>
                        </w:pPr>
                        <w:r>
                          <w:rPr>
                            <w:szCs w:val="24"/>
                          </w:rPr>
                          <w:t>vnt.</w:t>
                        </w:r>
                      </w:p>
                    </w:tc>
                    <w:tc>
                      <w:tcPr>
                        <w:tcW w:w="850" w:type="dxa"/>
                      </w:tcPr>
                      <w:p>
                        <w:pPr>
                          <w:rPr>
                            <w:szCs w:val="24"/>
                          </w:rPr>
                        </w:pPr>
                        <w:r>
                          <w:rPr>
                            <w:szCs w:val="24"/>
                          </w:rPr>
                          <w:t>33</w:t>
                        </w:r>
                      </w:p>
                      <w:p>
                        <w:pPr>
                          <w:rPr>
                            <w:szCs w:val="24"/>
                          </w:rPr>
                        </w:pPr>
                        <w:r>
                          <w:rPr>
                            <w:szCs w:val="24"/>
                          </w:rPr>
                          <w:t>vnt.</w:t>
                        </w:r>
                      </w:p>
                    </w:tc>
                    <w:tc>
                      <w:tcPr>
                        <w:tcW w:w="851" w:type="dxa"/>
                        <w:vMerge w:val="restart"/>
                      </w:tcPr>
                      <w:p>
                        <w:pPr>
                          <w:rPr>
                            <w:color w:val="000000"/>
                            <w:szCs w:val="24"/>
                          </w:rPr>
                        </w:pPr>
                        <w:r>
                          <w:rPr>
                            <w:color w:val="000000"/>
                            <w:szCs w:val="24"/>
                          </w:rPr>
                          <w:t xml:space="preserve">237,3 SB </w:t>
                        </w:r>
                      </w:p>
                      <w:p>
                        <w:pPr>
                          <w:rPr>
                            <w:szCs w:val="24"/>
                          </w:rPr>
                        </w:pPr>
                      </w:p>
                    </w:tc>
                    <w:tc>
                      <w:tcPr>
                        <w:tcW w:w="850" w:type="dxa"/>
                        <w:vMerge w:val="restart"/>
                      </w:tcPr>
                      <w:p>
                        <w:pPr>
                          <w:rPr>
                            <w:szCs w:val="24"/>
                          </w:rPr>
                        </w:pPr>
                        <w:r>
                          <w:rPr>
                            <w:szCs w:val="24"/>
                          </w:rPr>
                          <w:t>243,248 SB</w:t>
                        </w:r>
                      </w:p>
                    </w:tc>
                    <w:tc>
                      <w:tcPr>
                        <w:tcW w:w="5245" w:type="dxa"/>
                      </w:tcPr>
                      <w:p>
                        <w:pPr>
                          <w:rPr>
                            <w:szCs w:val="24"/>
                          </w:rPr>
                        </w:pPr>
                        <w:r>
                          <w:rPr>
                            <w:szCs w:val="24"/>
                          </w:rPr>
                          <w:t>Vykdytas pažangos finansavimas kadastriniams matavimas ir turto valdymo procedūroms;</w:t>
                        </w:r>
                      </w:p>
                      <w:p>
                        <w:pPr>
                          <w:rPr>
                            <w:szCs w:val="24"/>
                          </w:rPr>
                        </w:pPr>
                        <w:r>
                          <w:rPr>
                            <w:szCs w:val="24"/>
                          </w:rPr>
                          <w:t>(Investicijų ir turto valdymo skyrius)</w:t>
                        </w:r>
                      </w:p>
                    </w:tc>
                  </w:tr>
                  <w:tr>
                    <w:trPr>
                      <w:trHeight w:val="697"/>
                    </w:trPr>
                    <w:tc>
                      <w:tcPr>
                        <w:tcW w:w="4820" w:type="dxa"/>
                      </w:tcPr>
                      <w:p>
                        <w:pPr>
                          <w:rPr>
                            <w:szCs w:val="24"/>
                          </w:rPr>
                        </w:pPr>
                        <w:r>
                          <w:rPr>
                            <w:szCs w:val="24"/>
                          </w:rPr>
                          <w:t>R-01-01-03-02 Suremontuotų savivaldybės socialinių būstų skaičius (SVP R-01-01-03-02)</w:t>
                        </w:r>
                      </w:p>
                    </w:tc>
                    <w:tc>
                      <w:tcPr>
                        <w:tcW w:w="851" w:type="dxa"/>
                      </w:tcPr>
                      <w:p>
                        <w:pPr>
                          <w:rPr>
                            <w:szCs w:val="24"/>
                          </w:rPr>
                        </w:pPr>
                        <w:r>
                          <w:rPr>
                            <w:szCs w:val="24"/>
                          </w:rPr>
                          <w:t xml:space="preserve">20 vnt. </w:t>
                        </w:r>
                      </w:p>
                    </w:tc>
                    <w:tc>
                      <w:tcPr>
                        <w:tcW w:w="850" w:type="dxa"/>
                      </w:tcPr>
                      <w:p>
                        <w:pPr>
                          <w:rPr>
                            <w:szCs w:val="24"/>
                          </w:rPr>
                        </w:pPr>
                        <w:r>
                          <w:rPr>
                            <w:szCs w:val="24"/>
                          </w:rPr>
                          <w:t>9 vnt.</w:t>
                        </w:r>
                      </w:p>
                    </w:tc>
                    <w:tc>
                      <w:tcPr>
                        <w:tcW w:w="851" w:type="dxa"/>
                      </w:tcPr>
                      <w:p>
                        <w:pPr>
                          <w:rPr>
                            <w:szCs w:val="24"/>
                          </w:rPr>
                        </w:pPr>
                        <w:r>
                          <w:rPr>
                            <w:szCs w:val="24"/>
                          </w:rPr>
                          <w:t>19 vnt.</w:t>
                        </w:r>
                      </w:p>
                    </w:tc>
                    <w:tc>
                      <w:tcPr>
                        <w:tcW w:w="850" w:type="dxa"/>
                      </w:tcPr>
                      <w:p>
                        <w:pPr>
                          <w:rPr>
                            <w:szCs w:val="24"/>
                          </w:rPr>
                        </w:pPr>
                        <w:r>
                          <w:rPr>
                            <w:szCs w:val="24"/>
                          </w:rPr>
                          <w:t>21 vnt.</w:t>
                        </w:r>
                      </w:p>
                    </w:tc>
                    <w:tc>
                      <w:tcPr>
                        <w:tcW w:w="851" w:type="dxa"/>
                        <w:vMerge/>
                      </w:tcPr>
                      <w:p>
                        <w:pPr>
                          <w:rPr>
                            <w:szCs w:val="24"/>
                            <w:highlight w:val="yellow"/>
                          </w:rPr>
                        </w:pPr>
                      </w:p>
                    </w:tc>
                    <w:tc>
                      <w:tcPr>
                        <w:tcW w:w="850" w:type="dxa"/>
                        <w:vMerge/>
                      </w:tcPr>
                      <w:p>
                        <w:pPr>
                          <w:rPr>
                            <w:szCs w:val="24"/>
                            <w:highlight w:val="yellow"/>
                          </w:rPr>
                        </w:pPr>
                      </w:p>
                    </w:tc>
                    <w:tc>
                      <w:tcPr>
                        <w:tcW w:w="5245" w:type="dxa"/>
                      </w:tcPr>
                      <w:p>
                        <w:pPr>
                          <w:rPr>
                            <w:szCs w:val="24"/>
                          </w:rPr>
                        </w:pPr>
                        <w:r>
                          <w:rPr>
                            <w:szCs w:val="24"/>
                          </w:rPr>
                          <w:t>Vykdyta tęstinė savivaldybės tarybai nuosavybės teise priklausančių butų priežiūros veikla pagal poreikį (Investicijų ir turto valdymo skyrius).</w:t>
                        </w:r>
                      </w:p>
                    </w:tc>
                  </w:tr>
                  <w:tr>
                    <w:trPr>
                      <w:trHeight w:val="354"/>
                    </w:trPr>
                    <w:tc>
                      <w:tcPr>
                        <w:tcW w:w="15168" w:type="dxa"/>
                        <w:gridSpan w:val="8"/>
                      </w:tcPr>
                      <w:p>
                        <w:pPr>
                          <w:rPr>
                            <w:bCs/>
                            <w:szCs w:val="24"/>
                          </w:rPr>
                        </w:pPr>
                        <w:r>
                          <w:rPr>
                            <w:bCs/>
                            <w:szCs w:val="24"/>
                          </w:rPr>
                          <w:t xml:space="preserve">1.4. Uždavinys Įvykdyti prisiimtus įsipareigojimus bei sudaryti galimybę finansuoti iš anksto negalimas suplanuoti išlaidas </w:t>
                        </w:r>
                      </w:p>
                    </w:tc>
                  </w:tr>
                  <w:tr>
                    <w:trPr>
                      <w:trHeight w:val="941"/>
                    </w:trPr>
                    <w:tc>
                      <w:tcPr>
                        <w:tcW w:w="4820" w:type="dxa"/>
                      </w:tcPr>
                      <w:p>
                        <w:pPr>
                          <w:rPr>
                            <w:szCs w:val="24"/>
                          </w:rPr>
                        </w:pPr>
                        <w:r>
                          <w:rPr>
                            <w:szCs w:val="24"/>
                          </w:rPr>
                          <w:t>6.1.1.1. Prisiimtų įsipareigojimų finansinėms įstaigoms veikla (SVP 1-1-4-03).</w:t>
                        </w:r>
                      </w:p>
                    </w:tc>
                    <w:tc>
                      <w:tcPr>
                        <w:tcW w:w="851" w:type="dxa"/>
                      </w:tcPr>
                      <w:p>
                        <w:pPr>
                          <w:rPr>
                            <w:iCs/>
                            <w:szCs w:val="24"/>
                          </w:rPr>
                        </w:pPr>
                        <w:r>
                          <w:rPr>
                            <w:iCs/>
                            <w:szCs w:val="24"/>
                            <w:lang w:val="en-US"/>
                          </w:rPr>
                          <w:t>100%</w:t>
                        </w:r>
                      </w:p>
                    </w:tc>
                    <w:tc>
                      <w:tcPr>
                        <w:tcW w:w="850" w:type="dxa"/>
                      </w:tcPr>
                      <w:p>
                        <w:pPr>
                          <w:rPr>
                            <w:iCs/>
                            <w:szCs w:val="24"/>
                          </w:rPr>
                        </w:pPr>
                        <w:r>
                          <w:rPr>
                            <w:iCs/>
                            <w:szCs w:val="24"/>
                            <w:lang w:val="en-US"/>
                          </w:rPr>
                          <w:t>100%</w:t>
                        </w:r>
                      </w:p>
                    </w:tc>
                    <w:tc>
                      <w:tcPr>
                        <w:tcW w:w="851" w:type="dxa"/>
                      </w:tcPr>
                      <w:p>
                        <w:pPr>
                          <w:rPr>
                            <w:iCs/>
                            <w:szCs w:val="24"/>
                          </w:rPr>
                        </w:pPr>
                        <w:r>
                          <w:rPr>
                            <w:iCs/>
                            <w:szCs w:val="24"/>
                            <w:lang w:val="en-US"/>
                          </w:rPr>
                          <w:t>100%</w:t>
                        </w:r>
                      </w:p>
                    </w:tc>
                    <w:tc>
                      <w:tcPr>
                        <w:tcW w:w="850" w:type="dxa"/>
                      </w:tcPr>
                      <w:p>
                        <w:pPr>
                          <w:rPr>
                            <w:iCs/>
                            <w:szCs w:val="24"/>
                          </w:rPr>
                        </w:pPr>
                        <w:r>
                          <w:rPr>
                            <w:iCs/>
                            <w:szCs w:val="24"/>
                            <w:lang w:val="en-US"/>
                          </w:rPr>
                          <w:t>100%</w:t>
                        </w:r>
                      </w:p>
                    </w:tc>
                    <w:tc>
                      <w:tcPr>
                        <w:tcW w:w="851" w:type="dxa"/>
                        <w:vMerge w:val="restart"/>
                      </w:tcPr>
                      <w:p>
                        <w:pPr>
                          <w:rPr>
                            <w:szCs w:val="24"/>
                          </w:rPr>
                        </w:pPr>
                        <w:r>
                          <w:rPr>
                            <w:szCs w:val="24"/>
                          </w:rPr>
                          <w:t>459 SB</w:t>
                        </w:r>
                      </w:p>
                    </w:tc>
                    <w:tc>
                      <w:tcPr>
                        <w:tcW w:w="850" w:type="dxa"/>
                        <w:vMerge w:val="restart"/>
                      </w:tcPr>
                      <w:p>
                        <w:pPr>
                          <w:rPr>
                            <w:szCs w:val="24"/>
                          </w:rPr>
                        </w:pPr>
                        <w:r>
                          <w:rPr>
                            <w:szCs w:val="24"/>
                          </w:rPr>
                          <w:t>459</w:t>
                        </w:r>
                      </w:p>
                      <w:p>
                        <w:pPr>
                          <w:rPr>
                            <w:szCs w:val="24"/>
                          </w:rPr>
                        </w:pPr>
                        <w:r>
                          <w:rPr>
                            <w:szCs w:val="24"/>
                          </w:rPr>
                          <w:t>SB</w:t>
                        </w:r>
                      </w:p>
                    </w:tc>
                    <w:tc>
                      <w:tcPr>
                        <w:tcW w:w="5245" w:type="dxa"/>
                        <w:vMerge w:val="restart"/>
                      </w:tcPr>
                      <w:p>
                        <w:pPr>
                          <w:rPr>
                            <w:bCs/>
                            <w:iCs/>
                            <w:szCs w:val="24"/>
                          </w:rPr>
                        </w:pPr>
                        <w:r>
                          <w:rPr>
                            <w:bCs/>
                            <w:iCs/>
                            <w:szCs w:val="24"/>
                          </w:rPr>
                          <w:t xml:space="preserve">Išlaidos suplanuotos bei įsipareigojimai įvykdyti 100 procentu. </w:t>
                        </w:r>
                        <w:r>
                          <w:rPr>
                            <w:iCs/>
                            <w:szCs w:val="24"/>
                          </w:rPr>
                          <w:t>Iš anksto neplanuotos išlaidos ataskaitiniu laikotarpiu buvo dengiamos tik neatidėliotinais ir išskirtiniais atvejais iš 2025 m. sutaupyto biudžeto, ir neviršijo ataskaitiniam laikotarpiui planuotų faktinių reikšmių. (Finansų skyrius)</w:t>
                        </w:r>
                      </w:p>
                    </w:tc>
                  </w:tr>
                  <w:tr>
                    <w:trPr>
                      <w:trHeight w:val="697"/>
                    </w:trPr>
                    <w:tc>
                      <w:tcPr>
                        <w:tcW w:w="4820" w:type="dxa"/>
                      </w:tcPr>
                      <w:p>
                        <w:pPr>
                          <w:rPr>
                            <w:szCs w:val="24"/>
                          </w:rPr>
                        </w:pPr>
                        <w:r>
                          <w:rPr>
                            <w:szCs w:val="24"/>
                          </w:rPr>
                          <w:t xml:space="preserve">6.1.1.2. Tęstinė kitų įsipareigojimų veikla </w:t>
                        </w:r>
                      </w:p>
                      <w:p>
                        <w:pPr>
                          <w:rPr>
                            <w:szCs w:val="24"/>
                          </w:rPr>
                        </w:pPr>
                        <w:r>
                          <w:rPr>
                            <w:szCs w:val="24"/>
                          </w:rPr>
                          <w:t>(SVP 1-1-4-03).</w:t>
                        </w:r>
                      </w:p>
                    </w:tc>
                    <w:tc>
                      <w:tcPr>
                        <w:tcW w:w="851" w:type="dxa"/>
                      </w:tcPr>
                      <w:p>
                        <w:pPr>
                          <w:rPr>
                            <w:iCs/>
                            <w:szCs w:val="24"/>
                          </w:rPr>
                        </w:pPr>
                        <w:r>
                          <w:rPr>
                            <w:iCs/>
                            <w:szCs w:val="24"/>
                            <w:lang w:val="en-US"/>
                          </w:rPr>
                          <w:t>30%</w:t>
                        </w:r>
                      </w:p>
                    </w:tc>
                    <w:tc>
                      <w:tcPr>
                        <w:tcW w:w="850" w:type="dxa"/>
                      </w:tcPr>
                      <w:p>
                        <w:pPr>
                          <w:rPr>
                            <w:iCs/>
                            <w:szCs w:val="24"/>
                          </w:rPr>
                        </w:pPr>
                        <w:r>
                          <w:rPr>
                            <w:iCs/>
                            <w:szCs w:val="24"/>
                          </w:rPr>
                          <w:t>35</w:t>
                        </w:r>
                        <w:r>
                          <w:rPr>
                            <w:i/>
                            <w:szCs w:val="24"/>
                            <w:lang w:val="en-US"/>
                          </w:rPr>
                          <w:t>%</w:t>
                        </w:r>
                      </w:p>
                    </w:tc>
                    <w:tc>
                      <w:tcPr>
                        <w:tcW w:w="851" w:type="dxa"/>
                      </w:tcPr>
                      <w:p>
                        <w:pPr>
                          <w:rPr>
                            <w:iCs/>
                            <w:szCs w:val="24"/>
                          </w:rPr>
                        </w:pPr>
                        <w:r>
                          <w:rPr>
                            <w:iCs/>
                            <w:szCs w:val="24"/>
                          </w:rPr>
                          <w:t>38</w:t>
                        </w:r>
                        <w:r>
                          <w:rPr>
                            <w:i/>
                            <w:szCs w:val="24"/>
                            <w:lang w:val="en-US"/>
                          </w:rPr>
                          <w:t>%</w:t>
                        </w:r>
                      </w:p>
                    </w:tc>
                    <w:tc>
                      <w:tcPr>
                        <w:tcW w:w="850" w:type="dxa"/>
                      </w:tcPr>
                      <w:p>
                        <w:pPr>
                          <w:rPr>
                            <w:iCs/>
                            <w:szCs w:val="24"/>
                          </w:rPr>
                        </w:pPr>
                        <w:r>
                          <w:rPr>
                            <w:iCs/>
                            <w:szCs w:val="24"/>
                          </w:rPr>
                          <w:t>30</w:t>
                        </w:r>
                        <w:r>
                          <w:rPr>
                            <w:i/>
                            <w:szCs w:val="24"/>
                            <w:lang w:val="en-US"/>
                          </w:rPr>
                          <w:t>%</w:t>
                        </w:r>
                      </w:p>
                    </w:tc>
                    <w:tc>
                      <w:tcPr>
                        <w:tcW w:w="851" w:type="dxa"/>
                        <w:vMerge/>
                      </w:tcPr>
                      <w:p>
                        <w:pPr>
                          <w:rPr>
                            <w:szCs w:val="24"/>
                          </w:rPr>
                        </w:pPr>
                      </w:p>
                    </w:tc>
                    <w:tc>
                      <w:tcPr>
                        <w:tcW w:w="850" w:type="dxa"/>
                        <w:vMerge/>
                      </w:tcPr>
                      <w:p>
                        <w:pPr>
                          <w:rPr>
                            <w:szCs w:val="24"/>
                          </w:rPr>
                        </w:pPr>
                      </w:p>
                    </w:tc>
                    <w:tc>
                      <w:tcPr>
                        <w:tcW w:w="5245" w:type="dxa"/>
                        <w:vMerge/>
                      </w:tcPr>
                      <w:p>
                        <w:pPr>
                          <w:rPr>
                            <w:bCs/>
                            <w:iCs/>
                            <w:szCs w:val="24"/>
                          </w:rPr>
                        </w:pPr>
                      </w:p>
                    </w:tc>
                  </w:tr>
                  <w:tr>
                    <w:trPr>
                      <w:trHeight w:val="332"/>
                    </w:trPr>
                    <w:tc>
                      <w:tcPr>
                        <w:tcW w:w="15168" w:type="dxa"/>
                        <w:gridSpan w:val="8"/>
                      </w:tcPr>
                      <w:p>
                        <w:pPr>
                          <w:rPr>
                            <w:bCs/>
                            <w:iCs/>
                            <w:szCs w:val="24"/>
                          </w:rPr>
                        </w:pPr>
                        <w:r>
                          <w:rPr>
                            <w:szCs w:val="24"/>
                          </w:rPr>
                          <w:t>1.5. Uždavinys: Užtikrinti administracinės naštos mažinimo priemonių įgyvendinimą</w:t>
                        </w:r>
                      </w:p>
                    </w:tc>
                  </w:tr>
                  <w:tr>
                    <w:trPr>
                      <w:trHeight w:val="697"/>
                    </w:trPr>
                    <w:tc>
                      <w:tcPr>
                        <w:tcW w:w="4820" w:type="dxa"/>
                      </w:tcPr>
                      <w:p>
                        <w:pPr>
                          <w:rPr>
                            <w:szCs w:val="24"/>
                          </w:rPr>
                        </w:pPr>
                        <w:r>
                          <w:rPr>
                            <w:szCs w:val="24"/>
                          </w:rPr>
                          <w:t>5.1.3.1. Įgyvendintų priemonių, mažinančių administracinę naštą, skaičius (Gyventojams teikiama nauja atsiskaitymo bankinėmis kortelėmis paslauga) (SVP R-1-1-5.1)</w:t>
                        </w:r>
                      </w:p>
                    </w:tc>
                    <w:tc>
                      <w:tcPr>
                        <w:tcW w:w="851" w:type="dxa"/>
                      </w:tcPr>
                      <w:p>
                        <w:pPr>
                          <w:rPr>
                            <w:iCs/>
                            <w:szCs w:val="24"/>
                            <w:lang w:val="en-US"/>
                          </w:rPr>
                        </w:pPr>
                        <w:r>
                          <w:rPr>
                            <w:szCs w:val="24"/>
                          </w:rPr>
                          <w:t>1</w:t>
                        </w:r>
                      </w:p>
                    </w:tc>
                    <w:tc>
                      <w:tcPr>
                        <w:tcW w:w="850" w:type="dxa"/>
                      </w:tcPr>
                      <w:p>
                        <w:pPr>
                          <w:rPr>
                            <w:iCs/>
                            <w:szCs w:val="24"/>
                          </w:rPr>
                        </w:pPr>
                        <w:r>
                          <w:rPr>
                            <w:szCs w:val="24"/>
                          </w:rPr>
                          <w:t>-</w:t>
                        </w:r>
                      </w:p>
                    </w:tc>
                    <w:tc>
                      <w:tcPr>
                        <w:tcW w:w="851" w:type="dxa"/>
                      </w:tcPr>
                      <w:p>
                        <w:pPr>
                          <w:rPr>
                            <w:iCs/>
                            <w:szCs w:val="24"/>
                          </w:rPr>
                        </w:pPr>
                        <w:r>
                          <w:rPr>
                            <w:szCs w:val="24"/>
                          </w:rPr>
                          <w:t>-</w:t>
                        </w:r>
                      </w:p>
                    </w:tc>
                    <w:tc>
                      <w:tcPr>
                        <w:tcW w:w="850" w:type="dxa"/>
                      </w:tcPr>
                      <w:p>
                        <w:pPr>
                          <w:rPr>
                            <w:iCs/>
                            <w:szCs w:val="24"/>
                          </w:rPr>
                        </w:pPr>
                        <w:r>
                          <w:rPr>
                            <w:szCs w:val="24"/>
                          </w:rPr>
                          <w:t>1</w:t>
                        </w:r>
                      </w:p>
                    </w:tc>
                    <w:tc>
                      <w:tcPr>
                        <w:tcW w:w="851" w:type="dxa"/>
                      </w:tcPr>
                      <w:p>
                        <w:pPr>
                          <w:rPr>
                            <w:szCs w:val="24"/>
                          </w:rPr>
                        </w:pPr>
                      </w:p>
                    </w:tc>
                    <w:tc>
                      <w:tcPr>
                        <w:tcW w:w="850" w:type="dxa"/>
                      </w:tcPr>
                      <w:p>
                        <w:pPr>
                          <w:rPr>
                            <w:szCs w:val="24"/>
                          </w:rPr>
                        </w:pPr>
                      </w:p>
                    </w:tc>
                    <w:tc>
                      <w:tcPr>
                        <w:tcW w:w="5245" w:type="dxa"/>
                      </w:tcPr>
                      <w:p>
                        <w:pPr>
                          <w:rPr>
                            <w:szCs w:val="24"/>
                          </w:rPr>
                        </w:pPr>
                        <w:r>
                          <w:rPr>
                            <w:szCs w:val="24"/>
                          </w:rPr>
                          <w:t>Gyventojams teikiama nauja atsiskaitymo bankinėmis kortelėmis paslauga.</w:t>
                        </w:r>
                      </w:p>
                      <w:p>
                        <w:pPr>
                          <w:rPr>
                            <w:bCs/>
                            <w:iCs/>
                            <w:szCs w:val="24"/>
                          </w:rPr>
                        </w:pPr>
                        <w:r>
                          <w:rPr>
                            <w:szCs w:val="24"/>
                          </w:rPr>
                          <w:t>(Civilinės metrikacijos, informacinių technologijų ir komunikacijos skyrius)</w:t>
                        </w:r>
                      </w:p>
                    </w:tc>
                  </w:tr>
                  <w:tr>
                    <w:tc>
                      <w:tcPr>
                        <w:tcW w:w="15168" w:type="dxa"/>
                        <w:gridSpan w:val="8"/>
                      </w:tcPr>
                      <w:p>
                        <w:pPr>
                          <w:rPr>
                            <w:iCs/>
                            <w:szCs w:val="24"/>
                          </w:rPr>
                        </w:pPr>
                        <w:r>
                          <w:rPr>
                            <w:iCs/>
                            <w:szCs w:val="24"/>
                          </w:rPr>
                          <w:t>2 Tikslas: Socialinės pagalbos prieinamumo didinimas, socialinės atsakomybės stiprinimas.</w:t>
                        </w:r>
                        <w:r>
                          <w:rPr>
                            <w:szCs w:val="24"/>
                          </w:rPr>
                          <w:t xml:space="preserve"> </w:t>
                        </w:r>
                      </w:p>
                    </w:tc>
                  </w:tr>
                  <w:tr>
                    <w:tc>
                      <w:tcPr>
                        <w:tcW w:w="15168" w:type="dxa"/>
                        <w:gridSpan w:val="8"/>
                      </w:tcPr>
                      <w:p>
                        <w:pPr>
                          <w:rPr>
                            <w:iCs/>
                            <w:szCs w:val="24"/>
                          </w:rPr>
                        </w:pPr>
                        <w:r>
                          <w:rPr>
                            <w:iCs/>
                            <w:szCs w:val="24"/>
                          </w:rPr>
                          <w:t>2.1. Uždavinys: Gerinti socialinių paslaugų kokybę, pakankamumą ir pasiekiamumą.</w:t>
                        </w:r>
                        <w:r>
                          <w:rPr>
                            <w:szCs w:val="24"/>
                          </w:rPr>
                          <w:t xml:space="preserve"> </w:t>
                        </w:r>
                      </w:p>
                    </w:tc>
                  </w:tr>
                  <w:tr>
                    <w:tc>
                      <w:tcPr>
                        <w:tcW w:w="4820" w:type="dxa"/>
                      </w:tcPr>
                      <w:p>
                        <w:pPr>
                          <w:rPr>
                            <w:iCs/>
                            <w:color w:val="000000"/>
                            <w:szCs w:val="24"/>
                          </w:rPr>
                        </w:pPr>
                        <w:r>
                          <w:rPr>
                            <w:color w:val="000000"/>
                            <w:szCs w:val="24"/>
                          </w:rPr>
                          <w:t xml:space="preserve">11.2.1.1. Neveiksnių asmenų būklės peržiūrėjimui užtikrinti administravimo veikla (peržiūrėtų bylų skaičius) </w:t>
                        </w:r>
                        <w:r>
                          <w:rPr>
                            <w:bCs/>
                            <w:color w:val="000000"/>
                            <w:szCs w:val="24"/>
                          </w:rPr>
                          <w:t>(SVP 01-02-01-04)</w:t>
                        </w:r>
                      </w:p>
                    </w:tc>
                    <w:tc>
                      <w:tcPr>
                        <w:tcW w:w="851" w:type="dxa"/>
                      </w:tcPr>
                      <w:p>
                        <w:pPr>
                          <w:rPr>
                            <w:iCs/>
                            <w:color w:val="000000"/>
                            <w:szCs w:val="24"/>
                          </w:rPr>
                        </w:pPr>
                        <w:r>
                          <w:rPr>
                            <w:iCs/>
                            <w:color w:val="000000"/>
                            <w:szCs w:val="24"/>
                          </w:rPr>
                          <w:t>55 bylų</w:t>
                        </w:r>
                      </w:p>
                    </w:tc>
                    <w:tc>
                      <w:tcPr>
                        <w:tcW w:w="850" w:type="dxa"/>
                      </w:tcPr>
                      <w:p>
                        <w:pPr>
                          <w:rPr>
                            <w:iCs/>
                            <w:color w:val="000000"/>
                            <w:szCs w:val="24"/>
                          </w:rPr>
                        </w:pPr>
                        <w:r>
                          <w:rPr>
                            <w:iCs/>
                            <w:color w:val="000000"/>
                            <w:szCs w:val="24"/>
                          </w:rPr>
                          <w:t>60 bylų</w:t>
                        </w:r>
                      </w:p>
                    </w:tc>
                    <w:tc>
                      <w:tcPr>
                        <w:tcW w:w="851" w:type="dxa"/>
                      </w:tcPr>
                      <w:p>
                        <w:pPr>
                          <w:rPr>
                            <w:iCs/>
                            <w:color w:val="000000"/>
                            <w:szCs w:val="24"/>
                          </w:rPr>
                        </w:pPr>
                        <w:r>
                          <w:rPr>
                            <w:iCs/>
                            <w:color w:val="000000"/>
                            <w:szCs w:val="24"/>
                          </w:rPr>
                          <w:t>58 bylų</w:t>
                        </w:r>
                      </w:p>
                    </w:tc>
                    <w:tc>
                      <w:tcPr>
                        <w:tcW w:w="850" w:type="dxa"/>
                      </w:tcPr>
                      <w:p>
                        <w:pPr>
                          <w:rPr>
                            <w:iCs/>
                            <w:color w:val="000000"/>
                            <w:szCs w:val="24"/>
                          </w:rPr>
                        </w:pPr>
                        <w:r>
                          <w:rPr>
                            <w:iCs/>
                            <w:color w:val="000000"/>
                            <w:szCs w:val="24"/>
                          </w:rPr>
                          <w:t>55 bylų</w:t>
                        </w:r>
                      </w:p>
                    </w:tc>
                    <w:tc>
                      <w:tcPr>
                        <w:tcW w:w="851" w:type="dxa"/>
                      </w:tcPr>
                      <w:p>
                        <w:pPr>
                          <w:rPr>
                            <w:iCs/>
                            <w:color w:val="000000"/>
                            <w:szCs w:val="24"/>
                          </w:rPr>
                        </w:pPr>
                        <w:r>
                          <w:rPr>
                            <w:iCs/>
                            <w:color w:val="000000"/>
                            <w:szCs w:val="24"/>
                          </w:rPr>
                          <w:t>1,5 VB</w:t>
                        </w:r>
                      </w:p>
                    </w:tc>
                    <w:tc>
                      <w:tcPr>
                        <w:tcW w:w="850" w:type="dxa"/>
                      </w:tcPr>
                      <w:p>
                        <w:pPr>
                          <w:rPr>
                            <w:iCs/>
                            <w:color w:val="000000"/>
                            <w:szCs w:val="24"/>
                          </w:rPr>
                        </w:pPr>
                        <w:r>
                          <w:rPr>
                            <w:iCs/>
                            <w:color w:val="000000"/>
                            <w:szCs w:val="24"/>
                          </w:rPr>
                          <w:t>1,5 VB</w:t>
                        </w:r>
                      </w:p>
                    </w:tc>
                    <w:tc>
                      <w:tcPr>
                        <w:tcW w:w="5245" w:type="dxa"/>
                      </w:tcPr>
                      <w:p>
                        <w:pPr>
                          <w:rPr>
                            <w:i/>
                            <w:color w:val="000000"/>
                            <w:szCs w:val="24"/>
                          </w:rPr>
                        </w:pPr>
                        <w:r>
                          <w:rPr>
                            <w:color w:val="000000"/>
                            <w:szCs w:val="24"/>
                          </w:rPr>
                          <w:t>(Socialinės paramos skyrius)</w:t>
                        </w:r>
                      </w:p>
                    </w:tc>
                  </w:tr>
                  <w:tr>
                    <w:tc>
                      <w:tcPr>
                        <w:tcW w:w="15168" w:type="dxa"/>
                        <w:gridSpan w:val="8"/>
                      </w:tcPr>
                      <w:p>
                        <w:pPr>
                          <w:rPr>
                            <w:color w:val="000000"/>
                            <w:szCs w:val="24"/>
                          </w:rPr>
                        </w:pPr>
                        <w:r>
                          <w:rPr>
                            <w:color w:val="000000"/>
                            <w:szCs w:val="24"/>
                          </w:rPr>
                          <w:t>3 Tikslas: Jaunimo iniciatyvų skatinimas ir NVO veikla.</w:t>
                        </w:r>
                      </w:p>
                    </w:tc>
                  </w:tr>
                  <w:tr>
                    <w:tc>
                      <w:tcPr>
                        <w:tcW w:w="15168" w:type="dxa"/>
                        <w:gridSpan w:val="8"/>
                      </w:tcPr>
                      <w:p>
                        <w:pPr>
                          <w:rPr>
                            <w:color w:val="000000"/>
                            <w:szCs w:val="24"/>
                          </w:rPr>
                        </w:pPr>
                        <w:r>
                          <w:rPr>
                            <w:color w:val="000000"/>
                            <w:szCs w:val="24"/>
                          </w:rPr>
                          <w:t>3.1. Įgyvendinti jaunimo politiką</w:t>
                        </w:r>
                      </w:p>
                    </w:tc>
                  </w:tr>
                  <w:tr>
                    <w:tc>
                      <w:tcPr>
                        <w:tcW w:w="4820" w:type="dxa"/>
                      </w:tcPr>
                      <w:p>
                        <w:pPr>
                          <w:rPr>
                            <w:bCs/>
                            <w:szCs w:val="24"/>
                          </w:rPr>
                        </w:pPr>
                        <w:r>
                          <w:rPr>
                            <w:bCs/>
                            <w:szCs w:val="24"/>
                          </w:rPr>
                          <w:t xml:space="preserve">16.1.1.1. Jaunimo vasaros užimtumo ir integracijos į darbo rinką programos vykdymo metu įdarbintų moksleivių skaičius, vnt. </w:t>
                        </w:r>
                      </w:p>
                      <w:p>
                        <w:pPr>
                          <w:rPr>
                            <w:color w:val="000000"/>
                            <w:szCs w:val="24"/>
                          </w:rPr>
                        </w:pPr>
                        <w:r>
                          <w:rPr>
                            <w:bCs/>
                            <w:szCs w:val="24"/>
                          </w:rPr>
                          <w:t>(SVP 1-3-1-01)</w:t>
                        </w:r>
                      </w:p>
                    </w:tc>
                    <w:tc>
                      <w:tcPr>
                        <w:tcW w:w="851" w:type="dxa"/>
                      </w:tcPr>
                      <w:p>
                        <w:pPr>
                          <w:rPr>
                            <w:iCs/>
                            <w:color w:val="000000"/>
                            <w:szCs w:val="24"/>
                          </w:rPr>
                        </w:pPr>
                        <w:r>
                          <w:rPr>
                            <w:szCs w:val="24"/>
                          </w:rPr>
                          <w:t>8</w:t>
                        </w:r>
                      </w:p>
                    </w:tc>
                    <w:tc>
                      <w:tcPr>
                        <w:tcW w:w="850" w:type="dxa"/>
                      </w:tcPr>
                      <w:p>
                        <w:pPr>
                          <w:rPr>
                            <w:iCs/>
                            <w:color w:val="000000"/>
                            <w:szCs w:val="24"/>
                          </w:rPr>
                        </w:pPr>
                        <w:r>
                          <w:rPr>
                            <w:szCs w:val="24"/>
                          </w:rPr>
                          <w:t>6</w:t>
                        </w:r>
                      </w:p>
                    </w:tc>
                    <w:tc>
                      <w:tcPr>
                        <w:tcW w:w="851" w:type="dxa"/>
                      </w:tcPr>
                      <w:p>
                        <w:pPr>
                          <w:rPr>
                            <w:iCs/>
                            <w:color w:val="000000"/>
                            <w:szCs w:val="24"/>
                          </w:rPr>
                        </w:pPr>
                        <w:r>
                          <w:rPr>
                            <w:szCs w:val="24"/>
                          </w:rPr>
                          <w:t>8</w:t>
                        </w:r>
                      </w:p>
                    </w:tc>
                    <w:tc>
                      <w:tcPr>
                        <w:tcW w:w="850" w:type="dxa"/>
                      </w:tcPr>
                      <w:p>
                        <w:pPr>
                          <w:rPr>
                            <w:iCs/>
                            <w:color w:val="000000"/>
                            <w:szCs w:val="24"/>
                          </w:rPr>
                        </w:pPr>
                        <w:r>
                          <w:rPr>
                            <w:szCs w:val="24"/>
                          </w:rPr>
                          <w:t>8</w:t>
                        </w:r>
                      </w:p>
                    </w:tc>
                    <w:tc>
                      <w:tcPr>
                        <w:tcW w:w="851" w:type="dxa"/>
                      </w:tcPr>
                      <w:p>
                        <w:pPr>
                          <w:rPr>
                            <w:szCs w:val="24"/>
                          </w:rPr>
                        </w:pPr>
                        <w:r>
                          <w:rPr>
                            <w:szCs w:val="24"/>
                          </w:rPr>
                          <w:t xml:space="preserve">10 </w:t>
                        </w:r>
                      </w:p>
                      <w:p>
                        <w:pPr>
                          <w:rPr>
                            <w:iCs/>
                            <w:color w:val="000000"/>
                            <w:szCs w:val="24"/>
                          </w:rPr>
                        </w:pPr>
                        <w:r>
                          <w:rPr>
                            <w:szCs w:val="24"/>
                          </w:rPr>
                          <w:t>SB</w:t>
                        </w:r>
                      </w:p>
                    </w:tc>
                    <w:tc>
                      <w:tcPr>
                        <w:tcW w:w="850" w:type="dxa"/>
                      </w:tcPr>
                      <w:p>
                        <w:pPr>
                          <w:rPr>
                            <w:szCs w:val="24"/>
                          </w:rPr>
                        </w:pPr>
                        <w:r>
                          <w:rPr>
                            <w:szCs w:val="24"/>
                          </w:rPr>
                          <w:t>5,7</w:t>
                        </w:r>
                      </w:p>
                      <w:p>
                        <w:pPr>
                          <w:rPr>
                            <w:iCs/>
                            <w:color w:val="000000"/>
                            <w:szCs w:val="24"/>
                          </w:rPr>
                        </w:pPr>
                        <w:r>
                          <w:rPr>
                            <w:szCs w:val="24"/>
                          </w:rPr>
                          <w:t>SB</w:t>
                        </w:r>
                      </w:p>
                    </w:tc>
                    <w:tc>
                      <w:tcPr>
                        <w:tcW w:w="5245" w:type="dxa"/>
                      </w:tcPr>
                      <w:p>
                        <w:pPr>
                          <w:rPr>
                            <w:szCs w:val="24"/>
                          </w:rPr>
                        </w:pPr>
                        <w:r>
                          <w:rPr>
                            <w:szCs w:val="24"/>
                          </w:rPr>
                          <w:t xml:space="preserve">Panaudota mažesnė finansavimo suma, kadangi ne visi darbdaviai išlaikė darbuotojus 2 mėn., todėl ir kompensacija darbdaviui mažėjo. (Jaunimo reikalų koordinatorius (patarėjas). </w:t>
                        </w:r>
                      </w:p>
                    </w:tc>
                  </w:tr>
                  <w:tr>
                    <w:tc>
                      <w:tcPr>
                        <w:tcW w:w="4820" w:type="dxa"/>
                      </w:tcPr>
                      <w:p>
                        <w:pPr>
                          <w:rPr>
                            <w:color w:val="000000"/>
                            <w:szCs w:val="24"/>
                          </w:rPr>
                        </w:pPr>
                        <w:r>
                          <w:rPr>
                            <w:bCs/>
                            <w:szCs w:val="24"/>
                          </w:rPr>
                          <w:t>16.1.1.2. Parengtų teisės aktų, susijusių su jaunimo politikos įgyvendinimu Savivaldybėje, skaičius, vnt., (SVP 1-3-1-01)</w:t>
                        </w:r>
                      </w:p>
                    </w:tc>
                    <w:tc>
                      <w:tcPr>
                        <w:tcW w:w="851" w:type="dxa"/>
                      </w:tcPr>
                      <w:p>
                        <w:pPr>
                          <w:rPr>
                            <w:iCs/>
                            <w:color w:val="000000"/>
                            <w:szCs w:val="24"/>
                          </w:rPr>
                        </w:pPr>
                        <w:r>
                          <w:rPr>
                            <w:szCs w:val="24"/>
                          </w:rPr>
                          <w:t>2</w:t>
                        </w:r>
                      </w:p>
                    </w:tc>
                    <w:tc>
                      <w:tcPr>
                        <w:tcW w:w="850" w:type="dxa"/>
                      </w:tcPr>
                      <w:p>
                        <w:pPr>
                          <w:rPr>
                            <w:iCs/>
                            <w:color w:val="000000"/>
                            <w:szCs w:val="24"/>
                          </w:rPr>
                        </w:pPr>
                        <w:r>
                          <w:rPr>
                            <w:szCs w:val="24"/>
                          </w:rPr>
                          <w:t>1</w:t>
                        </w:r>
                      </w:p>
                    </w:tc>
                    <w:tc>
                      <w:tcPr>
                        <w:tcW w:w="851" w:type="dxa"/>
                      </w:tcPr>
                      <w:p>
                        <w:pPr>
                          <w:rPr>
                            <w:iCs/>
                            <w:color w:val="000000"/>
                            <w:szCs w:val="24"/>
                          </w:rPr>
                        </w:pPr>
                        <w:r>
                          <w:rPr>
                            <w:szCs w:val="24"/>
                          </w:rPr>
                          <w:t>2</w:t>
                        </w:r>
                      </w:p>
                    </w:tc>
                    <w:tc>
                      <w:tcPr>
                        <w:tcW w:w="850" w:type="dxa"/>
                      </w:tcPr>
                      <w:p>
                        <w:pPr>
                          <w:rPr>
                            <w:iCs/>
                            <w:color w:val="000000"/>
                            <w:szCs w:val="24"/>
                          </w:rPr>
                        </w:pPr>
                        <w:r>
                          <w:rPr>
                            <w:szCs w:val="24"/>
                          </w:rPr>
                          <w:t>2</w:t>
                        </w:r>
                      </w:p>
                    </w:tc>
                    <w:tc>
                      <w:tcPr>
                        <w:tcW w:w="851" w:type="dxa"/>
                      </w:tcPr>
                      <w:p>
                        <w:pPr>
                          <w:rPr>
                            <w:iCs/>
                            <w:color w:val="000000"/>
                            <w:szCs w:val="24"/>
                          </w:rPr>
                        </w:pPr>
                        <w:r>
                          <w:rPr>
                            <w:szCs w:val="24"/>
                          </w:rPr>
                          <w:t>-</w:t>
                        </w:r>
                      </w:p>
                    </w:tc>
                    <w:tc>
                      <w:tcPr>
                        <w:tcW w:w="850" w:type="dxa"/>
                      </w:tcPr>
                      <w:p>
                        <w:pPr>
                          <w:rPr>
                            <w:iCs/>
                            <w:color w:val="000000"/>
                            <w:szCs w:val="24"/>
                          </w:rPr>
                        </w:pPr>
                        <w:r>
                          <w:rPr>
                            <w:szCs w:val="24"/>
                          </w:rPr>
                          <w:t>-</w:t>
                        </w:r>
                      </w:p>
                    </w:tc>
                    <w:tc>
                      <w:tcPr>
                        <w:tcW w:w="5245" w:type="dxa"/>
                      </w:tcPr>
                      <w:p>
                        <w:pPr>
                          <w:rPr>
                            <w:szCs w:val="24"/>
                          </w:rPr>
                        </w:pPr>
                        <w:r>
                          <w:rPr>
                            <w:szCs w:val="24"/>
                          </w:rPr>
                          <w:t xml:space="preserve">2025 m. Savivaldybės tarybai pateikti ir patvirtinti 2  teisės aktų pakeitimai: 1. 2025 m. lapkričio 27 d. Nr. T-855 2. 2025 m. kovo 27 d. Nr. T-629. (Jaunimo reikalų koordinatorius (patarėjas)).</w:t>
                        </w:r>
                      </w:p>
                    </w:tc>
                  </w:tr>
                  <w:tr>
                    <w:tc>
                      <w:tcPr>
                        <w:tcW w:w="4820" w:type="dxa"/>
                      </w:tcPr>
                      <w:p>
                        <w:pPr>
                          <w:rPr>
                            <w:bCs/>
                            <w:szCs w:val="24"/>
                          </w:rPr>
                        </w:pPr>
                        <w:r>
                          <w:rPr>
                            <w:bCs/>
                            <w:szCs w:val="24"/>
                          </w:rPr>
                          <w:t>16.1.1.3. Savivaldybės biudžeto lėšomis finansuotų jaunimo savanorių skaičius, dalyvaujančių Jaunimo savanoriškoje tarnyboje, vnt. (SVP 1-3-1-01)</w:t>
                        </w:r>
                      </w:p>
                    </w:tc>
                    <w:tc>
                      <w:tcPr>
                        <w:tcW w:w="851" w:type="dxa"/>
                      </w:tcPr>
                      <w:p>
                        <w:pPr>
                          <w:rPr>
                            <w:iCs/>
                            <w:color w:val="000000"/>
                            <w:szCs w:val="24"/>
                          </w:rPr>
                        </w:pPr>
                        <w:r>
                          <w:rPr>
                            <w:szCs w:val="24"/>
                          </w:rPr>
                          <w:t>6</w:t>
                        </w:r>
                      </w:p>
                    </w:tc>
                    <w:tc>
                      <w:tcPr>
                        <w:tcW w:w="850" w:type="dxa"/>
                      </w:tcPr>
                      <w:p>
                        <w:pPr>
                          <w:rPr>
                            <w:iCs/>
                            <w:color w:val="000000"/>
                            <w:szCs w:val="24"/>
                          </w:rPr>
                        </w:pPr>
                        <w:r>
                          <w:rPr>
                            <w:szCs w:val="24"/>
                          </w:rPr>
                          <w:t>7</w:t>
                        </w:r>
                      </w:p>
                    </w:tc>
                    <w:tc>
                      <w:tcPr>
                        <w:tcW w:w="851" w:type="dxa"/>
                      </w:tcPr>
                      <w:p>
                        <w:pPr>
                          <w:rPr>
                            <w:iCs/>
                            <w:color w:val="000000"/>
                            <w:szCs w:val="24"/>
                          </w:rPr>
                        </w:pPr>
                        <w:r>
                          <w:rPr>
                            <w:szCs w:val="24"/>
                          </w:rPr>
                          <w:t>6</w:t>
                        </w:r>
                      </w:p>
                    </w:tc>
                    <w:tc>
                      <w:tcPr>
                        <w:tcW w:w="850" w:type="dxa"/>
                      </w:tcPr>
                      <w:p>
                        <w:pPr>
                          <w:rPr>
                            <w:iCs/>
                            <w:color w:val="000000"/>
                            <w:szCs w:val="24"/>
                          </w:rPr>
                        </w:pPr>
                        <w:r>
                          <w:rPr>
                            <w:szCs w:val="24"/>
                          </w:rPr>
                          <w:t>12</w:t>
                        </w:r>
                      </w:p>
                    </w:tc>
                    <w:tc>
                      <w:tcPr>
                        <w:tcW w:w="851" w:type="dxa"/>
                      </w:tcPr>
                      <w:p>
                        <w:pPr>
                          <w:rPr>
                            <w:szCs w:val="24"/>
                          </w:rPr>
                        </w:pPr>
                        <w:r>
                          <w:rPr>
                            <w:szCs w:val="24"/>
                          </w:rPr>
                          <w:t xml:space="preserve">4   </w:t>
                        </w:r>
                      </w:p>
                      <w:p>
                        <w:pPr>
                          <w:rPr>
                            <w:iCs/>
                            <w:color w:val="000000"/>
                            <w:szCs w:val="24"/>
                          </w:rPr>
                        </w:pPr>
                        <w:r>
                          <w:rPr>
                            <w:szCs w:val="24"/>
                          </w:rPr>
                          <w:t>SB</w:t>
                        </w:r>
                      </w:p>
                    </w:tc>
                    <w:tc>
                      <w:tcPr>
                        <w:tcW w:w="850" w:type="dxa"/>
                      </w:tcPr>
                      <w:p>
                        <w:pPr>
                          <w:rPr>
                            <w:szCs w:val="24"/>
                          </w:rPr>
                        </w:pPr>
                        <w:r>
                          <w:rPr>
                            <w:szCs w:val="24"/>
                          </w:rPr>
                          <w:t>7,2</w:t>
                        </w:r>
                      </w:p>
                      <w:p>
                        <w:pPr>
                          <w:ind w:firstLine="62"/>
                          <w:rPr>
                            <w:iCs/>
                            <w:color w:val="000000"/>
                            <w:szCs w:val="24"/>
                          </w:rPr>
                        </w:pPr>
                        <w:r>
                          <w:rPr>
                            <w:szCs w:val="24"/>
                          </w:rPr>
                          <w:t>SB</w:t>
                        </w:r>
                      </w:p>
                    </w:tc>
                    <w:tc>
                      <w:tcPr>
                        <w:tcW w:w="5245" w:type="dxa"/>
                      </w:tcPr>
                      <w:p>
                        <w:pPr>
                          <w:rPr>
                            <w:szCs w:val="24"/>
                          </w:rPr>
                        </w:pPr>
                        <w:r>
                          <w:rPr>
                            <w:szCs w:val="24"/>
                          </w:rPr>
                          <w:t>2025 m. padidėjo savanorių kiekis, tad ir lėšų poreikis išaugo. (Jaunimo reikalų koordinatorius (patarėjas)).</w:t>
                        </w:r>
                      </w:p>
                    </w:tc>
                  </w:tr>
                  <w:tr>
                    <w:tc>
                      <w:tcPr>
                        <w:tcW w:w="4820" w:type="dxa"/>
                      </w:tcPr>
                      <w:p>
                        <w:pPr>
                          <w:rPr>
                            <w:bCs/>
                            <w:szCs w:val="24"/>
                          </w:rPr>
                        </w:pPr>
                        <w:r>
                          <w:rPr>
                            <w:bCs/>
                            <w:szCs w:val="24"/>
                          </w:rPr>
                          <w:t xml:space="preserve">16.1.1.4. Jaunimo savanorius priimančioms arba galinčioms priimti organizacijoms stiprinti skirti renginiai (susitikimai, diskusijos, konferencijos, informaciniai renginiai, mokymai), kurių  organizatorius yra savivaldybė su SVO ir PO partneriais, skaičius, vnt. (SVP 1-3-1-01)</w:t>
                        </w:r>
                      </w:p>
                    </w:tc>
                    <w:tc>
                      <w:tcPr>
                        <w:tcW w:w="851" w:type="dxa"/>
                      </w:tcPr>
                      <w:p>
                        <w:pPr>
                          <w:rPr>
                            <w:iCs/>
                            <w:color w:val="000000"/>
                            <w:szCs w:val="24"/>
                          </w:rPr>
                        </w:pPr>
                        <w:r>
                          <w:rPr>
                            <w:szCs w:val="24"/>
                          </w:rPr>
                          <w:t>2</w:t>
                        </w:r>
                      </w:p>
                    </w:tc>
                    <w:tc>
                      <w:tcPr>
                        <w:tcW w:w="850" w:type="dxa"/>
                      </w:tcPr>
                      <w:p>
                        <w:pPr>
                          <w:rPr>
                            <w:iCs/>
                            <w:color w:val="000000"/>
                            <w:szCs w:val="24"/>
                          </w:rPr>
                        </w:pPr>
                        <w:r>
                          <w:rPr>
                            <w:szCs w:val="24"/>
                          </w:rPr>
                          <w:t>1</w:t>
                        </w:r>
                      </w:p>
                    </w:tc>
                    <w:tc>
                      <w:tcPr>
                        <w:tcW w:w="851" w:type="dxa"/>
                      </w:tcPr>
                      <w:p>
                        <w:pPr>
                          <w:rPr>
                            <w:iCs/>
                            <w:color w:val="000000"/>
                            <w:szCs w:val="24"/>
                          </w:rPr>
                        </w:pPr>
                        <w:r>
                          <w:rPr>
                            <w:szCs w:val="24"/>
                          </w:rPr>
                          <w:t>2</w:t>
                        </w:r>
                      </w:p>
                    </w:tc>
                    <w:tc>
                      <w:tcPr>
                        <w:tcW w:w="850" w:type="dxa"/>
                      </w:tcPr>
                      <w:p>
                        <w:pPr>
                          <w:rPr>
                            <w:iCs/>
                            <w:color w:val="000000"/>
                            <w:szCs w:val="24"/>
                          </w:rPr>
                        </w:pPr>
                        <w:r>
                          <w:rPr>
                            <w:szCs w:val="24"/>
                          </w:rPr>
                          <w:t>1</w:t>
                        </w:r>
                      </w:p>
                    </w:tc>
                    <w:tc>
                      <w:tcPr>
                        <w:tcW w:w="851" w:type="dxa"/>
                      </w:tcPr>
                      <w:p>
                        <w:pPr>
                          <w:rPr>
                            <w:iCs/>
                            <w:color w:val="000000"/>
                            <w:szCs w:val="24"/>
                          </w:rPr>
                        </w:pPr>
                        <w:r>
                          <w:rPr>
                            <w:szCs w:val="24"/>
                          </w:rPr>
                          <w:t>-</w:t>
                        </w:r>
                      </w:p>
                    </w:tc>
                    <w:tc>
                      <w:tcPr>
                        <w:tcW w:w="850" w:type="dxa"/>
                      </w:tcPr>
                      <w:p>
                        <w:pPr>
                          <w:rPr>
                            <w:iCs/>
                            <w:color w:val="000000"/>
                            <w:szCs w:val="24"/>
                          </w:rPr>
                        </w:pPr>
                        <w:r>
                          <w:rPr>
                            <w:szCs w:val="24"/>
                          </w:rPr>
                          <w:t>-</w:t>
                        </w:r>
                      </w:p>
                    </w:tc>
                    <w:tc>
                      <w:tcPr>
                        <w:tcW w:w="5245" w:type="dxa"/>
                      </w:tcPr>
                      <w:p>
                        <w:pPr>
                          <w:rPr>
                            <w:szCs w:val="24"/>
                          </w:rPr>
                        </w:pPr>
                        <w:r>
                          <w:rPr>
                            <w:szCs w:val="24"/>
                          </w:rPr>
                          <w:t>2025-05-22 Jaunimo savanoriška tarnyba pristatyta vykusiame jaunimo forume „Startuok“. 2025-09-19 Radviliškio rajono savivaldybėje vyko jaunimo reikalų koordinatoriaus (patarėjo) bei demokratijos ir socialinių įgūdžių mokyklos „Ateitis“ mokinių susitikimas. Susitikimo metu jaunuoliai buvo supažindinti su jaunimo politika, savanoriavimo, verslumo, kitomis dalyvavimo galimybėmis. (Jaunimo reikalų koordinatorius (patarėjas).</w:t>
                        </w:r>
                      </w:p>
                    </w:tc>
                  </w:tr>
                  <w:tr>
                    <w:tc>
                      <w:tcPr>
                        <w:tcW w:w="4820" w:type="dxa"/>
                      </w:tcPr>
                      <w:p>
                        <w:pPr>
                          <w:rPr>
                            <w:bCs/>
                            <w:szCs w:val="24"/>
                          </w:rPr>
                        </w:pPr>
                        <w:r>
                          <w:rPr>
                            <w:bCs/>
                            <w:szCs w:val="24"/>
                          </w:rPr>
                          <w:t xml:space="preserve">16.1.1.5. Jaunimui skirti renginiai, kurių  organizatorius yra savivaldybė su partneriais, skaičius, vnt.</w:t>
                        </w:r>
                      </w:p>
                      <w:p>
                        <w:pPr>
                          <w:rPr>
                            <w:color w:val="000000"/>
                            <w:szCs w:val="24"/>
                          </w:rPr>
                        </w:pPr>
                        <w:r>
                          <w:rPr>
                            <w:bCs/>
                            <w:szCs w:val="24"/>
                          </w:rPr>
                          <w:t>(SVP 1-3-1-01)</w:t>
                        </w:r>
                      </w:p>
                    </w:tc>
                    <w:tc>
                      <w:tcPr>
                        <w:tcW w:w="851" w:type="dxa"/>
                      </w:tcPr>
                      <w:p>
                        <w:pPr>
                          <w:rPr>
                            <w:iCs/>
                            <w:color w:val="000000"/>
                            <w:szCs w:val="24"/>
                          </w:rPr>
                        </w:pPr>
                        <w:r>
                          <w:rPr>
                            <w:szCs w:val="24"/>
                          </w:rPr>
                          <w:t>1</w:t>
                        </w:r>
                      </w:p>
                    </w:tc>
                    <w:tc>
                      <w:tcPr>
                        <w:tcW w:w="850" w:type="dxa"/>
                      </w:tcPr>
                      <w:p>
                        <w:pPr>
                          <w:rPr>
                            <w:iCs/>
                            <w:color w:val="000000"/>
                            <w:szCs w:val="24"/>
                          </w:rPr>
                        </w:pPr>
                        <w:r>
                          <w:rPr>
                            <w:szCs w:val="24"/>
                          </w:rPr>
                          <w:t>1</w:t>
                        </w:r>
                      </w:p>
                    </w:tc>
                    <w:tc>
                      <w:tcPr>
                        <w:tcW w:w="851" w:type="dxa"/>
                      </w:tcPr>
                      <w:p>
                        <w:pPr>
                          <w:rPr>
                            <w:iCs/>
                            <w:color w:val="000000"/>
                            <w:szCs w:val="24"/>
                          </w:rPr>
                        </w:pPr>
                        <w:r>
                          <w:rPr>
                            <w:szCs w:val="24"/>
                          </w:rPr>
                          <w:t>1</w:t>
                        </w:r>
                      </w:p>
                    </w:tc>
                    <w:tc>
                      <w:tcPr>
                        <w:tcW w:w="850" w:type="dxa"/>
                      </w:tcPr>
                      <w:p>
                        <w:pPr>
                          <w:rPr>
                            <w:iCs/>
                            <w:color w:val="000000"/>
                            <w:szCs w:val="24"/>
                          </w:rPr>
                        </w:pPr>
                        <w:r>
                          <w:rPr>
                            <w:szCs w:val="24"/>
                          </w:rPr>
                          <w:t>3</w:t>
                        </w:r>
                      </w:p>
                    </w:tc>
                    <w:tc>
                      <w:tcPr>
                        <w:tcW w:w="851" w:type="dxa"/>
                      </w:tcPr>
                      <w:p>
                        <w:pPr>
                          <w:rPr>
                            <w:szCs w:val="24"/>
                          </w:rPr>
                        </w:pPr>
                        <w:r>
                          <w:rPr>
                            <w:szCs w:val="24"/>
                          </w:rPr>
                          <w:t>14,2</w:t>
                        </w:r>
                      </w:p>
                      <w:p>
                        <w:pPr>
                          <w:rPr>
                            <w:iCs/>
                            <w:color w:val="000000"/>
                            <w:szCs w:val="24"/>
                          </w:rPr>
                        </w:pPr>
                        <w:r>
                          <w:rPr>
                            <w:szCs w:val="24"/>
                          </w:rPr>
                          <w:t>SB</w:t>
                        </w:r>
                      </w:p>
                    </w:tc>
                    <w:tc>
                      <w:tcPr>
                        <w:tcW w:w="850" w:type="dxa"/>
                      </w:tcPr>
                      <w:p>
                        <w:pPr>
                          <w:rPr>
                            <w:szCs w:val="24"/>
                          </w:rPr>
                        </w:pPr>
                        <w:r>
                          <w:rPr>
                            <w:szCs w:val="24"/>
                          </w:rPr>
                          <w:t>9,7</w:t>
                        </w:r>
                      </w:p>
                      <w:p>
                        <w:pPr>
                          <w:rPr>
                            <w:iCs/>
                            <w:color w:val="000000"/>
                            <w:szCs w:val="24"/>
                          </w:rPr>
                        </w:pPr>
                        <w:r>
                          <w:rPr>
                            <w:szCs w:val="24"/>
                          </w:rPr>
                          <w:t>SB</w:t>
                        </w:r>
                      </w:p>
                    </w:tc>
                    <w:tc>
                      <w:tcPr>
                        <w:tcW w:w="5245" w:type="dxa"/>
                      </w:tcPr>
                      <w:p>
                        <w:pPr>
                          <w:rPr>
                            <w:szCs w:val="24"/>
                          </w:rPr>
                        </w:pPr>
                        <w:r>
                          <w:rPr>
                            <w:szCs w:val="24"/>
                          </w:rPr>
                          <w:t xml:space="preserve">2025 m. įvyko tradiciniai jaunimo apdovanojimai. </w:t>
                        </w:r>
                      </w:p>
                      <w:p>
                        <w:pPr>
                          <w:rPr>
                            <w:szCs w:val="24"/>
                          </w:rPr>
                        </w:pPr>
                        <w:r>
                          <w:rPr>
                            <w:szCs w:val="24"/>
                          </w:rPr>
                          <w:t xml:space="preserve">2025-05-22 organizuotas jaunimo forumas „Startuok“. 2025-11-26 organizuotas </w:t>
                        </w:r>
                        <w:r>
                          <w:rPr>
                            <w:bCs/>
                            <w:szCs w:val="24"/>
                          </w:rPr>
                          <w:t xml:space="preserve">renginys „Sveikas protas – sveikas kūnas“ </w:t>
                        </w:r>
                        <w:r>
                          <w:rPr>
                            <w:szCs w:val="24"/>
                          </w:rPr>
                          <w:t xml:space="preserve">(Jaunimo reikalų koordinatorius (patarėjas). </w:t>
                        </w:r>
                      </w:p>
                    </w:tc>
                  </w:tr>
                </w:tbl>
                <w:p>
                  <w:pPr>
                    <w:suppressAutoHyphens/>
                    <w:spacing w:line="276" w:lineRule="auto"/>
                    <w:ind w:firstLine="709"/>
                    <w:textAlignment w:val="baseline"/>
                    <w:rPr>
                      <w:rFonts w:eastAsia="Calibri"/>
                      <w:i/>
                      <w:iCs/>
                      <w:color w:val="808080"/>
                      <w:szCs w:val="24"/>
                    </w:rPr>
                  </w:pPr>
                </w:p>
              </w:sdtContent>
            </w:sdt>
            <w:sdt>
              <w:sdtPr>
                <w:alias w:val="poskyris"/>
                <w:tag w:val="part_0c8e2a97ac194933afce57f8f49e5ba2"/>
                <w:lock w:val="sdtLocked"/>
                <w:richText/>
              </w:sdtPr>
              <w:sdtContent>
                <w:p>
                  <w:pPr>
                    <w:rPr>
                      <w:b/>
                      <w:bCs/>
                      <w:szCs w:val="24"/>
                    </w:rPr>
                  </w:pPr>
                  <w:sdt>
                    <w:sdtPr>
                      <w:alias w:val="Pavadinimas"/>
                      <w:tag w:val="title_0c8e2a97ac194933afce57f8f49e5ba2"/>
                      <w:lock w:val="sdtLocked"/>
                      <w:richText/>
                    </w:sdtPr>
                    <w:sdtContent>
                      <w:r>
                        <w:rPr>
                          <w:b/>
                          <w:bCs/>
                          <w:szCs w:val="24"/>
                        </w:rPr>
                        <w:t>2 programa: Radviliškio rajono savivaldybės švietimo paslaugų prieinamumo ir kokybės užtikrinimo programa</w:t>
                      </w:r>
                    </w:sdtContent>
                  </w:sdt>
                </w:p>
                <w:p>
                  <w:pPr>
                    <w:rPr>
                      <w:b/>
                      <w:bCs/>
                      <w:szCs w:val="24"/>
                    </w:rPr>
                  </w:pPr>
                </w:p>
                <w:p>
                  <w:pPr>
                    <w:ind w:firstLine="731"/>
                    <w:rPr>
                      <w:b/>
                      <w:szCs w:val="24"/>
                      <w:lang w:eastAsia="lt-LT"/>
                    </w:rPr>
                  </w:pPr>
                  <w:r>
                    <w:rPr>
                      <w:color w:val="212529"/>
                      <w:szCs w:val="24"/>
                      <w:lang w:eastAsia="lt-LT"/>
                    </w:rPr>
                    <w:t xml:space="preserve">Šios 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szCs w:val="24"/>
                      <w:lang w:eastAsia="lt-LT"/>
                    </w:rPr>
                    <w:t xml:space="preserve"> </w:t>
                  </w:r>
                </w:p>
                <w:p>
                  <w:pPr>
                    <w:rPr>
                      <w:b/>
                      <w:bCs/>
                      <w:szCs w:val="24"/>
                    </w:rPr>
                  </w:pPr>
                </w:p>
                <w:p>
                  <w:pPr>
                    <w:rPr>
                      <w:szCs w:val="24"/>
                    </w:rPr>
                  </w:pPr>
                  <w:r>
                    <w:rPr>
                      <w:b/>
                      <w:bCs/>
                      <w:szCs w:val="24"/>
                    </w:rPr>
                    <w:t>2 lentelė.</w:t>
                  </w:r>
                  <w:r>
                    <w:rPr>
                      <w:i/>
                      <w:iCs/>
                      <w:szCs w:val="24"/>
                    </w:rPr>
                    <w:t xml:space="preserve"> </w:t>
                  </w:r>
                  <w:r>
                    <w:rPr>
                      <w:szCs w:val="24"/>
                    </w:rPr>
                    <w:t>2 programos strateginių ir (arba) metų veiklos tikslų įgyvendinimo rodikliai</w:t>
                  </w:r>
                </w:p>
                <w:tbl>
                  <w:tblPr>
                    <w:tblW w:w="15168" w:type="dxa"/>
                    <w:tblInd w:w="-152" w:type="dxa"/>
                    <w:tblLayout w:type="fixed"/>
                    <w:tblCellMar>
                      <w:top w:w="15" w:type="dxa"/>
                      <w:left w:w="15" w:type="dxa"/>
                      <w:bottom w:w="15" w:type="dxa"/>
                      <w:right w:w="15" w:type="dxa"/>
                    </w:tblCellMar>
                    <w:tblLook w:val="04A0" w:firstRow="1" w:lastRow="0" w:firstColumn="1" w:lastColumn="0" w:noHBand="0" w:noVBand="1"/>
                  </w:tblPr>
                  <w:tblGrid>
                    <w:gridCol w:w="4820"/>
                    <w:gridCol w:w="851"/>
                    <w:gridCol w:w="850"/>
                    <w:gridCol w:w="851"/>
                    <w:gridCol w:w="850"/>
                    <w:gridCol w:w="851"/>
                    <w:gridCol w:w="850"/>
                    <w:gridCol w:w="5245"/>
                  </w:tblGrid>
                  <w:tr>
                    <w:trPr>
                      <w:trHeight w:val="690"/>
                    </w:trPr>
                    <w:tc>
                      <w:tcPr>
                        <w:tcW w:w="4820" w:type="dxa"/>
                        <w:vMerge w:val="restart"/>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vAlign w:val="center"/>
                        <w:hideMark/>
                      </w:tcPr>
                      <w:p>
                        <w:pPr>
                          <w:rPr>
                            <w:b/>
                            <w:bCs/>
                            <w:szCs w:val="24"/>
                          </w:rPr>
                        </w:pPr>
                        <w:r>
                          <w:rPr>
                            <w:b/>
                            <w:bCs/>
                            <w:szCs w:val="24"/>
                          </w:rPr>
                          <w:t>Priemonės ir (arba) rodiklio kodas ir pavadinimas</w:t>
                        </w:r>
                      </w:p>
                      <w:p>
                        <w:pPr>
                          <w:rPr>
                            <w:szCs w:val="24"/>
                          </w:rPr>
                        </w:pPr>
                        <w:r>
                          <w:rPr>
                            <w:b/>
                            <w:bCs/>
                            <w:szCs w:val="24"/>
                          </w:rPr>
                          <w:t>(Sąsaja su Savivaldybės planavimo dokumentais)</w:t>
                        </w:r>
                      </w:p>
                    </w:tc>
                    <w:tc>
                      <w:tcPr>
                        <w:tcW w:w="851" w:type="dxa"/>
                        <w:vMerge w:val="restart"/>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textDirection w:val="btLr"/>
                        <w:hideMark/>
                      </w:tcPr>
                      <w:p>
                        <w:pPr>
                          <w:ind w:left="113" w:right="113"/>
                          <w:rPr>
                            <w:szCs w:val="24"/>
                          </w:rPr>
                        </w:pPr>
                        <w:r>
                          <w:rPr>
                            <w:b/>
                            <w:bCs/>
                            <w:szCs w:val="24"/>
                          </w:rPr>
                          <w:t>Planuota reikšmė, matavimo vienetas</w:t>
                        </w:r>
                      </w:p>
                    </w:tc>
                    <w:tc>
                      <w:tcPr>
                        <w:tcW w:w="2551" w:type="dxa"/>
                        <w:gridSpan w:val="3"/>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b/>
                            <w:bCs/>
                            <w:szCs w:val="24"/>
                          </w:rPr>
                          <w:t>Praėjusių 2 ataskaitinių laikotarpių ir ataskaitinio laikotarpio reikšmės (faktas)</w:t>
                        </w:r>
                      </w:p>
                    </w:tc>
                    <w:tc>
                      <w:tcPr>
                        <w:tcW w:w="1701" w:type="dxa"/>
                        <w:gridSpan w:val="2"/>
                        <w:tcBorders>
                          <w:top w:val="single" w:sz="8" w:space="0" w:color="000000"/>
                          <w:left w:val="single" w:sz="8" w:space="0" w:color="000000"/>
                          <w:bottom w:val="single" w:sz="4" w:space="0" w:color="auto"/>
                          <w:right w:val="single" w:sz="8" w:space="0" w:color="000000"/>
                        </w:tcBorders>
                        <w:shd w:val="clear" w:color="auto" w:fill="DBE5F1"/>
                        <w:tcMar>
                          <w:top w:w="0" w:type="dxa"/>
                          <w:left w:w="100" w:type="dxa"/>
                          <w:bottom w:w="0" w:type="dxa"/>
                          <w:right w:w="100" w:type="dxa"/>
                        </w:tcMar>
                        <w:hideMark/>
                      </w:tcPr>
                      <w:p>
                        <w:pPr>
                          <w:rPr>
                            <w:b/>
                            <w:bCs/>
                            <w:szCs w:val="24"/>
                          </w:rPr>
                        </w:pPr>
                        <w:r>
                          <w:rPr>
                            <w:b/>
                            <w:bCs/>
                            <w:szCs w:val="24"/>
                          </w:rPr>
                          <w:t>Finansavimas</w:t>
                        </w:r>
                      </w:p>
                      <w:p>
                        <w:pPr>
                          <w:rPr>
                            <w:b/>
                            <w:bCs/>
                            <w:szCs w:val="24"/>
                          </w:rPr>
                        </w:pPr>
                        <w:r>
                          <w:rPr>
                            <w:b/>
                            <w:bCs/>
                            <w:szCs w:val="24"/>
                          </w:rPr>
                          <w:t>Tūkst. Eur,</w:t>
                        </w:r>
                      </w:p>
                      <w:p>
                        <w:pPr>
                          <w:rPr>
                            <w:b/>
                            <w:bCs/>
                            <w:szCs w:val="24"/>
                          </w:rPr>
                        </w:pPr>
                        <w:r>
                          <w:rPr>
                            <w:b/>
                            <w:bCs/>
                            <w:szCs w:val="24"/>
                          </w:rPr>
                          <w:t>Asignavimų šaltinis</w:t>
                        </w:r>
                      </w:p>
                    </w:tc>
                    <w:tc>
                      <w:tcPr>
                        <w:tcW w:w="5245" w:type="dxa"/>
                        <w:vMerge w:val="restart"/>
                        <w:tcBorders>
                          <w:top w:val="single" w:sz="8" w:space="0" w:color="000000"/>
                          <w:left w:val="single" w:sz="8" w:space="0" w:color="000000"/>
                          <w:right w:val="single" w:sz="8" w:space="0" w:color="000000"/>
                        </w:tcBorders>
                        <w:shd w:val="clear" w:color="auto" w:fill="DBE5F1"/>
                        <w:tcMar>
                          <w:top w:w="0" w:type="dxa"/>
                          <w:left w:w="100" w:type="dxa"/>
                          <w:bottom w:w="0" w:type="dxa"/>
                          <w:right w:w="100" w:type="dxa"/>
                        </w:tcMar>
                        <w:vAlign w:val="center"/>
                        <w:hideMark/>
                      </w:tcPr>
                      <w:p>
                        <w:pPr>
                          <w:rPr>
                            <w:b/>
                            <w:bCs/>
                            <w:szCs w:val="24"/>
                          </w:rPr>
                        </w:pPr>
                        <w:r>
                          <w:rPr>
                            <w:b/>
                            <w:bCs/>
                            <w:szCs w:val="24"/>
                          </w:rPr>
                          <w:t xml:space="preserve">Komentaras </w:t>
                        </w:r>
                      </w:p>
                      <w:p>
                        <w:pPr>
                          <w:rPr>
                            <w:szCs w:val="24"/>
                          </w:rPr>
                        </w:pPr>
                        <w:r>
                          <w:rPr>
                            <w:b/>
                            <w:bCs/>
                            <w:szCs w:val="24"/>
                          </w:rPr>
                          <w:t>(atsakingas vykdytojas)</w:t>
                        </w:r>
                      </w:p>
                    </w:tc>
                  </w:tr>
                  <w:tr>
                    <w:trPr>
                      <w:cantSplit/>
                      <w:trHeight w:val="1482"/>
                    </w:trPr>
                    <w:tc>
                      <w:tcPr>
                        <w:tcW w:w="4820"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85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b/>
                            <w:bCs/>
                            <w:szCs w:val="24"/>
                          </w:rPr>
                          <w:t>2023 metai</w:t>
                        </w:r>
                      </w:p>
                    </w:tc>
                    <w:tc>
                      <w:tcPr>
                        <w:tcW w:w="851"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b/>
                            <w:bCs/>
                            <w:szCs w:val="24"/>
                          </w:rPr>
                          <w:t>2024 metai</w:t>
                        </w:r>
                      </w:p>
                    </w:tc>
                    <w:tc>
                      <w:tcPr>
                        <w:tcW w:w="85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b/>
                            <w:bCs/>
                            <w:szCs w:val="24"/>
                          </w:rPr>
                          <w:t>2025 metai</w:t>
                        </w:r>
                      </w:p>
                    </w:tc>
                    <w:tc>
                      <w:tcPr>
                        <w:tcW w:w="851" w:type="dxa"/>
                        <w:tcBorders>
                          <w:top w:val="single" w:sz="4" w:space="0" w:color="auto"/>
                          <w:left w:val="single" w:sz="8" w:space="0" w:color="000000"/>
                          <w:bottom w:val="single" w:sz="8" w:space="0" w:color="000000"/>
                          <w:right w:val="single" w:sz="8" w:space="0" w:color="000000"/>
                        </w:tcBorders>
                        <w:shd w:val="clear" w:color="auto" w:fill="C1E4F5" w:themeFill="accent1" w:themeFillTint="33"/>
                        <w:textDirection w:val="btLr"/>
                        <w:vAlign w:val="center"/>
                        <w:hideMark/>
                      </w:tcPr>
                      <w:p>
                        <w:pPr>
                          <w:ind w:left="113" w:right="113"/>
                          <w:rPr>
                            <w:szCs w:val="24"/>
                          </w:rPr>
                        </w:pPr>
                        <w:r>
                          <w:rPr>
                            <w:b/>
                            <w:bCs/>
                            <w:szCs w:val="24"/>
                          </w:rPr>
                          <w:t>Patvirtintas planas</w:t>
                        </w:r>
                      </w:p>
                    </w:tc>
                    <w:tc>
                      <w:tcPr>
                        <w:tcW w:w="85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textDirection w:val="btLr"/>
                        <w:hideMark/>
                      </w:tcPr>
                      <w:p>
                        <w:pPr>
                          <w:ind w:left="113" w:right="113"/>
                          <w:rPr>
                            <w:szCs w:val="24"/>
                          </w:rPr>
                        </w:pPr>
                        <w:r>
                          <w:rPr>
                            <w:b/>
                            <w:bCs/>
                            <w:szCs w:val="24"/>
                          </w:rPr>
                          <w:t>Įvykdymas</w:t>
                        </w:r>
                      </w:p>
                    </w:tc>
                    <w:tc>
                      <w:tcPr>
                        <w:tcW w:w="5245" w:type="dxa"/>
                        <w:vMerge/>
                        <w:tcBorders>
                          <w:left w:val="single" w:sz="8" w:space="0" w:color="000000"/>
                          <w:bottom w:val="single" w:sz="8" w:space="0" w:color="000000"/>
                          <w:right w:val="single" w:sz="8" w:space="0" w:color="000000"/>
                        </w:tcBorders>
                        <w:vAlign w:val="center"/>
                        <w:hideMark/>
                      </w:tcPr>
                      <w:p>
                        <w:pPr>
                          <w:rPr>
                            <w:szCs w:val="24"/>
                          </w:rPr>
                        </w:pPr>
                      </w:p>
                    </w:tc>
                  </w:tr>
                  <w:tr>
                    <w:trPr>
                      <w:trHeight w:val="469"/>
                    </w:trPr>
                    <w:tc>
                      <w:tcPr>
                        <w:tcW w:w="482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1</w:t>
                        </w:r>
                      </w:p>
                    </w:tc>
                    <w:tc>
                      <w:tcPr>
                        <w:tcW w:w="851"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2</w:t>
                        </w:r>
                      </w:p>
                    </w:tc>
                    <w:tc>
                      <w:tcPr>
                        <w:tcW w:w="85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3</w:t>
                        </w:r>
                      </w:p>
                    </w:tc>
                    <w:tc>
                      <w:tcPr>
                        <w:tcW w:w="851"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4</w:t>
                        </w:r>
                      </w:p>
                    </w:tc>
                    <w:tc>
                      <w:tcPr>
                        <w:tcW w:w="85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5</w:t>
                        </w:r>
                      </w:p>
                    </w:tc>
                    <w:tc>
                      <w:tcPr>
                        <w:tcW w:w="851"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7</w:t>
                        </w:r>
                      </w:p>
                    </w:tc>
                    <w:tc>
                      <w:tcPr>
                        <w:tcW w:w="85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r>
                          <w:rPr>
                            <w:szCs w:val="24"/>
                          </w:rPr>
                          <w:t>8</w:t>
                        </w:r>
                      </w:p>
                    </w:tc>
                    <w:tc>
                      <w:tcPr>
                        <w:tcW w:w="5245"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rPr>
                            <w:szCs w:val="24"/>
                          </w:rPr>
                        </w:pPr>
                      </w:p>
                    </w:tc>
                  </w:tr>
                  <w:tr>
                    <w:trPr>
                      <w:trHeight w:val="419"/>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rFonts w:eastAsia="Calibri"/>
                            <w:b/>
                            <w:bCs/>
                            <w:szCs w:val="24"/>
                          </w:rPr>
                          <w:t>1. Tikslas.</w:t>
                        </w:r>
                        <w:r>
                          <w:rPr>
                            <w:rFonts w:eastAsia="Calibri"/>
                            <w:szCs w:val="24"/>
                          </w:rPr>
                          <w:t xml:space="preserve"> Galimybės mokytis užtikrinimas.</w:t>
                        </w:r>
                      </w:p>
                    </w:tc>
                  </w:tr>
                  <w:tr>
                    <w:trPr>
                      <w:trHeight w:val="240"/>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rFonts w:eastAsia="Calibri"/>
                            <w:b/>
                            <w:bCs/>
                            <w:szCs w:val="24"/>
                          </w:rPr>
                          <w:t>1.1. Uždavinys.</w:t>
                        </w:r>
                        <w:r>
                          <w:rPr>
                            <w:szCs w:val="24"/>
                            <w:lang w:eastAsia="lt-LT"/>
                          </w:rPr>
                          <w:t xml:space="preserve"> Gerinti švietimo paslaugų kokybę, pakankamumą ir pasiekiamumą.</w:t>
                        </w:r>
                      </w:p>
                    </w:tc>
                  </w:tr>
                  <w:tr>
                    <w:trPr>
                      <w:trHeight w:val="60"/>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12.1.1.1.Parengta Savivaldybės švietimo pažangos ataskaita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Parengta ir Savivaldybės mero 2025-06-20 potvarkiu Nr. M-326 patvirtinta Savivaldybės 2024 m. švietimo pažangos ataskaita. Pažangos ataskaita skelbiama </w:t>
                        </w:r>
                        <w:r>
                          <w:rPr>
                            <w:color w:val="467886"/>
                            <w:szCs w:val="24"/>
                            <w:u w:val="single"/>
                          </w:rPr>
                          <w:t>www.svis.lt</w:t>
                        </w:r>
                        <w:r>
                          <w:rPr>
                            <w:szCs w:val="24"/>
                          </w:rPr>
                          <w:t xml:space="preserve"> skiltyje Savivaldybių pažangos ataskaitos. (Švietimo ir sporto skyrius)</w:t>
                        </w:r>
                      </w:p>
                    </w:tc>
                  </w:tr>
                  <w:tr>
                    <w:trPr>
                      <w:trHeight w:val="60"/>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 xml:space="preserve">12.1.1.2. </w:t>
                        </w:r>
                        <w:r>
                          <w:rPr>
                            <w:rFonts w:eastAsia="Calibri"/>
                            <w:color w:val="000000"/>
                            <w:szCs w:val="24"/>
                          </w:rPr>
                          <w:t xml:space="preserve">Projekto „Tūkstantmečio mokyklos II“ (TŪM) koordinavimas (Parengtų TŪM Pažangos plano veiklų įgyvendinimo ataskaitų skaičius) (Radviliškio rajono savivaldybės TŪM pažangos planas) </w:t>
                        </w:r>
                        <w:r>
                          <w:rPr>
                            <w:rFonts w:eastAsia="Calibri"/>
                            <w:szCs w:val="24"/>
                          </w:rPr>
                          <w:t xml:space="preserve">(SVP </w:t>
                        </w:r>
                        <w:r>
                          <w:rPr>
                            <w:szCs w:val="24"/>
                          </w:rPr>
                          <w:t xml:space="preserve">2-1-1-32)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3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3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szCs w:val="24"/>
                          </w:rPr>
                          <w:t>2 800 ES</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szCs w:val="24"/>
                          </w:rPr>
                          <w:t>2 000 ES</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Parengtos ir pateiktos ESFA TŪM Pažangos plano veiklų įgyvendinimo 4 (ketvirčių) ataskaitos.</w:t>
                        </w:r>
                      </w:p>
                      <w:p>
                        <w:pPr>
                          <w:rPr>
                            <w:i/>
                            <w:iCs/>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12.1.1.3. Parengta Savivaldybės bendrojo ugdymo mokyklų tinklo situacijos analizė</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szCs w:val="24"/>
                          </w:rPr>
                          <w:t>2025-01-28 parengta</w:t>
                        </w:r>
                        <w:r>
                          <w:rPr>
                            <w:color w:val="000000"/>
                            <w:szCs w:val="24"/>
                          </w:rPr>
                          <w:t xml:space="preserve"> Savivaldybės bendrojo ugdymo mokyklų tinklo situacijos analizė ir pateikta skyriaus vedėjui, bendrojo ugdymo mokyklų tinklo pokyčių būtinybė nenustatyta. (Švietimo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 xml:space="preserve">12.1.1.4. </w:t>
                        </w:r>
                        <w:r>
                          <w:rPr>
                            <w:szCs w:val="24"/>
                          </w:rPr>
                          <w:t>Privalomo ikimokyklinio ugdymo skyrimo vaikams, patiriantiems socialinę riziką, užtikrinimas (parengtų rekomendacijų dalis nuo inicijuotų atvejų skaičiaus)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100 %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100 %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100 %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100 %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 w:val="8"/>
                            <w:szCs w:val="8"/>
                          </w:rPr>
                        </w:pPr>
                      </w:p>
                      <w:p>
                        <w:pPr>
                          <w:rPr>
                            <w:szCs w:val="24"/>
                            <w:lang w:eastAsia="lt-LT"/>
                          </w:rPr>
                        </w:pPr>
                        <w:r>
                          <w:rPr>
                            <w:szCs w:val="24"/>
                            <w:lang w:eastAsia="lt-LT"/>
                          </w:rPr>
                          <w:t>Inicijuoti 6 atvejai, 6 vaikams parengtos rekomendacijos ir jiems savivaldybės mero potvarkiais skirtas privalomas ikimokyklinis ugdymas.</w:t>
                        </w:r>
                        <w:r>
                          <w:rPr>
                            <w:color w:val="000000"/>
                            <w:szCs w:val="24"/>
                            <w:lang w:eastAsia="lt-LT"/>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12.1.1.5. Ikimokykliniame ir priešmokykliniame ugdyme dalyvaujančių 3–5 metų amžiaus vaikų dalis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97 %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95,9 %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96,2 %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96,6 %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Planuotas rodiklis nepasiektas – pritrūko 0,4 procentinio punkto. Pagrindinė to priežastis – tėvų nenoras ugdyti vaiką švietimo įstaigoje (2025-09-01 švietimo įstaigose 3–5 m. vaikams buvo likusių 70 laisvų vietų). (Švietimo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12.1.1.6. Mokinių pasiekimų patikrinimų ir brandos egzaminų organizavimo ir vykdymo koordinavimas (organizuotų Mokinių pasiekimų patikrinimų ir brandos egzaminų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87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61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125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 xml:space="preserve">Koordinuotas Nacionalinių mokinių pasiekimų, Pagrindinio ugdymo pasiekimų patikrinimų, valstybinių brandos egzaminų (I ir II dalių) organizavimas ir vykdymas. Planuotas rodiklis viršytas, kadangi buvo vykdoma VBE I dalies pakartotinė sesija.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 xml:space="preserve">12.1.1.7. </w:t>
                        </w:r>
                        <w:r>
                          <w:rPr>
                            <w:szCs w:val="24"/>
                            <w:lang w:eastAsia="lt-LT"/>
                          </w:rPr>
                          <w:t>Priemonių, skatinančių siekti aukščiausių įvertinimų už valstybinius brandos egzaminus, skaičius (SVP 2-1-1-22.1)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color w:val="000000"/>
                            <w:kern w:val="2"/>
                            <w:szCs w:val="24"/>
                            <w14:ligatures w14:val="standardContextual"/>
                          </w:rPr>
                          <w:t xml:space="preserve">2 </w:t>
                        </w:r>
                        <w:r>
                          <w:rPr>
                            <w:rFonts w:eastAsia="Calibri"/>
                            <w:kern w:val="2"/>
                            <w:szCs w:val="24"/>
                            <w14:ligatures w14:val="standardContextual"/>
                          </w:rPr>
                          <w:t>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color w:val="000000"/>
                            <w:kern w:val="2"/>
                            <w:szCs w:val="24"/>
                            <w14:ligatures w14:val="standardContextual"/>
                          </w:rPr>
                          <w:t xml:space="preserve">5 </w:t>
                        </w:r>
                        <w:r>
                          <w:rPr>
                            <w:rFonts w:eastAsia="Calibri"/>
                            <w:kern w:val="2"/>
                            <w:szCs w:val="24"/>
                            <w14:ligatures w14:val="standardContextual"/>
                          </w:rPr>
                          <w:t>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rFonts w:eastAsia="Calibri"/>
                            <w:b/>
                            <w:bCs/>
                            <w:color w:val="000000"/>
                            <w:kern w:val="2"/>
                            <w:szCs w:val="24"/>
                            <w14:ligatures w14:val="standardContextual"/>
                          </w:rPr>
                        </w:pPr>
                        <w:r>
                          <w:rPr>
                            <w:rFonts w:eastAsia="Calibri"/>
                            <w:color w:val="000000"/>
                            <w:kern w:val="2"/>
                            <w:szCs w:val="24"/>
                            <w14:ligatures w14:val="standardContextual"/>
                          </w:rPr>
                          <w:t xml:space="preserve">Priemonė – apdovanojimas (piniginė išmoka) 200 Eur už 100 balų įvertinimą. Panaudotos visos iš Savivaldybės biudžeto skirtos lėšos,  nes 25 kandidatai gavo </w:t>
                        </w:r>
                        <w:r>
                          <w:rPr>
                            <w:rFonts w:eastAsia="Calibri"/>
                            <w:kern w:val="2"/>
                            <w:szCs w:val="24"/>
                            <w14:ligatures w14:val="standardContextual"/>
                          </w:rPr>
                          <w:t>aukščiausius 100 balų įvertinimus.</w:t>
                        </w:r>
                      </w:p>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tabs>
                            <w:tab w:val="left" w:pos="896"/>
                            <w:tab w:val="left" w:pos="1038"/>
                          </w:tabs>
                          <w:rPr>
                            <w:szCs w:val="24"/>
                          </w:rPr>
                        </w:pPr>
                        <w:r>
                          <w:rPr>
                            <w:rFonts w:eastAsia="Calibri"/>
                            <w:szCs w:val="24"/>
                          </w:rPr>
                          <w:t xml:space="preserve">12.1.1.8. </w:t>
                        </w:r>
                        <w:r>
                          <w:rPr>
                            <w:szCs w:val="24"/>
                            <w:shd w:val="clear" w:color="auto" w:fill="FFFFFF"/>
                          </w:rPr>
                          <w:t>NVŠ programose (tikslinio finansavimo) dalyvaujančių mokinių dalis nuo visų besimokančių mokinių skaičiaus (SVP 2-1-1-28)</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33 %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32 %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33 %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33 %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231,2 VB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221 VB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2025 m. vykdytos 38 programos, jas vykdė 25 teikėjai. Vidutiniškai per mėn. šiose programose dalyvauja 1100 1–12 kl. mokinių. (Švietimo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12.1.1.9. Neformaliojo švietimo veikloje dalyvaujančių mokinių dalis nuo visų besimokančių mokinių skaičiaus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81,5 %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80,8 %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81,4 %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81,1 %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
                            <w:color w:val="808080"/>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
                            <w:color w:val="808080"/>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shd w:val="clear" w:color="auto" w:fill="FFFFFF"/>
                          </w:rPr>
                        </w:pPr>
                        <w:r>
                          <w:rPr>
                            <w:color w:val="000000"/>
                            <w:szCs w:val="24"/>
                          </w:rPr>
                          <w:t xml:space="preserve">Planuotas rodiklis nepasiektas – pritrūko 0,4 procentinio punkto. Pagrindinė to priežastis – mažesnė mokinių motyvacija dalyvauti papildomose veiklose. Galimybės savivaldybėje sudarytos bendrojo ugdymo mokyklose, Radviliškio meno mokykloje, Kutiškių daugiafunkciame centre, kitų švietimo teikėjų, vykdančių </w:t>
                        </w:r>
                        <w:r>
                          <w:rPr>
                            <w:szCs w:val="24"/>
                            <w:shd w:val="clear" w:color="auto" w:fill="FFFFFF"/>
                          </w:rPr>
                          <w:t xml:space="preserve">NVŠ tikslinio finansavimo programas, veiklos vietose.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12.1.1.10. Neformaliojo vaikų švietimo programų koordinavimas (Vaikų, dalyvaujančių neformaliojo švietimo mokyklų ugdymo programose dalis nuo visų besimokančių mokinių skaičiaus)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22 %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20 %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23 %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23 %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Planuotas rodiklis viršytas, 2025 m. padidėjo neformaliojo vaikų švietimo programų ir dalyvių skaičius.</w:t>
                        </w:r>
                      </w:p>
                      <w:p>
                        <w:pPr>
                          <w:rPr>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12.1.1.12. Savivaldybės suaugusiųjų švietimo ir tęstinio mokymosi programų rėmimo konkurso koordinavimas ir organizavimas (neformaliojo suaugusiųjų švietimo programose dalyvaujančių asmenų skaičius) (SVP 2-1-1-25)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color w:val="000000"/>
                            <w:szCs w:val="24"/>
                          </w:rPr>
                        </w:pPr>
                        <w:r>
                          <w:rPr>
                            <w:iCs/>
                            <w:color w:val="000000"/>
                            <w:szCs w:val="24"/>
                          </w:rPr>
                          <w:t>300</w:t>
                        </w:r>
                      </w:p>
                      <w:p>
                        <w:pPr>
                          <w:rPr>
                            <w:szCs w:val="24"/>
                          </w:rPr>
                        </w:pPr>
                        <w:r>
                          <w:rPr>
                            <w:iCs/>
                            <w:color w:val="000000"/>
                            <w:szCs w:val="24"/>
                          </w:rPr>
                          <w:t>asm.</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 xml:space="preserve">235 asm.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color w:val="000000"/>
                            <w:szCs w:val="24"/>
                          </w:rPr>
                        </w:pPr>
                        <w:r>
                          <w:rPr>
                            <w:iCs/>
                            <w:color w:val="000000"/>
                            <w:szCs w:val="24"/>
                          </w:rPr>
                          <w:t>226</w:t>
                        </w:r>
                      </w:p>
                      <w:p>
                        <w:pPr>
                          <w:rPr>
                            <w:szCs w:val="24"/>
                          </w:rPr>
                        </w:pPr>
                        <w:r>
                          <w:rPr>
                            <w:iCs/>
                            <w:color w:val="000000"/>
                            <w:szCs w:val="24"/>
                          </w:rPr>
                          <w:t>asm.</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color w:val="000000"/>
                            <w:szCs w:val="24"/>
                          </w:rPr>
                        </w:pPr>
                        <w:r>
                          <w:rPr>
                            <w:iCs/>
                            <w:color w:val="000000"/>
                            <w:szCs w:val="24"/>
                          </w:rPr>
                          <w:t xml:space="preserve">314 </w:t>
                        </w:r>
                      </w:p>
                      <w:p>
                        <w:pPr>
                          <w:rPr>
                            <w:szCs w:val="24"/>
                          </w:rPr>
                        </w:pPr>
                        <w:r>
                          <w:rPr>
                            <w:iCs/>
                            <w:color w:val="000000"/>
                            <w:szCs w:val="24"/>
                          </w:rPr>
                          <w:t xml:space="preserve">asm.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12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12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2025 m. 7 programų vykdytojai įgyvendino 13 programų. Panaudotos visos iš Savivaldybės biudžeto skirtos lėšos.</w:t>
                        </w:r>
                      </w:p>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 xml:space="preserve">12.1.1.13. </w:t>
                        </w:r>
                        <w:r>
                          <w:rPr>
                            <w:color w:val="000000"/>
                            <w:szCs w:val="24"/>
                          </w:rPr>
                          <w:t xml:space="preserve">Suaugusiųjų mokymosi savaitės organizavimas (neformalaus švietimo </w:t>
                        </w:r>
                        <w:r>
                          <w:rPr>
                            <w:szCs w:val="24"/>
                          </w:rPr>
                          <w:t xml:space="preserve">teikėjų suorganizuotų renginių skaičius) </w:t>
                        </w:r>
                        <w:r>
                          <w:rPr>
                            <w:color w:val="000000"/>
                            <w:szCs w:val="24"/>
                          </w:rPr>
                          <w:t>(SVP 2-1-1-25)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5 renginiai</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1,2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rFonts w:eastAsia="Calibri"/>
                            <w:color w:val="000000"/>
                            <w:szCs w:val="24"/>
                          </w:rPr>
                        </w:pPr>
                        <w:r>
                          <w:rPr>
                            <w:rFonts w:eastAsia="Calibri"/>
                            <w:color w:val="000000"/>
                            <w:szCs w:val="24"/>
                          </w:rPr>
                          <w:t xml:space="preserve">2025 m. sukurtas trumpas filmukas, kuriame paprastai ir aiškiai pasakojama, kas yra neformalusis suaugusiųjų švietimas, kodėl jis toks svarbus kiekvienam iš mūsų ir kokias galimybes mokytis turi suaugusieji Radviliškio rajone.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12.1.1.14. Studijų rėmimo programos</w:t>
                        </w:r>
                        <w:r>
                          <w:rPr>
                            <w:color w:val="000000"/>
                            <w:szCs w:val="24"/>
                          </w:rPr>
                          <w:t xml:space="preserve"> koordinavimas</w:t>
                        </w:r>
                        <w:r>
                          <w:rPr>
                            <w:rFonts w:eastAsia="Calibri"/>
                            <w:szCs w:val="24"/>
                          </w:rPr>
                          <w:t xml:space="preserve"> (skirtų stipendijų studentams skaičius) (SVP 2-1-1-35)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8 studentai</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4 studentai</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8 studentai</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13,7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11,5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color w:val="000000"/>
                            <w:szCs w:val="24"/>
                          </w:rPr>
                        </w:pPr>
                        <w:r>
                          <w:rPr>
                            <w:iCs/>
                            <w:color w:val="000000"/>
                            <w:szCs w:val="24"/>
                          </w:rPr>
                          <w:t xml:space="preserve">2025 m. buvo mokamos stipendijos 7 studentams ir vienai studentei buvo išmokėtas dalinis studijų finansavimas (50 % studijų programos kainos). </w:t>
                        </w:r>
                        <w:r>
                          <w:rPr>
                            <w:color w:val="000000"/>
                            <w:szCs w:val="24"/>
                          </w:rPr>
                          <w:t>(Švietimo ir sporto skyrius)</w:t>
                        </w:r>
                      </w:p>
                    </w:tc>
                  </w:tr>
                  <w:tr>
                    <w:trPr>
                      <w:trHeight w:val="264"/>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lang w:eastAsia="lt-LT"/>
                          </w:rPr>
                          <w:t xml:space="preserve">12.1.1.16. ESFA projekto „Ankstyvojo ugdymo užtikrinimas vaikams iš socialinę riziką patiriančių šeimų“ įgyvendinimas, į projektą įtraukiant ikimokyklinio ir priešmokyklinio amžiaus vaikus </w:t>
                        </w:r>
                        <w:r>
                          <w:rPr>
                            <w:szCs w:val="24"/>
                          </w:rPr>
                          <w:t>(vidutinis projekte dalyvavusių vaikų skaičius)</w:t>
                        </w:r>
                        <w:r>
                          <w:rPr>
                            <w:szCs w:val="24"/>
                            <w:lang w:eastAsia="lt-LT"/>
                          </w:rPr>
                          <w:t xml:space="preserve"> (SVP 2-1-1-22)</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100 vaikų</w:t>
                        </w:r>
                      </w:p>
                      <w:p>
                        <w:pPr>
                          <w:rPr>
                            <w:szCs w:val="24"/>
                          </w:rPr>
                        </w:pP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99 vaikai</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84</w:t>
                        </w:r>
                      </w:p>
                      <w:p>
                        <w:pPr>
                          <w:rPr>
                            <w:szCs w:val="24"/>
                          </w:rPr>
                        </w:pPr>
                        <w:r>
                          <w:rPr>
                            <w:szCs w:val="24"/>
                          </w:rPr>
                          <w:t>vaikai</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198,6</w:t>
                        </w:r>
                      </w:p>
                      <w:p>
                        <w:pPr>
                          <w:rPr>
                            <w:szCs w:val="24"/>
                          </w:rPr>
                        </w:pPr>
                        <w:r>
                          <w:rPr>
                            <w:szCs w:val="24"/>
                          </w:rPr>
                          <w:t>ES ir VB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224,949 ES ir VB</w:t>
                        </w:r>
                      </w:p>
                      <w:p>
                        <w:pPr>
                          <w:rPr>
                            <w:szCs w:val="24"/>
                          </w:rPr>
                        </w:pP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Planuotas rodiklis nepasiektas – yra mažesnis 16 vaikų. Pagrindinės to priežastys: tėvų nenoras, kad vaikas dalyvautų projekte; daug mažesnis vaikų lankomumas vasaros laikotarpiu. </w:t>
                        </w:r>
                      </w:p>
                      <w:p>
                        <w:pPr>
                          <w:rPr>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lang w:eastAsia="lt-LT"/>
                          </w:rPr>
                          <w:t>12.1.1.17.</w:t>
                        </w:r>
                        <w:r>
                          <w:rPr>
                            <w:rFonts w:eastAsia="Calibri"/>
                            <w:color w:val="000000"/>
                            <w:szCs w:val="24"/>
                          </w:rPr>
                          <w:t xml:space="preserve"> Pateikta</w:t>
                        </w:r>
                        <w:r>
                          <w:rPr>
                            <w:color w:val="000000"/>
                            <w:szCs w:val="24"/>
                            <w:lang w:eastAsia="lt-LT"/>
                          </w:rPr>
                          <w:t xml:space="preserve"> </w:t>
                        </w:r>
                        <w:r>
                          <w:rPr>
                            <w:rFonts w:eastAsia="Calibri"/>
                            <w:color w:val="000000"/>
                            <w:szCs w:val="24"/>
                          </w:rPr>
                          <w:t>paraiška „Erasmus“ akreditacijai</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color w:val="000000"/>
                            <w:szCs w:val="24"/>
                          </w:rPr>
                        </w:pPr>
                        <w:r>
                          <w:rPr>
                            <w:iCs/>
                            <w:color w:val="000000"/>
                            <w:szCs w:val="24"/>
                          </w:rPr>
                          <w:t xml:space="preserve">2025 m. rugsėjo 29 d. pateikta Erasmus accreditation in school education (KA120-SCH), paraiškos Nr. 2025-1-LT01-KA120-SCH-000376275). Iš 43 teikėjų akreditaciją gavo – 16. Organizacijai programos „Erasmus+“ akreditacija nebuvo suteikta.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12.1.1.18. Bendrojo ugdymo mokyklų pirmokų skatinimas mokymo priemonėmis (Bendrojo ugdymo mokyklų pirmų klasių mokinių skaičius) (SVP 1-1-1-5)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267 pirmokai</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360 pirmokų</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270 pirmokų</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color w:val="000000"/>
                            <w:szCs w:val="24"/>
                          </w:rPr>
                          <w:t>270 pirmokų</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19,4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18,9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12.1.1.19. Projekto „Visos dienos mokyklos paslaugų prieinamumo didinimas“ koordinavimas (projekto veiklose dalyvaujančių mokyklų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 xml:space="preserve">Pateiktas projekto „Visos dienos mokyklos paslaugų prieinamumo didinimas“ įgyvendinimo planas finansavimui gauti. Projektas į finansuojamų projektų sąrašą nepateko.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12.1.1.20. Bendrojo ugdymo mokyklų kompiuterių infrastruktūros stebėsena (bendrojo ugdymo mokyklų kompiuterių skaičius 100-ui mokinių)</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42</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44</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48</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12.1.1.21. Radviliškio plaukimo baseino veiklos koordinavimas (pradinio ugdymo mokinių dalis, dalyvaujančių „Mokymosi plaukti“ programoje)</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24</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22</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23</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22</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Planuotas rodiklis nepasiektas, dėl mažėjančio mokinių skaičiaus.</w:t>
                        </w:r>
                      </w:p>
                      <w:p>
                        <w:pPr>
                          <w:rPr>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lang w:eastAsia="lt-LT"/>
                          </w:rPr>
                          <w:t>12.1.1.22. Įdiegta ir naudojama centralizuoto vaikų registracijos ir priėmimo į savivaldybės švietimo įstaigų ikimokyklinio ir priešmokyklinio ugdymo grupes informacinė sistema.</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10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8,1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Įvykdytas viešasis pirkimas ir 2025-05-08 sudaryta paslaugų teikimo sutartis Nr. SUT-2025-564 (11.31E), sutaupyta 1868,8 Eur.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12.1.1.23. Bendrojo ugdymo mokyklų mokinių pavėžėjimo koordinavimas (pavežamų mokinių dalis nuo bendro mokinių skaičiaus)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30</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33</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2025 m. padaugėjo bendrojo ugdymo mokinių, kuriems buvo suteikta pavėžėjimo paslauga. (Švietimo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12.1.1.24. Pažangos finansavimas įsigyjant mokyklinius autobusus (įsigytų mokyklinių autobusų skaičius vnt.) (SVP 2-1-1-31)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68 VB</w:t>
                        </w:r>
                      </w:p>
                      <w:p>
                        <w:pPr>
                          <w:rPr>
                            <w:szCs w:val="24"/>
                          </w:rPr>
                        </w:pPr>
                        <w:r>
                          <w:rPr>
                            <w:iCs/>
                            <w:szCs w:val="24"/>
                          </w:rPr>
                          <w:t>40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68 VB</w:t>
                        </w:r>
                      </w:p>
                      <w:p>
                        <w:pPr>
                          <w:rPr>
                            <w:szCs w:val="24"/>
                          </w:rPr>
                        </w:pPr>
                        <w:r>
                          <w:rPr>
                            <w:iCs/>
                            <w:szCs w:val="24"/>
                          </w:rPr>
                          <w:t>12,5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Planuotas rodiklis pasiektas, įsigytas mokyklinis autobusas.</w:t>
                        </w:r>
                      </w:p>
                      <w:p>
                        <w:pPr>
                          <w:rPr>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12.1.1.25. Kelionių į darbą ir atgal iš darbo dalinės kompensacijos švietimo įstaigų vadovams koordinavimas (parengtų teisės aktų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Planuotas rodiklis pasiektas, parengtas vienas Radviliškio rajono savivaldybės mero potvarkis.</w:t>
                        </w:r>
                      </w:p>
                      <w:p>
                        <w:pPr>
                          <w:rPr>
                            <w:szCs w:val="24"/>
                          </w:rPr>
                        </w:pPr>
                        <w:r>
                          <w:rPr>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12.1.1.26. STEAM sutarčių sudarymas (sudarytų sutarčių skaičius) (SVP 2-1-1-36)</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11</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11</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15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15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 xml:space="preserve">2025 m. bendrojo ugdymo mokyklų mokiniai gilino žinias STEAM centruose. </w:t>
                        </w: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12.1.1.27. Gražinos pagrindinės mokyklos specialiųjų klasių ir Šeduvos gimnazijos specialiojo skyriaus finansavimas (klasių komplektų skaičius) (SVP 2-1-1)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 xml:space="preserve">9 </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 xml:space="preserve">9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100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100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 xml:space="preserve">12.1.1.28. </w:t>
                        </w:r>
                        <w:r>
                          <w:rPr>
                            <w:szCs w:val="24"/>
                          </w:rPr>
                          <w:t>Ugdymo turinio atnaujinimo finansavimas ugdymo įstaigose (ugdymo įstaigų skaičius) (SVP 2-1-1-26)</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10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12.1.1.29. Tarptautinių mainų programų mokiniams finansavimas (ugdymo įstaigų skaičius) (SVP 1-1-1-5)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20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20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12.1.1.30. Mokinių individualaus mokymo ir konsultavimo koordinavimas (dalykinių konsultacijų mokiniams skaičius) (SVP 1-1-1-5)</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500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40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40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5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5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Planuotas rodiklis nepasiektas. Individualiomis konsultacijomis pasinaudojo daug mažiau mokinių.</w:t>
                        </w:r>
                      </w:p>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12.1.1.31. Projekto „Ugdymo priemonės mokykloms“ koordinavimas (ugdymo įstaigų skaičius) (SVP 2-1-1)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7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7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7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7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7,7 VB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7,7 VB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12.1.1.32. Švietimo įstaigų finansavimas (įstaigų skaičius) (SVP 2-1-1)</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18</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18</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220,3 VB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220,3 VB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Cs/>
                            <w:szCs w:val="24"/>
                          </w:rPr>
                        </w:pPr>
                        <w:r>
                          <w:rPr>
                            <w:iCs/>
                            <w:szCs w:val="24"/>
                          </w:rPr>
                          <w:t>2025 m. iš Lietuvos Respublikos valstybės biudžeto lėšų, skirta pedagoginių darbuotojų, dirbančių pagal ikimokyklinio, priešmokyklinio ir neformaliojo vaikų švietimo programas, padidintam darbo užmokesčiui nuo 2025 m. sausio 1 d. mokėti.</w:t>
                        </w:r>
                        <w:r>
                          <w:rPr>
                            <w:color w:val="000000"/>
                            <w:szCs w:val="24"/>
                          </w:rPr>
                          <w:t>(Švietimo ir sporto skyrius)</w:t>
                        </w:r>
                      </w:p>
                    </w:tc>
                  </w:tr>
                  <w:tr>
                    <w:trPr>
                      <w:trHeight w:val="31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rFonts w:eastAsia="Calibri"/>
                            <w:b/>
                            <w:bCs/>
                            <w:szCs w:val="24"/>
                          </w:rPr>
                          <w:t>1.2. Uždavinys.</w:t>
                        </w:r>
                        <w:r>
                          <w:rPr>
                            <w:rFonts w:eastAsia="Calibri"/>
                            <w:szCs w:val="24"/>
                          </w:rPr>
                          <w:t xml:space="preserve"> Vykdyti tikslingą bendrojo ugdymo įstaigų veiklos priežiūrą, orientuotą į veiklos kokybės gerinimą.</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lang w:eastAsia="lt-LT"/>
                          </w:rPr>
                          <w:t>12.1.2.1. Patikrų, padedančių užtikrinti švietimo įstaigų veiklos kokybę,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45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20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43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50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iCs/>
                            <w:szCs w:val="24"/>
                          </w:rPr>
                        </w:pPr>
                        <w:r>
                          <w:rPr>
                            <w:iCs/>
                            <w:szCs w:val="24"/>
                          </w:rPr>
                          <w:t xml:space="preserve">Mokyklų, vykdžiusių NMPP, patikrų skaičius – 27; mokyklų, vykdžiusių PUPP, patikrų skaičius – 10; patikrintų VBE vykdymo centrų skaičius – 8; mokyklų, vykdančių fizinio ugdymo, matematikos, pilietiškumo pagrindų, užsienio kalbų bendrąsias programas, patikrų skaičius – 5. </w:t>
                        </w:r>
                        <w:r>
                          <w:rPr>
                            <w:color w:val="000000"/>
                            <w:szCs w:val="24"/>
                          </w:rPr>
                          <w:t>(Švietimo ir sporto skyrius)</w:t>
                        </w:r>
                      </w:p>
                    </w:tc>
                  </w:tr>
                  <w:tr>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rFonts w:eastAsia="Calibri"/>
                            <w:b/>
                            <w:bCs/>
                            <w:szCs w:val="24"/>
                          </w:rPr>
                          <w:t>3. Tikslas.</w:t>
                        </w:r>
                        <w:r>
                          <w:rPr>
                            <w:rFonts w:eastAsia="Calibri"/>
                            <w:szCs w:val="24"/>
                          </w:rPr>
                          <w:t xml:space="preserve"> </w:t>
                        </w:r>
                        <w:r>
                          <w:rPr>
                            <w:szCs w:val="24"/>
                          </w:rPr>
                          <w:t>Efektyvaus tarpinstitucinio bendradarbiavimo plėtojimas su Savivaldybėje veikiančiomis įstaigomis, institucijomis, organizacijomis, dirbančiomis vaiko ir šeimos gerovės srityje.</w:t>
                        </w:r>
                      </w:p>
                    </w:tc>
                  </w:tr>
                  <w:tr>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b/>
                            <w:bCs/>
                            <w:szCs w:val="24"/>
                          </w:rPr>
                          <w:t>3.1. Uždavinys.</w:t>
                        </w:r>
                        <w:r>
                          <w:rPr>
                            <w:rFonts w:eastAsia="Calibri"/>
                            <w:szCs w:val="24"/>
                          </w:rPr>
                          <w:t xml:space="preserve"> Aktyvinti ir skatinti tarpinstitucinį bendradarbiavimą vaiko ir šeimos gerovės užtikrinimui, inicijuoti įstatymu numatytų pagalbos priemonių taikymą ir paslaugų teikimą laikantis geriausių vaiko interesų, individualizavimo bei visapusiškumo principų.</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rFonts w:eastAsia="Calibri"/>
                            <w:szCs w:val="24"/>
                          </w:rPr>
                          <w:t xml:space="preserve">12.3.1.1. </w:t>
                        </w:r>
                        <w:r>
                          <w:rPr>
                            <w:color w:val="000000"/>
                            <w:szCs w:val="24"/>
                          </w:rPr>
                          <w:t>Savivaldybės administracijos Vaiko gerovės komisijos posėdžių organizavimas (organizuotų posėdžių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12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16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16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16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rFonts w:eastAsia="Calibri"/>
                            <w:szCs w:val="24"/>
                          </w:rPr>
                          <w:t xml:space="preserve">12.3.1.2. </w:t>
                        </w:r>
                        <w:r>
                          <w:rPr>
                            <w:szCs w:val="24"/>
                          </w:rPr>
                          <w:t>Suorganizuotų tarpinstitucinių pasitarimų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3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lang w:eastAsia="lt-LT"/>
                          </w:rPr>
                        </w:pPr>
                        <w:r>
                          <w:rPr>
                            <w:color w:val="000000"/>
                            <w:szCs w:val="24"/>
                            <w:lang w:eastAsia="lt-LT"/>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FF0000"/>
                            <w:szCs w:val="24"/>
                            <w:lang w:eastAsia="lt-LT"/>
                          </w:rPr>
                        </w:pPr>
                        <w:r>
                          <w:rPr>
                            <w:rFonts w:eastAsia="Calibri"/>
                            <w:szCs w:val="24"/>
                            <w:lang w:eastAsia="lt-LT"/>
                          </w:rPr>
                          <w:t xml:space="preserve">12.3.1.3. </w:t>
                        </w:r>
                        <w:r>
                          <w:rPr>
                            <w:szCs w:val="24"/>
                            <w:lang w:eastAsia="lt-LT"/>
                          </w:rPr>
                          <w:t>Priemonių, padedančių užtikrinti vaiko ir jo šeimos gerovę,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iCs/>
                            <w:szCs w:val="24"/>
                            <w:lang w:eastAsia="lt-LT"/>
                          </w:rPr>
                          <w:t>4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iCs/>
                            <w:szCs w:val="24"/>
                            <w:lang w:eastAsia="lt-LT"/>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 xml:space="preserve">1. Išnagrinėta prašymų dėl koordinuotai teikiamų paslaugų vaikui ir jo atstovams pagal įstatymą skyrimo/neskyrimo (prašymų skaičius – 5 vnt.), pratęsimo (prašymų skaičius – 1 vnt.); 2. Išnagrinėta prašymų ir teikti pasiūlymai Radviliškio rajono savivaldybės merui dėl privalomo ikimokyklinio ugdymo skyrimo mažamečiams (prašymų skaičius – 6 vnt.) ir nutraukimo (prašymų skaičius – 1 vnt.); 3. Išnagrinėta prašymų ir pateikti siūlymai Radviliškio rajono savivaldybės merui dėl minimalios ir vidutinės  priežiūros priemonių skyrimo, tęsimo, panaikinimo (prašymų skaičius – 41 vnt.) 4. Pagalbos teikimas padedant spręsti iškilusias problemas vaikui ir jo šeimai kartu su Radviliškio rajono savivaldybės institucijomis, atsakingomis už vaiko ir šeimos gerovę (atvejų skaičius – 8 vnt.) (Švietimo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100" w:type="dxa"/>
                          <w:bottom w:w="0" w:type="dxa"/>
                          <w:right w:w="100" w:type="dxa"/>
                        </w:tcMar>
                      </w:tcPr>
                      <w:p>
                        <w:pPr>
                          <w:rPr>
                            <w:szCs w:val="24"/>
                            <w:lang w:eastAsia="lt-LT"/>
                          </w:rPr>
                        </w:pPr>
                        <w:r>
                          <w:rPr>
                            <w:color w:val="000000"/>
                            <w:szCs w:val="24"/>
                            <w:lang w:eastAsia="lt-LT"/>
                          </w:rPr>
                          <w:t>12.3.1.4. Metodinės bei kitos tikslinės pagalbos ugdymo įstaigų Vaiko gerovės komisijoms teikimas (atvejų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4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shd w:val="clear" w:color="auto" w:fill="FFFFFF"/>
                          </w:rPr>
                        </w:pPr>
                        <w:r>
                          <w:rPr>
                            <w:szCs w:val="24"/>
                          </w:rPr>
                          <w:t xml:space="preserve">12.3.1.5. Mokymų organizavimas vaiko gerovės srityje dirbantiems specialistams (SVP 01-01-01-05) </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SB</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Mokymams skirtos lėšos panaudotos projekto </w:t>
                        </w:r>
                        <w:r>
                          <w:rPr>
                            <w:szCs w:val="24"/>
                            <w:lang w:eastAsia="lt-LT"/>
                          </w:rPr>
                          <w:t xml:space="preserve">„Švietimo pagalbos ir koordinuotai teikiamų paslaugų plėtra Radviliškio rajone“ įgyvendinimo plano parengimui. Plano veiklose suplanuoti mokymai </w:t>
                        </w:r>
                        <w:r>
                          <w:rPr>
                            <w:szCs w:val="24"/>
                          </w:rPr>
                          <w:t>vaiko gerovės srityje dirbantiems specialistams. (Švietimo ir sporto skyrius)</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12.3.1.6. Projekto </w:t>
                        </w:r>
                        <w:r>
                          <w:rPr>
                            <w:szCs w:val="24"/>
                            <w:lang w:eastAsia="lt-LT"/>
                          </w:rPr>
                          <w:t>„Švietimo pagalbos ir koordinuotai teikiamų paslaugų plėtra Radviliškio rajone“ įgyvendinimo plano parengimas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1 SB</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highlight w:val="lightGray"/>
                          </w:rPr>
                        </w:pPr>
                        <w:r>
                          <w:rPr>
                            <w:szCs w:val="24"/>
                          </w:rPr>
                          <w:t>(Švietimo ir sporto skyrius)</w:t>
                        </w:r>
                      </w:p>
                    </w:tc>
                  </w:tr>
                  <w:tr>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rFonts w:eastAsia="Calibri"/>
                            <w:b/>
                            <w:bCs/>
                            <w:szCs w:val="24"/>
                          </w:rPr>
                          <w:t>3.2. Uždavinys.</w:t>
                        </w:r>
                        <w:r>
                          <w:rPr>
                            <w:rFonts w:eastAsia="Calibri"/>
                            <w:szCs w:val="24"/>
                          </w:rPr>
                          <w:t xml:space="preserve"> Sistemingai informuoti visuomenę apie įstaigų, institucijų, organizacijų dirbančių švietimo, socialinės ir sveikatos priežiūros srityse, teikiamas paslaugas vaikui ir šeimai.</w:t>
                        </w:r>
                      </w:p>
                    </w:tc>
                  </w:tr>
                  <w:tr>
                    <w:trPr>
                      <w:trHeight w:val="465"/>
                    </w:trPr>
                    <w:tc>
                      <w:tcPr>
                        <w:tcW w:w="48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12.3.2.1. Priemonių, padedančių informuoti v</w:t>
                        </w:r>
                        <w:r>
                          <w:rPr>
                            <w:szCs w:val="24"/>
                            <w:lang w:eastAsia="lt-LT"/>
                          </w:rPr>
                          <w:t xml:space="preserve">isuomenę  apie įstaigų, institucijų, organizacijų dirbančių švietimo, socialinės ir sveikatos priežiūros srityse, teikiamas paslaugas vaikui ir šeimai, skaičius</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vnt.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2 vnt.</w:t>
                        </w:r>
                      </w:p>
                    </w:tc>
                    <w:tc>
                      <w:tcPr>
                        <w:tcW w:w="85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iCs/>
                            <w:szCs w:val="24"/>
                          </w:rPr>
                          <w:t>-</w:t>
                        </w:r>
                      </w:p>
                    </w:tc>
                    <w:tc>
                      <w:tcPr>
                        <w:tcW w:w="524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color w:val="000000"/>
                            <w:szCs w:val="24"/>
                          </w:rPr>
                        </w:pPr>
                        <w:r>
                          <w:rPr>
                            <w:color w:val="000000"/>
                            <w:szCs w:val="24"/>
                          </w:rPr>
                          <w:t xml:space="preserve">1. Atnaujinta informacija Radviliškio rajono savivaldybės puslapyje </w:t>
                        </w:r>
                        <w:r>
                          <w:rPr>
                            <w:color w:val="467886"/>
                            <w:szCs w:val="24"/>
                            <w:u w:val="single"/>
                          </w:rPr>
                          <w:t>www.radviliskis.lt</w:t>
                        </w:r>
                        <w:r>
                          <w:rPr>
                            <w:color w:val="000000"/>
                            <w:szCs w:val="24"/>
                          </w:rPr>
                          <w:t>; 2. 9 asmenims suteiktos konsultacijos apie vaiko minimalios ir vidutinės priežiūros priemones bei koordinuotai teikiamas paslaugas. (Švietimo ir sporto skyrius)</w:t>
                        </w:r>
                      </w:p>
                    </w:tc>
                  </w:tr>
                </w:tbl>
                <w:p>
                  <w:pPr>
                    <w:ind w:firstLine="851"/>
                    <w:rPr>
                      <w:b/>
                      <w:szCs w:val="24"/>
                    </w:rPr>
                  </w:pPr>
                </w:p>
              </w:sdtContent>
            </w:sdt>
            <w:sdt>
              <w:sdtPr>
                <w:alias w:val="poskyris"/>
                <w:tag w:val="part_8857a20c93e44030ad91c009917282db"/>
                <w:lock w:val="sdtLocked"/>
                <w:richText/>
              </w:sdtPr>
              <w:sdtContent>
                <w:p>
                  <w:pPr>
                    <w:ind w:firstLine="851"/>
                    <w:rPr>
                      <w:b/>
                      <w:szCs w:val="24"/>
                    </w:rPr>
                  </w:pPr>
                  <w:sdt>
                    <w:sdtPr>
                      <w:alias w:val="Pavadinimas"/>
                      <w:tag w:val="title_8857a20c93e44030ad91c009917282db"/>
                      <w:lock w:val="sdtLocked"/>
                      <w:richText/>
                    </w:sdtPr>
                    <w:sdtContent>
                      <w:r>
                        <w:rPr>
                          <w:b/>
                          <w:szCs w:val="24"/>
                        </w:rPr>
                        <w:t>3 programa. Socialinių paslaugų ir socialinės paramos teikimo programa</w:t>
                      </w:r>
                    </w:sdtContent>
                  </w:sdt>
                </w:p>
                <w:p>
                  <w:pPr>
                    <w:rPr>
                      <w:b/>
                      <w:szCs w:val="24"/>
                    </w:rPr>
                  </w:pPr>
                </w:p>
                <w:p>
                  <w:pPr>
                    <w:ind w:firstLine="851"/>
                    <w:rPr>
                      <w:b/>
                      <w:szCs w:val="24"/>
                    </w:rPr>
                  </w:pPr>
                  <w:r>
                    <w:rPr>
                      <w:szCs w:val="24"/>
                    </w:rPr>
                    <w:t xml:space="preserve">Įgyvendinant šios programos tikslus, siekiama užtikrinti socialiai pažeidžiamų gyventojų grupių socialinę integraciją bei efektyvią socialinę apsaugą. </w:t>
                  </w:r>
                </w:p>
                <w:p>
                  <w:pPr>
                    <w:rPr>
                      <w:b/>
                      <w:szCs w:val="24"/>
                    </w:rPr>
                  </w:pPr>
                </w:p>
                <w:p>
                  <w:pPr>
                    <w:rPr>
                      <w:bCs/>
                      <w:szCs w:val="24"/>
                    </w:rPr>
                  </w:pPr>
                  <w:r>
                    <w:rPr>
                      <w:b/>
                      <w:szCs w:val="24"/>
                    </w:rPr>
                    <w:t>3 lentelė.</w:t>
                  </w:r>
                  <w:r>
                    <w:rPr>
                      <w:i/>
                      <w:szCs w:val="24"/>
                    </w:rPr>
                    <w:t xml:space="preserve"> </w:t>
                  </w:r>
                  <w:r>
                    <w:rPr>
                      <w:bCs/>
                      <w:szCs w:val="24"/>
                    </w:rPr>
                    <w:t>3 programos strateginių ir (arba) metų veiklos tikslų įgyvendinimo rodikliai.</w:t>
                  </w: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851"/>
                    <w:gridCol w:w="850"/>
                    <w:gridCol w:w="993"/>
                    <w:gridCol w:w="850"/>
                    <w:gridCol w:w="992"/>
                    <w:gridCol w:w="142"/>
                    <w:gridCol w:w="992"/>
                    <w:gridCol w:w="5387"/>
                  </w:tblGrid>
                  <w:tr>
                    <w:tc>
                      <w:tcPr>
                        <w:tcW w:w="4111" w:type="dxa"/>
                        <w:vMerge w:val="restart"/>
                        <w:shd w:val="clear" w:color="auto" w:fill="DBE5F1"/>
                        <w:vAlign w:val="center"/>
                      </w:tcPr>
                      <w:p>
                        <w:pPr>
                          <w:rPr>
                            <w:b/>
                            <w:color w:val="000000"/>
                            <w:szCs w:val="24"/>
                          </w:rPr>
                        </w:pPr>
                        <w:r>
                          <w:rPr>
                            <w:b/>
                            <w:color w:val="000000"/>
                            <w:szCs w:val="24"/>
                          </w:rPr>
                          <w:t>Priemonės ir(arba) rodiklio kodas ir pavadinimas</w:t>
                        </w:r>
                      </w:p>
                      <w:p>
                        <w:pPr>
                          <w:ind w:firstLine="62"/>
                          <w:rPr>
                            <w:b/>
                            <w:color w:val="000000"/>
                            <w:szCs w:val="24"/>
                          </w:rPr>
                        </w:pPr>
                        <w:r>
                          <w:rPr>
                            <w:b/>
                            <w:color w:val="000000"/>
                            <w:szCs w:val="24"/>
                          </w:rPr>
                          <w:t>(Sąsaja su Savivaldybės planavimo dokumentais) s</w:t>
                        </w:r>
                      </w:p>
                    </w:tc>
                    <w:tc>
                      <w:tcPr>
                        <w:tcW w:w="851" w:type="dxa"/>
                        <w:vMerge w:val="restart"/>
                        <w:shd w:val="clear" w:color="auto" w:fill="DBE5F1"/>
                        <w:textDirection w:val="btLr"/>
                        <w:vAlign w:val="center"/>
                      </w:tcPr>
                      <w:p>
                        <w:pPr>
                          <w:ind w:left="113" w:right="113"/>
                          <w:rPr>
                            <w:b/>
                            <w:color w:val="000000"/>
                            <w:szCs w:val="24"/>
                          </w:rPr>
                        </w:pPr>
                        <w:r>
                          <w:rPr>
                            <w:b/>
                            <w:color w:val="000000"/>
                            <w:szCs w:val="24"/>
                          </w:rPr>
                          <w:t xml:space="preserve">Planuota reikšmė, matavimo vienetas </w:t>
                        </w:r>
                      </w:p>
                    </w:tc>
                    <w:tc>
                      <w:tcPr>
                        <w:tcW w:w="2693" w:type="dxa"/>
                        <w:gridSpan w:val="3"/>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2126" w:type="dxa"/>
                        <w:gridSpan w:val="3"/>
                        <w:shd w:val="clear" w:color="auto" w:fill="DBE5F1"/>
                        <w:vAlign w:val="center"/>
                      </w:tcPr>
                      <w:p>
                        <w:pPr>
                          <w:rPr>
                            <w:b/>
                            <w:color w:val="000000"/>
                            <w:szCs w:val="24"/>
                          </w:rPr>
                        </w:pPr>
                        <w:r>
                          <w:rPr>
                            <w:b/>
                            <w:color w:val="000000"/>
                            <w:szCs w:val="24"/>
                          </w:rPr>
                          <w:t>Finansavimas (tūkst. Eur),</w:t>
                        </w:r>
                      </w:p>
                      <w:p>
                        <w:pPr>
                          <w:rPr>
                            <w:rFonts w:eastAsia="Calibri"/>
                            <w:b/>
                            <w:color w:val="000000"/>
                            <w:szCs w:val="24"/>
                          </w:rPr>
                        </w:pPr>
                        <w:r>
                          <w:rPr>
                            <w:b/>
                            <w:color w:val="000000"/>
                            <w:szCs w:val="24"/>
                          </w:rPr>
                          <w:t>asignavimų šaltinis</w:t>
                        </w:r>
                      </w:p>
                    </w:tc>
                    <w:tc>
                      <w:tcPr>
                        <w:tcW w:w="5387"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p>
                        <w:pPr>
                          <w:rPr>
                            <w:b/>
                            <w:color w:val="000000"/>
                            <w:szCs w:val="24"/>
                          </w:rPr>
                        </w:pPr>
                      </w:p>
                    </w:tc>
                  </w:tr>
                  <w:tr>
                    <w:trPr>
                      <w:cantSplit/>
                      <w:trHeight w:val="1516"/>
                    </w:trPr>
                    <w:tc>
                      <w:tcPr>
                        <w:tcW w:w="4111" w:type="dxa"/>
                        <w:vMerge/>
                        <w:shd w:val="clear" w:color="auto" w:fill="DBE5F1"/>
                        <w:vAlign w:val="center"/>
                      </w:tcPr>
                      <w:p>
                        <w:pPr>
                          <w:rPr>
                            <w:b/>
                            <w:color w:val="000000"/>
                            <w:szCs w:val="24"/>
                          </w:rPr>
                        </w:pPr>
                      </w:p>
                    </w:tc>
                    <w:tc>
                      <w:tcPr>
                        <w:tcW w:w="851" w:type="dxa"/>
                        <w:vMerge/>
                        <w:shd w:val="clear" w:color="auto" w:fill="DBE5F1"/>
                        <w:vAlign w:val="center"/>
                      </w:tcPr>
                      <w:p>
                        <w:pPr>
                          <w:rPr>
                            <w:b/>
                            <w:color w:val="000000"/>
                            <w:szCs w:val="24"/>
                          </w:rPr>
                        </w:pPr>
                      </w:p>
                    </w:tc>
                    <w:tc>
                      <w:tcPr>
                        <w:tcW w:w="850" w:type="dxa"/>
                        <w:shd w:val="clear" w:color="auto" w:fill="DBE5F1"/>
                        <w:vAlign w:val="center"/>
                      </w:tcPr>
                      <w:p>
                        <w:pPr>
                          <w:rPr>
                            <w:b/>
                            <w:color w:val="000000"/>
                            <w:szCs w:val="24"/>
                          </w:rPr>
                        </w:pPr>
                        <w:r>
                          <w:rPr>
                            <w:b/>
                            <w:color w:val="000000"/>
                            <w:szCs w:val="24"/>
                          </w:rPr>
                          <w:t>2023 metai</w:t>
                        </w:r>
                      </w:p>
                    </w:tc>
                    <w:tc>
                      <w:tcPr>
                        <w:tcW w:w="993" w:type="dxa"/>
                        <w:shd w:val="clear" w:color="auto" w:fill="DBE5F1"/>
                        <w:vAlign w:val="center"/>
                      </w:tcPr>
                      <w:p>
                        <w:pPr>
                          <w:rPr>
                            <w:b/>
                            <w:color w:val="000000"/>
                            <w:szCs w:val="24"/>
                          </w:rPr>
                        </w:pPr>
                        <w:r>
                          <w:rPr>
                            <w:b/>
                            <w:color w:val="000000"/>
                            <w:szCs w:val="24"/>
                          </w:rPr>
                          <w:t>2024 metai</w:t>
                        </w:r>
                      </w:p>
                    </w:tc>
                    <w:tc>
                      <w:tcPr>
                        <w:tcW w:w="850" w:type="dxa"/>
                        <w:shd w:val="clear" w:color="auto" w:fill="DBE5F1"/>
                        <w:vAlign w:val="center"/>
                      </w:tcPr>
                      <w:p>
                        <w:pPr>
                          <w:rPr>
                            <w:b/>
                            <w:iCs/>
                            <w:color w:val="000000"/>
                            <w:szCs w:val="24"/>
                          </w:rPr>
                        </w:pPr>
                        <w:r>
                          <w:rPr>
                            <w:b/>
                            <w:iCs/>
                            <w:color w:val="000000"/>
                            <w:szCs w:val="24"/>
                          </w:rPr>
                          <w:t>2025 metai</w:t>
                        </w:r>
                      </w:p>
                    </w:tc>
                    <w:tc>
                      <w:tcPr>
                        <w:tcW w:w="1134" w:type="dxa"/>
                        <w:gridSpan w:val="2"/>
                        <w:shd w:val="clear" w:color="auto" w:fill="DBE5F1"/>
                        <w:textDirection w:val="btLr"/>
                        <w:vAlign w:val="center"/>
                      </w:tcPr>
                      <w:p>
                        <w:pPr>
                          <w:ind w:left="113" w:right="113"/>
                          <w:rPr>
                            <w:b/>
                            <w:color w:val="000000"/>
                            <w:szCs w:val="24"/>
                          </w:rPr>
                        </w:pPr>
                        <w:r>
                          <w:rPr>
                            <w:b/>
                            <w:color w:val="000000"/>
                            <w:szCs w:val="24"/>
                          </w:rPr>
                          <w:t>Patvirtintas planas</w:t>
                        </w:r>
                      </w:p>
                    </w:tc>
                    <w:tc>
                      <w:tcPr>
                        <w:tcW w:w="992" w:type="dxa"/>
                        <w:shd w:val="clear" w:color="auto" w:fill="DBE5F1"/>
                        <w:textDirection w:val="btLr"/>
                        <w:vAlign w:val="center"/>
                      </w:tcPr>
                      <w:p>
                        <w:pPr>
                          <w:ind w:left="113" w:right="113"/>
                          <w:rPr>
                            <w:b/>
                            <w:color w:val="000000"/>
                            <w:szCs w:val="24"/>
                          </w:rPr>
                        </w:pPr>
                        <w:r>
                          <w:rPr>
                            <w:b/>
                            <w:color w:val="000000"/>
                            <w:szCs w:val="24"/>
                          </w:rPr>
                          <w:t xml:space="preserve">Įvykdymas, asignavimų šaltinis </w:t>
                        </w:r>
                      </w:p>
                    </w:tc>
                    <w:tc>
                      <w:tcPr>
                        <w:tcW w:w="5387" w:type="dxa"/>
                        <w:vMerge/>
                        <w:shd w:val="clear" w:color="auto" w:fill="DBE5F1"/>
                        <w:vAlign w:val="center"/>
                      </w:tcPr>
                      <w:p>
                        <w:pPr>
                          <w:rPr>
                            <w:b/>
                            <w:color w:val="000000"/>
                            <w:szCs w:val="24"/>
                          </w:rPr>
                        </w:pPr>
                      </w:p>
                    </w:tc>
                  </w:tr>
                  <w:tr>
                    <w:trPr>
                      <w:trHeight w:val="108"/>
                    </w:trPr>
                    <w:tc>
                      <w:tcPr>
                        <w:tcW w:w="4111" w:type="dxa"/>
                        <w:shd w:val="clear" w:color="auto" w:fill="DBE5F1"/>
                      </w:tcPr>
                      <w:p>
                        <w:pPr>
                          <w:rPr>
                            <w:color w:val="000000"/>
                            <w:szCs w:val="24"/>
                          </w:rPr>
                        </w:pPr>
                        <w:r>
                          <w:rPr>
                            <w:color w:val="000000"/>
                            <w:szCs w:val="24"/>
                          </w:rPr>
                          <w:t>1</w:t>
                        </w:r>
                      </w:p>
                    </w:tc>
                    <w:tc>
                      <w:tcPr>
                        <w:tcW w:w="851" w:type="dxa"/>
                        <w:shd w:val="clear" w:color="auto" w:fill="DBE5F1"/>
                      </w:tcPr>
                      <w:p>
                        <w:pPr>
                          <w:rPr>
                            <w:color w:val="000000"/>
                            <w:szCs w:val="24"/>
                          </w:rPr>
                        </w:pPr>
                        <w:r>
                          <w:rPr>
                            <w:color w:val="000000"/>
                            <w:szCs w:val="24"/>
                          </w:rPr>
                          <w:t>2</w:t>
                        </w:r>
                      </w:p>
                    </w:tc>
                    <w:tc>
                      <w:tcPr>
                        <w:tcW w:w="850" w:type="dxa"/>
                        <w:shd w:val="clear" w:color="auto" w:fill="DBE5F1"/>
                      </w:tcPr>
                      <w:p>
                        <w:pPr>
                          <w:rPr>
                            <w:color w:val="000000"/>
                            <w:szCs w:val="24"/>
                          </w:rPr>
                        </w:pPr>
                        <w:r>
                          <w:rPr>
                            <w:color w:val="000000"/>
                            <w:szCs w:val="24"/>
                          </w:rPr>
                          <w:t>3</w:t>
                        </w:r>
                      </w:p>
                    </w:tc>
                    <w:tc>
                      <w:tcPr>
                        <w:tcW w:w="993" w:type="dxa"/>
                        <w:shd w:val="clear" w:color="auto" w:fill="DBE5F1"/>
                      </w:tcPr>
                      <w:p>
                        <w:pPr>
                          <w:rPr>
                            <w:color w:val="000000"/>
                            <w:szCs w:val="24"/>
                          </w:rPr>
                        </w:pPr>
                        <w:r>
                          <w:rPr>
                            <w:color w:val="000000"/>
                            <w:szCs w:val="24"/>
                          </w:rPr>
                          <w:t>4</w:t>
                        </w:r>
                      </w:p>
                    </w:tc>
                    <w:tc>
                      <w:tcPr>
                        <w:tcW w:w="850" w:type="dxa"/>
                        <w:shd w:val="clear" w:color="auto" w:fill="DBE5F1"/>
                      </w:tcPr>
                      <w:p>
                        <w:pPr>
                          <w:rPr>
                            <w:color w:val="000000"/>
                            <w:szCs w:val="24"/>
                          </w:rPr>
                        </w:pPr>
                        <w:r>
                          <w:rPr>
                            <w:color w:val="000000"/>
                            <w:szCs w:val="24"/>
                          </w:rPr>
                          <w:t>5</w:t>
                        </w:r>
                      </w:p>
                    </w:tc>
                    <w:tc>
                      <w:tcPr>
                        <w:tcW w:w="1134" w:type="dxa"/>
                        <w:gridSpan w:val="2"/>
                        <w:shd w:val="clear" w:color="auto" w:fill="DBE5F1"/>
                      </w:tcPr>
                      <w:p>
                        <w:pPr>
                          <w:rPr>
                            <w:color w:val="000000"/>
                            <w:szCs w:val="24"/>
                          </w:rPr>
                        </w:pPr>
                        <w:r>
                          <w:rPr>
                            <w:color w:val="000000"/>
                            <w:szCs w:val="24"/>
                          </w:rPr>
                          <w:t>6</w:t>
                        </w:r>
                      </w:p>
                    </w:tc>
                    <w:tc>
                      <w:tcPr>
                        <w:tcW w:w="992" w:type="dxa"/>
                        <w:shd w:val="clear" w:color="auto" w:fill="DBE5F1"/>
                      </w:tcPr>
                      <w:p>
                        <w:pPr>
                          <w:rPr>
                            <w:color w:val="000000"/>
                            <w:szCs w:val="24"/>
                          </w:rPr>
                        </w:pPr>
                        <w:r>
                          <w:rPr>
                            <w:color w:val="000000"/>
                            <w:szCs w:val="24"/>
                          </w:rPr>
                          <w:t>7</w:t>
                        </w:r>
                      </w:p>
                    </w:tc>
                    <w:tc>
                      <w:tcPr>
                        <w:tcW w:w="5387" w:type="dxa"/>
                        <w:shd w:val="clear" w:color="auto" w:fill="DBE5F1"/>
                      </w:tcPr>
                      <w:p>
                        <w:pPr>
                          <w:rPr>
                            <w:color w:val="000000"/>
                            <w:szCs w:val="24"/>
                          </w:rPr>
                        </w:pPr>
                        <w:r>
                          <w:rPr>
                            <w:color w:val="000000"/>
                            <w:szCs w:val="24"/>
                          </w:rPr>
                          <w:t>8</w:t>
                        </w:r>
                      </w:p>
                    </w:tc>
                  </w:tr>
                  <w:tr>
                    <w:trPr>
                      <w:trHeight w:val="108"/>
                    </w:trPr>
                    <w:tc>
                      <w:tcPr>
                        <w:tcW w:w="15168" w:type="dxa"/>
                        <w:gridSpan w:val="9"/>
                      </w:tcPr>
                      <w:p>
                        <w:pPr>
                          <w:rPr>
                            <w:color w:val="000000"/>
                            <w:szCs w:val="24"/>
                          </w:rPr>
                        </w:pPr>
                        <w:r>
                          <w:rPr>
                            <w:color w:val="000000"/>
                            <w:szCs w:val="24"/>
                          </w:rPr>
                          <w:t xml:space="preserve">11.1. Tikslas: </w:t>
                        </w:r>
                        <w:r>
                          <w:rPr>
                            <w:b/>
                            <w:bCs/>
                            <w:color w:val="000000"/>
                            <w:szCs w:val="24"/>
                          </w:rPr>
                          <w:t>Socialinės pagalbos prieinamumo didinimas, socialinės atsakomybės stiprinimas</w:t>
                        </w:r>
                      </w:p>
                    </w:tc>
                  </w:tr>
                  <w:tr>
                    <w:trPr>
                      <w:trHeight w:val="108"/>
                    </w:trPr>
                    <w:tc>
                      <w:tcPr>
                        <w:tcW w:w="15168" w:type="dxa"/>
                        <w:gridSpan w:val="9"/>
                      </w:tcPr>
                      <w:p>
                        <w:pPr>
                          <w:rPr>
                            <w:color w:val="000000"/>
                            <w:szCs w:val="24"/>
                          </w:rPr>
                        </w:pPr>
                        <w:r>
                          <w:rPr>
                            <w:color w:val="000000"/>
                            <w:szCs w:val="24"/>
                          </w:rPr>
                          <w:t>11.1.1.Uždavinys: U</w:t>
                        </w:r>
                        <w:r>
                          <w:rPr>
                            <w:szCs w:val="24"/>
                          </w:rPr>
                          <w:t>žtikrinti socialinių paslaugų kokybę, pakankamumą ir pasiekiamumą</w:t>
                        </w:r>
                      </w:p>
                    </w:tc>
                  </w:tr>
                  <w:tr>
                    <w:trPr>
                      <w:trHeight w:val="1126"/>
                    </w:trPr>
                    <w:tc>
                      <w:tcPr>
                        <w:tcW w:w="4111" w:type="dxa"/>
                      </w:tcPr>
                      <w:p>
                        <w:pPr>
                          <w:rPr>
                            <w:szCs w:val="24"/>
                          </w:rPr>
                        </w:pPr>
                        <w:r>
                          <w:rPr>
                            <w:szCs w:val="24"/>
                          </w:rPr>
                          <w:t xml:space="preserve">11.1.1.1. </w:t>
                        </w:r>
                        <w:r>
                          <w:rPr>
                            <w:bCs/>
                            <w:szCs w:val="24"/>
                          </w:rPr>
                          <w:t xml:space="preserve">Socialinės globos paslaugų teikimo veikla asmenims su sunkia negalia. </w:t>
                        </w:r>
                        <w:r>
                          <w:rPr>
                            <w:szCs w:val="24"/>
                          </w:rPr>
                          <w:t>Metinis gavėjų skaičius.</w:t>
                        </w:r>
                      </w:p>
                      <w:p>
                        <w:pPr>
                          <w:rPr>
                            <w:bCs/>
                            <w:szCs w:val="24"/>
                          </w:rPr>
                        </w:pPr>
                        <w:r>
                          <w:rPr>
                            <w:szCs w:val="24"/>
                          </w:rPr>
                          <w:t>(SVP 3-1-1-07)</w:t>
                        </w:r>
                      </w:p>
                    </w:tc>
                    <w:tc>
                      <w:tcPr>
                        <w:tcW w:w="851" w:type="dxa"/>
                      </w:tcPr>
                      <w:p>
                        <w:pPr>
                          <w:rPr>
                            <w:szCs w:val="24"/>
                          </w:rPr>
                        </w:pPr>
                        <w:r>
                          <w:rPr>
                            <w:szCs w:val="24"/>
                          </w:rPr>
                          <w:t>148 asm.</w:t>
                        </w:r>
                      </w:p>
                    </w:tc>
                    <w:tc>
                      <w:tcPr>
                        <w:tcW w:w="850" w:type="dxa"/>
                      </w:tcPr>
                      <w:p>
                        <w:pPr>
                          <w:rPr>
                            <w:szCs w:val="24"/>
                          </w:rPr>
                        </w:pPr>
                        <w:r>
                          <w:rPr>
                            <w:szCs w:val="24"/>
                          </w:rPr>
                          <w:t>149 asm.</w:t>
                        </w:r>
                      </w:p>
                    </w:tc>
                    <w:tc>
                      <w:tcPr>
                        <w:tcW w:w="993" w:type="dxa"/>
                      </w:tcPr>
                      <w:p>
                        <w:pPr>
                          <w:rPr>
                            <w:szCs w:val="24"/>
                          </w:rPr>
                        </w:pPr>
                        <w:r>
                          <w:rPr>
                            <w:szCs w:val="24"/>
                          </w:rPr>
                          <w:t>140 asm.</w:t>
                        </w:r>
                      </w:p>
                    </w:tc>
                    <w:tc>
                      <w:tcPr>
                        <w:tcW w:w="850" w:type="dxa"/>
                      </w:tcPr>
                      <w:p>
                        <w:pPr>
                          <w:rPr>
                            <w:szCs w:val="24"/>
                          </w:rPr>
                        </w:pPr>
                        <w:r>
                          <w:rPr>
                            <w:szCs w:val="24"/>
                          </w:rPr>
                          <w:t>94 asm.</w:t>
                        </w:r>
                      </w:p>
                    </w:tc>
                    <w:tc>
                      <w:tcPr>
                        <w:tcW w:w="992" w:type="dxa"/>
                      </w:tcPr>
                      <w:p>
                        <w:pPr>
                          <w:rPr>
                            <w:szCs w:val="24"/>
                          </w:rPr>
                        </w:pPr>
                        <w:r>
                          <w:rPr>
                            <w:szCs w:val="24"/>
                          </w:rPr>
                          <w:t>694,0 VB</w:t>
                        </w:r>
                      </w:p>
                    </w:tc>
                    <w:tc>
                      <w:tcPr>
                        <w:tcW w:w="1134" w:type="dxa"/>
                        <w:gridSpan w:val="2"/>
                      </w:tcPr>
                      <w:p>
                        <w:pPr>
                          <w:rPr>
                            <w:szCs w:val="24"/>
                          </w:rPr>
                        </w:pPr>
                        <w:r>
                          <w:rPr>
                            <w:szCs w:val="24"/>
                          </w:rPr>
                          <w:t xml:space="preserve">1 160,2 VB </w:t>
                        </w:r>
                      </w:p>
                    </w:tc>
                    <w:tc>
                      <w:tcPr>
                        <w:tcW w:w="5387" w:type="dxa"/>
                      </w:tcPr>
                      <w:p>
                        <w:pPr>
                          <w:rPr>
                            <w:szCs w:val="24"/>
                          </w:rPr>
                        </w:pPr>
                        <w:r>
                          <w:rPr>
                            <w:szCs w:val="24"/>
                          </w:rPr>
                          <w:t>Metų pradžioje LR SADM ministro įsakymu skirta mažiau lėšų nei buvo planuota. Per ataskaitinius metus buvo skirtas papildomas finansavimas.</w:t>
                        </w:r>
                      </w:p>
                      <w:p>
                        <w:pPr>
                          <w:rPr>
                            <w:szCs w:val="24"/>
                          </w:rPr>
                        </w:pPr>
                        <w:r>
                          <w:rPr>
                            <w:szCs w:val="24"/>
                          </w:rPr>
                          <w:t>(Socialinės paramos skyrius)</w:t>
                        </w:r>
                      </w:p>
                    </w:tc>
                  </w:tr>
                  <w:tr>
                    <w:trPr>
                      <w:trHeight w:val="983"/>
                    </w:trPr>
                    <w:tc>
                      <w:tcPr>
                        <w:tcW w:w="4111" w:type="dxa"/>
                      </w:tcPr>
                      <w:p>
                        <w:pPr>
                          <w:rPr>
                            <w:szCs w:val="24"/>
                          </w:rPr>
                        </w:pPr>
                        <w:r>
                          <w:rPr>
                            <w:szCs w:val="24"/>
                          </w:rPr>
                          <w:t xml:space="preserve">11.1.1.2. </w:t>
                        </w:r>
                        <w:r>
                          <w:rPr>
                            <w:bCs/>
                            <w:szCs w:val="24"/>
                          </w:rPr>
                          <w:t xml:space="preserve">Socialinės globos ir priežiūros paslaugos įstaigose ir namuose, apsaugotas būstas. </w:t>
                        </w:r>
                        <w:r>
                          <w:rPr>
                            <w:szCs w:val="24"/>
                          </w:rPr>
                          <w:t>Metinis gavėjų skaičius. (SVP 3-1-1-09)</w:t>
                        </w:r>
                      </w:p>
                    </w:tc>
                    <w:tc>
                      <w:tcPr>
                        <w:tcW w:w="851" w:type="dxa"/>
                      </w:tcPr>
                      <w:p>
                        <w:pPr>
                          <w:rPr>
                            <w:iCs/>
                            <w:szCs w:val="24"/>
                          </w:rPr>
                        </w:pPr>
                        <w:r>
                          <w:rPr>
                            <w:szCs w:val="24"/>
                          </w:rPr>
                          <w:t>216 asm.</w:t>
                        </w:r>
                      </w:p>
                    </w:tc>
                    <w:tc>
                      <w:tcPr>
                        <w:tcW w:w="850" w:type="dxa"/>
                      </w:tcPr>
                      <w:p>
                        <w:pPr>
                          <w:rPr>
                            <w:iCs/>
                            <w:szCs w:val="24"/>
                          </w:rPr>
                        </w:pPr>
                        <w:r>
                          <w:rPr>
                            <w:szCs w:val="24"/>
                          </w:rPr>
                          <w:t>114 asm.</w:t>
                        </w:r>
                      </w:p>
                    </w:tc>
                    <w:tc>
                      <w:tcPr>
                        <w:tcW w:w="993" w:type="dxa"/>
                      </w:tcPr>
                      <w:p>
                        <w:pPr>
                          <w:rPr>
                            <w:iCs/>
                            <w:szCs w:val="24"/>
                          </w:rPr>
                        </w:pPr>
                        <w:r>
                          <w:rPr>
                            <w:szCs w:val="24"/>
                          </w:rPr>
                          <w:t>211 asm.</w:t>
                        </w:r>
                      </w:p>
                    </w:tc>
                    <w:tc>
                      <w:tcPr>
                        <w:tcW w:w="850" w:type="dxa"/>
                      </w:tcPr>
                      <w:p>
                        <w:pPr>
                          <w:rPr>
                            <w:iCs/>
                            <w:szCs w:val="24"/>
                          </w:rPr>
                        </w:pPr>
                        <w:r>
                          <w:rPr>
                            <w:szCs w:val="24"/>
                          </w:rPr>
                          <w:t>313 asm.</w:t>
                        </w:r>
                      </w:p>
                    </w:tc>
                    <w:tc>
                      <w:tcPr>
                        <w:tcW w:w="992" w:type="dxa"/>
                      </w:tcPr>
                      <w:p>
                        <w:pPr>
                          <w:rPr>
                            <w:iCs/>
                            <w:szCs w:val="24"/>
                          </w:rPr>
                        </w:pPr>
                        <w:r>
                          <w:rPr>
                            <w:szCs w:val="24"/>
                          </w:rPr>
                          <w:t>984,2 SB</w:t>
                        </w:r>
                      </w:p>
                    </w:tc>
                    <w:tc>
                      <w:tcPr>
                        <w:tcW w:w="1134" w:type="dxa"/>
                        <w:gridSpan w:val="2"/>
                      </w:tcPr>
                      <w:p>
                        <w:pPr>
                          <w:rPr>
                            <w:iCs/>
                            <w:szCs w:val="24"/>
                          </w:rPr>
                        </w:pPr>
                        <w:r>
                          <w:rPr>
                            <w:szCs w:val="24"/>
                          </w:rPr>
                          <w:t>1 188,9 SB</w:t>
                        </w:r>
                      </w:p>
                    </w:tc>
                    <w:tc>
                      <w:tcPr>
                        <w:tcW w:w="5387" w:type="dxa"/>
                      </w:tcPr>
                      <w:p>
                        <w:pPr>
                          <w:rPr>
                            <w:szCs w:val="24"/>
                          </w:rPr>
                        </w:pPr>
                        <w:r>
                          <w:rPr>
                            <w:szCs w:val="24"/>
                          </w:rPr>
                          <w:t>Siekiant mažinti institucinės globos poreikį plečiamos socialinės priežiūros ir globos paslaugos asmens namuose, kad žmonės galėtų gyventi bendruomenėje ir gauti reikalingą pagalbą namuose.</w:t>
                        </w:r>
                      </w:p>
                      <w:p>
                        <w:pPr>
                          <w:rPr>
                            <w:szCs w:val="24"/>
                          </w:rPr>
                        </w:pPr>
                        <w:r>
                          <w:rPr>
                            <w:szCs w:val="24"/>
                          </w:rPr>
                          <w:t>(Socialinės paramos skyrius)</w:t>
                        </w:r>
                      </w:p>
                    </w:tc>
                  </w:tr>
                  <w:tr>
                    <w:trPr>
                      <w:trHeight w:val="840"/>
                    </w:trPr>
                    <w:tc>
                      <w:tcPr>
                        <w:tcW w:w="4111" w:type="dxa"/>
                      </w:tcPr>
                      <w:p>
                        <w:pPr>
                          <w:rPr>
                            <w:szCs w:val="24"/>
                          </w:rPr>
                        </w:pPr>
                        <w:r>
                          <w:rPr>
                            <w:szCs w:val="24"/>
                          </w:rPr>
                          <w:t>11.1.1.3.</w:t>
                        </w:r>
                        <w:r>
                          <w:rPr>
                            <w:color w:val="A6A6A6"/>
                            <w:szCs w:val="24"/>
                          </w:rPr>
                          <w:t xml:space="preserve"> </w:t>
                        </w:r>
                        <w:r>
                          <w:rPr>
                            <w:bCs/>
                            <w:szCs w:val="24"/>
                          </w:rPr>
                          <w:t xml:space="preserve">Veikla akredituotai vaikų arba suaugusiu dienos socialinei priežiūrai organizuoti, teikti. </w:t>
                        </w:r>
                        <w:r>
                          <w:rPr>
                            <w:szCs w:val="24"/>
                          </w:rPr>
                          <w:t>Metinis gavėjų skaičius. (SVP 3-1-1-10)</w:t>
                        </w:r>
                      </w:p>
                    </w:tc>
                    <w:tc>
                      <w:tcPr>
                        <w:tcW w:w="851" w:type="dxa"/>
                      </w:tcPr>
                      <w:p>
                        <w:pPr>
                          <w:rPr>
                            <w:iCs/>
                            <w:szCs w:val="24"/>
                          </w:rPr>
                        </w:pPr>
                        <w:r>
                          <w:rPr>
                            <w:szCs w:val="24"/>
                          </w:rPr>
                          <w:t>234 asm.</w:t>
                        </w:r>
                      </w:p>
                    </w:tc>
                    <w:tc>
                      <w:tcPr>
                        <w:tcW w:w="850" w:type="dxa"/>
                      </w:tcPr>
                      <w:p>
                        <w:pPr>
                          <w:rPr>
                            <w:iCs/>
                            <w:szCs w:val="24"/>
                          </w:rPr>
                        </w:pPr>
                        <w:r>
                          <w:rPr>
                            <w:szCs w:val="24"/>
                          </w:rPr>
                          <w:t>216 asm.</w:t>
                        </w:r>
                      </w:p>
                    </w:tc>
                    <w:tc>
                      <w:tcPr>
                        <w:tcW w:w="993" w:type="dxa"/>
                      </w:tcPr>
                      <w:p>
                        <w:pPr>
                          <w:rPr>
                            <w:iCs/>
                            <w:szCs w:val="24"/>
                          </w:rPr>
                        </w:pPr>
                        <w:r>
                          <w:rPr>
                            <w:szCs w:val="24"/>
                          </w:rPr>
                          <w:t>234 asm.</w:t>
                        </w:r>
                      </w:p>
                    </w:tc>
                    <w:tc>
                      <w:tcPr>
                        <w:tcW w:w="850" w:type="dxa"/>
                      </w:tcPr>
                      <w:p>
                        <w:pPr>
                          <w:rPr>
                            <w:iCs/>
                            <w:szCs w:val="24"/>
                          </w:rPr>
                        </w:pPr>
                        <w:r>
                          <w:rPr>
                            <w:szCs w:val="24"/>
                          </w:rPr>
                          <w:t>232 asm.</w:t>
                        </w:r>
                      </w:p>
                    </w:tc>
                    <w:tc>
                      <w:tcPr>
                        <w:tcW w:w="992" w:type="dxa"/>
                      </w:tcPr>
                      <w:p>
                        <w:pPr>
                          <w:rPr>
                            <w:szCs w:val="24"/>
                          </w:rPr>
                        </w:pPr>
                        <w:r>
                          <w:rPr>
                            <w:szCs w:val="24"/>
                          </w:rPr>
                          <w:t>200,0 VB</w:t>
                        </w:r>
                      </w:p>
                      <w:p>
                        <w:pPr>
                          <w:rPr>
                            <w:szCs w:val="24"/>
                          </w:rPr>
                        </w:pPr>
                      </w:p>
                      <w:p>
                        <w:pPr>
                          <w:rPr>
                            <w:iCs/>
                            <w:szCs w:val="24"/>
                          </w:rPr>
                        </w:pPr>
                        <w:r>
                          <w:rPr>
                            <w:szCs w:val="24"/>
                          </w:rPr>
                          <w:t>200,0 SB</w:t>
                        </w:r>
                      </w:p>
                    </w:tc>
                    <w:tc>
                      <w:tcPr>
                        <w:tcW w:w="1134" w:type="dxa"/>
                        <w:gridSpan w:val="2"/>
                      </w:tcPr>
                      <w:p>
                        <w:pPr>
                          <w:rPr>
                            <w:szCs w:val="24"/>
                          </w:rPr>
                        </w:pPr>
                        <w:r>
                          <w:rPr>
                            <w:szCs w:val="24"/>
                          </w:rPr>
                          <w:t>181,1 VB</w:t>
                        </w:r>
                      </w:p>
                      <w:p>
                        <w:pPr>
                          <w:rPr>
                            <w:szCs w:val="24"/>
                          </w:rPr>
                        </w:pPr>
                      </w:p>
                      <w:p>
                        <w:pPr>
                          <w:rPr>
                            <w:iCs/>
                            <w:szCs w:val="24"/>
                          </w:rPr>
                        </w:pPr>
                        <w:r>
                          <w:rPr>
                            <w:szCs w:val="24"/>
                          </w:rPr>
                          <w:t>216,0 SB</w:t>
                        </w:r>
                      </w:p>
                    </w:tc>
                    <w:tc>
                      <w:tcPr>
                        <w:tcW w:w="5387" w:type="dxa"/>
                      </w:tcPr>
                      <w:p>
                        <w:pPr>
                          <w:rPr>
                            <w:szCs w:val="24"/>
                          </w:rPr>
                        </w:pPr>
                        <w:r>
                          <w:rPr>
                            <w:szCs w:val="24"/>
                          </w:rPr>
                          <w:t>Valstybės biudžeto lėšos nepanaudotos, nes vienas iš akredituotų vaikų dienos socialinės priežiūros centras (toliau – VDC) nevykdė veiklos. Savivaldybės biudžeto lėšų panaudota daugiau, nes per ataskaitinius metus padidėjo VDC lankančių vaikų skaičius su negalia ir vaikų, kuriems taikoma atvejo vadyba. (Socialinės paramos skyrius)</w:t>
                        </w:r>
                      </w:p>
                    </w:tc>
                  </w:tr>
                  <w:tr>
                    <w:trPr>
                      <w:trHeight w:val="668"/>
                    </w:trPr>
                    <w:tc>
                      <w:tcPr>
                        <w:tcW w:w="4111" w:type="dxa"/>
                      </w:tcPr>
                      <w:p>
                        <w:pPr>
                          <w:rPr>
                            <w:bCs/>
                            <w:szCs w:val="24"/>
                          </w:rPr>
                        </w:pPr>
                        <w:r>
                          <w:rPr>
                            <w:szCs w:val="24"/>
                          </w:rPr>
                          <w:t xml:space="preserve">11.1.1.4. </w:t>
                        </w:r>
                        <w:r>
                          <w:rPr>
                            <w:bCs/>
                            <w:szCs w:val="24"/>
                          </w:rPr>
                          <w:t>Socialinio transporto paslauga.</w:t>
                        </w:r>
                      </w:p>
                      <w:p>
                        <w:pPr>
                          <w:rPr>
                            <w:szCs w:val="24"/>
                          </w:rPr>
                        </w:pPr>
                        <w:r>
                          <w:rPr>
                            <w:szCs w:val="24"/>
                          </w:rPr>
                          <w:t>Metinis gavėjų skaičius.</w:t>
                        </w:r>
                      </w:p>
                      <w:p>
                        <w:pPr>
                          <w:rPr>
                            <w:iCs/>
                            <w:szCs w:val="24"/>
                          </w:rPr>
                        </w:pPr>
                        <w:r>
                          <w:rPr>
                            <w:szCs w:val="24"/>
                          </w:rPr>
                          <w:t>(SVP 3-1-1-13)</w:t>
                        </w:r>
                      </w:p>
                    </w:tc>
                    <w:tc>
                      <w:tcPr>
                        <w:tcW w:w="851" w:type="dxa"/>
                      </w:tcPr>
                      <w:p>
                        <w:pPr>
                          <w:rPr>
                            <w:iCs/>
                            <w:szCs w:val="24"/>
                          </w:rPr>
                        </w:pPr>
                        <w:r>
                          <w:rPr>
                            <w:szCs w:val="24"/>
                          </w:rPr>
                          <w:t>570 asm.</w:t>
                        </w:r>
                      </w:p>
                    </w:tc>
                    <w:tc>
                      <w:tcPr>
                        <w:tcW w:w="850" w:type="dxa"/>
                      </w:tcPr>
                      <w:p>
                        <w:pPr>
                          <w:rPr>
                            <w:iCs/>
                            <w:szCs w:val="24"/>
                          </w:rPr>
                        </w:pPr>
                        <w:r>
                          <w:rPr>
                            <w:szCs w:val="24"/>
                          </w:rPr>
                          <w:t>805 asm.</w:t>
                        </w:r>
                      </w:p>
                    </w:tc>
                    <w:tc>
                      <w:tcPr>
                        <w:tcW w:w="993" w:type="dxa"/>
                      </w:tcPr>
                      <w:p>
                        <w:pPr>
                          <w:rPr>
                            <w:iCs/>
                            <w:szCs w:val="24"/>
                          </w:rPr>
                        </w:pPr>
                        <w:r>
                          <w:rPr>
                            <w:szCs w:val="24"/>
                          </w:rPr>
                          <w:t>569 asm.</w:t>
                        </w:r>
                      </w:p>
                    </w:tc>
                    <w:tc>
                      <w:tcPr>
                        <w:tcW w:w="850" w:type="dxa"/>
                      </w:tcPr>
                      <w:p>
                        <w:pPr>
                          <w:rPr>
                            <w:iCs/>
                            <w:szCs w:val="24"/>
                          </w:rPr>
                        </w:pPr>
                        <w:r>
                          <w:rPr>
                            <w:szCs w:val="24"/>
                          </w:rPr>
                          <w:t>42 asm.</w:t>
                        </w:r>
                      </w:p>
                    </w:tc>
                    <w:tc>
                      <w:tcPr>
                        <w:tcW w:w="992" w:type="dxa"/>
                      </w:tcPr>
                      <w:p>
                        <w:pPr>
                          <w:rPr>
                            <w:iCs/>
                            <w:szCs w:val="24"/>
                          </w:rPr>
                        </w:pPr>
                        <w:r>
                          <w:rPr>
                            <w:szCs w:val="24"/>
                          </w:rPr>
                          <w:t>26,2 SB</w:t>
                        </w:r>
                      </w:p>
                    </w:tc>
                    <w:tc>
                      <w:tcPr>
                        <w:tcW w:w="1134" w:type="dxa"/>
                        <w:gridSpan w:val="2"/>
                      </w:tcPr>
                      <w:p>
                        <w:pPr>
                          <w:rPr>
                            <w:iCs/>
                            <w:szCs w:val="24"/>
                          </w:rPr>
                        </w:pPr>
                        <w:r>
                          <w:rPr>
                            <w:szCs w:val="24"/>
                          </w:rPr>
                          <w:t>20,7 SB</w:t>
                        </w:r>
                      </w:p>
                    </w:tc>
                    <w:tc>
                      <w:tcPr>
                        <w:tcW w:w="5387" w:type="dxa"/>
                      </w:tcPr>
                      <w:p>
                        <w:pPr>
                          <w:rPr>
                            <w:szCs w:val="24"/>
                          </w:rPr>
                        </w:pPr>
                        <w:r>
                          <w:rPr>
                            <w:szCs w:val="24"/>
                          </w:rPr>
                          <w:t xml:space="preserve">Transporto organizavimo paslauga (toliau – Paslauga) teikiama </w:t>
                        </w:r>
                        <w:r>
                          <w:rPr>
                            <w:szCs w:val="24"/>
                            <w:lang w:eastAsia="ar-SA"/>
                          </w:rPr>
                          <w:t>asmenims, kurie dėl negalios, ligos ar senatvės turi judėjimo problemų ir dėl to negali naudotis visuomeniniu ar individualiu transportu. P</w:t>
                        </w:r>
                        <w:r>
                          <w:rPr>
                            <w:szCs w:val="24"/>
                          </w:rPr>
                          <w:t>aslaugą teikė Radviliškio socialinių paslaugų centras.</w:t>
                        </w:r>
                      </w:p>
                      <w:p>
                        <w:pPr>
                          <w:rPr>
                            <w:szCs w:val="24"/>
                          </w:rPr>
                        </w:pPr>
                        <w:r>
                          <w:rPr>
                            <w:color w:val="000000"/>
                            <w:szCs w:val="24"/>
                          </w:rPr>
                          <w:t xml:space="preserve">42 </w:t>
                        </w:r>
                        <w:r>
                          <w:rPr>
                            <w:szCs w:val="24"/>
                          </w:rPr>
                          <w:t xml:space="preserve">asmenims (13 iš jų vežami kasdien) Paslauga buvo finansuota Socialinės paramos skyriaus lėšomis.  </w:t>
                        </w:r>
                      </w:p>
                      <w:p>
                        <w:pPr>
                          <w:rPr>
                            <w:szCs w:val="24"/>
                          </w:rPr>
                        </w:pPr>
                        <w:r>
                          <w:rPr>
                            <w:szCs w:val="24"/>
                          </w:rPr>
                          <w:t>(Socialinės paramos skyrius)</w:t>
                        </w:r>
                      </w:p>
                    </w:tc>
                  </w:tr>
                  <w:tr>
                    <w:trPr>
                      <w:trHeight w:val="840"/>
                    </w:trPr>
                    <w:tc>
                      <w:tcPr>
                        <w:tcW w:w="4111" w:type="dxa"/>
                      </w:tcPr>
                      <w:p>
                        <w:pPr>
                          <w:rPr>
                            <w:szCs w:val="24"/>
                          </w:rPr>
                        </w:pPr>
                        <w:r>
                          <w:rPr>
                            <w:szCs w:val="24"/>
                          </w:rPr>
                          <w:t xml:space="preserve">11.1.1.5. </w:t>
                        </w:r>
                        <w:r>
                          <w:rPr>
                            <w:bCs/>
                            <w:szCs w:val="24"/>
                          </w:rPr>
                          <w:t xml:space="preserve">Atokvėpio paslauga. </w:t>
                        </w:r>
                        <w:r>
                          <w:rPr>
                            <w:szCs w:val="24"/>
                          </w:rPr>
                          <w:t>Metinis gavėjų skaičius.</w:t>
                        </w:r>
                      </w:p>
                      <w:p>
                        <w:pPr>
                          <w:rPr>
                            <w:bCs/>
                            <w:szCs w:val="24"/>
                          </w:rPr>
                        </w:pPr>
                        <w:r>
                          <w:rPr>
                            <w:szCs w:val="24"/>
                          </w:rPr>
                          <w:t>(SVP 3-1-1-14)</w:t>
                        </w:r>
                      </w:p>
                    </w:tc>
                    <w:tc>
                      <w:tcPr>
                        <w:tcW w:w="851" w:type="dxa"/>
                      </w:tcPr>
                      <w:p>
                        <w:pPr>
                          <w:rPr>
                            <w:iCs/>
                            <w:szCs w:val="24"/>
                          </w:rPr>
                        </w:pPr>
                        <w:r>
                          <w:rPr>
                            <w:szCs w:val="24"/>
                          </w:rPr>
                          <w:t>4 asm.</w:t>
                        </w:r>
                      </w:p>
                    </w:tc>
                    <w:tc>
                      <w:tcPr>
                        <w:tcW w:w="850" w:type="dxa"/>
                      </w:tcPr>
                      <w:p>
                        <w:pPr>
                          <w:rPr>
                            <w:iCs/>
                            <w:szCs w:val="24"/>
                          </w:rPr>
                        </w:pPr>
                        <w:r>
                          <w:rPr>
                            <w:szCs w:val="24"/>
                          </w:rPr>
                          <w:t>4 asm.</w:t>
                        </w:r>
                      </w:p>
                    </w:tc>
                    <w:tc>
                      <w:tcPr>
                        <w:tcW w:w="993" w:type="dxa"/>
                      </w:tcPr>
                      <w:p>
                        <w:pPr>
                          <w:rPr>
                            <w:iCs/>
                            <w:szCs w:val="24"/>
                          </w:rPr>
                        </w:pPr>
                        <w:r>
                          <w:rPr>
                            <w:szCs w:val="24"/>
                          </w:rPr>
                          <w:t>7 asm.</w:t>
                        </w:r>
                      </w:p>
                    </w:tc>
                    <w:tc>
                      <w:tcPr>
                        <w:tcW w:w="850" w:type="dxa"/>
                      </w:tcPr>
                      <w:p>
                        <w:pPr>
                          <w:rPr>
                            <w:iCs/>
                            <w:szCs w:val="24"/>
                          </w:rPr>
                        </w:pPr>
                        <w:r>
                          <w:rPr>
                            <w:szCs w:val="24"/>
                          </w:rPr>
                          <w:t>7 asm.</w:t>
                        </w:r>
                      </w:p>
                    </w:tc>
                    <w:tc>
                      <w:tcPr>
                        <w:tcW w:w="992" w:type="dxa"/>
                      </w:tcPr>
                      <w:p>
                        <w:pPr>
                          <w:rPr>
                            <w:iCs/>
                            <w:szCs w:val="24"/>
                          </w:rPr>
                        </w:pPr>
                        <w:r>
                          <w:rPr>
                            <w:szCs w:val="24"/>
                          </w:rPr>
                          <w:t>47,4 VB</w:t>
                        </w:r>
                      </w:p>
                    </w:tc>
                    <w:tc>
                      <w:tcPr>
                        <w:tcW w:w="1134" w:type="dxa"/>
                        <w:gridSpan w:val="2"/>
                      </w:tcPr>
                      <w:p>
                        <w:pPr>
                          <w:rPr>
                            <w:iCs/>
                            <w:szCs w:val="24"/>
                          </w:rPr>
                        </w:pPr>
                        <w:r>
                          <w:rPr>
                            <w:szCs w:val="24"/>
                          </w:rPr>
                          <w:t>3,6 VB</w:t>
                        </w:r>
                      </w:p>
                    </w:tc>
                    <w:tc>
                      <w:tcPr>
                        <w:tcW w:w="5387" w:type="dxa"/>
                      </w:tcPr>
                      <w:p>
                        <w:pPr>
                          <w:rPr>
                            <w:szCs w:val="24"/>
                          </w:rPr>
                        </w:pPr>
                        <w:r>
                          <w:rPr>
                            <w:szCs w:val="24"/>
                          </w:rPr>
                          <w:t xml:space="preserve">Atokvėpio paslauga buvo planuota 4 asmenims. </w:t>
                        </w:r>
                        <w:r>
                          <w:rPr>
                            <w:color w:val="000000"/>
                            <w:szCs w:val="24"/>
                          </w:rPr>
                          <w:t>VB lėšos skirtos LR SADM ministro įsakymu. Laikino</w:t>
                        </w:r>
                        <w:r>
                          <w:rPr>
                            <w:szCs w:val="24"/>
                          </w:rPr>
                          <w:t xml:space="preserve"> atokvėpio paslauga skiriama dvejiems metams. Per metus gali būti panaudota ne daugiau kaip 720 valandų vienam paslaugos gavėjui. (Socialinės paramos skyrius)</w:t>
                        </w:r>
                      </w:p>
                    </w:tc>
                  </w:tr>
                  <w:tr>
                    <w:tc>
                      <w:tcPr>
                        <w:tcW w:w="4111" w:type="dxa"/>
                      </w:tcPr>
                      <w:p>
                        <w:pPr>
                          <w:rPr>
                            <w:bCs/>
                            <w:szCs w:val="24"/>
                          </w:rPr>
                        </w:pPr>
                        <w:r>
                          <w:rPr>
                            <w:szCs w:val="24"/>
                          </w:rPr>
                          <w:t xml:space="preserve">11.1.1.6. </w:t>
                        </w:r>
                        <w:r>
                          <w:rPr>
                            <w:bCs/>
                            <w:szCs w:val="24"/>
                          </w:rPr>
                          <w:t xml:space="preserve">Aprūpinimas būtiniausiais drabužiais ir avalyne. </w:t>
                        </w:r>
                        <w:r>
                          <w:rPr>
                            <w:szCs w:val="24"/>
                          </w:rPr>
                          <w:t>Metinis gavėjų skaičius.</w:t>
                        </w:r>
                        <w:r>
                          <w:rPr>
                            <w:bCs/>
                            <w:szCs w:val="24"/>
                          </w:rPr>
                          <w:t xml:space="preserve"> </w:t>
                        </w:r>
                        <w:r>
                          <w:rPr>
                            <w:szCs w:val="24"/>
                          </w:rPr>
                          <w:t>(SVP 3-1-1-19)</w:t>
                        </w:r>
                      </w:p>
                    </w:tc>
                    <w:tc>
                      <w:tcPr>
                        <w:tcW w:w="851" w:type="dxa"/>
                      </w:tcPr>
                      <w:p>
                        <w:pPr>
                          <w:rPr>
                            <w:iCs/>
                            <w:szCs w:val="24"/>
                          </w:rPr>
                        </w:pPr>
                        <w:r>
                          <w:rPr>
                            <w:szCs w:val="24"/>
                          </w:rPr>
                          <w:t>288 asm.</w:t>
                        </w:r>
                      </w:p>
                    </w:tc>
                    <w:tc>
                      <w:tcPr>
                        <w:tcW w:w="850" w:type="dxa"/>
                      </w:tcPr>
                      <w:p>
                        <w:pPr>
                          <w:rPr>
                            <w:iCs/>
                            <w:szCs w:val="24"/>
                          </w:rPr>
                        </w:pPr>
                        <w:r>
                          <w:rPr>
                            <w:szCs w:val="24"/>
                          </w:rPr>
                          <w:t>346 asm.</w:t>
                        </w:r>
                      </w:p>
                    </w:tc>
                    <w:tc>
                      <w:tcPr>
                        <w:tcW w:w="993" w:type="dxa"/>
                      </w:tcPr>
                      <w:p>
                        <w:pPr>
                          <w:rPr>
                            <w:iCs/>
                            <w:szCs w:val="24"/>
                          </w:rPr>
                        </w:pPr>
                        <w:r>
                          <w:rPr>
                            <w:szCs w:val="24"/>
                          </w:rPr>
                          <w:t>288 asm.</w:t>
                        </w:r>
                      </w:p>
                    </w:tc>
                    <w:tc>
                      <w:tcPr>
                        <w:tcW w:w="850" w:type="dxa"/>
                      </w:tcPr>
                      <w:p>
                        <w:pPr>
                          <w:rPr>
                            <w:iCs/>
                            <w:szCs w:val="24"/>
                          </w:rPr>
                        </w:pPr>
                        <w:r>
                          <w:rPr>
                            <w:szCs w:val="24"/>
                          </w:rPr>
                          <w:t>740 asm.</w:t>
                        </w:r>
                      </w:p>
                    </w:tc>
                    <w:tc>
                      <w:tcPr>
                        <w:tcW w:w="992" w:type="dxa"/>
                      </w:tcPr>
                      <w:p>
                        <w:pPr>
                          <w:rPr>
                            <w:iCs/>
                            <w:szCs w:val="24"/>
                          </w:rPr>
                        </w:pPr>
                        <w:r>
                          <w:rPr>
                            <w:szCs w:val="24"/>
                          </w:rPr>
                          <w:t>10,9 SB</w:t>
                        </w:r>
                      </w:p>
                    </w:tc>
                    <w:tc>
                      <w:tcPr>
                        <w:tcW w:w="1134" w:type="dxa"/>
                        <w:gridSpan w:val="2"/>
                      </w:tcPr>
                      <w:p>
                        <w:pPr>
                          <w:rPr>
                            <w:iCs/>
                            <w:szCs w:val="24"/>
                          </w:rPr>
                        </w:pPr>
                        <w:r>
                          <w:rPr>
                            <w:szCs w:val="24"/>
                          </w:rPr>
                          <w:t>10,9 SB</w:t>
                        </w:r>
                      </w:p>
                    </w:tc>
                    <w:tc>
                      <w:tcPr>
                        <w:tcW w:w="5387" w:type="dxa"/>
                      </w:tcPr>
                      <w:p>
                        <w:pPr>
                          <w:rPr>
                            <w:i/>
                            <w:color w:val="808080"/>
                            <w:szCs w:val="24"/>
                          </w:rPr>
                        </w:pPr>
                        <w:r>
                          <w:rPr>
                            <w:szCs w:val="24"/>
                          </w:rPr>
                          <w:t>(Socialinės paramos skyrius)</w:t>
                        </w:r>
                      </w:p>
                    </w:tc>
                  </w:tr>
                  <w:tr>
                    <w:tc>
                      <w:tcPr>
                        <w:tcW w:w="4111" w:type="dxa"/>
                      </w:tcPr>
                      <w:p>
                        <w:pPr>
                          <w:rPr>
                            <w:szCs w:val="24"/>
                          </w:rPr>
                        </w:pPr>
                        <w:r>
                          <w:rPr>
                            <w:szCs w:val="24"/>
                          </w:rPr>
                          <w:t xml:space="preserve">11.1.1.7.Slaugos paslaugos asmenims, gaunantiems dializės procedūras. </w:t>
                        </w:r>
                      </w:p>
                      <w:p>
                        <w:pPr>
                          <w:rPr>
                            <w:szCs w:val="24"/>
                          </w:rPr>
                        </w:pPr>
                        <w:r>
                          <w:rPr>
                            <w:szCs w:val="24"/>
                          </w:rPr>
                          <w:t>Metinis gavėjų skaičius. (SVP 3-1-1-12)</w:t>
                        </w:r>
                      </w:p>
                    </w:tc>
                    <w:tc>
                      <w:tcPr>
                        <w:tcW w:w="851" w:type="dxa"/>
                      </w:tcPr>
                      <w:p>
                        <w:pPr>
                          <w:rPr>
                            <w:iCs/>
                            <w:szCs w:val="24"/>
                          </w:rPr>
                        </w:pPr>
                        <w:r>
                          <w:rPr>
                            <w:szCs w:val="24"/>
                          </w:rPr>
                          <w:t>5 asm.</w:t>
                        </w:r>
                      </w:p>
                    </w:tc>
                    <w:tc>
                      <w:tcPr>
                        <w:tcW w:w="850" w:type="dxa"/>
                      </w:tcPr>
                      <w:p>
                        <w:pPr>
                          <w:rPr>
                            <w:iCs/>
                            <w:szCs w:val="24"/>
                          </w:rPr>
                        </w:pPr>
                        <w:r>
                          <w:rPr>
                            <w:szCs w:val="24"/>
                          </w:rPr>
                          <w:t>-</w:t>
                        </w:r>
                      </w:p>
                    </w:tc>
                    <w:tc>
                      <w:tcPr>
                        <w:tcW w:w="993" w:type="dxa"/>
                      </w:tcPr>
                      <w:p>
                        <w:pPr>
                          <w:rPr>
                            <w:iCs/>
                            <w:szCs w:val="24"/>
                          </w:rPr>
                        </w:pPr>
                        <w:r>
                          <w:rPr>
                            <w:szCs w:val="24"/>
                          </w:rPr>
                          <w:t>-</w:t>
                        </w:r>
                      </w:p>
                    </w:tc>
                    <w:tc>
                      <w:tcPr>
                        <w:tcW w:w="850" w:type="dxa"/>
                      </w:tcPr>
                      <w:p>
                        <w:pPr>
                          <w:rPr>
                            <w:iCs/>
                            <w:szCs w:val="24"/>
                          </w:rPr>
                        </w:pPr>
                        <w:r>
                          <w:rPr>
                            <w:szCs w:val="24"/>
                          </w:rPr>
                          <w:t>-</w:t>
                        </w:r>
                      </w:p>
                    </w:tc>
                    <w:tc>
                      <w:tcPr>
                        <w:tcW w:w="992" w:type="dxa"/>
                      </w:tcPr>
                      <w:p>
                        <w:pPr>
                          <w:rPr>
                            <w:iCs/>
                            <w:szCs w:val="24"/>
                          </w:rPr>
                        </w:pPr>
                        <w:r>
                          <w:rPr>
                            <w:szCs w:val="24"/>
                          </w:rPr>
                          <w:t>12,5 SB</w:t>
                        </w:r>
                      </w:p>
                    </w:tc>
                    <w:tc>
                      <w:tcPr>
                        <w:tcW w:w="1134" w:type="dxa"/>
                        <w:gridSpan w:val="2"/>
                      </w:tcPr>
                      <w:p>
                        <w:pPr>
                          <w:rPr>
                            <w:iCs/>
                            <w:szCs w:val="24"/>
                          </w:rPr>
                        </w:pPr>
                        <w:r>
                          <w:rPr>
                            <w:szCs w:val="24"/>
                          </w:rPr>
                          <w:t>-</w:t>
                        </w:r>
                      </w:p>
                    </w:tc>
                    <w:tc>
                      <w:tcPr>
                        <w:tcW w:w="5387" w:type="dxa"/>
                      </w:tcPr>
                      <w:p>
                        <w:pPr>
                          <w:rPr>
                            <w:szCs w:val="24"/>
                          </w:rPr>
                        </w:pPr>
                        <w:r>
                          <w:rPr>
                            <w:szCs w:val="24"/>
                          </w:rPr>
                          <w:t>Dėl slaugos paslaugų asmenims, gaunantiems dializės procedūras, prašymų nebuvo. Lėšos per ataskaitinius metus buvo perskirstytos kitiems tikslams pagal poreikį. (Socialinės paramos skyrius)</w:t>
                        </w:r>
                      </w:p>
                    </w:tc>
                  </w:tr>
                  <w:tr>
                    <w:trPr>
                      <w:trHeight w:val="274"/>
                    </w:trPr>
                    <w:tc>
                      <w:tcPr>
                        <w:tcW w:w="15168" w:type="dxa"/>
                        <w:gridSpan w:val="9"/>
                      </w:tcPr>
                      <w:p>
                        <w:pPr>
                          <w:rPr>
                            <w:i/>
                            <w:color w:val="808080"/>
                            <w:szCs w:val="24"/>
                          </w:rPr>
                        </w:pPr>
                        <w:r>
                          <w:rPr>
                            <w:iCs/>
                            <w:szCs w:val="24"/>
                          </w:rPr>
                          <w:t>1.2. Uždavinys: Didinti socialinę integraciją, mažinti atskirtį</w:t>
                        </w:r>
                      </w:p>
                    </w:tc>
                  </w:tr>
                  <w:tr>
                    <w:tc>
                      <w:tcPr>
                        <w:tcW w:w="4111" w:type="dxa"/>
                      </w:tcPr>
                      <w:p>
                        <w:pPr>
                          <w:rPr>
                            <w:szCs w:val="24"/>
                          </w:rPr>
                        </w:pPr>
                        <w:r>
                          <w:rPr>
                            <w:szCs w:val="24"/>
                          </w:rPr>
                          <w:t xml:space="preserve">11.1.2.1. Individualios pagalbos teikimo išlaidų kompensacijoms mokėjimo programa. Metinis gavėjų skaičius. </w:t>
                        </w:r>
                      </w:p>
                      <w:p>
                        <w:pPr>
                          <w:rPr>
                            <w:iCs/>
                            <w:szCs w:val="24"/>
                          </w:rPr>
                        </w:pPr>
                        <w:r>
                          <w:rPr>
                            <w:szCs w:val="24"/>
                          </w:rPr>
                          <w:t>(SVP 3-1-2-01)</w:t>
                        </w:r>
                      </w:p>
                    </w:tc>
                    <w:tc>
                      <w:tcPr>
                        <w:tcW w:w="851" w:type="dxa"/>
                      </w:tcPr>
                      <w:p>
                        <w:pPr>
                          <w:rPr>
                            <w:iCs/>
                            <w:szCs w:val="24"/>
                          </w:rPr>
                        </w:pPr>
                        <w:r>
                          <w:rPr>
                            <w:szCs w:val="24"/>
                          </w:rPr>
                          <w:t>1630 asm.</w:t>
                        </w:r>
                      </w:p>
                    </w:tc>
                    <w:tc>
                      <w:tcPr>
                        <w:tcW w:w="850" w:type="dxa"/>
                      </w:tcPr>
                      <w:p>
                        <w:pPr>
                          <w:rPr>
                            <w:iCs/>
                            <w:szCs w:val="24"/>
                          </w:rPr>
                        </w:pPr>
                        <w:r>
                          <w:rPr>
                            <w:szCs w:val="24"/>
                          </w:rPr>
                          <w:t>1496 asm.</w:t>
                        </w:r>
                      </w:p>
                    </w:tc>
                    <w:tc>
                      <w:tcPr>
                        <w:tcW w:w="993" w:type="dxa"/>
                      </w:tcPr>
                      <w:p>
                        <w:pPr>
                          <w:rPr>
                            <w:iCs/>
                            <w:szCs w:val="24"/>
                          </w:rPr>
                        </w:pPr>
                        <w:r>
                          <w:rPr>
                            <w:szCs w:val="24"/>
                          </w:rPr>
                          <w:t>1617 asm.</w:t>
                        </w:r>
                      </w:p>
                    </w:tc>
                    <w:tc>
                      <w:tcPr>
                        <w:tcW w:w="850" w:type="dxa"/>
                      </w:tcPr>
                      <w:p>
                        <w:pPr>
                          <w:rPr>
                            <w:iCs/>
                            <w:szCs w:val="24"/>
                          </w:rPr>
                        </w:pPr>
                        <w:r>
                          <w:rPr>
                            <w:szCs w:val="24"/>
                          </w:rPr>
                          <w:t>1760 asm.</w:t>
                        </w:r>
                      </w:p>
                    </w:tc>
                    <w:tc>
                      <w:tcPr>
                        <w:tcW w:w="992" w:type="dxa"/>
                      </w:tcPr>
                      <w:p>
                        <w:pPr>
                          <w:rPr>
                            <w:iCs/>
                            <w:szCs w:val="24"/>
                          </w:rPr>
                        </w:pPr>
                        <w:r>
                          <w:rPr>
                            <w:szCs w:val="24"/>
                          </w:rPr>
                          <w:t>4 577,0 VB</w:t>
                        </w:r>
                      </w:p>
                    </w:tc>
                    <w:tc>
                      <w:tcPr>
                        <w:tcW w:w="1134" w:type="dxa"/>
                        <w:gridSpan w:val="2"/>
                      </w:tcPr>
                      <w:p>
                        <w:pPr>
                          <w:rPr>
                            <w:iCs/>
                            <w:szCs w:val="24"/>
                          </w:rPr>
                        </w:pPr>
                        <w:r>
                          <w:rPr>
                            <w:szCs w:val="24"/>
                          </w:rPr>
                          <w:t>4 961,1 VB</w:t>
                        </w:r>
                      </w:p>
                    </w:tc>
                    <w:tc>
                      <w:tcPr>
                        <w:tcW w:w="5387" w:type="dxa"/>
                      </w:tcPr>
                      <w:p>
                        <w:pPr>
                          <w:rPr>
                            <w:szCs w:val="24"/>
                          </w:rPr>
                        </w:pPr>
                        <w:r>
                          <w:rPr>
                            <w:szCs w:val="24"/>
                          </w:rPr>
                          <w:t>Finansavimas buvo padidintas, kadangi padidėjo individualios pagalbos teikimo išlaidų kompensacijų gavėjų skaičius. (Socialinės paramos skyrius)</w:t>
                        </w:r>
                      </w:p>
                    </w:tc>
                  </w:tr>
                  <w:tr>
                    <w:tc>
                      <w:tcPr>
                        <w:tcW w:w="4111" w:type="dxa"/>
                      </w:tcPr>
                      <w:p>
                        <w:pPr>
                          <w:rPr>
                            <w:szCs w:val="24"/>
                          </w:rPr>
                        </w:pPr>
                        <w:r>
                          <w:rPr>
                            <w:szCs w:val="24"/>
                          </w:rPr>
                          <w:t>11.1.2.2. Socialinės žmonių su negalia reabilitacijos priemonių programa.</w:t>
                        </w:r>
                      </w:p>
                      <w:p>
                        <w:pPr>
                          <w:rPr>
                            <w:szCs w:val="24"/>
                          </w:rPr>
                        </w:pPr>
                        <w:r>
                          <w:rPr>
                            <w:szCs w:val="24"/>
                          </w:rPr>
                          <w:t>Metinis gavėjų skaičius.</w:t>
                        </w:r>
                      </w:p>
                      <w:p>
                        <w:pPr>
                          <w:rPr>
                            <w:iCs/>
                            <w:szCs w:val="24"/>
                          </w:rPr>
                        </w:pPr>
                        <w:r>
                          <w:rPr>
                            <w:szCs w:val="24"/>
                          </w:rPr>
                          <w:t>(SVP 3-1-2-02)</w:t>
                        </w:r>
                      </w:p>
                    </w:tc>
                    <w:tc>
                      <w:tcPr>
                        <w:tcW w:w="851" w:type="dxa"/>
                      </w:tcPr>
                      <w:p>
                        <w:pPr>
                          <w:rPr>
                            <w:iCs/>
                            <w:szCs w:val="24"/>
                          </w:rPr>
                        </w:pPr>
                        <w:r>
                          <w:rPr>
                            <w:szCs w:val="24"/>
                          </w:rPr>
                          <w:t>170 asm.</w:t>
                        </w:r>
                      </w:p>
                    </w:tc>
                    <w:tc>
                      <w:tcPr>
                        <w:tcW w:w="850" w:type="dxa"/>
                      </w:tcPr>
                      <w:p>
                        <w:pPr>
                          <w:rPr>
                            <w:iCs/>
                            <w:szCs w:val="24"/>
                          </w:rPr>
                        </w:pPr>
                        <w:r>
                          <w:rPr>
                            <w:szCs w:val="24"/>
                          </w:rPr>
                          <w:t>170 asm.</w:t>
                        </w:r>
                      </w:p>
                    </w:tc>
                    <w:tc>
                      <w:tcPr>
                        <w:tcW w:w="993" w:type="dxa"/>
                      </w:tcPr>
                      <w:p>
                        <w:pPr>
                          <w:rPr>
                            <w:iCs/>
                            <w:szCs w:val="24"/>
                          </w:rPr>
                        </w:pPr>
                        <w:r>
                          <w:rPr>
                            <w:szCs w:val="24"/>
                          </w:rPr>
                          <w:t>170 asm.</w:t>
                        </w:r>
                      </w:p>
                    </w:tc>
                    <w:tc>
                      <w:tcPr>
                        <w:tcW w:w="850" w:type="dxa"/>
                      </w:tcPr>
                      <w:p>
                        <w:pPr>
                          <w:rPr>
                            <w:iCs/>
                            <w:szCs w:val="24"/>
                          </w:rPr>
                        </w:pPr>
                        <w:r>
                          <w:rPr>
                            <w:szCs w:val="24"/>
                          </w:rPr>
                          <w:t>169 asm.</w:t>
                        </w:r>
                      </w:p>
                    </w:tc>
                    <w:tc>
                      <w:tcPr>
                        <w:tcW w:w="992" w:type="dxa"/>
                      </w:tcPr>
                      <w:p>
                        <w:pPr>
                          <w:rPr>
                            <w:szCs w:val="24"/>
                          </w:rPr>
                        </w:pPr>
                        <w:r>
                          <w:rPr>
                            <w:szCs w:val="24"/>
                          </w:rPr>
                          <w:t>74,2 VB</w:t>
                        </w:r>
                      </w:p>
                      <w:p>
                        <w:pPr>
                          <w:rPr>
                            <w:szCs w:val="24"/>
                          </w:rPr>
                        </w:pPr>
                      </w:p>
                      <w:p>
                        <w:pPr>
                          <w:rPr>
                            <w:iCs/>
                            <w:szCs w:val="24"/>
                          </w:rPr>
                        </w:pPr>
                        <w:r>
                          <w:rPr>
                            <w:szCs w:val="24"/>
                          </w:rPr>
                          <w:t>50,0 SB</w:t>
                        </w:r>
                      </w:p>
                    </w:tc>
                    <w:tc>
                      <w:tcPr>
                        <w:tcW w:w="1134" w:type="dxa"/>
                        <w:gridSpan w:val="2"/>
                      </w:tcPr>
                      <w:p>
                        <w:pPr>
                          <w:rPr>
                            <w:szCs w:val="24"/>
                          </w:rPr>
                        </w:pPr>
                        <w:r>
                          <w:rPr>
                            <w:szCs w:val="24"/>
                          </w:rPr>
                          <w:t>73,5 VB</w:t>
                        </w:r>
                      </w:p>
                      <w:p>
                        <w:pPr>
                          <w:rPr>
                            <w:szCs w:val="24"/>
                          </w:rPr>
                        </w:pPr>
                      </w:p>
                      <w:p>
                        <w:pPr>
                          <w:rPr>
                            <w:iCs/>
                            <w:szCs w:val="24"/>
                          </w:rPr>
                        </w:pPr>
                        <w:r>
                          <w:rPr>
                            <w:szCs w:val="24"/>
                          </w:rPr>
                          <w:t>49,5 SB</w:t>
                        </w:r>
                      </w:p>
                    </w:tc>
                    <w:tc>
                      <w:tcPr>
                        <w:tcW w:w="5387" w:type="dxa"/>
                      </w:tcPr>
                      <w:p>
                        <w:pPr>
                          <w:rPr>
                            <w:szCs w:val="24"/>
                          </w:rPr>
                        </w:pPr>
                        <w:r>
                          <w:rPr>
                            <w:szCs w:val="24"/>
                          </w:rPr>
                          <w:t>Teikiamų paslaugų tikslas – stiprinti asmenų su negalia savarankiškumą, socialinius įgūdžius ir dalyvavimą bendruomenėje, mažinant socialinę atskirtį ir gerinant gyvenimo kokybę. Ne visi asmenys, kurie kreipėsi dėl socialinės reabilitacijos bendruomenėje, atitiko kriterijams šiai paslaugai gauti, nebuvo nustatytas šiai paslaugai poreikis. (Socialinės paramos skyrius)</w:t>
                        </w:r>
                      </w:p>
                    </w:tc>
                  </w:tr>
                  <w:tr>
                    <w:tc>
                      <w:tcPr>
                        <w:tcW w:w="4111" w:type="dxa"/>
                      </w:tcPr>
                      <w:p>
                        <w:pPr>
                          <w:rPr>
                            <w:szCs w:val="24"/>
                          </w:rPr>
                        </w:pPr>
                        <w:r>
                          <w:rPr>
                            <w:szCs w:val="24"/>
                          </w:rPr>
                          <w:t>11.1.2.3. Asmenų su negalia koordinavimo funkcija. Metinis gavėjų skaičius. (SVP 3-1-2-02)</w:t>
                        </w:r>
                      </w:p>
                    </w:tc>
                    <w:tc>
                      <w:tcPr>
                        <w:tcW w:w="851" w:type="dxa"/>
                      </w:tcPr>
                      <w:p>
                        <w:pPr>
                          <w:rPr>
                            <w:iCs/>
                            <w:color w:val="FF0000"/>
                            <w:szCs w:val="24"/>
                          </w:rPr>
                        </w:pPr>
                        <w:r>
                          <w:rPr>
                            <w:szCs w:val="24"/>
                          </w:rPr>
                          <w:t>51 asm.</w:t>
                        </w:r>
                      </w:p>
                    </w:tc>
                    <w:tc>
                      <w:tcPr>
                        <w:tcW w:w="850" w:type="dxa"/>
                      </w:tcPr>
                      <w:p>
                        <w:pPr>
                          <w:rPr>
                            <w:iCs/>
                            <w:szCs w:val="24"/>
                          </w:rPr>
                        </w:pPr>
                        <w:r>
                          <w:rPr>
                            <w:szCs w:val="24"/>
                          </w:rPr>
                          <w:t>-</w:t>
                        </w:r>
                      </w:p>
                    </w:tc>
                    <w:tc>
                      <w:tcPr>
                        <w:tcW w:w="993" w:type="dxa"/>
                      </w:tcPr>
                      <w:p>
                        <w:pPr>
                          <w:rPr>
                            <w:iCs/>
                            <w:szCs w:val="24"/>
                          </w:rPr>
                        </w:pPr>
                        <w:r>
                          <w:rPr>
                            <w:szCs w:val="24"/>
                          </w:rPr>
                          <w:t>42 asm.</w:t>
                        </w:r>
                      </w:p>
                    </w:tc>
                    <w:tc>
                      <w:tcPr>
                        <w:tcW w:w="850" w:type="dxa"/>
                      </w:tcPr>
                      <w:p>
                        <w:pPr>
                          <w:rPr>
                            <w:iCs/>
                            <w:szCs w:val="24"/>
                          </w:rPr>
                        </w:pPr>
                        <w:r>
                          <w:rPr>
                            <w:szCs w:val="24"/>
                          </w:rPr>
                          <w:t>36 asm.</w:t>
                        </w:r>
                      </w:p>
                    </w:tc>
                    <w:tc>
                      <w:tcPr>
                        <w:tcW w:w="992" w:type="dxa"/>
                      </w:tcPr>
                      <w:p>
                        <w:pPr>
                          <w:rPr>
                            <w:iCs/>
                            <w:szCs w:val="24"/>
                          </w:rPr>
                        </w:pPr>
                        <w:r>
                          <w:rPr>
                            <w:szCs w:val="24"/>
                          </w:rPr>
                          <w:t>24,4 VB</w:t>
                        </w:r>
                      </w:p>
                    </w:tc>
                    <w:tc>
                      <w:tcPr>
                        <w:tcW w:w="1134" w:type="dxa"/>
                        <w:gridSpan w:val="2"/>
                      </w:tcPr>
                      <w:p>
                        <w:pPr>
                          <w:rPr>
                            <w:iCs/>
                            <w:szCs w:val="24"/>
                          </w:rPr>
                        </w:pPr>
                        <w:r>
                          <w:rPr>
                            <w:szCs w:val="24"/>
                          </w:rPr>
                          <w:t>6,1 (VB)</w:t>
                        </w:r>
                      </w:p>
                    </w:tc>
                    <w:tc>
                      <w:tcPr>
                        <w:tcW w:w="5387" w:type="dxa"/>
                      </w:tcPr>
                      <w:p>
                        <w:pPr>
                          <w:rPr>
                            <w:szCs w:val="24"/>
                          </w:rPr>
                        </w:pPr>
                        <w:r>
                          <w:rPr>
                            <w:szCs w:val="24"/>
                          </w:rPr>
                          <w:t>Asmenų su negalia koordinavimo funkcijai atlikti Asmens su negalia teisių apsaugos agentūros prie LR SADM direktoriaus įsakymu skiriama suma vienam etatui. Radviliškio rajono savivaldybės administracijoje asmenų su negalia koordinatorius dirba ne pilnu etatu. (Socialinės paramos skyrius)</w:t>
                        </w:r>
                      </w:p>
                    </w:tc>
                  </w:tr>
                  <w:tr>
                    <w:tc>
                      <w:tcPr>
                        <w:tcW w:w="4111" w:type="dxa"/>
                      </w:tcPr>
                      <w:p>
                        <w:pPr>
                          <w:rPr>
                            <w:bCs/>
                            <w:szCs w:val="24"/>
                          </w:rPr>
                        </w:pPr>
                        <w:r>
                          <w:rPr>
                            <w:szCs w:val="24"/>
                          </w:rPr>
                          <w:t xml:space="preserve">11.1.2.4. </w:t>
                        </w:r>
                        <w:r>
                          <w:rPr>
                            <w:bCs/>
                            <w:szCs w:val="24"/>
                          </w:rPr>
                          <w:t xml:space="preserve">Išmokoms vaikams mokėjimo programa. </w:t>
                        </w:r>
                        <w:r>
                          <w:rPr>
                            <w:szCs w:val="24"/>
                          </w:rPr>
                          <w:t>Metinis gavėjų skaičius.(SVP 3-1-2-03)</w:t>
                        </w:r>
                      </w:p>
                    </w:tc>
                    <w:tc>
                      <w:tcPr>
                        <w:tcW w:w="851" w:type="dxa"/>
                      </w:tcPr>
                      <w:p>
                        <w:pPr>
                          <w:rPr>
                            <w:iCs/>
                            <w:szCs w:val="24"/>
                          </w:rPr>
                        </w:pPr>
                        <w:r>
                          <w:rPr>
                            <w:szCs w:val="24"/>
                          </w:rPr>
                          <w:t>5490 asm.</w:t>
                        </w:r>
                      </w:p>
                    </w:tc>
                    <w:tc>
                      <w:tcPr>
                        <w:tcW w:w="850" w:type="dxa"/>
                      </w:tcPr>
                      <w:p>
                        <w:pPr>
                          <w:rPr>
                            <w:iCs/>
                            <w:szCs w:val="24"/>
                          </w:rPr>
                        </w:pPr>
                        <w:r>
                          <w:rPr>
                            <w:szCs w:val="24"/>
                          </w:rPr>
                          <w:t>6368 asm.</w:t>
                        </w:r>
                      </w:p>
                    </w:tc>
                    <w:tc>
                      <w:tcPr>
                        <w:tcW w:w="993" w:type="dxa"/>
                      </w:tcPr>
                      <w:p>
                        <w:pPr>
                          <w:rPr>
                            <w:iCs/>
                            <w:szCs w:val="24"/>
                          </w:rPr>
                        </w:pPr>
                        <w:r>
                          <w:rPr>
                            <w:szCs w:val="24"/>
                          </w:rPr>
                          <w:t>6144 asm.</w:t>
                        </w:r>
                      </w:p>
                    </w:tc>
                    <w:tc>
                      <w:tcPr>
                        <w:tcW w:w="850" w:type="dxa"/>
                      </w:tcPr>
                      <w:p>
                        <w:pPr>
                          <w:rPr>
                            <w:iCs/>
                            <w:szCs w:val="24"/>
                          </w:rPr>
                        </w:pPr>
                        <w:r>
                          <w:rPr>
                            <w:szCs w:val="24"/>
                          </w:rPr>
                          <w:t>5952 asm.</w:t>
                        </w:r>
                      </w:p>
                    </w:tc>
                    <w:tc>
                      <w:tcPr>
                        <w:tcW w:w="992" w:type="dxa"/>
                      </w:tcPr>
                      <w:p>
                        <w:pPr>
                          <w:rPr>
                            <w:iCs/>
                            <w:szCs w:val="24"/>
                          </w:rPr>
                        </w:pPr>
                        <w:r>
                          <w:rPr>
                            <w:szCs w:val="24"/>
                          </w:rPr>
                          <w:t>11 896,2 VB</w:t>
                        </w:r>
                      </w:p>
                    </w:tc>
                    <w:tc>
                      <w:tcPr>
                        <w:tcW w:w="1134" w:type="dxa"/>
                        <w:gridSpan w:val="2"/>
                      </w:tcPr>
                      <w:p>
                        <w:pPr>
                          <w:rPr>
                            <w:iCs/>
                            <w:szCs w:val="24"/>
                          </w:rPr>
                        </w:pPr>
                        <w:r>
                          <w:rPr>
                            <w:szCs w:val="24"/>
                          </w:rPr>
                          <w:t>11 507,1 VB</w:t>
                        </w:r>
                      </w:p>
                    </w:tc>
                    <w:tc>
                      <w:tcPr>
                        <w:tcW w:w="5387" w:type="dxa"/>
                      </w:tcPr>
                      <w:p>
                        <w:pPr>
                          <w:rPr>
                            <w:iCs/>
                            <w:szCs w:val="24"/>
                          </w:rPr>
                        </w:pPr>
                        <w:r>
                          <w:rPr>
                            <w:szCs w:val="24"/>
                          </w:rPr>
                          <w:t>(Socialinės paramos skyrius)</w:t>
                        </w:r>
                      </w:p>
                    </w:tc>
                  </w:tr>
                  <w:tr>
                    <w:trPr>
                      <w:trHeight w:val="876"/>
                    </w:trPr>
                    <w:tc>
                      <w:tcPr>
                        <w:tcW w:w="4111" w:type="dxa"/>
                      </w:tcPr>
                      <w:p>
                        <w:pPr>
                          <w:rPr>
                            <w:bCs/>
                            <w:szCs w:val="24"/>
                          </w:rPr>
                        </w:pPr>
                        <w:r>
                          <w:rPr>
                            <w:szCs w:val="24"/>
                          </w:rPr>
                          <w:t xml:space="preserve">11.1.2.5. </w:t>
                        </w:r>
                        <w:r>
                          <w:rPr>
                            <w:bCs/>
                            <w:szCs w:val="24"/>
                          </w:rPr>
                          <w:t xml:space="preserve">Socialinių pašalpų ir kompensacijų socialiai remtiniems asmenims programa. </w:t>
                        </w:r>
                        <w:r>
                          <w:rPr>
                            <w:szCs w:val="24"/>
                          </w:rPr>
                          <w:t>Metinis gavėjų skaičius.</w:t>
                        </w:r>
                        <w:r>
                          <w:rPr>
                            <w:bCs/>
                            <w:szCs w:val="24"/>
                          </w:rPr>
                          <w:t xml:space="preserve"> </w:t>
                        </w:r>
                        <w:r>
                          <w:rPr>
                            <w:szCs w:val="24"/>
                          </w:rPr>
                          <w:t>(SVP 3-1-2-04)</w:t>
                        </w:r>
                      </w:p>
                    </w:tc>
                    <w:tc>
                      <w:tcPr>
                        <w:tcW w:w="851" w:type="dxa"/>
                      </w:tcPr>
                      <w:p>
                        <w:pPr>
                          <w:rPr>
                            <w:iCs/>
                            <w:szCs w:val="24"/>
                          </w:rPr>
                        </w:pPr>
                        <w:r>
                          <w:rPr>
                            <w:szCs w:val="24"/>
                          </w:rPr>
                          <w:t>7200 asm.</w:t>
                        </w:r>
                      </w:p>
                    </w:tc>
                    <w:tc>
                      <w:tcPr>
                        <w:tcW w:w="850" w:type="dxa"/>
                      </w:tcPr>
                      <w:p>
                        <w:pPr>
                          <w:rPr>
                            <w:iCs/>
                            <w:szCs w:val="24"/>
                          </w:rPr>
                        </w:pPr>
                        <w:r>
                          <w:rPr>
                            <w:szCs w:val="24"/>
                          </w:rPr>
                          <w:t>10564 asm.</w:t>
                        </w:r>
                      </w:p>
                    </w:tc>
                    <w:tc>
                      <w:tcPr>
                        <w:tcW w:w="993" w:type="dxa"/>
                      </w:tcPr>
                      <w:p>
                        <w:pPr>
                          <w:rPr>
                            <w:iCs/>
                            <w:szCs w:val="24"/>
                          </w:rPr>
                        </w:pPr>
                        <w:r>
                          <w:rPr>
                            <w:szCs w:val="24"/>
                          </w:rPr>
                          <w:t>7654 asm.</w:t>
                        </w:r>
                      </w:p>
                    </w:tc>
                    <w:tc>
                      <w:tcPr>
                        <w:tcW w:w="850" w:type="dxa"/>
                      </w:tcPr>
                      <w:p>
                        <w:pPr>
                          <w:rPr>
                            <w:iCs/>
                            <w:szCs w:val="24"/>
                          </w:rPr>
                        </w:pPr>
                        <w:r>
                          <w:rPr>
                            <w:szCs w:val="24"/>
                          </w:rPr>
                          <w:t>9615 asm.</w:t>
                        </w:r>
                      </w:p>
                    </w:tc>
                    <w:tc>
                      <w:tcPr>
                        <w:tcW w:w="992" w:type="dxa"/>
                      </w:tcPr>
                      <w:p>
                        <w:pPr>
                          <w:rPr>
                            <w:iCs/>
                            <w:szCs w:val="24"/>
                          </w:rPr>
                        </w:pPr>
                        <w:r>
                          <w:rPr>
                            <w:szCs w:val="24"/>
                          </w:rPr>
                          <w:t>3 380,98 SB</w:t>
                        </w:r>
                      </w:p>
                    </w:tc>
                    <w:tc>
                      <w:tcPr>
                        <w:tcW w:w="1134" w:type="dxa"/>
                        <w:gridSpan w:val="2"/>
                      </w:tcPr>
                      <w:p>
                        <w:pPr>
                          <w:rPr>
                            <w:szCs w:val="24"/>
                          </w:rPr>
                        </w:pPr>
                        <w:r>
                          <w:rPr>
                            <w:szCs w:val="24"/>
                          </w:rPr>
                          <w:t>4 050,5 SB</w:t>
                        </w:r>
                      </w:p>
                      <w:p>
                        <w:pPr>
                          <w:rPr>
                            <w:iCs/>
                            <w:szCs w:val="24"/>
                          </w:rPr>
                        </w:pPr>
                        <w:r>
                          <w:rPr>
                            <w:szCs w:val="24"/>
                          </w:rPr>
                          <w:t>742,1 VB</w:t>
                        </w:r>
                      </w:p>
                    </w:tc>
                    <w:tc>
                      <w:tcPr>
                        <w:tcW w:w="5387" w:type="dxa"/>
                      </w:tcPr>
                      <w:p>
                        <w:pPr>
                          <w:rPr>
                            <w:szCs w:val="24"/>
                          </w:rPr>
                        </w:pPr>
                        <w:r>
                          <w:rPr>
                            <w:szCs w:val="24"/>
                          </w:rPr>
                          <w:t>Padidėjus socialinių pašalpų ir kompensacijų gavėjų skaičiui, buvo skirtas papildomas finansavimas iš savivaldybės ir valstybės biudžeto lėšų. (Socialinės paramos skyrius)</w:t>
                        </w:r>
                      </w:p>
                    </w:tc>
                  </w:tr>
                  <w:tr>
                    <w:tc>
                      <w:tcPr>
                        <w:tcW w:w="4111" w:type="dxa"/>
                      </w:tcPr>
                      <w:p>
                        <w:pPr>
                          <w:rPr>
                            <w:bCs/>
                            <w:szCs w:val="24"/>
                          </w:rPr>
                        </w:pPr>
                        <w:r>
                          <w:rPr>
                            <w:szCs w:val="24"/>
                          </w:rPr>
                          <w:t>11.1.2.6.</w:t>
                        </w:r>
                        <w:r>
                          <w:rPr>
                            <w:bCs/>
                            <w:szCs w:val="24"/>
                          </w:rPr>
                          <w:t xml:space="preserve"> Vienkartinių laidojimo pašalpų mokėjimo programa.</w:t>
                        </w:r>
                      </w:p>
                      <w:p>
                        <w:pPr>
                          <w:rPr>
                            <w:szCs w:val="24"/>
                          </w:rPr>
                        </w:pPr>
                        <w:r>
                          <w:rPr>
                            <w:szCs w:val="24"/>
                          </w:rPr>
                          <w:t>Metinis gavėjų skaičius.</w:t>
                        </w:r>
                      </w:p>
                      <w:p>
                        <w:pPr>
                          <w:rPr>
                            <w:bCs/>
                            <w:szCs w:val="24"/>
                          </w:rPr>
                        </w:pPr>
                        <w:r>
                          <w:rPr>
                            <w:szCs w:val="24"/>
                          </w:rPr>
                          <w:t>(SVP 3-1-2-05)</w:t>
                        </w:r>
                      </w:p>
                    </w:tc>
                    <w:tc>
                      <w:tcPr>
                        <w:tcW w:w="851" w:type="dxa"/>
                      </w:tcPr>
                      <w:p>
                        <w:pPr>
                          <w:rPr>
                            <w:szCs w:val="24"/>
                          </w:rPr>
                        </w:pPr>
                        <w:r>
                          <w:rPr>
                            <w:szCs w:val="24"/>
                          </w:rPr>
                          <w:t>580 asm.</w:t>
                        </w:r>
                      </w:p>
                    </w:tc>
                    <w:tc>
                      <w:tcPr>
                        <w:tcW w:w="850" w:type="dxa"/>
                      </w:tcPr>
                      <w:p>
                        <w:pPr>
                          <w:rPr>
                            <w:szCs w:val="24"/>
                          </w:rPr>
                        </w:pPr>
                        <w:r>
                          <w:rPr>
                            <w:szCs w:val="24"/>
                          </w:rPr>
                          <w:t>594 asm.</w:t>
                        </w:r>
                      </w:p>
                    </w:tc>
                    <w:tc>
                      <w:tcPr>
                        <w:tcW w:w="993" w:type="dxa"/>
                      </w:tcPr>
                      <w:p>
                        <w:pPr>
                          <w:rPr>
                            <w:szCs w:val="24"/>
                          </w:rPr>
                        </w:pPr>
                        <w:r>
                          <w:rPr>
                            <w:szCs w:val="24"/>
                          </w:rPr>
                          <w:t>608 asm.</w:t>
                        </w:r>
                      </w:p>
                    </w:tc>
                    <w:tc>
                      <w:tcPr>
                        <w:tcW w:w="850" w:type="dxa"/>
                      </w:tcPr>
                      <w:p>
                        <w:pPr>
                          <w:rPr>
                            <w:szCs w:val="24"/>
                          </w:rPr>
                        </w:pPr>
                        <w:r>
                          <w:rPr>
                            <w:szCs w:val="24"/>
                          </w:rPr>
                          <w:t>590 asm.</w:t>
                        </w:r>
                      </w:p>
                    </w:tc>
                    <w:tc>
                      <w:tcPr>
                        <w:tcW w:w="992" w:type="dxa"/>
                      </w:tcPr>
                      <w:p>
                        <w:pPr>
                          <w:rPr>
                            <w:szCs w:val="24"/>
                          </w:rPr>
                        </w:pPr>
                        <w:r>
                          <w:rPr>
                            <w:szCs w:val="24"/>
                          </w:rPr>
                          <w:t>349,1 VB</w:t>
                        </w:r>
                      </w:p>
                    </w:tc>
                    <w:tc>
                      <w:tcPr>
                        <w:tcW w:w="1134" w:type="dxa"/>
                        <w:gridSpan w:val="2"/>
                      </w:tcPr>
                      <w:p>
                        <w:pPr>
                          <w:rPr>
                            <w:szCs w:val="24"/>
                          </w:rPr>
                        </w:pPr>
                        <w:r>
                          <w:rPr>
                            <w:szCs w:val="24"/>
                          </w:rPr>
                          <w:t>335,8 VB</w:t>
                        </w:r>
                      </w:p>
                    </w:tc>
                    <w:tc>
                      <w:tcPr>
                        <w:tcW w:w="5387" w:type="dxa"/>
                      </w:tcPr>
                      <w:p>
                        <w:pPr>
                          <w:rPr>
                            <w:szCs w:val="24"/>
                          </w:rPr>
                        </w:pPr>
                        <w:r>
                          <w:rPr>
                            <w:szCs w:val="24"/>
                          </w:rPr>
                          <w:t>Pagal LR Paramos mirties atveju įstatymą mokama laidojimo pašalpa ir  parama užsienyje mirusių (žuvusių) Lietuvos Respublikos piliečių palaikams parvežti į Lietuvos Respubliką (toliau – Parama palaikams parvežti). Dėl Paramos palaikams parvežti kreipėsi 2 asmenis, buvo planuota – 5 gavėjai. (Socialinės paramos skyrius)</w:t>
                        </w:r>
                      </w:p>
                    </w:tc>
                  </w:tr>
                  <w:tr>
                    <w:tc>
                      <w:tcPr>
                        <w:tcW w:w="4111" w:type="dxa"/>
                      </w:tcPr>
                      <w:p>
                        <w:pPr>
                          <w:rPr>
                            <w:bCs/>
                            <w:szCs w:val="24"/>
                          </w:rPr>
                        </w:pPr>
                        <w:r>
                          <w:rPr>
                            <w:szCs w:val="24"/>
                          </w:rPr>
                          <w:t xml:space="preserve">11.1.2.7. </w:t>
                        </w:r>
                        <w:r>
                          <w:rPr>
                            <w:bCs/>
                            <w:szCs w:val="24"/>
                          </w:rPr>
                          <w:t>Mokinių aprūpinimo programa.</w:t>
                        </w:r>
                      </w:p>
                      <w:p>
                        <w:pPr>
                          <w:rPr>
                            <w:szCs w:val="24"/>
                          </w:rPr>
                        </w:pPr>
                        <w:r>
                          <w:rPr>
                            <w:szCs w:val="24"/>
                          </w:rPr>
                          <w:t>Metinis gavėjų skaičius. (SVP 3-1-2-06)</w:t>
                        </w:r>
                      </w:p>
                    </w:tc>
                    <w:tc>
                      <w:tcPr>
                        <w:tcW w:w="851" w:type="dxa"/>
                      </w:tcPr>
                      <w:p>
                        <w:pPr>
                          <w:rPr>
                            <w:szCs w:val="24"/>
                          </w:rPr>
                        </w:pPr>
                        <w:r>
                          <w:rPr>
                            <w:szCs w:val="24"/>
                          </w:rPr>
                          <w:t>960 asm.</w:t>
                        </w:r>
                      </w:p>
                    </w:tc>
                    <w:tc>
                      <w:tcPr>
                        <w:tcW w:w="850" w:type="dxa"/>
                      </w:tcPr>
                      <w:p>
                        <w:pPr>
                          <w:rPr>
                            <w:szCs w:val="24"/>
                          </w:rPr>
                        </w:pPr>
                        <w:r>
                          <w:rPr>
                            <w:szCs w:val="24"/>
                          </w:rPr>
                          <w:t>1050 asm.</w:t>
                        </w:r>
                      </w:p>
                    </w:tc>
                    <w:tc>
                      <w:tcPr>
                        <w:tcW w:w="993" w:type="dxa"/>
                      </w:tcPr>
                      <w:p>
                        <w:pPr>
                          <w:rPr>
                            <w:szCs w:val="24"/>
                          </w:rPr>
                        </w:pPr>
                        <w:r>
                          <w:rPr>
                            <w:szCs w:val="24"/>
                          </w:rPr>
                          <w:t>1016 asm.</w:t>
                        </w:r>
                      </w:p>
                    </w:tc>
                    <w:tc>
                      <w:tcPr>
                        <w:tcW w:w="850" w:type="dxa"/>
                      </w:tcPr>
                      <w:p>
                        <w:pPr>
                          <w:rPr>
                            <w:szCs w:val="24"/>
                          </w:rPr>
                        </w:pPr>
                        <w:r>
                          <w:rPr>
                            <w:szCs w:val="24"/>
                          </w:rPr>
                          <w:t>1075</w:t>
                        </w:r>
                      </w:p>
                      <w:p>
                        <w:pPr>
                          <w:rPr>
                            <w:szCs w:val="24"/>
                          </w:rPr>
                        </w:pPr>
                        <w:r>
                          <w:rPr>
                            <w:szCs w:val="24"/>
                          </w:rPr>
                          <w:t>asm.</w:t>
                        </w:r>
                      </w:p>
                    </w:tc>
                    <w:tc>
                      <w:tcPr>
                        <w:tcW w:w="992" w:type="dxa"/>
                      </w:tcPr>
                      <w:p>
                        <w:pPr>
                          <w:rPr>
                            <w:szCs w:val="24"/>
                          </w:rPr>
                        </w:pPr>
                        <w:r>
                          <w:rPr>
                            <w:szCs w:val="24"/>
                          </w:rPr>
                          <w:t>168,0 VB</w:t>
                        </w:r>
                      </w:p>
                    </w:tc>
                    <w:tc>
                      <w:tcPr>
                        <w:tcW w:w="1134" w:type="dxa"/>
                        <w:gridSpan w:val="2"/>
                      </w:tcPr>
                      <w:p>
                        <w:pPr>
                          <w:rPr>
                            <w:szCs w:val="24"/>
                          </w:rPr>
                        </w:pPr>
                        <w:r>
                          <w:rPr>
                            <w:szCs w:val="24"/>
                          </w:rPr>
                          <w:t>150,5 VB</w:t>
                        </w:r>
                      </w:p>
                    </w:tc>
                    <w:tc>
                      <w:tcPr>
                        <w:tcW w:w="5387" w:type="dxa"/>
                      </w:tcPr>
                      <w:p>
                        <w:pPr>
                          <w:ind w:firstLine="62"/>
                          <w:rPr>
                            <w:szCs w:val="24"/>
                          </w:rPr>
                        </w:pPr>
                        <w:r>
                          <w:rPr>
                            <w:szCs w:val="24"/>
                          </w:rPr>
                          <w:t>(Socialinės paramos skyrius)</w:t>
                        </w:r>
                      </w:p>
                    </w:tc>
                  </w:tr>
                  <w:tr>
                    <w:tc>
                      <w:tcPr>
                        <w:tcW w:w="4111" w:type="dxa"/>
                      </w:tcPr>
                      <w:p>
                        <w:pPr>
                          <w:rPr>
                            <w:szCs w:val="24"/>
                          </w:rPr>
                        </w:pPr>
                        <w:r>
                          <w:rPr>
                            <w:szCs w:val="24"/>
                          </w:rPr>
                          <w:t xml:space="preserve">11.1.2.8. </w:t>
                        </w:r>
                        <w:r>
                          <w:rPr>
                            <w:bCs/>
                            <w:szCs w:val="24"/>
                          </w:rPr>
                          <w:t xml:space="preserve">Piniginės paramos skyrimo programa. Žalos atlyginimo kompensacija. </w:t>
                        </w:r>
                        <w:r>
                          <w:rPr>
                            <w:szCs w:val="24"/>
                          </w:rPr>
                          <w:t>Metinis gavėjų skaičius.</w:t>
                        </w:r>
                      </w:p>
                      <w:p>
                        <w:pPr>
                          <w:rPr>
                            <w:bCs/>
                            <w:szCs w:val="24"/>
                          </w:rPr>
                        </w:pPr>
                        <w:r>
                          <w:rPr>
                            <w:szCs w:val="24"/>
                          </w:rPr>
                          <w:t>(SVP 3-1-2-07)</w:t>
                        </w:r>
                      </w:p>
                    </w:tc>
                    <w:tc>
                      <w:tcPr>
                        <w:tcW w:w="851" w:type="dxa"/>
                      </w:tcPr>
                      <w:p>
                        <w:pPr>
                          <w:rPr>
                            <w:szCs w:val="24"/>
                          </w:rPr>
                        </w:pPr>
                        <w:r>
                          <w:rPr>
                            <w:szCs w:val="24"/>
                          </w:rPr>
                          <w:t>3 asm.</w:t>
                        </w:r>
                      </w:p>
                    </w:tc>
                    <w:tc>
                      <w:tcPr>
                        <w:tcW w:w="850" w:type="dxa"/>
                      </w:tcPr>
                      <w:p>
                        <w:pPr>
                          <w:rPr>
                            <w:szCs w:val="24"/>
                          </w:rPr>
                        </w:pPr>
                        <w:r>
                          <w:rPr>
                            <w:szCs w:val="24"/>
                          </w:rPr>
                          <w:t>3 asm.</w:t>
                        </w:r>
                      </w:p>
                    </w:tc>
                    <w:tc>
                      <w:tcPr>
                        <w:tcW w:w="993" w:type="dxa"/>
                      </w:tcPr>
                      <w:p>
                        <w:pPr>
                          <w:rPr>
                            <w:szCs w:val="24"/>
                          </w:rPr>
                        </w:pPr>
                        <w:r>
                          <w:rPr>
                            <w:szCs w:val="24"/>
                          </w:rPr>
                          <w:t>3asm.</w:t>
                        </w:r>
                      </w:p>
                    </w:tc>
                    <w:tc>
                      <w:tcPr>
                        <w:tcW w:w="850" w:type="dxa"/>
                      </w:tcPr>
                      <w:p>
                        <w:pPr>
                          <w:rPr>
                            <w:szCs w:val="24"/>
                          </w:rPr>
                        </w:pPr>
                        <w:r>
                          <w:rPr>
                            <w:szCs w:val="24"/>
                          </w:rPr>
                          <w:t>8 asm.</w:t>
                        </w:r>
                      </w:p>
                    </w:tc>
                    <w:tc>
                      <w:tcPr>
                        <w:tcW w:w="992" w:type="dxa"/>
                      </w:tcPr>
                      <w:p>
                        <w:pPr>
                          <w:rPr>
                            <w:szCs w:val="24"/>
                          </w:rPr>
                        </w:pPr>
                        <w:r>
                          <w:rPr>
                            <w:szCs w:val="24"/>
                          </w:rPr>
                          <w:t>10,8 SB</w:t>
                        </w:r>
                      </w:p>
                    </w:tc>
                    <w:tc>
                      <w:tcPr>
                        <w:tcW w:w="1134" w:type="dxa"/>
                        <w:gridSpan w:val="2"/>
                      </w:tcPr>
                      <w:p>
                        <w:pPr>
                          <w:rPr>
                            <w:szCs w:val="24"/>
                          </w:rPr>
                        </w:pPr>
                        <w:r>
                          <w:rPr>
                            <w:szCs w:val="24"/>
                          </w:rPr>
                          <w:t>10,3 (SB)</w:t>
                        </w:r>
                      </w:p>
                    </w:tc>
                    <w:tc>
                      <w:tcPr>
                        <w:tcW w:w="5387" w:type="dxa"/>
                      </w:tcPr>
                      <w:p>
                        <w:pPr>
                          <w:rPr>
                            <w:szCs w:val="24"/>
                          </w:rPr>
                        </w:pPr>
                        <w:r>
                          <w:rPr>
                            <w:szCs w:val="24"/>
                          </w:rPr>
                          <w:t>Pagal šią programą mokamos žalos atlyginimo kompensacijos ir vienišų (benamių) asmenų laidojimo pašalpos. Atlikus viešuosius pirkimus vienišų asmenų laidojimo kaina buvo mažesnė. (Socialinės paramos skyrius)</w:t>
                        </w:r>
                      </w:p>
                    </w:tc>
                  </w:tr>
                  <w:tr>
                    <w:tc>
                      <w:tcPr>
                        <w:tcW w:w="4111" w:type="dxa"/>
                      </w:tcPr>
                      <w:p>
                        <w:pPr>
                          <w:rPr>
                            <w:bCs/>
                            <w:szCs w:val="24"/>
                          </w:rPr>
                        </w:pPr>
                        <w:r>
                          <w:rPr>
                            <w:szCs w:val="24"/>
                          </w:rPr>
                          <w:t xml:space="preserve">11.1.2.9. </w:t>
                        </w:r>
                        <w:r>
                          <w:rPr>
                            <w:bCs/>
                            <w:szCs w:val="24"/>
                          </w:rPr>
                          <w:t xml:space="preserve">Materialinio nepritekliaus mažinimo programa. </w:t>
                        </w:r>
                        <w:r>
                          <w:rPr>
                            <w:szCs w:val="24"/>
                          </w:rPr>
                          <w:t>Metinis gavėjų skaičius.</w:t>
                        </w:r>
                        <w:r>
                          <w:rPr>
                            <w:bCs/>
                            <w:szCs w:val="24"/>
                          </w:rPr>
                          <w:t xml:space="preserve"> </w:t>
                        </w:r>
                        <w:r>
                          <w:rPr>
                            <w:szCs w:val="24"/>
                          </w:rPr>
                          <w:t>(SVP 3-1-2-8)</w:t>
                        </w:r>
                      </w:p>
                    </w:tc>
                    <w:tc>
                      <w:tcPr>
                        <w:tcW w:w="851" w:type="dxa"/>
                      </w:tcPr>
                      <w:p>
                        <w:pPr>
                          <w:rPr>
                            <w:szCs w:val="24"/>
                          </w:rPr>
                        </w:pPr>
                        <w:r>
                          <w:rPr>
                            <w:szCs w:val="24"/>
                          </w:rPr>
                          <w:t>2000 asm.</w:t>
                        </w:r>
                      </w:p>
                    </w:tc>
                    <w:tc>
                      <w:tcPr>
                        <w:tcW w:w="850" w:type="dxa"/>
                      </w:tcPr>
                      <w:p>
                        <w:pPr>
                          <w:rPr>
                            <w:szCs w:val="24"/>
                          </w:rPr>
                        </w:pPr>
                        <w:r>
                          <w:rPr>
                            <w:szCs w:val="24"/>
                          </w:rPr>
                          <w:t>-</w:t>
                        </w:r>
                      </w:p>
                    </w:tc>
                    <w:tc>
                      <w:tcPr>
                        <w:tcW w:w="993" w:type="dxa"/>
                      </w:tcPr>
                      <w:p>
                        <w:pPr>
                          <w:rPr>
                            <w:szCs w:val="24"/>
                          </w:rPr>
                        </w:pPr>
                        <w:r>
                          <w:rPr>
                            <w:szCs w:val="24"/>
                          </w:rPr>
                          <w:t>3959 asm.</w:t>
                        </w:r>
                      </w:p>
                    </w:tc>
                    <w:tc>
                      <w:tcPr>
                        <w:tcW w:w="850" w:type="dxa"/>
                      </w:tcPr>
                      <w:p>
                        <w:pPr>
                          <w:rPr>
                            <w:szCs w:val="24"/>
                          </w:rPr>
                        </w:pPr>
                        <w:r>
                          <w:rPr>
                            <w:szCs w:val="24"/>
                          </w:rPr>
                          <w:t>4181 asm.</w:t>
                        </w:r>
                      </w:p>
                    </w:tc>
                    <w:tc>
                      <w:tcPr>
                        <w:tcW w:w="992" w:type="dxa"/>
                      </w:tcPr>
                      <w:p>
                        <w:pPr>
                          <w:rPr>
                            <w:szCs w:val="24"/>
                          </w:rPr>
                        </w:pPr>
                        <w:r>
                          <w:rPr>
                            <w:szCs w:val="24"/>
                          </w:rPr>
                          <w:t>250,0 ES</w:t>
                        </w:r>
                      </w:p>
                      <w:p>
                        <w:pPr>
                          <w:rPr>
                            <w:szCs w:val="24"/>
                          </w:rPr>
                        </w:pPr>
                        <w:r>
                          <w:rPr>
                            <w:szCs w:val="24"/>
                          </w:rPr>
                          <w:t>28,0 VB</w:t>
                        </w:r>
                      </w:p>
                    </w:tc>
                    <w:tc>
                      <w:tcPr>
                        <w:tcW w:w="1134" w:type="dxa"/>
                        <w:gridSpan w:val="2"/>
                      </w:tcPr>
                      <w:p>
                        <w:pPr>
                          <w:rPr>
                            <w:szCs w:val="24"/>
                          </w:rPr>
                        </w:pPr>
                        <w:r>
                          <w:rPr>
                            <w:szCs w:val="24"/>
                          </w:rPr>
                          <w:t>348,1 ES</w:t>
                        </w:r>
                      </w:p>
                      <w:p>
                        <w:pPr>
                          <w:rPr>
                            <w:szCs w:val="24"/>
                          </w:rPr>
                        </w:pPr>
                      </w:p>
                      <w:p>
                        <w:pPr>
                          <w:rPr>
                            <w:szCs w:val="24"/>
                          </w:rPr>
                        </w:pPr>
                        <w:r>
                          <w:rPr>
                            <w:szCs w:val="24"/>
                          </w:rPr>
                          <w:t>38,7 VB</w:t>
                        </w:r>
                      </w:p>
                    </w:tc>
                    <w:tc>
                      <w:tcPr>
                        <w:tcW w:w="5387" w:type="dxa"/>
                      </w:tcPr>
                      <w:p>
                        <w:pPr>
                          <w:rPr>
                            <w:szCs w:val="24"/>
                          </w:rPr>
                        </w:pPr>
                        <w:r>
                          <w:rPr>
                            <w:szCs w:val="24"/>
                          </w:rPr>
                          <w:t>Radviliškio rajono gyventojams, atitinkantiems materialinio nepritekliaus programos kriterijams, skiriama 25 Eur. suma per ketvirtį įsigyti maisto produktus ir būtiniausias prekes pasirinktame prekybos centre.(Socialinės paramos skyrius)</w:t>
                        </w:r>
                      </w:p>
                    </w:tc>
                  </w:tr>
                  <w:tr>
                    <w:tc>
                      <w:tcPr>
                        <w:tcW w:w="4111" w:type="dxa"/>
                      </w:tcPr>
                      <w:p>
                        <w:pPr>
                          <w:rPr>
                            <w:bCs/>
                            <w:szCs w:val="24"/>
                          </w:rPr>
                        </w:pPr>
                        <w:r>
                          <w:rPr>
                            <w:szCs w:val="24"/>
                          </w:rPr>
                          <w:t xml:space="preserve">11.1.2.10. </w:t>
                        </w:r>
                        <w:r>
                          <w:rPr>
                            <w:bCs/>
                            <w:szCs w:val="24"/>
                          </w:rPr>
                          <w:t xml:space="preserve">Būsto ir gyvenamosios aplinkos pritaikymo asmenims su negalia veikla. </w:t>
                        </w:r>
                        <w:r>
                          <w:rPr>
                            <w:szCs w:val="24"/>
                          </w:rPr>
                          <w:t>Metinis gavėjų skaičius.(SVP 3-1-2-10)</w:t>
                        </w:r>
                      </w:p>
                    </w:tc>
                    <w:tc>
                      <w:tcPr>
                        <w:tcW w:w="851" w:type="dxa"/>
                      </w:tcPr>
                      <w:p>
                        <w:pPr>
                          <w:rPr>
                            <w:szCs w:val="24"/>
                          </w:rPr>
                        </w:pPr>
                        <w:r>
                          <w:rPr>
                            <w:szCs w:val="24"/>
                          </w:rPr>
                          <w:t>14 asm.</w:t>
                        </w:r>
                      </w:p>
                    </w:tc>
                    <w:tc>
                      <w:tcPr>
                        <w:tcW w:w="850" w:type="dxa"/>
                      </w:tcPr>
                      <w:p>
                        <w:pPr>
                          <w:rPr>
                            <w:szCs w:val="24"/>
                          </w:rPr>
                        </w:pPr>
                        <w:r>
                          <w:rPr>
                            <w:szCs w:val="24"/>
                          </w:rPr>
                          <w:t>11 asm.</w:t>
                        </w:r>
                      </w:p>
                    </w:tc>
                    <w:tc>
                      <w:tcPr>
                        <w:tcW w:w="993" w:type="dxa"/>
                      </w:tcPr>
                      <w:p>
                        <w:pPr>
                          <w:rPr>
                            <w:szCs w:val="24"/>
                          </w:rPr>
                        </w:pPr>
                        <w:r>
                          <w:rPr>
                            <w:szCs w:val="24"/>
                          </w:rPr>
                          <w:t>9 asm.</w:t>
                        </w:r>
                      </w:p>
                    </w:tc>
                    <w:tc>
                      <w:tcPr>
                        <w:tcW w:w="850" w:type="dxa"/>
                      </w:tcPr>
                      <w:p>
                        <w:pPr>
                          <w:rPr>
                            <w:szCs w:val="24"/>
                          </w:rPr>
                        </w:pPr>
                        <w:r>
                          <w:rPr>
                            <w:szCs w:val="24"/>
                          </w:rPr>
                          <w:t>16 asm.</w:t>
                        </w:r>
                      </w:p>
                    </w:tc>
                    <w:tc>
                      <w:tcPr>
                        <w:tcW w:w="992" w:type="dxa"/>
                      </w:tcPr>
                      <w:p>
                        <w:pPr>
                          <w:rPr>
                            <w:szCs w:val="24"/>
                          </w:rPr>
                        </w:pPr>
                        <w:r>
                          <w:rPr>
                            <w:szCs w:val="24"/>
                          </w:rPr>
                          <w:t>59,8 VB</w:t>
                        </w:r>
                      </w:p>
                      <w:p>
                        <w:pPr>
                          <w:rPr>
                            <w:szCs w:val="24"/>
                          </w:rPr>
                        </w:pPr>
                        <w:r>
                          <w:rPr>
                            <w:szCs w:val="24"/>
                          </w:rPr>
                          <w:t>50,0 SB</w:t>
                        </w:r>
                      </w:p>
                    </w:tc>
                    <w:tc>
                      <w:tcPr>
                        <w:tcW w:w="1134" w:type="dxa"/>
                        <w:gridSpan w:val="2"/>
                      </w:tcPr>
                      <w:p>
                        <w:pPr>
                          <w:rPr>
                            <w:szCs w:val="24"/>
                          </w:rPr>
                        </w:pPr>
                        <w:r>
                          <w:rPr>
                            <w:szCs w:val="24"/>
                          </w:rPr>
                          <w:t>75,3 VB</w:t>
                        </w:r>
                      </w:p>
                      <w:p>
                        <w:pPr>
                          <w:rPr>
                            <w:szCs w:val="24"/>
                          </w:rPr>
                        </w:pPr>
                      </w:p>
                      <w:p>
                        <w:pPr>
                          <w:rPr>
                            <w:szCs w:val="24"/>
                          </w:rPr>
                        </w:pPr>
                        <w:r>
                          <w:rPr>
                            <w:szCs w:val="24"/>
                          </w:rPr>
                          <w:t>50,2 SB</w:t>
                        </w:r>
                      </w:p>
                    </w:tc>
                    <w:tc>
                      <w:tcPr>
                        <w:tcW w:w="5387" w:type="dxa"/>
                      </w:tcPr>
                      <w:p>
                        <w:pPr>
                          <w:rPr>
                            <w:szCs w:val="24"/>
                          </w:rPr>
                        </w:pPr>
                        <w:r>
                          <w:rPr>
                            <w:szCs w:val="24"/>
                          </w:rPr>
                          <w:t>Per ataskaitinius metus buvo gauta papildomai valstybės biudžeto lėšų programos vykdymui. Tai sudarė sąlygas pritaikyti daugiau būstų asmenims su negalia. (Socialinės paramos skyrius)</w:t>
                        </w:r>
                      </w:p>
                    </w:tc>
                  </w:tr>
                  <w:tr>
                    <w:tc>
                      <w:tcPr>
                        <w:tcW w:w="4111" w:type="dxa"/>
                      </w:tcPr>
                      <w:p>
                        <w:pPr>
                          <w:rPr>
                            <w:bCs/>
                            <w:szCs w:val="24"/>
                          </w:rPr>
                        </w:pPr>
                        <w:r>
                          <w:rPr>
                            <w:szCs w:val="24"/>
                          </w:rPr>
                          <w:t xml:space="preserve">11.1.2.11. </w:t>
                        </w:r>
                        <w:r>
                          <w:rPr>
                            <w:bCs/>
                            <w:szCs w:val="24"/>
                          </w:rPr>
                          <w:t>Prieglobstį gavusiems užsieniečiams parama integracijai.</w:t>
                        </w:r>
                      </w:p>
                      <w:p>
                        <w:pPr>
                          <w:rPr>
                            <w:szCs w:val="24"/>
                          </w:rPr>
                        </w:pPr>
                        <w:r>
                          <w:rPr>
                            <w:szCs w:val="24"/>
                          </w:rPr>
                          <w:t>Metinis gavėjų skaičius (SVP 3-1-2-12)</w:t>
                        </w:r>
                      </w:p>
                    </w:tc>
                    <w:tc>
                      <w:tcPr>
                        <w:tcW w:w="851" w:type="dxa"/>
                      </w:tcPr>
                      <w:p>
                        <w:pPr>
                          <w:rPr>
                            <w:szCs w:val="24"/>
                          </w:rPr>
                        </w:pPr>
                        <w:r>
                          <w:rPr>
                            <w:szCs w:val="24"/>
                          </w:rPr>
                          <w:t>100 asm.</w:t>
                        </w:r>
                      </w:p>
                    </w:tc>
                    <w:tc>
                      <w:tcPr>
                        <w:tcW w:w="850" w:type="dxa"/>
                      </w:tcPr>
                      <w:p>
                        <w:pPr>
                          <w:rPr>
                            <w:szCs w:val="24"/>
                          </w:rPr>
                        </w:pPr>
                        <w:r>
                          <w:rPr>
                            <w:szCs w:val="24"/>
                          </w:rPr>
                          <w:t>234 asm.</w:t>
                        </w:r>
                      </w:p>
                    </w:tc>
                    <w:tc>
                      <w:tcPr>
                        <w:tcW w:w="993" w:type="dxa"/>
                      </w:tcPr>
                      <w:p>
                        <w:pPr>
                          <w:rPr>
                            <w:szCs w:val="24"/>
                          </w:rPr>
                        </w:pPr>
                        <w:r>
                          <w:rPr>
                            <w:szCs w:val="24"/>
                          </w:rPr>
                          <w:t>104 asm.</w:t>
                        </w:r>
                      </w:p>
                    </w:tc>
                    <w:tc>
                      <w:tcPr>
                        <w:tcW w:w="850" w:type="dxa"/>
                      </w:tcPr>
                      <w:p>
                        <w:pPr>
                          <w:rPr>
                            <w:szCs w:val="24"/>
                          </w:rPr>
                        </w:pPr>
                        <w:r>
                          <w:rPr>
                            <w:szCs w:val="24"/>
                          </w:rPr>
                          <w:t>104 asm.</w:t>
                        </w:r>
                      </w:p>
                    </w:tc>
                    <w:tc>
                      <w:tcPr>
                        <w:tcW w:w="992" w:type="dxa"/>
                      </w:tcPr>
                      <w:p>
                        <w:pPr>
                          <w:rPr>
                            <w:szCs w:val="24"/>
                          </w:rPr>
                        </w:pPr>
                        <w:r>
                          <w:rPr>
                            <w:szCs w:val="24"/>
                          </w:rPr>
                          <w:t xml:space="preserve">VB </w:t>
                        </w:r>
                      </w:p>
                    </w:tc>
                    <w:tc>
                      <w:tcPr>
                        <w:tcW w:w="1134" w:type="dxa"/>
                        <w:gridSpan w:val="2"/>
                      </w:tcPr>
                      <w:p>
                        <w:pPr>
                          <w:rPr>
                            <w:szCs w:val="24"/>
                          </w:rPr>
                        </w:pPr>
                        <w:r>
                          <w:rPr>
                            <w:szCs w:val="24"/>
                          </w:rPr>
                          <w:t>94,8 VB</w:t>
                        </w:r>
                      </w:p>
                    </w:tc>
                    <w:tc>
                      <w:tcPr>
                        <w:tcW w:w="5387" w:type="dxa"/>
                      </w:tcPr>
                      <w:p>
                        <w:pPr>
                          <w:rPr>
                            <w:szCs w:val="24"/>
                          </w:rPr>
                        </w:pPr>
                        <w:r>
                          <w:rPr>
                            <w:szCs w:val="24"/>
                          </w:rPr>
                          <w:t>Plane nebuvo suplanuotų lėšų, nes jas valstybė skiria ketvirčiais pagal faktines išlaidas (Socialinės paramos skyrius)</w:t>
                        </w:r>
                      </w:p>
                    </w:tc>
                  </w:tr>
                  <w:tr>
                    <w:tc>
                      <w:tcPr>
                        <w:tcW w:w="4111" w:type="dxa"/>
                      </w:tcPr>
                      <w:p>
                        <w:pPr>
                          <w:rPr>
                            <w:bCs/>
                            <w:szCs w:val="24"/>
                          </w:rPr>
                        </w:pPr>
                        <w:r>
                          <w:rPr>
                            <w:szCs w:val="24"/>
                          </w:rPr>
                          <w:t xml:space="preserve">11.1.2.12. </w:t>
                        </w:r>
                        <w:r>
                          <w:rPr>
                            <w:bCs/>
                            <w:szCs w:val="24"/>
                          </w:rPr>
                          <w:t>Vienkartinės pašalpos mokėjimo, gimus vaikui, veikla.</w:t>
                        </w:r>
                      </w:p>
                      <w:p>
                        <w:pPr>
                          <w:rPr>
                            <w:szCs w:val="24"/>
                          </w:rPr>
                        </w:pPr>
                        <w:r>
                          <w:rPr>
                            <w:szCs w:val="24"/>
                          </w:rPr>
                          <w:t>Metinis gavėjų skaičius. (SVP 3-1-2-14)</w:t>
                        </w:r>
                      </w:p>
                    </w:tc>
                    <w:tc>
                      <w:tcPr>
                        <w:tcW w:w="851" w:type="dxa"/>
                      </w:tcPr>
                      <w:p>
                        <w:pPr>
                          <w:rPr>
                            <w:szCs w:val="24"/>
                          </w:rPr>
                        </w:pPr>
                        <w:r>
                          <w:rPr>
                            <w:szCs w:val="24"/>
                          </w:rPr>
                          <w:t>280 asm.</w:t>
                        </w:r>
                      </w:p>
                    </w:tc>
                    <w:tc>
                      <w:tcPr>
                        <w:tcW w:w="850" w:type="dxa"/>
                      </w:tcPr>
                      <w:p>
                        <w:pPr>
                          <w:rPr>
                            <w:szCs w:val="24"/>
                          </w:rPr>
                        </w:pPr>
                        <w:r>
                          <w:rPr>
                            <w:szCs w:val="24"/>
                          </w:rPr>
                          <w:t>232 asm.</w:t>
                        </w:r>
                      </w:p>
                    </w:tc>
                    <w:tc>
                      <w:tcPr>
                        <w:tcW w:w="993" w:type="dxa"/>
                      </w:tcPr>
                      <w:p>
                        <w:pPr>
                          <w:rPr>
                            <w:szCs w:val="24"/>
                          </w:rPr>
                        </w:pPr>
                        <w:r>
                          <w:rPr>
                            <w:szCs w:val="24"/>
                          </w:rPr>
                          <w:t>269 asm.</w:t>
                        </w:r>
                      </w:p>
                    </w:tc>
                    <w:tc>
                      <w:tcPr>
                        <w:tcW w:w="850" w:type="dxa"/>
                      </w:tcPr>
                      <w:p>
                        <w:pPr>
                          <w:rPr>
                            <w:szCs w:val="24"/>
                          </w:rPr>
                        </w:pPr>
                        <w:r>
                          <w:rPr>
                            <w:szCs w:val="24"/>
                          </w:rPr>
                          <w:t>235 asm.</w:t>
                        </w:r>
                      </w:p>
                    </w:tc>
                    <w:tc>
                      <w:tcPr>
                        <w:tcW w:w="992" w:type="dxa"/>
                      </w:tcPr>
                      <w:p>
                        <w:pPr>
                          <w:rPr>
                            <w:szCs w:val="24"/>
                          </w:rPr>
                        </w:pPr>
                        <w:r>
                          <w:rPr>
                            <w:szCs w:val="24"/>
                          </w:rPr>
                          <w:t>420,0 SB</w:t>
                        </w:r>
                      </w:p>
                    </w:tc>
                    <w:tc>
                      <w:tcPr>
                        <w:tcW w:w="1134" w:type="dxa"/>
                        <w:gridSpan w:val="2"/>
                      </w:tcPr>
                      <w:p>
                        <w:pPr>
                          <w:rPr>
                            <w:szCs w:val="24"/>
                          </w:rPr>
                        </w:pPr>
                        <w:r>
                          <w:rPr>
                            <w:szCs w:val="24"/>
                          </w:rPr>
                          <w:t>327,5 SB</w:t>
                        </w:r>
                      </w:p>
                    </w:tc>
                    <w:tc>
                      <w:tcPr>
                        <w:tcW w:w="5387" w:type="dxa"/>
                      </w:tcPr>
                      <w:p>
                        <w:pPr>
                          <w:rPr>
                            <w:szCs w:val="24"/>
                          </w:rPr>
                        </w:pPr>
                        <w:r>
                          <w:rPr>
                            <w:color w:val="000000"/>
                            <w:szCs w:val="24"/>
                          </w:rPr>
                          <w:t xml:space="preserve">Papildoma parama (išmoka) gimus vaikui skiriama Radviliškio rajono savivaldybėje </w:t>
                        </w:r>
                        <w:r>
                          <w:rPr>
                            <w:szCs w:val="24"/>
                          </w:rPr>
                          <w:t>tarybos sprendimu iš SB lėšų. (Socialinės paramos skyrius)</w:t>
                        </w:r>
                      </w:p>
                    </w:tc>
                  </w:tr>
                  <w:tr>
                    <w:tc>
                      <w:tcPr>
                        <w:tcW w:w="4111" w:type="dxa"/>
                      </w:tcPr>
                      <w:p>
                        <w:pPr>
                          <w:rPr>
                            <w:bCs/>
                            <w:szCs w:val="24"/>
                          </w:rPr>
                        </w:pPr>
                        <w:r>
                          <w:rPr>
                            <w:szCs w:val="24"/>
                          </w:rPr>
                          <w:t xml:space="preserve">11.1.2.13. </w:t>
                        </w:r>
                        <w:r>
                          <w:rPr>
                            <w:bCs/>
                            <w:szCs w:val="24"/>
                          </w:rPr>
                          <w:t xml:space="preserve">Užimtumo didinimo programa. </w:t>
                        </w:r>
                        <w:r>
                          <w:rPr>
                            <w:szCs w:val="24"/>
                          </w:rPr>
                          <w:t>Metinis gavėjų skaičius.</w:t>
                        </w:r>
                      </w:p>
                      <w:p>
                        <w:pPr>
                          <w:rPr>
                            <w:bCs/>
                            <w:szCs w:val="24"/>
                          </w:rPr>
                        </w:pPr>
                        <w:r>
                          <w:rPr>
                            <w:szCs w:val="24"/>
                          </w:rPr>
                          <w:t>(SVP 3-1-2-15)</w:t>
                        </w:r>
                      </w:p>
                    </w:tc>
                    <w:tc>
                      <w:tcPr>
                        <w:tcW w:w="851" w:type="dxa"/>
                      </w:tcPr>
                      <w:p>
                        <w:pPr>
                          <w:rPr>
                            <w:szCs w:val="24"/>
                          </w:rPr>
                        </w:pPr>
                        <w:r>
                          <w:rPr>
                            <w:szCs w:val="24"/>
                          </w:rPr>
                          <w:t>80 asm.</w:t>
                        </w:r>
                      </w:p>
                    </w:tc>
                    <w:tc>
                      <w:tcPr>
                        <w:tcW w:w="850" w:type="dxa"/>
                      </w:tcPr>
                      <w:p>
                        <w:pPr>
                          <w:rPr>
                            <w:szCs w:val="24"/>
                          </w:rPr>
                        </w:pPr>
                        <w:r>
                          <w:rPr>
                            <w:szCs w:val="24"/>
                          </w:rPr>
                          <w:t>51 asm.</w:t>
                        </w:r>
                      </w:p>
                    </w:tc>
                    <w:tc>
                      <w:tcPr>
                        <w:tcW w:w="993" w:type="dxa"/>
                      </w:tcPr>
                      <w:p>
                        <w:pPr>
                          <w:rPr>
                            <w:szCs w:val="24"/>
                          </w:rPr>
                        </w:pPr>
                        <w:r>
                          <w:rPr>
                            <w:szCs w:val="24"/>
                          </w:rPr>
                          <w:t>60 asm.</w:t>
                        </w:r>
                      </w:p>
                    </w:tc>
                    <w:tc>
                      <w:tcPr>
                        <w:tcW w:w="850" w:type="dxa"/>
                      </w:tcPr>
                      <w:p>
                        <w:pPr>
                          <w:rPr>
                            <w:szCs w:val="24"/>
                          </w:rPr>
                        </w:pPr>
                        <w:r>
                          <w:rPr>
                            <w:szCs w:val="24"/>
                          </w:rPr>
                          <w:t>100 asm.</w:t>
                        </w:r>
                      </w:p>
                    </w:tc>
                    <w:tc>
                      <w:tcPr>
                        <w:tcW w:w="992" w:type="dxa"/>
                      </w:tcPr>
                      <w:p>
                        <w:pPr>
                          <w:rPr>
                            <w:szCs w:val="24"/>
                          </w:rPr>
                        </w:pPr>
                        <w:r>
                          <w:rPr>
                            <w:szCs w:val="24"/>
                          </w:rPr>
                          <w:t>101,5 VB</w:t>
                        </w:r>
                      </w:p>
                    </w:tc>
                    <w:tc>
                      <w:tcPr>
                        <w:tcW w:w="1134" w:type="dxa"/>
                        <w:gridSpan w:val="2"/>
                      </w:tcPr>
                      <w:p>
                        <w:pPr>
                          <w:rPr>
                            <w:szCs w:val="24"/>
                          </w:rPr>
                        </w:pPr>
                        <w:r>
                          <w:rPr>
                            <w:szCs w:val="24"/>
                          </w:rPr>
                          <w:t>53,8 VB</w:t>
                        </w:r>
                      </w:p>
                    </w:tc>
                    <w:tc>
                      <w:tcPr>
                        <w:tcW w:w="5387" w:type="dxa"/>
                      </w:tcPr>
                      <w:p>
                        <w:pPr>
                          <w:rPr>
                            <w:szCs w:val="24"/>
                          </w:rPr>
                        </w:pPr>
                        <w:r>
                          <w:rPr>
                            <w:szCs w:val="24"/>
                          </w:rPr>
                          <w:t>2025 m. Paslaugas gavo 63 besirengiantys darbo rinkai asmenys. Už suteiktas Paslaugas sumokėta 53,8 VB lėšų. Priemonėse buvo įdarbinti 37 asmenys, kurių finansavimą organizavo Centralizuotas buhalterinės apskaitos skyrius. (Socialinės paramos skyrius)</w:t>
                        </w:r>
                      </w:p>
                    </w:tc>
                  </w:tr>
                  <w:tr>
                    <w:tc>
                      <w:tcPr>
                        <w:tcW w:w="4111" w:type="dxa"/>
                      </w:tcPr>
                      <w:p>
                        <w:pPr>
                          <w:rPr>
                            <w:szCs w:val="24"/>
                          </w:rPr>
                        </w:pPr>
                        <w:r>
                          <w:rPr>
                            <w:bCs/>
                            <w:szCs w:val="24"/>
                          </w:rPr>
                          <w:t>Rodiklis: P-03-01-02-09 Keleivių vežimo vietinio susisiekimo maršrutais užtikrinimas</w:t>
                        </w:r>
                      </w:p>
                    </w:tc>
                    <w:tc>
                      <w:tcPr>
                        <w:tcW w:w="851" w:type="dxa"/>
                      </w:tcPr>
                      <w:p>
                        <w:pPr>
                          <w:rPr>
                            <w:color w:val="000000"/>
                            <w:szCs w:val="24"/>
                          </w:rPr>
                        </w:pPr>
                        <w:r>
                          <w:rPr>
                            <w:color w:val="000000"/>
                            <w:szCs w:val="24"/>
                          </w:rPr>
                          <w:t xml:space="preserve">650000 km </w:t>
                        </w:r>
                      </w:p>
                      <w:p>
                        <w:pPr>
                          <w:rPr>
                            <w:szCs w:val="24"/>
                          </w:rPr>
                        </w:pPr>
                      </w:p>
                    </w:tc>
                    <w:tc>
                      <w:tcPr>
                        <w:tcW w:w="850" w:type="dxa"/>
                      </w:tcPr>
                      <w:p>
                        <w:pPr>
                          <w:rPr>
                            <w:szCs w:val="24"/>
                          </w:rPr>
                        </w:pPr>
                        <w:r>
                          <w:rPr>
                            <w:iCs/>
                            <w:szCs w:val="24"/>
                          </w:rPr>
                          <w:t>496848</w:t>
                        </w:r>
                      </w:p>
                    </w:tc>
                    <w:tc>
                      <w:tcPr>
                        <w:tcW w:w="993" w:type="dxa"/>
                      </w:tcPr>
                      <w:p>
                        <w:pPr>
                          <w:rPr>
                            <w:szCs w:val="24"/>
                          </w:rPr>
                        </w:pPr>
                        <w:r>
                          <w:rPr>
                            <w:iCs/>
                            <w:szCs w:val="24"/>
                          </w:rPr>
                          <w:t>518029</w:t>
                        </w:r>
                      </w:p>
                    </w:tc>
                    <w:tc>
                      <w:tcPr>
                        <w:tcW w:w="850" w:type="dxa"/>
                      </w:tcPr>
                      <w:p>
                        <w:pPr>
                          <w:rPr>
                            <w:szCs w:val="24"/>
                          </w:rPr>
                        </w:pPr>
                        <w:r>
                          <w:rPr>
                            <w:iCs/>
                            <w:szCs w:val="24"/>
                          </w:rPr>
                          <w:t>726874</w:t>
                        </w:r>
                      </w:p>
                    </w:tc>
                    <w:tc>
                      <w:tcPr>
                        <w:tcW w:w="992" w:type="dxa"/>
                      </w:tcPr>
                      <w:p>
                        <w:pPr>
                          <w:rPr>
                            <w:szCs w:val="24"/>
                          </w:rPr>
                        </w:pPr>
                        <w:r>
                          <w:rPr>
                            <w:szCs w:val="24"/>
                          </w:rPr>
                          <w:t>740 SB</w:t>
                        </w:r>
                      </w:p>
                    </w:tc>
                    <w:tc>
                      <w:tcPr>
                        <w:tcW w:w="1134" w:type="dxa"/>
                        <w:gridSpan w:val="2"/>
                      </w:tcPr>
                      <w:p>
                        <w:pPr>
                          <w:rPr>
                            <w:szCs w:val="24"/>
                          </w:rPr>
                        </w:pPr>
                        <w:r>
                          <w:rPr>
                            <w:szCs w:val="24"/>
                          </w:rPr>
                          <w:t>1 362,444 SB</w:t>
                        </w:r>
                      </w:p>
                    </w:tc>
                    <w:tc>
                      <w:tcPr>
                        <w:tcW w:w="5387" w:type="dxa"/>
                      </w:tcPr>
                      <w:p>
                        <w:pPr>
                          <w:rPr>
                            <w:szCs w:val="24"/>
                          </w:rPr>
                        </w:pPr>
                        <w:r>
                          <w:rPr>
                            <w:szCs w:val="24"/>
                          </w:rPr>
                          <w:t>Vykdyta tęstinė visuomeninio transporto kompensacijų mokėjimo LR transporto lengvatų įstatymo numatyta tvarka, nuostolingų maršrutų dotavimo programa ir nemokamas gyventojų pavėžėjimas vietinio reguliaraus susisiekimo maršrutais (Investicijų ir turto valdymo skyrius)</w:t>
                        </w:r>
                      </w:p>
                    </w:tc>
                  </w:tr>
                  <w:tr>
                    <w:trPr>
                      <w:trHeight w:val="295"/>
                    </w:trPr>
                    <w:tc>
                      <w:tcPr>
                        <w:tcW w:w="15168" w:type="dxa"/>
                        <w:gridSpan w:val="9"/>
                      </w:tcPr>
                      <w:p>
                        <w:pPr>
                          <w:rPr>
                            <w:b/>
                            <w:bCs/>
                            <w:color w:val="000000"/>
                            <w:szCs w:val="24"/>
                          </w:rPr>
                        </w:pPr>
                        <w:r>
                          <w:rPr>
                            <w:color w:val="000000"/>
                            <w:szCs w:val="24"/>
                          </w:rPr>
                          <w:t>11.1.3. Uždavinys: Kurti vaikui ir šeimai palankią aplinką</w:t>
                        </w:r>
                      </w:p>
                    </w:tc>
                  </w:tr>
                  <w:tr>
                    <w:tc>
                      <w:tcPr>
                        <w:tcW w:w="4111" w:type="dxa"/>
                      </w:tcPr>
                      <w:p>
                        <w:pPr>
                          <w:rPr>
                            <w:szCs w:val="24"/>
                          </w:rPr>
                        </w:pPr>
                        <w:r>
                          <w:rPr>
                            <w:szCs w:val="24"/>
                          </w:rPr>
                          <w:t>11.1.3.1. Smurtinio elgesio mažinimo programa. Metinis gavėjų skaičius. (SVP 3-1-3-01)</w:t>
                        </w:r>
                      </w:p>
                    </w:tc>
                    <w:tc>
                      <w:tcPr>
                        <w:tcW w:w="851" w:type="dxa"/>
                      </w:tcPr>
                      <w:p>
                        <w:pPr>
                          <w:rPr>
                            <w:iCs/>
                            <w:color w:val="808080"/>
                            <w:szCs w:val="24"/>
                          </w:rPr>
                        </w:pPr>
                        <w:r>
                          <w:rPr>
                            <w:szCs w:val="24"/>
                          </w:rPr>
                          <w:t>40 asm.</w:t>
                        </w:r>
                      </w:p>
                    </w:tc>
                    <w:tc>
                      <w:tcPr>
                        <w:tcW w:w="850" w:type="dxa"/>
                      </w:tcPr>
                      <w:p>
                        <w:pPr>
                          <w:rPr>
                            <w:iCs/>
                            <w:szCs w:val="24"/>
                          </w:rPr>
                        </w:pPr>
                        <w:r>
                          <w:rPr>
                            <w:szCs w:val="24"/>
                          </w:rPr>
                          <w:t>57 asm.</w:t>
                        </w:r>
                      </w:p>
                    </w:tc>
                    <w:tc>
                      <w:tcPr>
                        <w:tcW w:w="993" w:type="dxa"/>
                      </w:tcPr>
                      <w:p>
                        <w:pPr>
                          <w:rPr>
                            <w:iCs/>
                            <w:szCs w:val="24"/>
                          </w:rPr>
                        </w:pPr>
                        <w:r>
                          <w:rPr>
                            <w:szCs w:val="24"/>
                          </w:rPr>
                          <w:t>47 asm.</w:t>
                        </w:r>
                      </w:p>
                    </w:tc>
                    <w:tc>
                      <w:tcPr>
                        <w:tcW w:w="850" w:type="dxa"/>
                      </w:tcPr>
                      <w:p>
                        <w:pPr>
                          <w:rPr>
                            <w:iCs/>
                            <w:szCs w:val="24"/>
                          </w:rPr>
                        </w:pPr>
                        <w:r>
                          <w:rPr>
                            <w:szCs w:val="24"/>
                          </w:rPr>
                          <w:t>27 asm.</w:t>
                        </w:r>
                      </w:p>
                    </w:tc>
                    <w:tc>
                      <w:tcPr>
                        <w:tcW w:w="992" w:type="dxa"/>
                      </w:tcPr>
                      <w:p>
                        <w:pPr>
                          <w:rPr>
                            <w:iCs/>
                            <w:szCs w:val="24"/>
                          </w:rPr>
                        </w:pPr>
                        <w:r>
                          <w:rPr>
                            <w:szCs w:val="24"/>
                          </w:rPr>
                          <w:t>16,0 SB</w:t>
                        </w:r>
                      </w:p>
                    </w:tc>
                    <w:tc>
                      <w:tcPr>
                        <w:tcW w:w="1134" w:type="dxa"/>
                        <w:gridSpan w:val="2"/>
                      </w:tcPr>
                      <w:p>
                        <w:pPr>
                          <w:rPr>
                            <w:iCs/>
                            <w:szCs w:val="24"/>
                          </w:rPr>
                        </w:pPr>
                        <w:r>
                          <w:rPr>
                            <w:szCs w:val="24"/>
                          </w:rPr>
                          <w:t>5,5 SB</w:t>
                        </w:r>
                      </w:p>
                    </w:tc>
                    <w:tc>
                      <w:tcPr>
                        <w:tcW w:w="5387" w:type="dxa"/>
                      </w:tcPr>
                      <w:p>
                        <w:pPr>
                          <w:rPr>
                            <w:szCs w:val="24"/>
                          </w:rPr>
                        </w:pPr>
                        <w:r>
                          <w:rPr>
                            <w:szCs w:val="24"/>
                          </w:rPr>
                          <w:t>Dalyvauti smurtinio elgesio mažinimo programoje gali asmenys, turintis Lietuvos probacijos tarnybos siuntimą.(Socialinės paramos skyrius)</w:t>
                        </w:r>
                      </w:p>
                    </w:tc>
                  </w:tr>
                  <w:tr>
                    <w:tc>
                      <w:tcPr>
                        <w:tcW w:w="4111" w:type="dxa"/>
                      </w:tcPr>
                      <w:p>
                        <w:pPr>
                          <w:rPr>
                            <w:szCs w:val="24"/>
                          </w:rPr>
                        </w:pPr>
                        <w:r>
                          <w:rPr>
                            <w:szCs w:val="24"/>
                          </w:rPr>
                          <w:t>11.1.3.2. Ilgalaikės ir trumpalaikės socialinės globos teikimo Radviliškio rajono savivaldybės vaikams šeimynose veikla. Metinis vaikų skaičius šeimynose. (SVP 3-1-3-04)</w:t>
                        </w:r>
                      </w:p>
                    </w:tc>
                    <w:tc>
                      <w:tcPr>
                        <w:tcW w:w="851" w:type="dxa"/>
                      </w:tcPr>
                      <w:p>
                        <w:pPr>
                          <w:rPr>
                            <w:iCs/>
                            <w:szCs w:val="24"/>
                          </w:rPr>
                        </w:pPr>
                        <w:r>
                          <w:rPr>
                            <w:szCs w:val="24"/>
                          </w:rPr>
                          <w:t>15 asm.</w:t>
                        </w:r>
                      </w:p>
                    </w:tc>
                    <w:tc>
                      <w:tcPr>
                        <w:tcW w:w="850" w:type="dxa"/>
                      </w:tcPr>
                      <w:p>
                        <w:pPr>
                          <w:rPr>
                            <w:iCs/>
                            <w:szCs w:val="24"/>
                          </w:rPr>
                        </w:pPr>
                        <w:r>
                          <w:rPr>
                            <w:szCs w:val="24"/>
                          </w:rPr>
                          <w:t>15 asm.</w:t>
                        </w:r>
                      </w:p>
                    </w:tc>
                    <w:tc>
                      <w:tcPr>
                        <w:tcW w:w="993" w:type="dxa"/>
                      </w:tcPr>
                      <w:p>
                        <w:pPr>
                          <w:rPr>
                            <w:iCs/>
                            <w:szCs w:val="24"/>
                          </w:rPr>
                        </w:pPr>
                        <w:r>
                          <w:rPr>
                            <w:szCs w:val="24"/>
                          </w:rPr>
                          <w:t>15 asm.</w:t>
                        </w:r>
                      </w:p>
                    </w:tc>
                    <w:tc>
                      <w:tcPr>
                        <w:tcW w:w="850" w:type="dxa"/>
                      </w:tcPr>
                      <w:p>
                        <w:pPr>
                          <w:rPr>
                            <w:iCs/>
                            <w:szCs w:val="24"/>
                          </w:rPr>
                        </w:pPr>
                        <w:r>
                          <w:rPr>
                            <w:szCs w:val="24"/>
                          </w:rPr>
                          <w:t>16 asm.</w:t>
                        </w:r>
                      </w:p>
                    </w:tc>
                    <w:tc>
                      <w:tcPr>
                        <w:tcW w:w="992" w:type="dxa"/>
                      </w:tcPr>
                      <w:p>
                        <w:pPr>
                          <w:rPr>
                            <w:iCs/>
                            <w:szCs w:val="24"/>
                          </w:rPr>
                        </w:pPr>
                        <w:r>
                          <w:rPr>
                            <w:szCs w:val="24"/>
                          </w:rPr>
                          <w:t>320,0 (SB)</w:t>
                        </w:r>
                      </w:p>
                    </w:tc>
                    <w:tc>
                      <w:tcPr>
                        <w:tcW w:w="1134" w:type="dxa"/>
                        <w:gridSpan w:val="2"/>
                      </w:tcPr>
                      <w:p>
                        <w:pPr>
                          <w:rPr>
                            <w:iCs/>
                            <w:szCs w:val="24"/>
                          </w:rPr>
                        </w:pPr>
                        <w:r>
                          <w:rPr>
                            <w:szCs w:val="24"/>
                          </w:rPr>
                          <w:t>261,0 (SB)</w:t>
                        </w:r>
                      </w:p>
                    </w:tc>
                    <w:tc>
                      <w:tcPr>
                        <w:tcW w:w="5387" w:type="dxa"/>
                      </w:tcPr>
                      <w:p>
                        <w:pPr>
                          <w:rPr>
                            <w:color w:val="000000"/>
                            <w:szCs w:val="24"/>
                          </w:rPr>
                        </w:pPr>
                        <w:r>
                          <w:rPr>
                            <w:color w:val="000000"/>
                            <w:szCs w:val="24"/>
                          </w:rPr>
                          <w:t>Radviliškio rajone veiklą vykdo 5 šeimynos. Buvo planuotas dar vienos šeimynos kūrimas. Lėšos per ataskaitinius metus buvo perskirstytos kitiems tikslams pagal poreikį. (Socialinės paramos skyrius)</w:t>
                        </w:r>
                      </w:p>
                    </w:tc>
                  </w:tr>
                </w:tbl>
                <w:p>
                  <w:pPr>
                    <w:suppressAutoHyphens/>
                    <w:textAlignment w:val="baseline"/>
                    <w:rPr>
                      <w:rFonts w:eastAsia="Calibri"/>
                      <w:b/>
                      <w:bCs/>
                      <w:szCs w:val="24"/>
                    </w:rPr>
                  </w:pPr>
                </w:p>
                <w:p>
                  <w:pPr>
                    <w:suppressAutoHyphens/>
                    <w:ind w:firstLine="851"/>
                    <w:textAlignment w:val="baseline"/>
                    <w:rPr>
                      <w:rFonts w:eastAsia="Calibri"/>
                      <w:b/>
                      <w:bCs/>
                      <w:szCs w:val="24"/>
                    </w:rPr>
                  </w:pPr>
                </w:p>
              </w:sdtContent>
            </w:sdt>
            <w:sdt>
              <w:sdtPr>
                <w:alias w:val="poskyris"/>
                <w:tag w:val="part_ec43d7940e3e4f0b920cdb39c30b4022"/>
                <w:lock w:val="sdtLocked"/>
                <w:richText/>
              </w:sdtPr>
              <w:sdtContent>
                <w:p>
                  <w:pPr>
                    <w:suppressAutoHyphens/>
                    <w:ind w:firstLine="851"/>
                    <w:textAlignment w:val="baseline"/>
                    <w:rPr>
                      <w:rFonts w:eastAsia="Calibri"/>
                      <w:b/>
                      <w:bCs/>
                      <w:szCs w:val="24"/>
                    </w:rPr>
                  </w:pPr>
                  <w:sdt>
                    <w:sdtPr>
                      <w:alias w:val="Pavadinimas"/>
                      <w:tag w:val="title_ec43d7940e3e4f0b920cdb39c30b4022"/>
                      <w:lock w:val="sdtLocked"/>
                      <w:richText/>
                    </w:sdtPr>
                    <w:sdtContent>
                      <w:r>
                        <w:rPr>
                          <w:rFonts w:eastAsia="Calibri"/>
                          <w:b/>
                          <w:bCs/>
                          <w:szCs w:val="24"/>
                        </w:rPr>
                        <w:t>4 programa. Rajono infrastruktūros modernizavimo ir plėtros programa</w:t>
                      </w:r>
                    </w:sdtContent>
                  </w:sdt>
                </w:p>
                <w:p>
                  <w:pPr>
                    <w:tabs>
                      <w:tab w:val="left" w:pos="0"/>
                      <w:tab w:val="center" w:pos="4153"/>
                      <w:tab w:val="right" w:pos="8306"/>
                    </w:tabs>
                    <w:ind w:firstLine="851"/>
                    <w:rPr>
                      <w:szCs w:val="24"/>
                    </w:rPr>
                  </w:pPr>
                  <w:r>
                    <w:rPr>
                      <w:szCs w:val="24"/>
                    </w:rPr>
                    <w:t xml:space="preserve">Įgyvendinant 4 programą, siekiama užtikrinti Savivaldybės infrastruktūros objektų modernizavimą ir plėtrą įvairiose srityse – socialinio sektoriaus (socialinių paslaugų, sveikatos apsaugos, švietimo, kultūros, sporto ir kt.) paslaugų tinklo išplėtimą bei materialinės bazės gerinimą;  inžinerinių komunikacijų (vandens, šilumos tiekimo, vietinės reikšmės kelių ir gatvių infrastruktūros, gatvių apšvietimo tinklų) atnaujinimą ir išplėtojimą; turizmo infrastruktūros objektų atnaujinimą ir patrauklumo skatinimą; </w:t>
                  </w:r>
                  <w:r>
                    <w:rPr>
                      <w:bCs/>
                      <w:szCs w:val="24"/>
                    </w:rPr>
                    <w:t xml:space="preserve">efektyvų viešąjį valdymą, gerinant paslaugų kokybę ir prieinamumą gyventojams. </w:t>
                  </w:r>
                </w:p>
                <w:p>
                  <w:pPr>
                    <w:suppressAutoHyphens/>
                    <w:textAlignment w:val="baseline"/>
                    <w:rPr>
                      <w:rFonts w:eastAsia="Calibri"/>
                      <w:b/>
                      <w:bCs/>
                      <w:szCs w:val="24"/>
                    </w:rPr>
                  </w:pPr>
                </w:p>
                <w:p>
                  <w:pPr>
                    <w:rPr>
                      <w:bCs/>
                      <w:szCs w:val="24"/>
                    </w:rPr>
                  </w:pPr>
                  <w:r>
                    <w:rPr>
                      <w:b/>
                      <w:szCs w:val="24"/>
                    </w:rPr>
                    <w:t>4 lentelė.</w:t>
                  </w:r>
                  <w:r>
                    <w:rPr>
                      <w:i/>
                      <w:szCs w:val="24"/>
                    </w:rPr>
                    <w:t xml:space="preserve"> </w:t>
                  </w:r>
                  <w:r>
                    <w:rPr>
                      <w:bCs/>
                      <w:szCs w:val="24"/>
                    </w:rPr>
                    <w:t>4 programos strateginių ir (arba) metų veiklos tikslų įgyvendinimo rodikliai</w:t>
                  </w:r>
                </w:p>
                <w:p>
                  <w:pPr>
                    <w:suppressAutoHyphens/>
                    <w:textAlignment w:val="baseline"/>
                    <w:rPr>
                      <w:rFonts w:eastAsia="Calibri"/>
                      <w:b/>
                      <w:bCs/>
                      <w:szCs w:val="24"/>
                    </w:rPr>
                  </w:pPr>
                </w:p>
                <w:tbl>
                  <w:tblPr>
                    <w:tblW w:w="1531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851"/>
                    <w:gridCol w:w="850"/>
                    <w:gridCol w:w="851"/>
                    <w:gridCol w:w="850"/>
                    <w:gridCol w:w="992"/>
                    <w:gridCol w:w="993"/>
                    <w:gridCol w:w="5528"/>
                  </w:tblGrid>
                  <w:tr>
                    <w:tc>
                      <w:tcPr>
                        <w:tcW w:w="4395" w:type="dxa"/>
                        <w:vMerge w:val="restart"/>
                        <w:shd w:val="clear" w:color="auto" w:fill="DBE5F1"/>
                        <w:vAlign w:val="center"/>
                      </w:tcPr>
                      <w:p>
                        <w:pPr>
                          <w:rPr>
                            <w:b/>
                            <w:color w:val="000000"/>
                            <w:szCs w:val="24"/>
                          </w:rPr>
                        </w:pPr>
                        <w:r>
                          <w:rPr>
                            <w:b/>
                            <w:color w:val="000000"/>
                            <w:szCs w:val="24"/>
                          </w:rPr>
                          <w:t>Priemonės ir (arba) rodiklio kodas ir pavadinimas</w:t>
                        </w:r>
                      </w:p>
                      <w:p>
                        <w:pPr>
                          <w:rPr>
                            <w:b/>
                            <w:color w:val="000000"/>
                            <w:szCs w:val="24"/>
                          </w:rPr>
                        </w:pPr>
                        <w:r>
                          <w:rPr>
                            <w:b/>
                            <w:color w:val="000000"/>
                            <w:szCs w:val="24"/>
                          </w:rPr>
                          <w:t>(Sąsaja su Savivaldybės planavimo dokumentais)</w:t>
                        </w:r>
                      </w:p>
                    </w:tc>
                    <w:tc>
                      <w:tcPr>
                        <w:tcW w:w="851" w:type="dxa"/>
                        <w:vMerge w:val="restart"/>
                        <w:shd w:val="clear" w:color="auto" w:fill="DBE5F1"/>
                        <w:textDirection w:val="btLr"/>
                        <w:vAlign w:val="center"/>
                      </w:tcPr>
                      <w:p>
                        <w:pPr>
                          <w:ind w:left="113" w:right="113"/>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985" w:type="dxa"/>
                        <w:gridSpan w:val="2"/>
                        <w:shd w:val="clear" w:color="auto" w:fill="DBE5F1"/>
                        <w:vAlign w:val="center"/>
                      </w:tcPr>
                      <w:p>
                        <w:pPr>
                          <w:rPr>
                            <w:b/>
                            <w:color w:val="000000"/>
                            <w:szCs w:val="24"/>
                          </w:rPr>
                        </w:pPr>
                        <w:r>
                          <w:rPr>
                            <w:b/>
                            <w:color w:val="000000"/>
                            <w:szCs w:val="24"/>
                          </w:rPr>
                          <w:t>Finansavimas</w:t>
                        </w:r>
                      </w:p>
                      <w:p>
                        <w:pPr>
                          <w:rPr>
                            <w:b/>
                            <w:color w:val="000000"/>
                            <w:szCs w:val="24"/>
                          </w:rPr>
                        </w:pPr>
                        <w:r>
                          <w:rPr>
                            <w:b/>
                            <w:color w:val="000000"/>
                            <w:szCs w:val="24"/>
                          </w:rPr>
                          <w:t xml:space="preserve">(tūkst. Eur), </w:t>
                        </w:r>
                      </w:p>
                      <w:p>
                        <w:pPr>
                          <w:rPr>
                            <w:b/>
                            <w:color w:val="000000"/>
                            <w:szCs w:val="24"/>
                          </w:rPr>
                        </w:pPr>
                        <w:r>
                          <w:rPr>
                            <w:b/>
                            <w:color w:val="000000"/>
                            <w:szCs w:val="24"/>
                          </w:rPr>
                          <w:t xml:space="preserve">asignavimų šaltinis </w:t>
                        </w:r>
                      </w:p>
                    </w:tc>
                    <w:tc>
                      <w:tcPr>
                        <w:tcW w:w="5528"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rPr>
                      <w:trHeight w:val="1213"/>
                    </w:trPr>
                    <w:tc>
                      <w:tcPr>
                        <w:tcW w:w="4395" w:type="dxa"/>
                        <w:vMerge/>
                        <w:tcBorders>
                          <w:bottom w:val="single" w:sz="4" w:space="0" w:color="auto"/>
                        </w:tcBorders>
                        <w:shd w:val="clear" w:color="auto" w:fill="DBE5F1"/>
                        <w:vAlign w:val="center"/>
                      </w:tcPr>
                      <w:p>
                        <w:pPr>
                          <w:rPr>
                            <w:b/>
                            <w:color w:val="000000"/>
                            <w:szCs w:val="24"/>
                          </w:rPr>
                        </w:pPr>
                      </w:p>
                    </w:tc>
                    <w:tc>
                      <w:tcPr>
                        <w:tcW w:w="851" w:type="dxa"/>
                        <w:vMerge/>
                        <w:tcBorders>
                          <w:bottom w:val="single" w:sz="4" w:space="0" w:color="auto"/>
                        </w:tcBorders>
                        <w:shd w:val="clear" w:color="auto" w:fill="DBE5F1"/>
                        <w:vAlign w:val="center"/>
                      </w:tcPr>
                      <w:p>
                        <w:pPr>
                          <w:rPr>
                            <w:b/>
                            <w:color w:val="000000"/>
                            <w:szCs w:val="24"/>
                          </w:rPr>
                        </w:pPr>
                      </w:p>
                    </w:tc>
                    <w:tc>
                      <w:tcPr>
                        <w:tcW w:w="850" w:type="dxa"/>
                        <w:tcBorders>
                          <w:bottom w:val="single" w:sz="4" w:space="0" w:color="auto"/>
                        </w:tcBorders>
                        <w:shd w:val="clear" w:color="auto" w:fill="DBE5F1"/>
                        <w:vAlign w:val="center"/>
                      </w:tcPr>
                      <w:p>
                        <w:pPr>
                          <w:rPr>
                            <w:b/>
                            <w:iCs/>
                            <w:color w:val="000000"/>
                            <w:szCs w:val="24"/>
                          </w:rPr>
                        </w:pPr>
                        <w:r>
                          <w:rPr>
                            <w:b/>
                            <w:i/>
                            <w:iCs/>
                            <w:color w:val="000000"/>
                            <w:szCs w:val="24"/>
                          </w:rPr>
                          <w:t>2023</w:t>
                        </w:r>
                        <w:r>
                          <w:rPr>
                            <w:b/>
                            <w:iCs/>
                            <w:color w:val="000000"/>
                            <w:szCs w:val="24"/>
                          </w:rPr>
                          <w:t xml:space="preserve"> metai</w:t>
                        </w:r>
                      </w:p>
                    </w:tc>
                    <w:tc>
                      <w:tcPr>
                        <w:tcW w:w="851" w:type="dxa"/>
                        <w:tcBorders>
                          <w:bottom w:val="single" w:sz="4" w:space="0" w:color="auto"/>
                        </w:tcBorders>
                        <w:shd w:val="clear" w:color="auto" w:fill="DBE5F1"/>
                        <w:vAlign w:val="center"/>
                      </w:tcPr>
                      <w:p>
                        <w:pPr>
                          <w:rPr>
                            <w:b/>
                            <w:iCs/>
                            <w:color w:val="000000"/>
                            <w:szCs w:val="24"/>
                          </w:rPr>
                        </w:pPr>
                        <w:r>
                          <w:rPr>
                            <w:b/>
                            <w:i/>
                            <w:iCs/>
                            <w:color w:val="000000"/>
                            <w:szCs w:val="24"/>
                          </w:rPr>
                          <w:t>2024</w:t>
                        </w:r>
                        <w:r>
                          <w:rPr>
                            <w:b/>
                            <w:iCs/>
                            <w:color w:val="000000"/>
                            <w:szCs w:val="24"/>
                          </w:rPr>
                          <w:t xml:space="preserve"> metai</w:t>
                        </w:r>
                      </w:p>
                    </w:tc>
                    <w:tc>
                      <w:tcPr>
                        <w:tcW w:w="850" w:type="dxa"/>
                        <w:tcBorders>
                          <w:bottom w:val="single" w:sz="4" w:space="0" w:color="auto"/>
                        </w:tcBorders>
                        <w:shd w:val="clear" w:color="auto" w:fill="DBE5F1"/>
                        <w:vAlign w:val="center"/>
                      </w:tcPr>
                      <w:p>
                        <w:pPr>
                          <w:rPr>
                            <w:b/>
                            <w:iCs/>
                            <w:color w:val="000000"/>
                            <w:szCs w:val="24"/>
                          </w:rPr>
                        </w:pPr>
                        <w:r>
                          <w:rPr>
                            <w:b/>
                            <w:i/>
                            <w:iCs/>
                            <w:color w:val="000000"/>
                            <w:szCs w:val="24"/>
                          </w:rPr>
                          <w:t xml:space="preserve">2025 </w:t>
                        </w:r>
                        <w:r>
                          <w:rPr>
                            <w:b/>
                            <w:iCs/>
                            <w:color w:val="000000"/>
                            <w:szCs w:val="24"/>
                          </w:rPr>
                          <w:t>metai</w:t>
                        </w:r>
                      </w:p>
                    </w:tc>
                    <w:tc>
                      <w:tcPr>
                        <w:tcW w:w="992"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Įvykdymas</w:t>
                        </w:r>
                      </w:p>
                    </w:tc>
                    <w:tc>
                      <w:tcPr>
                        <w:tcW w:w="5528" w:type="dxa"/>
                        <w:vMerge/>
                        <w:tcBorders>
                          <w:bottom w:val="single" w:sz="4" w:space="0" w:color="auto"/>
                        </w:tcBorders>
                        <w:shd w:val="clear" w:color="auto" w:fill="DBE5F1"/>
                        <w:vAlign w:val="center"/>
                      </w:tcPr>
                      <w:p>
                        <w:pPr>
                          <w:rPr>
                            <w:b/>
                            <w:color w:val="000000"/>
                            <w:szCs w:val="24"/>
                          </w:rPr>
                        </w:pPr>
                      </w:p>
                    </w:tc>
                  </w:tr>
                  <w:tr>
                    <w:trPr>
                      <w:trHeight w:val="108"/>
                    </w:trPr>
                    <w:tc>
                      <w:tcPr>
                        <w:tcW w:w="4395" w:type="dxa"/>
                        <w:shd w:val="clear" w:color="auto" w:fill="DBE5F1"/>
                      </w:tcPr>
                      <w:p>
                        <w:pPr>
                          <w:rPr>
                            <w:color w:val="000000"/>
                            <w:szCs w:val="24"/>
                          </w:rPr>
                        </w:pPr>
                        <w:r>
                          <w:rPr>
                            <w:color w:val="000000"/>
                            <w:szCs w:val="24"/>
                          </w:rPr>
                          <w:t>1</w:t>
                        </w:r>
                      </w:p>
                    </w:tc>
                    <w:tc>
                      <w:tcPr>
                        <w:tcW w:w="851" w:type="dxa"/>
                        <w:shd w:val="clear" w:color="auto" w:fill="DBE5F1"/>
                      </w:tcPr>
                      <w:p>
                        <w:pPr>
                          <w:rPr>
                            <w:color w:val="000000"/>
                            <w:szCs w:val="24"/>
                          </w:rPr>
                        </w:pPr>
                        <w:r>
                          <w:rPr>
                            <w:color w:val="000000"/>
                            <w:szCs w:val="24"/>
                          </w:rPr>
                          <w:t>2</w:t>
                        </w:r>
                      </w:p>
                    </w:tc>
                    <w:tc>
                      <w:tcPr>
                        <w:tcW w:w="850" w:type="dxa"/>
                        <w:shd w:val="clear" w:color="auto" w:fill="DBE5F1"/>
                      </w:tcPr>
                      <w:p>
                        <w:pPr>
                          <w:rPr>
                            <w:color w:val="000000"/>
                            <w:szCs w:val="24"/>
                          </w:rPr>
                        </w:pPr>
                        <w:r>
                          <w:rPr>
                            <w:color w:val="000000"/>
                            <w:szCs w:val="24"/>
                          </w:rPr>
                          <w:t>3</w:t>
                        </w:r>
                      </w:p>
                    </w:tc>
                    <w:tc>
                      <w:tcPr>
                        <w:tcW w:w="851" w:type="dxa"/>
                        <w:shd w:val="clear" w:color="auto" w:fill="DBE5F1"/>
                      </w:tcPr>
                      <w:p>
                        <w:pPr>
                          <w:rPr>
                            <w:color w:val="000000"/>
                            <w:szCs w:val="24"/>
                          </w:rPr>
                        </w:pPr>
                        <w:r>
                          <w:rPr>
                            <w:color w:val="000000"/>
                            <w:szCs w:val="24"/>
                          </w:rPr>
                          <w:t>4</w:t>
                        </w:r>
                      </w:p>
                    </w:tc>
                    <w:tc>
                      <w:tcPr>
                        <w:tcW w:w="850" w:type="dxa"/>
                        <w:shd w:val="clear" w:color="auto" w:fill="DBE5F1"/>
                      </w:tcPr>
                      <w:p>
                        <w:pPr>
                          <w:rPr>
                            <w:color w:val="000000"/>
                            <w:szCs w:val="24"/>
                          </w:rPr>
                        </w:pPr>
                        <w:r>
                          <w:rPr>
                            <w:color w:val="000000"/>
                            <w:szCs w:val="24"/>
                          </w:rPr>
                          <w:t>5</w:t>
                        </w:r>
                      </w:p>
                    </w:tc>
                    <w:tc>
                      <w:tcPr>
                        <w:tcW w:w="992" w:type="dxa"/>
                        <w:shd w:val="clear" w:color="auto" w:fill="DBE5F1"/>
                      </w:tcPr>
                      <w:p>
                        <w:pPr>
                          <w:rPr>
                            <w:color w:val="000000"/>
                            <w:szCs w:val="24"/>
                          </w:rPr>
                        </w:pPr>
                        <w:r>
                          <w:rPr>
                            <w:color w:val="000000"/>
                            <w:szCs w:val="24"/>
                          </w:rPr>
                          <w:t>6</w:t>
                        </w:r>
                      </w:p>
                    </w:tc>
                    <w:tc>
                      <w:tcPr>
                        <w:tcW w:w="993" w:type="dxa"/>
                        <w:shd w:val="clear" w:color="auto" w:fill="DBE5F1"/>
                      </w:tcPr>
                      <w:p>
                        <w:pPr>
                          <w:rPr>
                            <w:color w:val="000000"/>
                            <w:szCs w:val="24"/>
                          </w:rPr>
                        </w:pPr>
                        <w:r>
                          <w:rPr>
                            <w:color w:val="000000"/>
                            <w:szCs w:val="24"/>
                          </w:rPr>
                          <w:t>7</w:t>
                        </w:r>
                      </w:p>
                    </w:tc>
                    <w:tc>
                      <w:tcPr>
                        <w:tcW w:w="5528" w:type="dxa"/>
                        <w:shd w:val="clear" w:color="auto" w:fill="DBE5F1"/>
                      </w:tcPr>
                      <w:p>
                        <w:pPr>
                          <w:rPr>
                            <w:color w:val="000000"/>
                            <w:szCs w:val="24"/>
                          </w:rPr>
                        </w:pPr>
                        <w:r>
                          <w:rPr>
                            <w:color w:val="000000"/>
                            <w:szCs w:val="24"/>
                          </w:rPr>
                          <w:t>8</w:t>
                        </w:r>
                      </w:p>
                    </w:tc>
                  </w:tr>
                  <w:tr>
                    <w:trPr>
                      <w:trHeight w:val="365"/>
                    </w:trPr>
                    <w:tc>
                      <w:tcPr>
                        <w:tcW w:w="15310" w:type="dxa"/>
                        <w:gridSpan w:val="8"/>
                      </w:tcPr>
                      <w:p>
                        <w:pPr>
                          <w:rPr>
                            <w:color w:val="000000"/>
                            <w:szCs w:val="24"/>
                          </w:rPr>
                        </w:pPr>
                        <w:r>
                          <w:rPr>
                            <w:color w:val="000000"/>
                            <w:szCs w:val="24"/>
                          </w:rPr>
                          <w:t xml:space="preserve">1. Tikslas: </w:t>
                        </w:r>
                        <w:r>
                          <w:rPr>
                            <w:szCs w:val="24"/>
                          </w:rPr>
                          <w:t>Racionalus rajono savivaldybės infrastruktūros objektų atnaujinimas ir plėtra</w:t>
                        </w:r>
                      </w:p>
                    </w:tc>
                  </w:tr>
                  <w:tr>
                    <w:trPr>
                      <w:trHeight w:val="365"/>
                    </w:trPr>
                    <w:tc>
                      <w:tcPr>
                        <w:tcW w:w="15310" w:type="dxa"/>
                        <w:gridSpan w:val="8"/>
                      </w:tcPr>
                      <w:p>
                        <w:pPr>
                          <w:rPr>
                            <w:color w:val="000000"/>
                            <w:szCs w:val="24"/>
                          </w:rPr>
                        </w:pPr>
                        <w:r>
                          <w:rPr>
                            <w:color w:val="000000"/>
                            <w:szCs w:val="24"/>
                          </w:rPr>
                          <w:t>1.1. Uždavinys: Užtikrinti urbanistinių teritorijų darnią plėtrą.</w:t>
                        </w:r>
                      </w:p>
                    </w:tc>
                  </w:tr>
                  <w:tr>
                    <w:trPr>
                      <w:trHeight w:val="365"/>
                    </w:trPr>
                    <w:tc>
                      <w:tcPr>
                        <w:tcW w:w="4395" w:type="dxa"/>
                      </w:tcPr>
                      <w:p>
                        <w:pPr>
                          <w:rPr>
                            <w:szCs w:val="24"/>
                          </w:rPr>
                        </w:pPr>
                        <w:r>
                          <w:rPr>
                            <w:szCs w:val="24"/>
                          </w:rPr>
                          <w:t>1.1.1.1 Kompleksinių teritorijų planavimo dokumentų koregavimo, stebėsenos (monitoringo) paslaugos</w:t>
                        </w:r>
                      </w:p>
                      <w:p>
                        <w:pPr>
                          <w:rPr>
                            <w:i/>
                            <w:iCs/>
                            <w:szCs w:val="24"/>
                          </w:rPr>
                        </w:pPr>
                        <w:r>
                          <w:rPr>
                            <w:i/>
                            <w:iCs/>
                            <w:szCs w:val="24"/>
                          </w:rPr>
                          <w:t xml:space="preserve">Parengta teritorijų planavimo dokumentų (vnt.). </w:t>
                        </w:r>
                        <w:r>
                          <w:rPr>
                            <w:color w:val="000000"/>
                            <w:szCs w:val="24"/>
                          </w:rPr>
                          <w:t>(SVP 4-1-1-10)</w:t>
                        </w:r>
                      </w:p>
                    </w:tc>
                    <w:tc>
                      <w:tcPr>
                        <w:tcW w:w="851" w:type="dxa"/>
                      </w:tcPr>
                      <w:p>
                        <w:pPr>
                          <w:rPr>
                            <w:color w:val="000000"/>
                            <w:szCs w:val="24"/>
                          </w:rPr>
                        </w:pPr>
                        <w:r>
                          <w:rPr>
                            <w:iCs/>
                            <w:color w:val="000000"/>
                            <w:szCs w:val="24"/>
                          </w:rPr>
                          <w:t>1 vnt.</w:t>
                        </w:r>
                      </w:p>
                    </w:tc>
                    <w:tc>
                      <w:tcPr>
                        <w:tcW w:w="850" w:type="dxa"/>
                      </w:tcPr>
                      <w:p>
                        <w:pPr>
                          <w:rPr>
                            <w:color w:val="000000"/>
                            <w:szCs w:val="24"/>
                          </w:rPr>
                        </w:pPr>
                        <w:r>
                          <w:rPr>
                            <w:iCs/>
                            <w:color w:val="000000"/>
                            <w:szCs w:val="24"/>
                          </w:rPr>
                          <w:t>2</w:t>
                        </w:r>
                      </w:p>
                    </w:tc>
                    <w:tc>
                      <w:tcPr>
                        <w:tcW w:w="851" w:type="dxa"/>
                      </w:tcPr>
                      <w:p>
                        <w:pPr>
                          <w:rPr>
                            <w:color w:val="000000"/>
                            <w:szCs w:val="24"/>
                          </w:rPr>
                        </w:pPr>
                        <w:r>
                          <w:rPr>
                            <w:iCs/>
                            <w:color w:val="000000"/>
                            <w:szCs w:val="24"/>
                          </w:rPr>
                          <w:t>-</w:t>
                        </w:r>
                      </w:p>
                    </w:tc>
                    <w:tc>
                      <w:tcPr>
                        <w:tcW w:w="850" w:type="dxa"/>
                      </w:tcPr>
                      <w:p>
                        <w:pPr>
                          <w:rPr>
                            <w:color w:val="000000"/>
                            <w:szCs w:val="24"/>
                          </w:rPr>
                        </w:pPr>
                        <w:r>
                          <w:rPr>
                            <w:iCs/>
                            <w:color w:val="000000"/>
                            <w:szCs w:val="24"/>
                          </w:rPr>
                          <w:t>1 vnt.</w:t>
                        </w:r>
                      </w:p>
                    </w:tc>
                    <w:tc>
                      <w:tcPr>
                        <w:tcW w:w="992" w:type="dxa"/>
                      </w:tcPr>
                      <w:p>
                        <w:pPr>
                          <w:rPr>
                            <w:color w:val="000000"/>
                            <w:szCs w:val="24"/>
                          </w:rPr>
                        </w:pPr>
                        <w:r>
                          <w:rPr>
                            <w:iCs/>
                            <w:color w:val="000000"/>
                            <w:szCs w:val="24"/>
                          </w:rPr>
                          <w:t>25 SB</w:t>
                        </w:r>
                      </w:p>
                    </w:tc>
                    <w:tc>
                      <w:tcPr>
                        <w:tcW w:w="993" w:type="dxa"/>
                      </w:tcPr>
                      <w:p>
                        <w:pPr>
                          <w:rPr>
                            <w:color w:val="000000"/>
                            <w:szCs w:val="24"/>
                          </w:rPr>
                        </w:pPr>
                        <w:r>
                          <w:rPr>
                            <w:iCs/>
                            <w:color w:val="000000"/>
                            <w:szCs w:val="24"/>
                          </w:rPr>
                          <w:t>12,1 SB</w:t>
                        </w:r>
                      </w:p>
                    </w:tc>
                    <w:tc>
                      <w:tcPr>
                        <w:tcW w:w="5528" w:type="dxa"/>
                      </w:tcPr>
                      <w:p>
                        <w:pPr>
                          <w:rPr>
                            <w:color w:val="000000"/>
                            <w:szCs w:val="24"/>
                          </w:rPr>
                        </w:pPr>
                        <w:r>
                          <w:rPr>
                            <w:color w:val="000000"/>
                            <w:szCs w:val="24"/>
                          </w:rPr>
                          <w:t>Pagal 2025-02-14 sutartį Nr. SUT-2025-121 (11.31E).</w:t>
                        </w:r>
                      </w:p>
                      <w:p>
                        <w:pPr>
                          <w:rPr>
                            <w:color w:val="000000"/>
                            <w:szCs w:val="24"/>
                          </w:rPr>
                        </w:pPr>
                        <w:r>
                          <w:rPr>
                            <w:color w:val="000000"/>
                            <w:szCs w:val="24"/>
                          </w:rPr>
                          <w:t>„Radviliškio rajono savivaldybės teritorijos bendrojo plano koregavimas“. Parengtas ir patvirtintas Radviliškio rajono savivaldybės 2025-08-28 sprendimu Nr. T-729. (Architektūros ir urbanistikos skyrius)</w:t>
                        </w:r>
                      </w:p>
                    </w:tc>
                  </w:tr>
                  <w:tr>
                    <w:trPr>
                      <w:trHeight w:val="365"/>
                    </w:trPr>
                    <w:tc>
                      <w:tcPr>
                        <w:tcW w:w="4395" w:type="dxa"/>
                      </w:tcPr>
                      <w:p>
                        <w:pPr>
                          <w:ind w:left="30" w:hanging="11"/>
                          <w:rPr>
                            <w:szCs w:val="24"/>
                          </w:rPr>
                        </w:pPr>
                        <w:r>
                          <w:rPr>
                            <w:szCs w:val="24"/>
                          </w:rPr>
                          <w:t xml:space="preserve">1.1.1.2. Tęstinė projektų ekspertizės paslauga Lietuvos architektų rūmų Regioninėje architektūros taryboje (RAT). </w:t>
                        </w:r>
                        <w:r>
                          <w:rPr>
                            <w:i/>
                            <w:iCs/>
                            <w:szCs w:val="24"/>
                          </w:rPr>
                          <w:t xml:space="preserve">Projektai po ekspertizės (vnt.). </w:t>
                        </w:r>
                        <w:r>
                          <w:rPr>
                            <w:szCs w:val="24"/>
                          </w:rPr>
                          <w:t>(SVP 4-1-1-11)</w:t>
                        </w:r>
                      </w:p>
                    </w:tc>
                    <w:tc>
                      <w:tcPr>
                        <w:tcW w:w="851" w:type="dxa"/>
                      </w:tcPr>
                      <w:p>
                        <w:pPr>
                          <w:rPr>
                            <w:color w:val="000000"/>
                            <w:szCs w:val="24"/>
                          </w:rPr>
                        </w:pPr>
                        <w:r>
                          <w:rPr>
                            <w:iCs/>
                            <w:color w:val="000000"/>
                            <w:szCs w:val="24"/>
                          </w:rPr>
                          <w:t>2 vnt.</w:t>
                        </w:r>
                      </w:p>
                    </w:tc>
                    <w:tc>
                      <w:tcPr>
                        <w:tcW w:w="850" w:type="dxa"/>
                      </w:tcPr>
                      <w:p>
                        <w:pPr>
                          <w:rPr>
                            <w:color w:val="000000"/>
                            <w:szCs w:val="24"/>
                          </w:rPr>
                        </w:pPr>
                        <w:r>
                          <w:rPr>
                            <w:iCs/>
                            <w:color w:val="000000"/>
                            <w:szCs w:val="24"/>
                          </w:rPr>
                          <w:t>1</w:t>
                        </w:r>
                      </w:p>
                    </w:tc>
                    <w:tc>
                      <w:tcPr>
                        <w:tcW w:w="851" w:type="dxa"/>
                      </w:tcPr>
                      <w:p>
                        <w:pPr>
                          <w:rPr>
                            <w:color w:val="000000"/>
                            <w:szCs w:val="24"/>
                          </w:rPr>
                        </w:pPr>
                        <w:r>
                          <w:rPr>
                            <w:iCs/>
                            <w:color w:val="000000"/>
                            <w:szCs w:val="24"/>
                          </w:rPr>
                          <w:t>-</w:t>
                        </w:r>
                      </w:p>
                    </w:tc>
                    <w:tc>
                      <w:tcPr>
                        <w:tcW w:w="850" w:type="dxa"/>
                      </w:tcPr>
                      <w:p>
                        <w:pPr>
                          <w:rPr>
                            <w:color w:val="000000"/>
                            <w:szCs w:val="24"/>
                          </w:rPr>
                        </w:pPr>
                        <w:r>
                          <w:rPr>
                            <w:iCs/>
                            <w:color w:val="000000"/>
                            <w:szCs w:val="24"/>
                          </w:rPr>
                          <w:t>-</w:t>
                        </w:r>
                      </w:p>
                    </w:tc>
                    <w:tc>
                      <w:tcPr>
                        <w:tcW w:w="992" w:type="dxa"/>
                      </w:tcPr>
                      <w:p>
                        <w:pPr>
                          <w:rPr>
                            <w:color w:val="000000"/>
                            <w:szCs w:val="24"/>
                          </w:rPr>
                        </w:pPr>
                        <w:r>
                          <w:rPr>
                            <w:iCs/>
                            <w:color w:val="000000"/>
                            <w:szCs w:val="24"/>
                          </w:rPr>
                          <w:t>2  SB</w:t>
                        </w:r>
                      </w:p>
                    </w:tc>
                    <w:tc>
                      <w:tcPr>
                        <w:tcW w:w="993" w:type="dxa"/>
                      </w:tcPr>
                      <w:p>
                        <w:pPr>
                          <w:rPr>
                            <w:color w:val="000000"/>
                            <w:szCs w:val="24"/>
                          </w:rPr>
                        </w:pPr>
                        <w:r>
                          <w:rPr>
                            <w:i/>
                            <w:color w:val="808080"/>
                            <w:szCs w:val="24"/>
                          </w:rPr>
                          <w:t>-</w:t>
                        </w:r>
                      </w:p>
                    </w:tc>
                    <w:tc>
                      <w:tcPr>
                        <w:tcW w:w="5528" w:type="dxa"/>
                      </w:tcPr>
                      <w:p>
                        <w:pPr>
                          <w:rPr>
                            <w:color w:val="000000"/>
                            <w:szCs w:val="24"/>
                          </w:rPr>
                        </w:pPr>
                        <w:r>
                          <w:rPr>
                            <w:color w:val="000000"/>
                            <w:szCs w:val="24"/>
                          </w:rPr>
                          <w:t>Paslauga tampa aktuali tais atvejais, kai tenka kreiptis dėl architektūrinės projektų ekspertizės į Regioninę architektūros tarybą (RAT). (Architektūros ir urbanistikos skyrius)</w:t>
                        </w:r>
                      </w:p>
                    </w:tc>
                  </w:tr>
                  <w:tr>
                    <w:trPr>
                      <w:trHeight w:val="365"/>
                    </w:trPr>
                    <w:tc>
                      <w:tcPr>
                        <w:tcW w:w="4395" w:type="dxa"/>
                      </w:tcPr>
                      <w:p>
                        <w:pPr>
                          <w:ind w:left="30" w:hanging="11"/>
                          <w:rPr>
                            <w:szCs w:val="24"/>
                          </w:rPr>
                        </w:pPr>
                        <w:r>
                          <w:rPr>
                            <w:szCs w:val="24"/>
                          </w:rPr>
                          <w:t>1.1.1.3. Radviliškio rajono savivaldybės Baisogalos miestelio teritorijos bendrojo plano keitimo paslauga.</w:t>
                        </w:r>
                      </w:p>
                      <w:p>
                        <w:pPr>
                          <w:ind w:left="30" w:hanging="11"/>
                          <w:rPr>
                            <w:i/>
                            <w:iCs/>
                            <w:szCs w:val="24"/>
                          </w:rPr>
                        </w:pPr>
                        <w:r>
                          <w:rPr>
                            <w:i/>
                            <w:iCs/>
                            <w:szCs w:val="24"/>
                          </w:rPr>
                          <w:t>Parengtas ir patvirtintas bendrasis planas.</w:t>
                        </w:r>
                      </w:p>
                      <w:p>
                        <w:pPr>
                          <w:rPr>
                            <w:color w:val="000000"/>
                            <w:szCs w:val="24"/>
                            <w:highlight w:val="yellow"/>
                          </w:rPr>
                        </w:pPr>
                        <w:r>
                          <w:rPr>
                            <w:szCs w:val="24"/>
                          </w:rPr>
                          <w:t>(SVP 4-1-1-13</w:t>
                        </w:r>
                      </w:p>
                    </w:tc>
                    <w:tc>
                      <w:tcPr>
                        <w:tcW w:w="851" w:type="dxa"/>
                      </w:tcPr>
                      <w:p>
                        <w:pPr>
                          <w:rPr>
                            <w:color w:val="000000"/>
                            <w:szCs w:val="24"/>
                          </w:rPr>
                        </w:pPr>
                        <w:r>
                          <w:rPr>
                            <w:iCs/>
                            <w:color w:val="000000"/>
                            <w:szCs w:val="24"/>
                          </w:rPr>
                          <w:t>1 vnt.</w:t>
                        </w:r>
                      </w:p>
                    </w:tc>
                    <w:tc>
                      <w:tcPr>
                        <w:tcW w:w="850" w:type="dxa"/>
                      </w:tcPr>
                      <w:p>
                        <w:pPr>
                          <w:rPr>
                            <w:color w:val="000000"/>
                            <w:szCs w:val="24"/>
                          </w:rPr>
                        </w:pPr>
                        <w:r>
                          <w:rPr>
                            <w:iCs/>
                            <w:color w:val="000000"/>
                            <w:szCs w:val="24"/>
                          </w:rPr>
                          <w:t>-</w:t>
                        </w:r>
                      </w:p>
                    </w:tc>
                    <w:tc>
                      <w:tcPr>
                        <w:tcW w:w="851" w:type="dxa"/>
                      </w:tcPr>
                      <w:p>
                        <w:pPr>
                          <w:rPr>
                            <w:color w:val="000000"/>
                            <w:szCs w:val="24"/>
                          </w:rPr>
                        </w:pPr>
                        <w:r>
                          <w:rPr>
                            <w:iCs/>
                            <w:color w:val="000000"/>
                            <w:szCs w:val="24"/>
                          </w:rPr>
                          <w:t>-</w:t>
                        </w:r>
                      </w:p>
                    </w:tc>
                    <w:tc>
                      <w:tcPr>
                        <w:tcW w:w="850" w:type="dxa"/>
                      </w:tcPr>
                      <w:p>
                        <w:pPr>
                          <w:rPr>
                            <w:color w:val="000000"/>
                            <w:szCs w:val="24"/>
                          </w:rPr>
                        </w:pPr>
                        <w:r>
                          <w:rPr>
                            <w:iCs/>
                            <w:color w:val="000000"/>
                            <w:szCs w:val="24"/>
                          </w:rPr>
                          <w:t>1</w:t>
                        </w:r>
                      </w:p>
                    </w:tc>
                    <w:tc>
                      <w:tcPr>
                        <w:tcW w:w="992" w:type="dxa"/>
                      </w:tcPr>
                      <w:p>
                        <w:pPr>
                          <w:rPr>
                            <w:color w:val="000000"/>
                            <w:szCs w:val="24"/>
                          </w:rPr>
                        </w:pPr>
                        <w:r>
                          <w:rPr>
                            <w:iCs/>
                            <w:color w:val="000000"/>
                            <w:szCs w:val="24"/>
                          </w:rPr>
                          <w:t>7,115 SB</w:t>
                        </w:r>
                      </w:p>
                    </w:tc>
                    <w:tc>
                      <w:tcPr>
                        <w:tcW w:w="993" w:type="dxa"/>
                      </w:tcPr>
                      <w:p>
                        <w:pPr>
                          <w:rPr>
                            <w:color w:val="000000"/>
                            <w:szCs w:val="24"/>
                          </w:rPr>
                        </w:pPr>
                        <w:r>
                          <w:rPr>
                            <w:iCs/>
                            <w:color w:val="000000"/>
                            <w:szCs w:val="24"/>
                          </w:rPr>
                          <w:t>7,115 SB</w:t>
                        </w:r>
                      </w:p>
                    </w:tc>
                    <w:tc>
                      <w:tcPr>
                        <w:tcW w:w="5528" w:type="dxa"/>
                      </w:tcPr>
                      <w:p>
                        <w:pPr>
                          <w:rPr>
                            <w:color w:val="000000"/>
                            <w:szCs w:val="24"/>
                          </w:rPr>
                        </w:pPr>
                        <w:r>
                          <w:rPr>
                            <w:color w:val="000000"/>
                            <w:szCs w:val="24"/>
                          </w:rPr>
                          <w:t>Bendras planas 2024 m. buvo atliktas pilna apimtimi, suderintas ir pateiktas patikrai Valstybinei teritorijų planavimo statybos inspekcijai (VTPSI). VTPSI pateikė pastabų, dėl kurių Administracija atliko Savivaldybės teritorijos bendrojo plano koregavimą. Pataisyti bendrojo plano sprendiniai suderinti su institucijomis ir pateikti patikrai VTPSI. Gavus teigiamą patikrinimo aktą bendrasis planas 2026 m. bus pateiktas tvirtinti Radviliškio rajono savivaldybės tarybai. (Architektūros ir urbanistikos skyrius).</w:t>
                        </w:r>
                      </w:p>
                    </w:tc>
                  </w:tr>
                  <w:tr>
                    <w:trPr>
                      <w:trHeight w:val="365"/>
                    </w:trPr>
                    <w:tc>
                      <w:tcPr>
                        <w:tcW w:w="4395" w:type="dxa"/>
                      </w:tcPr>
                      <w:p>
                        <w:pPr>
                          <w:ind w:left="30" w:hanging="11"/>
                          <w:rPr>
                            <w:i/>
                            <w:iCs/>
                            <w:szCs w:val="24"/>
                          </w:rPr>
                        </w:pPr>
                        <w:r>
                          <w:rPr>
                            <w:szCs w:val="24"/>
                          </w:rPr>
                          <w:t>1.1.1.4. Radviliškio rajono savivaldybės teritorijos bendrojo plano koregavimo paslauga. Pakoreguoti ir patvirtinti bendrojo plano sprendiniai.(SVP 4-1-1-14)</w:t>
                        </w:r>
                      </w:p>
                    </w:tc>
                    <w:tc>
                      <w:tcPr>
                        <w:tcW w:w="851" w:type="dxa"/>
                      </w:tcPr>
                      <w:p>
                        <w:pPr>
                          <w:rPr>
                            <w:color w:val="000000"/>
                            <w:szCs w:val="24"/>
                          </w:rPr>
                        </w:pPr>
                        <w:r>
                          <w:rPr>
                            <w:iCs/>
                            <w:color w:val="000000"/>
                            <w:szCs w:val="24"/>
                          </w:rPr>
                          <w:t>1 vnt.</w:t>
                        </w:r>
                      </w:p>
                    </w:tc>
                    <w:tc>
                      <w:tcPr>
                        <w:tcW w:w="850" w:type="dxa"/>
                      </w:tcPr>
                      <w:p>
                        <w:pPr>
                          <w:rPr>
                            <w:color w:val="000000"/>
                            <w:szCs w:val="24"/>
                          </w:rPr>
                        </w:pPr>
                        <w:r>
                          <w:rPr>
                            <w:iCs/>
                            <w:color w:val="000000"/>
                            <w:szCs w:val="24"/>
                          </w:rPr>
                          <w:t>-</w:t>
                        </w:r>
                      </w:p>
                    </w:tc>
                    <w:tc>
                      <w:tcPr>
                        <w:tcW w:w="851" w:type="dxa"/>
                      </w:tcPr>
                      <w:p>
                        <w:pPr>
                          <w:rPr>
                            <w:color w:val="000000"/>
                            <w:szCs w:val="24"/>
                          </w:rPr>
                        </w:pPr>
                        <w:r>
                          <w:rPr>
                            <w:iCs/>
                            <w:color w:val="000000"/>
                            <w:szCs w:val="24"/>
                          </w:rPr>
                          <w:t>-</w:t>
                        </w:r>
                      </w:p>
                    </w:tc>
                    <w:tc>
                      <w:tcPr>
                        <w:tcW w:w="850" w:type="dxa"/>
                      </w:tcPr>
                      <w:p>
                        <w:pPr>
                          <w:rPr>
                            <w:color w:val="000000"/>
                            <w:szCs w:val="24"/>
                          </w:rPr>
                        </w:pPr>
                        <w:r>
                          <w:rPr>
                            <w:iCs/>
                            <w:color w:val="000000"/>
                            <w:szCs w:val="24"/>
                          </w:rPr>
                          <w:t>1 vnt.</w:t>
                        </w:r>
                      </w:p>
                    </w:tc>
                    <w:tc>
                      <w:tcPr>
                        <w:tcW w:w="992" w:type="dxa"/>
                      </w:tcPr>
                      <w:p>
                        <w:pPr>
                          <w:rPr>
                            <w:color w:val="000000"/>
                            <w:szCs w:val="24"/>
                          </w:rPr>
                        </w:pPr>
                        <w:r>
                          <w:rPr>
                            <w:iCs/>
                            <w:color w:val="000000"/>
                            <w:szCs w:val="24"/>
                          </w:rPr>
                          <w:t>17,67 SB</w:t>
                        </w:r>
                      </w:p>
                    </w:tc>
                    <w:tc>
                      <w:tcPr>
                        <w:tcW w:w="993" w:type="dxa"/>
                      </w:tcPr>
                      <w:p>
                        <w:pPr>
                          <w:rPr>
                            <w:iCs/>
                            <w:color w:val="000000"/>
                            <w:szCs w:val="24"/>
                          </w:rPr>
                        </w:pPr>
                        <w:r>
                          <w:rPr>
                            <w:iCs/>
                            <w:color w:val="000000"/>
                            <w:szCs w:val="24"/>
                          </w:rPr>
                          <w:t>17,67</w:t>
                        </w:r>
                      </w:p>
                      <w:p>
                        <w:pPr>
                          <w:rPr>
                            <w:color w:val="000000"/>
                            <w:szCs w:val="24"/>
                          </w:rPr>
                        </w:pPr>
                        <w:r>
                          <w:rPr>
                            <w:iCs/>
                            <w:color w:val="000000"/>
                            <w:szCs w:val="24"/>
                          </w:rPr>
                          <w:t>SB</w:t>
                        </w:r>
                      </w:p>
                    </w:tc>
                    <w:tc>
                      <w:tcPr>
                        <w:tcW w:w="5528" w:type="dxa"/>
                      </w:tcPr>
                      <w:p>
                        <w:pPr>
                          <w:rPr>
                            <w:color w:val="000000"/>
                            <w:szCs w:val="24"/>
                          </w:rPr>
                        </w:pPr>
                        <w:r>
                          <w:rPr>
                            <w:color w:val="000000"/>
                            <w:szCs w:val="24"/>
                          </w:rPr>
                          <w:t>Parengtas ir patvirtintas plano dalių koregavimas Radviliškio rajono savivaldybės tarybos 2025-06-26 sprendimu Nr. T-702 (Architektūros ir urbanistikos skyrius).</w:t>
                        </w:r>
                      </w:p>
                    </w:tc>
                  </w:tr>
                  <w:tr>
                    <w:trPr>
                      <w:trHeight w:val="365"/>
                    </w:trPr>
                    <w:tc>
                      <w:tcPr>
                        <w:tcW w:w="4395" w:type="dxa"/>
                      </w:tcPr>
                      <w:p>
                        <w:pPr>
                          <w:ind w:left="30" w:hanging="11"/>
                          <w:rPr>
                            <w:szCs w:val="24"/>
                          </w:rPr>
                        </w:pPr>
                        <w:r>
                          <w:rPr>
                            <w:szCs w:val="24"/>
                          </w:rPr>
                          <w:t>1.1.1.5. Radviliškio rajono savivaldybės šilumos ūkio</w:t>
                        </w:r>
                      </w:p>
                      <w:p>
                        <w:pPr>
                          <w:rPr>
                            <w:color w:val="000000"/>
                            <w:szCs w:val="24"/>
                          </w:rPr>
                        </w:pPr>
                        <w:r>
                          <w:rPr>
                            <w:szCs w:val="24"/>
                          </w:rPr>
                          <w:t xml:space="preserve">specialiojo plano keitimo paslauga. </w:t>
                        </w:r>
                        <w:r>
                          <w:rPr>
                            <w:i/>
                            <w:iCs/>
                            <w:szCs w:val="24"/>
                          </w:rPr>
                          <w:t>Parengtas ir patvirtintas specialusis planas (vnt.)</w:t>
                        </w:r>
                      </w:p>
                    </w:tc>
                    <w:tc>
                      <w:tcPr>
                        <w:tcW w:w="851" w:type="dxa"/>
                      </w:tcPr>
                      <w:p>
                        <w:pPr>
                          <w:rPr>
                            <w:color w:val="000000"/>
                            <w:szCs w:val="24"/>
                          </w:rPr>
                        </w:pPr>
                        <w:r>
                          <w:rPr>
                            <w:iCs/>
                            <w:color w:val="000000"/>
                            <w:szCs w:val="24"/>
                          </w:rPr>
                          <w:t>1 vnt.</w:t>
                        </w:r>
                      </w:p>
                    </w:tc>
                    <w:tc>
                      <w:tcPr>
                        <w:tcW w:w="850" w:type="dxa"/>
                      </w:tcPr>
                      <w:p>
                        <w:pPr>
                          <w:rPr>
                            <w:color w:val="000000"/>
                            <w:szCs w:val="24"/>
                          </w:rPr>
                        </w:pPr>
                        <w:r>
                          <w:rPr>
                            <w:iCs/>
                            <w:color w:val="000000"/>
                            <w:szCs w:val="24"/>
                          </w:rPr>
                          <w:t>-</w:t>
                        </w:r>
                      </w:p>
                    </w:tc>
                    <w:tc>
                      <w:tcPr>
                        <w:tcW w:w="851" w:type="dxa"/>
                      </w:tcPr>
                      <w:p>
                        <w:pPr>
                          <w:rPr>
                            <w:color w:val="000000"/>
                            <w:szCs w:val="24"/>
                          </w:rPr>
                        </w:pPr>
                        <w:r>
                          <w:rPr>
                            <w:iCs/>
                            <w:color w:val="000000"/>
                            <w:szCs w:val="24"/>
                          </w:rPr>
                          <w:t>-</w:t>
                        </w:r>
                      </w:p>
                    </w:tc>
                    <w:tc>
                      <w:tcPr>
                        <w:tcW w:w="850" w:type="dxa"/>
                      </w:tcPr>
                      <w:p>
                        <w:pPr>
                          <w:rPr>
                            <w:color w:val="000000"/>
                            <w:szCs w:val="24"/>
                          </w:rPr>
                        </w:pPr>
                      </w:p>
                    </w:tc>
                    <w:tc>
                      <w:tcPr>
                        <w:tcW w:w="992" w:type="dxa"/>
                      </w:tcPr>
                      <w:p>
                        <w:pPr>
                          <w:rPr>
                            <w:color w:val="000000"/>
                            <w:szCs w:val="24"/>
                          </w:rPr>
                        </w:pPr>
                        <w:r>
                          <w:rPr>
                            <w:iCs/>
                            <w:color w:val="000000"/>
                            <w:szCs w:val="24"/>
                          </w:rPr>
                          <w:t>16,7 (SB)</w:t>
                        </w:r>
                      </w:p>
                    </w:tc>
                    <w:tc>
                      <w:tcPr>
                        <w:tcW w:w="993" w:type="dxa"/>
                      </w:tcPr>
                      <w:p>
                        <w:pPr>
                          <w:rPr>
                            <w:color w:val="000000"/>
                            <w:szCs w:val="24"/>
                          </w:rPr>
                        </w:pPr>
                        <w:r>
                          <w:rPr>
                            <w:iCs/>
                            <w:color w:val="000000"/>
                            <w:szCs w:val="24"/>
                          </w:rPr>
                          <w:t>8,35 (SB)</w:t>
                        </w:r>
                      </w:p>
                    </w:tc>
                    <w:tc>
                      <w:tcPr>
                        <w:tcW w:w="5528" w:type="dxa"/>
                      </w:tcPr>
                      <w:p>
                        <w:pPr>
                          <w:rPr>
                            <w:color w:val="000000"/>
                            <w:szCs w:val="24"/>
                          </w:rPr>
                        </w:pPr>
                        <w:r>
                          <w:rPr>
                            <w:color w:val="000000"/>
                            <w:szCs w:val="24"/>
                          </w:rPr>
                          <w:t>Parengti esamos būklės įvertinimo dokumentai. Patvirtinta specialiojo plano SPAV ir koncepcija. Pritarta specialiojo plano rengimo etapui (įvykdyta 50% numatytų darbų). 2025 m. parengti konkretizuoti specialiojo plano sprendiniai ir jie pateikti derinti. Patvirtinti specialųjį planą planuojama 2026 m. (Architektūros ir urbanistikos skyrius)</w:t>
                        </w:r>
                      </w:p>
                    </w:tc>
                  </w:tr>
                  <w:tr>
                    <w:trPr>
                      <w:trHeight w:val="195"/>
                    </w:trPr>
                    <w:tc>
                      <w:tcPr>
                        <w:tcW w:w="15310" w:type="dxa"/>
                        <w:gridSpan w:val="8"/>
                      </w:tcPr>
                      <w:p>
                        <w:pPr>
                          <w:rPr>
                            <w:color w:val="000000"/>
                            <w:szCs w:val="24"/>
                          </w:rPr>
                        </w:pPr>
                        <w:r>
                          <w:rPr>
                            <w:color w:val="000000"/>
                            <w:szCs w:val="24"/>
                          </w:rPr>
                          <w:t xml:space="preserve">1.2. Uždavinys: Modernizuoti susisiekimo infrastruktūrą, skatinti darnų judumą. </w:t>
                        </w:r>
                      </w:p>
                    </w:tc>
                  </w:tr>
                  <w:tr>
                    <w:trPr>
                      <w:trHeight w:val="365"/>
                    </w:trPr>
                    <w:tc>
                      <w:tcPr>
                        <w:tcW w:w="4395" w:type="dxa"/>
                      </w:tcPr>
                      <w:p>
                        <w:pPr>
                          <w:tabs>
                            <w:tab w:val="left" w:pos="881"/>
                          </w:tabs>
                          <w:ind w:left="41"/>
                          <w:rPr>
                            <w:iCs/>
                            <w:szCs w:val="24"/>
                          </w:rPr>
                        </w:pPr>
                        <w:r>
                          <w:rPr>
                            <w:iCs/>
                            <w:szCs w:val="24"/>
                          </w:rPr>
                          <w:t>10.1.1.1. Tęstinė vietinės reikšmės kelių, gatvių, jų priklausinių infrastruktūros pagerinimo, eismo saugumo priemonių diegimo veikla.</w:t>
                        </w:r>
                        <w:r>
                          <w:rPr>
                            <w:szCs w:val="24"/>
                          </w:rPr>
                          <w:t xml:space="preserve"> Įdiegtų išmanių eismo saugumo sistemų skaičius. </w:t>
                        </w:r>
                        <w:r>
                          <w:rPr>
                            <w:i/>
                            <w:iCs/>
                            <w:szCs w:val="24"/>
                          </w:rPr>
                          <w:t>(SVP 4-1-2-1)</w:t>
                        </w:r>
                      </w:p>
                    </w:tc>
                    <w:tc>
                      <w:tcPr>
                        <w:tcW w:w="851" w:type="dxa"/>
                      </w:tcPr>
                      <w:p>
                        <w:pPr>
                          <w:rPr>
                            <w:color w:val="000000"/>
                            <w:szCs w:val="24"/>
                          </w:rPr>
                        </w:pPr>
                        <w:r>
                          <w:rPr>
                            <w:szCs w:val="24"/>
                          </w:rPr>
                          <w:t>5 vnt.</w:t>
                        </w:r>
                      </w:p>
                    </w:tc>
                    <w:tc>
                      <w:tcPr>
                        <w:tcW w:w="850" w:type="dxa"/>
                      </w:tcPr>
                      <w:p>
                        <w:pPr>
                          <w:rPr>
                            <w:i/>
                            <w:szCs w:val="24"/>
                          </w:rPr>
                        </w:pPr>
                        <w:r>
                          <w:rPr>
                            <w:i/>
                            <w:szCs w:val="24"/>
                          </w:rPr>
                          <w:t>-</w:t>
                        </w:r>
                      </w:p>
                      <w:p>
                        <w:pPr>
                          <w:rPr>
                            <w:color w:val="000000"/>
                            <w:szCs w:val="24"/>
                          </w:rPr>
                        </w:pPr>
                      </w:p>
                    </w:tc>
                    <w:tc>
                      <w:tcPr>
                        <w:tcW w:w="851" w:type="dxa"/>
                      </w:tcPr>
                      <w:p>
                        <w:pPr>
                          <w:rPr>
                            <w:color w:val="000000"/>
                            <w:szCs w:val="24"/>
                          </w:rPr>
                        </w:pPr>
                        <w:r>
                          <w:rPr>
                            <w:i/>
                            <w:szCs w:val="24"/>
                          </w:rPr>
                          <w:t>-</w:t>
                        </w:r>
                      </w:p>
                    </w:tc>
                    <w:tc>
                      <w:tcPr>
                        <w:tcW w:w="850" w:type="dxa"/>
                      </w:tcPr>
                      <w:p>
                        <w:pPr>
                          <w:rPr>
                            <w:iCs/>
                            <w:color w:val="000000"/>
                            <w:szCs w:val="24"/>
                          </w:rPr>
                        </w:pPr>
                        <w:r>
                          <w:rPr>
                            <w:iCs/>
                            <w:szCs w:val="24"/>
                          </w:rPr>
                          <w:t>1</w:t>
                        </w:r>
                      </w:p>
                    </w:tc>
                    <w:tc>
                      <w:tcPr>
                        <w:tcW w:w="992" w:type="dxa"/>
                      </w:tcPr>
                      <w:p>
                        <w:pPr>
                          <w:rPr>
                            <w:color w:val="000000"/>
                            <w:szCs w:val="24"/>
                          </w:rPr>
                        </w:pPr>
                        <w:r>
                          <w:rPr>
                            <w:szCs w:val="24"/>
                          </w:rPr>
                          <w:t>110,8 SB</w:t>
                        </w:r>
                      </w:p>
                    </w:tc>
                    <w:tc>
                      <w:tcPr>
                        <w:tcW w:w="993" w:type="dxa"/>
                      </w:tcPr>
                      <w:p>
                        <w:pPr>
                          <w:rPr>
                            <w:color w:val="000000"/>
                            <w:szCs w:val="24"/>
                          </w:rPr>
                        </w:pPr>
                        <w:r>
                          <w:rPr>
                            <w:szCs w:val="24"/>
                          </w:rPr>
                          <w:t>110,8 SB</w:t>
                        </w:r>
                      </w:p>
                    </w:tc>
                    <w:tc>
                      <w:tcPr>
                        <w:tcW w:w="5528" w:type="dxa"/>
                      </w:tcPr>
                      <w:p>
                        <w:pPr>
                          <w:rPr>
                            <w:iCs/>
                            <w:szCs w:val="24"/>
                          </w:rPr>
                        </w:pPr>
                        <w:r>
                          <w:rPr>
                            <w:iCs/>
                            <w:szCs w:val="24"/>
                          </w:rPr>
                          <w:t xml:space="preserve">Prižiūrimas 1 šviesoforas </w:t>
                        </w:r>
                      </w:p>
                      <w:p>
                        <w:pPr>
                          <w:rPr>
                            <w:iCs/>
                            <w:color w:val="000000"/>
                            <w:szCs w:val="24"/>
                          </w:rPr>
                        </w:pPr>
                        <w:r>
                          <w:rPr>
                            <w:iCs/>
                            <w:szCs w:val="24"/>
                          </w:rPr>
                          <w:t>(Statybos ir viešosios tvarkos skyrius)</w:t>
                        </w:r>
                      </w:p>
                    </w:tc>
                  </w:tr>
                  <w:tr>
                    <w:trPr>
                      <w:trHeight w:val="365"/>
                    </w:trPr>
                    <w:tc>
                      <w:tcPr>
                        <w:tcW w:w="4395" w:type="dxa"/>
                      </w:tcPr>
                      <w:p>
                        <w:pPr>
                          <w:tabs>
                            <w:tab w:val="left" w:pos="1023"/>
                          </w:tabs>
                          <w:ind w:left="30" w:hanging="30"/>
                          <w:rPr>
                            <w:sz w:val="22"/>
                            <w:szCs w:val="24"/>
                          </w:rPr>
                        </w:pPr>
                        <w:r>
                          <w:rPr>
                            <w:szCs w:val="24"/>
                          </w:rPr>
                          <w:t>10.1.1.2.</w:t>
                          <w:tab/>
                        </w:r>
                        <w:r>
                          <w:rPr>
                            <w:sz w:val="22"/>
                            <w:szCs w:val="24"/>
                          </w:rPr>
                          <w:t>Radviliškio m. dalies Skirjočių g. RD8144 ir privažiavimo prie SB „Pušelė“ nuo Skirjočių g. RD8358 kapitalinis remontas. Išasfaltuoti žvyrkelių.</w:t>
                        </w:r>
                        <w:r>
                          <w:rPr>
                            <w:i/>
                            <w:iCs/>
                            <w:sz w:val="22"/>
                            <w:szCs w:val="24"/>
                          </w:rPr>
                          <w:t xml:space="preserve"> </w:t>
                        </w:r>
                        <w:r>
                          <w:rPr>
                            <w:sz w:val="22"/>
                            <w:szCs w:val="24"/>
                          </w:rPr>
                          <w:t>(SVP 4-1-2-18)</w:t>
                        </w:r>
                      </w:p>
                    </w:tc>
                    <w:tc>
                      <w:tcPr>
                        <w:tcW w:w="851" w:type="dxa"/>
                      </w:tcPr>
                      <w:p>
                        <w:pPr>
                          <w:rPr>
                            <w:color w:val="000000"/>
                            <w:szCs w:val="24"/>
                          </w:rPr>
                        </w:pPr>
                        <w:r>
                          <w:rPr>
                            <w:szCs w:val="24"/>
                          </w:rPr>
                          <w:t>1 km</w:t>
                        </w:r>
                      </w:p>
                    </w:tc>
                    <w:tc>
                      <w:tcPr>
                        <w:tcW w:w="850" w:type="dxa"/>
                      </w:tcPr>
                      <w:p>
                        <w:pPr>
                          <w:rPr>
                            <w:color w:val="000000"/>
                            <w:szCs w:val="24"/>
                          </w:rPr>
                        </w:pPr>
                        <w:r>
                          <w:rPr>
                            <w:i/>
                            <w:szCs w:val="24"/>
                          </w:rPr>
                          <w:t>-</w:t>
                        </w:r>
                      </w:p>
                    </w:tc>
                    <w:tc>
                      <w:tcPr>
                        <w:tcW w:w="851" w:type="dxa"/>
                      </w:tcPr>
                      <w:p>
                        <w:pPr>
                          <w:rPr>
                            <w:color w:val="000000"/>
                            <w:szCs w:val="24"/>
                          </w:rPr>
                        </w:pPr>
                        <w:r>
                          <w:rPr>
                            <w:i/>
                            <w:szCs w:val="24"/>
                          </w:rPr>
                          <w:t>-</w:t>
                        </w:r>
                      </w:p>
                    </w:tc>
                    <w:tc>
                      <w:tcPr>
                        <w:tcW w:w="850" w:type="dxa"/>
                      </w:tcPr>
                      <w:p>
                        <w:pPr>
                          <w:rPr>
                            <w:iCs/>
                            <w:color w:val="000000"/>
                            <w:szCs w:val="24"/>
                          </w:rPr>
                        </w:pPr>
                        <w:r>
                          <w:rPr>
                            <w:iCs/>
                            <w:szCs w:val="24"/>
                          </w:rPr>
                          <w:t>1,06</w:t>
                        </w:r>
                      </w:p>
                    </w:tc>
                    <w:tc>
                      <w:tcPr>
                        <w:tcW w:w="992" w:type="dxa"/>
                      </w:tcPr>
                      <w:p>
                        <w:pPr>
                          <w:rPr>
                            <w:szCs w:val="24"/>
                          </w:rPr>
                        </w:pPr>
                        <w:r>
                          <w:rPr>
                            <w:szCs w:val="24"/>
                          </w:rPr>
                          <w:t>7 SB</w:t>
                        </w:r>
                      </w:p>
                      <w:p>
                        <w:pPr>
                          <w:rPr>
                            <w:szCs w:val="24"/>
                          </w:rPr>
                        </w:pPr>
                        <w:r>
                          <w:rPr>
                            <w:szCs w:val="24"/>
                          </w:rPr>
                          <w:t>160 VB</w:t>
                        </w:r>
                      </w:p>
                    </w:tc>
                    <w:tc>
                      <w:tcPr>
                        <w:tcW w:w="993" w:type="dxa"/>
                      </w:tcPr>
                      <w:p>
                        <w:pPr>
                          <w:rPr>
                            <w:szCs w:val="24"/>
                          </w:rPr>
                        </w:pPr>
                        <w:r>
                          <w:rPr>
                            <w:szCs w:val="24"/>
                          </w:rPr>
                          <w:t>7 SB</w:t>
                        </w:r>
                      </w:p>
                      <w:p>
                        <w:pPr>
                          <w:rPr>
                            <w:szCs w:val="24"/>
                          </w:rPr>
                        </w:pPr>
                        <w:r>
                          <w:rPr>
                            <w:szCs w:val="24"/>
                          </w:rPr>
                          <w:t>160 VB</w:t>
                        </w:r>
                      </w:p>
                    </w:tc>
                    <w:tc>
                      <w:tcPr>
                        <w:tcW w:w="5528" w:type="dxa"/>
                      </w:tcPr>
                      <w:p>
                        <w:pPr>
                          <w:rPr>
                            <w:iCs/>
                            <w:szCs w:val="24"/>
                          </w:rPr>
                        </w:pPr>
                        <w:r>
                          <w:rPr>
                            <w:iCs/>
                            <w:szCs w:val="24"/>
                          </w:rPr>
                          <w:t>Darbai užbaigti, bendrai rekonstruota 1058 m gatvės atkarpa.</w:t>
                        </w:r>
                      </w:p>
                      <w:p>
                        <w:pPr>
                          <w:rPr>
                            <w:iCs/>
                            <w:szCs w:val="24"/>
                          </w:rPr>
                        </w:pPr>
                        <w:r>
                          <w:rPr>
                            <w:iCs/>
                            <w:szCs w:val="24"/>
                          </w:rPr>
                          <w:t>(Statybos ir viešosios tvarkos skyrius)</w:t>
                        </w:r>
                      </w:p>
                      <w:p>
                        <w:pPr>
                          <w:rPr>
                            <w:iCs/>
                            <w:color w:val="000000"/>
                            <w:szCs w:val="24"/>
                          </w:rPr>
                        </w:pPr>
                      </w:p>
                    </w:tc>
                  </w:tr>
                  <w:tr>
                    <w:trPr>
                      <w:trHeight w:val="365"/>
                    </w:trPr>
                    <w:tc>
                      <w:tcPr>
                        <w:tcW w:w="4395" w:type="dxa"/>
                      </w:tcPr>
                      <w:p>
                        <w:pPr>
                          <w:tabs>
                            <w:tab w:val="left" w:pos="1023"/>
                          </w:tabs>
                          <w:ind w:left="30" w:hanging="30"/>
                          <w:rPr>
                            <w:sz w:val="22"/>
                            <w:szCs w:val="24"/>
                          </w:rPr>
                        </w:pPr>
                        <w:r>
                          <w:rPr>
                            <w:szCs w:val="24"/>
                          </w:rPr>
                          <w:t>10.1.1.3.</w:t>
                          <w:tab/>
                        </w:r>
                        <w:r>
                          <w:rPr>
                            <w:sz w:val="22"/>
                            <w:szCs w:val="24"/>
                          </w:rPr>
                          <w:t xml:space="preserve">Radviliškio m. Strazdelio RD8052, Kapų RD8053, M. Valančiaus RD8054, Trakų RD8055 gatvių kapitalinis remontas, lietaus nuotekų tinklų statyba. Rekonstruota vietinės reikšmės kelių km </w:t>
                        </w:r>
                        <w:r>
                          <w:rPr>
                            <w:i/>
                            <w:iCs/>
                            <w:sz w:val="22"/>
                            <w:szCs w:val="24"/>
                          </w:rPr>
                          <w:t>(SVP 4-1-2-20)</w:t>
                        </w:r>
                      </w:p>
                    </w:tc>
                    <w:tc>
                      <w:tcPr>
                        <w:tcW w:w="851" w:type="dxa"/>
                      </w:tcPr>
                      <w:p>
                        <w:pPr>
                          <w:rPr>
                            <w:color w:val="000000"/>
                            <w:szCs w:val="24"/>
                          </w:rPr>
                        </w:pPr>
                        <w:r>
                          <w:rPr>
                            <w:szCs w:val="24"/>
                          </w:rPr>
                          <w:t>0,7 km</w:t>
                        </w:r>
                      </w:p>
                    </w:tc>
                    <w:tc>
                      <w:tcPr>
                        <w:tcW w:w="850" w:type="dxa"/>
                      </w:tcPr>
                      <w:p>
                        <w:pPr>
                          <w:rPr>
                            <w:color w:val="000000"/>
                            <w:szCs w:val="24"/>
                          </w:rPr>
                        </w:pPr>
                        <w:r>
                          <w:rPr>
                            <w:i/>
                            <w:szCs w:val="24"/>
                          </w:rPr>
                          <w:t>-</w:t>
                        </w:r>
                      </w:p>
                    </w:tc>
                    <w:tc>
                      <w:tcPr>
                        <w:tcW w:w="851" w:type="dxa"/>
                      </w:tcPr>
                      <w:p>
                        <w:pPr>
                          <w:rPr>
                            <w:color w:val="000000"/>
                            <w:szCs w:val="24"/>
                          </w:rPr>
                        </w:pPr>
                        <w:r>
                          <w:rPr>
                            <w:i/>
                            <w:szCs w:val="24"/>
                          </w:rPr>
                          <w:t>-</w:t>
                        </w:r>
                      </w:p>
                    </w:tc>
                    <w:tc>
                      <w:tcPr>
                        <w:tcW w:w="850" w:type="dxa"/>
                      </w:tcPr>
                      <w:p>
                        <w:pPr>
                          <w:rPr>
                            <w:iCs/>
                            <w:color w:val="000000"/>
                            <w:szCs w:val="24"/>
                          </w:rPr>
                        </w:pPr>
                        <w:r>
                          <w:rPr>
                            <w:iCs/>
                            <w:szCs w:val="24"/>
                          </w:rPr>
                          <w:t>1 km</w:t>
                        </w:r>
                      </w:p>
                    </w:tc>
                    <w:tc>
                      <w:tcPr>
                        <w:tcW w:w="992" w:type="dxa"/>
                      </w:tcPr>
                      <w:p>
                        <w:pPr>
                          <w:rPr>
                            <w:szCs w:val="24"/>
                          </w:rPr>
                        </w:pPr>
                        <w:r>
                          <w:rPr>
                            <w:szCs w:val="24"/>
                          </w:rPr>
                          <w:t>30 SB</w:t>
                        </w:r>
                      </w:p>
                      <w:p>
                        <w:pPr>
                          <w:rPr>
                            <w:szCs w:val="24"/>
                          </w:rPr>
                        </w:pPr>
                        <w:r>
                          <w:rPr>
                            <w:szCs w:val="24"/>
                          </w:rPr>
                          <w:t>400 VB</w:t>
                        </w:r>
                      </w:p>
                    </w:tc>
                    <w:tc>
                      <w:tcPr>
                        <w:tcW w:w="993" w:type="dxa"/>
                      </w:tcPr>
                      <w:p>
                        <w:pPr>
                          <w:rPr>
                            <w:szCs w:val="24"/>
                          </w:rPr>
                        </w:pPr>
                        <w:r>
                          <w:rPr>
                            <w:szCs w:val="24"/>
                          </w:rPr>
                          <w:t>93 SB</w:t>
                        </w:r>
                      </w:p>
                      <w:p>
                        <w:pPr>
                          <w:rPr>
                            <w:szCs w:val="24"/>
                          </w:rPr>
                        </w:pPr>
                        <w:r>
                          <w:rPr>
                            <w:szCs w:val="24"/>
                          </w:rPr>
                          <w:t>600 VB</w:t>
                        </w:r>
                      </w:p>
                    </w:tc>
                    <w:tc>
                      <w:tcPr>
                        <w:tcW w:w="5528" w:type="dxa"/>
                      </w:tcPr>
                      <w:p>
                        <w:pPr>
                          <w:rPr>
                            <w:iCs/>
                            <w:szCs w:val="24"/>
                          </w:rPr>
                        </w:pPr>
                        <w:r>
                          <w:rPr>
                            <w:iCs/>
                            <w:szCs w:val="24"/>
                          </w:rPr>
                          <w:t>Darbai užbaigti, bendrai suremontuota 998 m gatvių atkarpa.</w:t>
                        </w:r>
                      </w:p>
                      <w:p>
                        <w:pPr>
                          <w:rPr>
                            <w:iCs/>
                            <w:szCs w:val="24"/>
                          </w:rPr>
                        </w:pPr>
                        <w:r>
                          <w:rPr>
                            <w:iCs/>
                            <w:szCs w:val="24"/>
                          </w:rPr>
                          <w:t>(Statybos ir viešosios tvarkos skyrius)</w:t>
                        </w:r>
                      </w:p>
                      <w:p>
                        <w:pPr>
                          <w:rPr>
                            <w:iCs/>
                            <w:szCs w:val="24"/>
                          </w:rPr>
                        </w:pPr>
                      </w:p>
                      <w:p>
                        <w:pPr>
                          <w:rPr>
                            <w:iCs/>
                            <w:szCs w:val="24"/>
                          </w:rPr>
                        </w:pPr>
                      </w:p>
                      <w:p>
                        <w:pPr>
                          <w:rPr>
                            <w:iCs/>
                            <w:color w:val="000000"/>
                            <w:szCs w:val="24"/>
                          </w:rPr>
                        </w:pPr>
                      </w:p>
                    </w:tc>
                  </w:tr>
                  <w:tr>
                    <w:trPr>
                      <w:trHeight w:val="365"/>
                    </w:trPr>
                    <w:tc>
                      <w:tcPr>
                        <w:tcW w:w="4395" w:type="dxa"/>
                      </w:tcPr>
                      <w:p>
                        <w:pPr>
                          <w:rPr>
                            <w:szCs w:val="24"/>
                          </w:rPr>
                        </w:pPr>
                        <w:r>
                          <w:rPr>
                            <w:szCs w:val="24"/>
                          </w:rPr>
                          <w:t>10.1.1.4. Radviliškio m. M. Mažvydo g. rekonstravimas tarp Maironio ir Miško g. atnaujinant pėsčiųjų takus.</w:t>
                        </w:r>
                      </w:p>
                      <w:p>
                        <w:pPr>
                          <w:rPr>
                            <w:color w:val="000000"/>
                            <w:szCs w:val="24"/>
                          </w:rPr>
                        </w:pPr>
                        <w:r>
                          <w:rPr>
                            <w:szCs w:val="24"/>
                          </w:rPr>
                          <w:t>Rekonstruota vietinės reikšmės kelių km (SVP 4-1-2-21).</w:t>
                        </w:r>
                      </w:p>
                    </w:tc>
                    <w:tc>
                      <w:tcPr>
                        <w:tcW w:w="851" w:type="dxa"/>
                      </w:tcPr>
                      <w:p>
                        <w:pPr>
                          <w:rPr>
                            <w:color w:val="000000"/>
                            <w:szCs w:val="24"/>
                          </w:rPr>
                        </w:pPr>
                        <w:r>
                          <w:rPr>
                            <w:szCs w:val="24"/>
                          </w:rPr>
                          <w:t>0,7 km.</w:t>
                        </w:r>
                      </w:p>
                    </w:tc>
                    <w:tc>
                      <w:tcPr>
                        <w:tcW w:w="850" w:type="dxa"/>
                      </w:tcPr>
                      <w:p>
                        <w:pPr>
                          <w:rPr>
                            <w:color w:val="000000"/>
                            <w:szCs w:val="24"/>
                          </w:rPr>
                        </w:pPr>
                        <w:r>
                          <w:rPr>
                            <w:i/>
                            <w:szCs w:val="24"/>
                          </w:rPr>
                          <w:t>-</w:t>
                        </w:r>
                      </w:p>
                    </w:tc>
                    <w:tc>
                      <w:tcPr>
                        <w:tcW w:w="851" w:type="dxa"/>
                      </w:tcPr>
                      <w:p>
                        <w:pPr>
                          <w:rPr>
                            <w:color w:val="000000"/>
                            <w:szCs w:val="24"/>
                          </w:rPr>
                        </w:pPr>
                        <w:r>
                          <w:rPr>
                            <w:i/>
                            <w:szCs w:val="24"/>
                          </w:rPr>
                          <w:t>-</w:t>
                        </w:r>
                      </w:p>
                    </w:tc>
                    <w:tc>
                      <w:tcPr>
                        <w:tcW w:w="850" w:type="dxa"/>
                      </w:tcPr>
                      <w:p>
                        <w:pPr>
                          <w:rPr>
                            <w:iCs/>
                            <w:color w:val="000000"/>
                            <w:szCs w:val="24"/>
                          </w:rPr>
                        </w:pPr>
                        <w:r>
                          <w:rPr>
                            <w:iCs/>
                            <w:szCs w:val="24"/>
                          </w:rPr>
                          <w:t>-</w:t>
                        </w:r>
                      </w:p>
                    </w:tc>
                    <w:tc>
                      <w:tcPr>
                        <w:tcW w:w="992" w:type="dxa"/>
                      </w:tcPr>
                      <w:p>
                        <w:pPr>
                          <w:rPr>
                            <w:szCs w:val="24"/>
                          </w:rPr>
                        </w:pPr>
                        <w:r>
                          <w:rPr>
                            <w:szCs w:val="24"/>
                          </w:rPr>
                          <w:t>36 SB</w:t>
                        </w:r>
                      </w:p>
                    </w:tc>
                    <w:tc>
                      <w:tcPr>
                        <w:tcW w:w="993" w:type="dxa"/>
                      </w:tcPr>
                      <w:p>
                        <w:pPr>
                          <w:rPr>
                            <w:iCs/>
                            <w:szCs w:val="24"/>
                          </w:rPr>
                        </w:pPr>
                        <w:r>
                          <w:rPr>
                            <w:iCs/>
                            <w:szCs w:val="24"/>
                          </w:rPr>
                          <w:t>0</w:t>
                        </w:r>
                      </w:p>
                    </w:tc>
                    <w:tc>
                      <w:tcPr>
                        <w:tcW w:w="5528" w:type="dxa"/>
                      </w:tcPr>
                      <w:p>
                        <w:pPr>
                          <w:rPr>
                            <w:iCs/>
                            <w:szCs w:val="24"/>
                          </w:rPr>
                        </w:pPr>
                        <w:r>
                          <w:rPr>
                            <w:iCs/>
                            <w:szCs w:val="24"/>
                          </w:rPr>
                          <w:t>Nepateko į prioritetus 2025 m.</w:t>
                        </w:r>
                      </w:p>
                      <w:p>
                        <w:pPr>
                          <w:rPr>
                            <w:iCs/>
                            <w:color w:val="000000"/>
                            <w:szCs w:val="24"/>
                          </w:rPr>
                        </w:pPr>
                        <w:r>
                          <w:rPr>
                            <w:iCs/>
                            <w:szCs w:val="24"/>
                          </w:rPr>
                          <w:t>(Statybos ir viešosios tvarkos skyrius)</w:t>
                        </w:r>
                      </w:p>
                    </w:tc>
                  </w:tr>
                  <w:tr>
                    <w:trPr>
                      <w:trHeight w:val="365"/>
                    </w:trPr>
                    <w:tc>
                      <w:tcPr>
                        <w:tcW w:w="4395" w:type="dxa"/>
                      </w:tcPr>
                      <w:p>
                        <w:pPr>
                          <w:rPr>
                            <w:szCs w:val="24"/>
                          </w:rPr>
                        </w:pPr>
                        <w:r>
                          <w:rPr>
                            <w:szCs w:val="24"/>
                          </w:rPr>
                          <w:t>10.1.1.5. Vietinės reikšmės kelio RD0319 Vadaktai–Ožaičiai, sutampančio su Vilties g., Ožaičių k., Sidabravo sen., Radviliškio r. sav., ruožo nuo 4,934 km iki 5,474 km kapitalinis remontas.</w:t>
                        </w:r>
                      </w:p>
                      <w:p>
                        <w:pPr>
                          <w:rPr>
                            <w:color w:val="000000"/>
                            <w:szCs w:val="24"/>
                          </w:rPr>
                        </w:pPr>
                        <w:r>
                          <w:rPr>
                            <w:szCs w:val="24"/>
                          </w:rPr>
                          <w:t>(Išasfaltuota žvyrkelių kilometrais) (SVP 4-1-2-24).</w:t>
                        </w:r>
                      </w:p>
                    </w:tc>
                    <w:tc>
                      <w:tcPr>
                        <w:tcW w:w="851" w:type="dxa"/>
                      </w:tcPr>
                      <w:p>
                        <w:pPr>
                          <w:rPr>
                            <w:color w:val="000000"/>
                            <w:szCs w:val="24"/>
                          </w:rPr>
                        </w:pPr>
                        <w:r>
                          <w:rPr>
                            <w:szCs w:val="24"/>
                          </w:rPr>
                          <w:t>0,5 km</w:t>
                        </w:r>
                      </w:p>
                    </w:tc>
                    <w:tc>
                      <w:tcPr>
                        <w:tcW w:w="850" w:type="dxa"/>
                      </w:tcPr>
                      <w:p>
                        <w:pPr>
                          <w:rPr>
                            <w:color w:val="000000"/>
                            <w:szCs w:val="24"/>
                          </w:rPr>
                        </w:pPr>
                        <w:r>
                          <w:rPr>
                            <w:i/>
                            <w:szCs w:val="24"/>
                          </w:rPr>
                          <w:t>-</w:t>
                        </w:r>
                      </w:p>
                    </w:tc>
                    <w:tc>
                      <w:tcPr>
                        <w:tcW w:w="851" w:type="dxa"/>
                      </w:tcPr>
                      <w:p>
                        <w:pPr>
                          <w:rPr>
                            <w:color w:val="000000"/>
                            <w:szCs w:val="24"/>
                          </w:rPr>
                        </w:pPr>
                        <w:r>
                          <w:rPr>
                            <w:i/>
                            <w:szCs w:val="24"/>
                          </w:rPr>
                          <w:t>-</w:t>
                        </w:r>
                      </w:p>
                    </w:tc>
                    <w:tc>
                      <w:tcPr>
                        <w:tcW w:w="850" w:type="dxa"/>
                      </w:tcPr>
                      <w:p>
                        <w:pPr>
                          <w:rPr>
                            <w:iCs/>
                            <w:color w:val="000000"/>
                            <w:szCs w:val="24"/>
                          </w:rPr>
                        </w:pPr>
                        <w:r>
                          <w:rPr>
                            <w:iCs/>
                            <w:szCs w:val="24"/>
                          </w:rPr>
                          <w:t>0,1</w:t>
                        </w:r>
                      </w:p>
                    </w:tc>
                    <w:tc>
                      <w:tcPr>
                        <w:tcW w:w="992" w:type="dxa"/>
                      </w:tcPr>
                      <w:p>
                        <w:pPr>
                          <w:rPr>
                            <w:szCs w:val="24"/>
                          </w:rPr>
                        </w:pPr>
                        <w:r>
                          <w:rPr>
                            <w:szCs w:val="24"/>
                          </w:rPr>
                          <w:t>6 SB</w:t>
                        </w:r>
                      </w:p>
                      <w:p>
                        <w:pPr>
                          <w:rPr>
                            <w:szCs w:val="24"/>
                          </w:rPr>
                        </w:pPr>
                        <w:r>
                          <w:rPr>
                            <w:szCs w:val="24"/>
                          </w:rPr>
                          <w:t>10 VB</w:t>
                        </w:r>
                      </w:p>
                    </w:tc>
                    <w:tc>
                      <w:tcPr>
                        <w:tcW w:w="993" w:type="dxa"/>
                      </w:tcPr>
                      <w:p>
                        <w:pPr>
                          <w:rPr>
                            <w:szCs w:val="24"/>
                          </w:rPr>
                        </w:pPr>
                        <w:r>
                          <w:rPr>
                            <w:szCs w:val="24"/>
                          </w:rPr>
                          <w:t>16 SB</w:t>
                        </w:r>
                      </w:p>
                      <w:p>
                        <w:pPr>
                          <w:rPr>
                            <w:szCs w:val="24"/>
                            <w:highlight w:val="yellow"/>
                          </w:rPr>
                        </w:pPr>
                      </w:p>
                    </w:tc>
                    <w:tc>
                      <w:tcPr>
                        <w:tcW w:w="5528" w:type="dxa"/>
                      </w:tcPr>
                      <w:p>
                        <w:pPr>
                          <w:rPr>
                            <w:szCs w:val="24"/>
                          </w:rPr>
                        </w:pPr>
                        <w:r>
                          <w:rPr>
                            <w:szCs w:val="24"/>
                          </w:rPr>
                          <w:t xml:space="preserve">Darbai užbaigti. </w:t>
                        </w:r>
                      </w:p>
                      <w:p>
                        <w:pPr>
                          <w:rPr>
                            <w:szCs w:val="24"/>
                          </w:rPr>
                        </w:pPr>
                        <w:r>
                          <w:rPr>
                            <w:szCs w:val="24"/>
                          </w:rPr>
                          <w:t>(Statybos ir viešosios tvarkos skyrius)</w:t>
                        </w:r>
                      </w:p>
                      <w:p>
                        <w:pPr>
                          <w:rPr>
                            <w:szCs w:val="24"/>
                            <w:highlight w:val="yellow"/>
                          </w:rPr>
                        </w:pPr>
                      </w:p>
                      <w:p>
                        <w:pPr>
                          <w:rPr>
                            <w:i/>
                            <w:iCs/>
                            <w:szCs w:val="24"/>
                            <w:highlight w:val="yellow"/>
                          </w:rPr>
                        </w:pPr>
                      </w:p>
                      <w:p>
                        <w:pPr>
                          <w:rPr>
                            <w:color w:val="000000"/>
                            <w:szCs w:val="24"/>
                            <w:highlight w:val="yellow"/>
                          </w:rPr>
                        </w:pPr>
                      </w:p>
                    </w:tc>
                  </w:tr>
                  <w:tr>
                    <w:trPr>
                      <w:trHeight w:val="365"/>
                    </w:trPr>
                    <w:tc>
                      <w:tcPr>
                        <w:tcW w:w="4395" w:type="dxa"/>
                      </w:tcPr>
                      <w:p>
                        <w:pPr>
                          <w:rPr>
                            <w:bCs/>
                            <w:szCs w:val="24"/>
                          </w:rPr>
                        </w:pPr>
                        <w:r>
                          <w:rPr>
                            <w:bCs/>
                            <w:szCs w:val="24"/>
                          </w:rPr>
                          <w:t xml:space="preserve">10.1.1.6.Vietinės reikšmės kelio RD0288 Prasčiūnai–Dargėnai–Pakiršiniai, sutampančio su J. Žuko g., Pakiršinių k., Sidabravo sen., Radviliškio r. sav., kapitalinis remontas. </w:t>
                        </w:r>
                        <w:r>
                          <w:rPr>
                            <w:szCs w:val="24"/>
                          </w:rPr>
                          <w:t>(Išasfaltuota žvyrkelių kilometrais) (SVP 4-1-2-25).</w:t>
                        </w:r>
                      </w:p>
                    </w:tc>
                    <w:tc>
                      <w:tcPr>
                        <w:tcW w:w="851" w:type="dxa"/>
                      </w:tcPr>
                      <w:p>
                        <w:pPr>
                          <w:rPr>
                            <w:iCs/>
                            <w:color w:val="000000"/>
                            <w:szCs w:val="24"/>
                          </w:rPr>
                        </w:pPr>
                        <w:r>
                          <w:rPr>
                            <w:szCs w:val="24"/>
                          </w:rPr>
                          <w:t>1,15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20 SB</w:t>
                        </w:r>
                      </w:p>
                    </w:tc>
                    <w:tc>
                      <w:tcPr>
                        <w:tcW w:w="993" w:type="dxa"/>
                      </w:tcPr>
                      <w:p>
                        <w:pPr>
                          <w:rPr>
                            <w:color w:val="000000"/>
                            <w:szCs w:val="24"/>
                          </w:rPr>
                        </w:pPr>
                        <w:r>
                          <w:rPr>
                            <w:szCs w:val="24"/>
                          </w:rPr>
                          <w:t>20 SB</w:t>
                        </w:r>
                      </w:p>
                    </w:tc>
                    <w:tc>
                      <w:tcPr>
                        <w:tcW w:w="5528" w:type="dxa"/>
                      </w:tcPr>
                      <w:p>
                        <w:pPr>
                          <w:rPr>
                            <w:szCs w:val="24"/>
                          </w:rPr>
                        </w:pPr>
                        <w:r>
                          <w:rPr>
                            <w:szCs w:val="24"/>
                          </w:rPr>
                          <w:t>Parengtas techninis darbo projektas, darbai – 2026 m.</w:t>
                        </w:r>
                      </w:p>
                      <w:p>
                        <w:pPr>
                          <w:rPr>
                            <w:szCs w:val="24"/>
                          </w:rPr>
                        </w:pPr>
                        <w:r>
                          <w:rPr>
                            <w:szCs w:val="24"/>
                          </w:rPr>
                          <w:t>(Statybos ir viešosios tvarkos skyrius)</w:t>
                        </w:r>
                      </w:p>
                      <w:p>
                        <w:pPr>
                          <w:rPr>
                            <w:szCs w:val="24"/>
                          </w:rPr>
                        </w:pPr>
                      </w:p>
                      <w:p>
                        <w:pPr>
                          <w:rPr>
                            <w:i/>
                            <w:iCs/>
                            <w:szCs w:val="24"/>
                          </w:rPr>
                        </w:pPr>
                      </w:p>
                      <w:p>
                        <w:pPr>
                          <w:rPr>
                            <w:iCs/>
                            <w:szCs w:val="24"/>
                          </w:rPr>
                        </w:pPr>
                      </w:p>
                    </w:tc>
                  </w:tr>
                  <w:tr>
                    <w:trPr>
                      <w:trHeight w:val="365"/>
                    </w:trPr>
                    <w:tc>
                      <w:tcPr>
                        <w:tcW w:w="4395" w:type="dxa"/>
                      </w:tcPr>
                      <w:p>
                        <w:pPr>
                          <w:tabs>
                            <w:tab w:val="left" w:pos="881"/>
                          </w:tabs>
                          <w:rPr>
                            <w:bCs/>
                            <w:szCs w:val="24"/>
                          </w:rPr>
                        </w:pPr>
                        <w:r>
                          <w:rPr>
                            <w:bCs/>
                            <w:szCs w:val="24"/>
                          </w:rPr>
                          <w:t>10.1.1.7.Vietinės reikšmės kelio RD0501 Šiaulėnai-Jokūbiškiai, sutampančio su Jasaičių g., Jokūbiškių k., Šiaulėnų sen., Radviliškio r. sav., ruožo nuo 2,1 km iki 2,8 km kapitalinis remontas.</w:t>
                        </w:r>
                        <w:r>
                          <w:rPr>
                            <w:szCs w:val="24"/>
                          </w:rPr>
                          <w:t>(Išasfaltuota žvyrkelių kilometrais) (SVP 4-1-2-26)</w:t>
                        </w:r>
                      </w:p>
                    </w:tc>
                    <w:tc>
                      <w:tcPr>
                        <w:tcW w:w="851" w:type="dxa"/>
                      </w:tcPr>
                      <w:p>
                        <w:pPr>
                          <w:rPr>
                            <w:iCs/>
                            <w:color w:val="000000"/>
                            <w:szCs w:val="24"/>
                          </w:rPr>
                        </w:pPr>
                        <w:r>
                          <w:rPr>
                            <w:szCs w:val="24"/>
                          </w:rPr>
                          <w:t>0,7 km</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color w:val="000000"/>
                            <w:szCs w:val="24"/>
                          </w:rPr>
                        </w:pPr>
                        <w:r>
                          <w:rPr>
                            <w:iCs/>
                            <w:szCs w:val="24"/>
                          </w:rPr>
                          <w:t>0,7</w:t>
                        </w:r>
                      </w:p>
                    </w:tc>
                    <w:tc>
                      <w:tcPr>
                        <w:tcW w:w="992" w:type="dxa"/>
                      </w:tcPr>
                      <w:p>
                        <w:pPr>
                          <w:rPr>
                            <w:iCs/>
                            <w:szCs w:val="24"/>
                          </w:rPr>
                        </w:pPr>
                        <w:r>
                          <w:rPr>
                            <w:iCs/>
                            <w:szCs w:val="24"/>
                          </w:rPr>
                          <w:t>5,2 SB</w:t>
                        </w:r>
                      </w:p>
                      <w:p>
                        <w:pPr>
                          <w:rPr>
                            <w:iCs/>
                            <w:color w:val="000000"/>
                            <w:szCs w:val="24"/>
                          </w:rPr>
                        </w:pPr>
                        <w:r>
                          <w:rPr>
                            <w:iCs/>
                            <w:szCs w:val="24"/>
                          </w:rPr>
                          <w:t>30 VB</w:t>
                        </w:r>
                      </w:p>
                    </w:tc>
                    <w:tc>
                      <w:tcPr>
                        <w:tcW w:w="993" w:type="dxa"/>
                      </w:tcPr>
                      <w:p>
                        <w:pPr>
                          <w:rPr>
                            <w:iCs/>
                            <w:szCs w:val="24"/>
                          </w:rPr>
                        </w:pPr>
                        <w:r>
                          <w:rPr>
                            <w:iCs/>
                            <w:szCs w:val="24"/>
                          </w:rPr>
                          <w:t>30 SB</w:t>
                        </w:r>
                      </w:p>
                      <w:p>
                        <w:pPr>
                          <w:rPr>
                            <w:iCs/>
                            <w:color w:val="000000"/>
                            <w:szCs w:val="24"/>
                          </w:rPr>
                        </w:pPr>
                      </w:p>
                    </w:tc>
                    <w:tc>
                      <w:tcPr>
                        <w:tcW w:w="5528" w:type="dxa"/>
                      </w:tcPr>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 xml:space="preserve">10.1.1.8.Vietinės reikšmės kelio RD0357 Juodžiai–Rudžiai–Grinkiškis, sutampančio su Rudžių g., Rudžių k., Grinkiškio sen., Radviliškio r. sav., kapitalinis remontas. </w:t>
                        </w:r>
                        <w:r>
                          <w:rPr>
                            <w:szCs w:val="24"/>
                          </w:rPr>
                          <w:t>(Išasfaltuota žvyrkelių kilometrais) (SVP 4-1-2-27)</w:t>
                        </w:r>
                      </w:p>
                    </w:tc>
                    <w:tc>
                      <w:tcPr>
                        <w:tcW w:w="851" w:type="dxa"/>
                      </w:tcPr>
                      <w:p>
                        <w:pPr>
                          <w:rPr>
                            <w:iCs/>
                            <w:color w:val="000000"/>
                            <w:szCs w:val="24"/>
                          </w:rPr>
                        </w:pPr>
                        <w:r>
                          <w:rPr>
                            <w:szCs w:val="24"/>
                          </w:rPr>
                          <w:t>0,73 km</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color w:val="000000"/>
                            <w:szCs w:val="24"/>
                          </w:rPr>
                        </w:pPr>
                        <w:r>
                          <w:rPr>
                            <w:iCs/>
                            <w:szCs w:val="24"/>
                          </w:rPr>
                          <w:t>0,4</w:t>
                        </w:r>
                      </w:p>
                    </w:tc>
                    <w:tc>
                      <w:tcPr>
                        <w:tcW w:w="992" w:type="dxa"/>
                      </w:tcPr>
                      <w:p>
                        <w:pPr>
                          <w:rPr>
                            <w:iCs/>
                            <w:color w:val="000000"/>
                            <w:szCs w:val="24"/>
                          </w:rPr>
                        </w:pPr>
                        <w:r>
                          <w:rPr>
                            <w:iCs/>
                            <w:szCs w:val="24"/>
                          </w:rPr>
                          <w:t>400 VB</w:t>
                        </w:r>
                      </w:p>
                    </w:tc>
                    <w:tc>
                      <w:tcPr>
                        <w:tcW w:w="993" w:type="dxa"/>
                      </w:tcPr>
                      <w:p>
                        <w:pPr>
                          <w:rPr>
                            <w:iCs/>
                            <w:color w:val="000000"/>
                            <w:szCs w:val="24"/>
                          </w:rPr>
                        </w:pPr>
                        <w:r>
                          <w:rPr>
                            <w:iCs/>
                            <w:szCs w:val="24"/>
                          </w:rPr>
                          <w:t>350 VB</w:t>
                        </w:r>
                      </w:p>
                    </w:tc>
                    <w:tc>
                      <w:tcPr>
                        <w:tcW w:w="5528" w:type="dxa"/>
                      </w:tcPr>
                      <w:p>
                        <w:pPr>
                          <w:rPr>
                            <w:iCs/>
                            <w:szCs w:val="24"/>
                          </w:rPr>
                        </w:pPr>
                        <w:r>
                          <w:rPr>
                            <w:iCs/>
                            <w:szCs w:val="24"/>
                          </w:rPr>
                          <w:t>Darbų pabaiga planuojama 2026 m.</w:t>
                        </w:r>
                      </w:p>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10.1.1.9.Vietinės reikšmės kelio RD0571 Žinėnai–Varnioniai, sutampančio su Klevų g., Varnionių k., Radviliškio sen., Radviliškio r. sav., kapitaliniam remontui.</w:t>
                        </w:r>
                      </w:p>
                      <w:p>
                        <w:pPr>
                          <w:rPr>
                            <w:bCs/>
                            <w:szCs w:val="24"/>
                          </w:rPr>
                        </w:pPr>
                        <w:r>
                          <w:rPr>
                            <w:szCs w:val="24"/>
                          </w:rPr>
                          <w:t>(Išasfaltuota žvyrkelių kilometrais) (SVP 4-1-2-30)</w:t>
                        </w:r>
                      </w:p>
                    </w:tc>
                    <w:tc>
                      <w:tcPr>
                        <w:tcW w:w="851" w:type="dxa"/>
                      </w:tcPr>
                      <w:p>
                        <w:pPr>
                          <w:rPr>
                            <w:iCs/>
                            <w:color w:val="000000"/>
                            <w:szCs w:val="24"/>
                          </w:rPr>
                        </w:pPr>
                        <w:r>
                          <w:rPr>
                            <w:szCs w:val="24"/>
                          </w:rPr>
                          <w:t>0,9 km.</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color w:val="000000"/>
                            <w:szCs w:val="24"/>
                          </w:rPr>
                        </w:pPr>
                        <w:r>
                          <w:rPr>
                            <w:iCs/>
                            <w:szCs w:val="24"/>
                          </w:rPr>
                          <w:t>-</w:t>
                        </w:r>
                      </w:p>
                    </w:tc>
                    <w:tc>
                      <w:tcPr>
                        <w:tcW w:w="992" w:type="dxa"/>
                      </w:tcPr>
                      <w:p>
                        <w:pPr>
                          <w:rPr>
                            <w:iCs/>
                            <w:color w:val="000000"/>
                            <w:szCs w:val="24"/>
                          </w:rPr>
                        </w:pPr>
                        <w:r>
                          <w:rPr>
                            <w:iCs/>
                            <w:szCs w:val="24"/>
                          </w:rPr>
                          <w:t>24 SB</w:t>
                        </w:r>
                      </w:p>
                    </w:tc>
                    <w:tc>
                      <w:tcPr>
                        <w:tcW w:w="993" w:type="dxa"/>
                      </w:tcPr>
                      <w:p>
                        <w:pPr>
                          <w:rPr>
                            <w:iCs/>
                            <w:color w:val="000000"/>
                            <w:szCs w:val="24"/>
                          </w:rPr>
                        </w:pPr>
                        <w:r>
                          <w:rPr>
                            <w:iCs/>
                            <w:szCs w:val="24"/>
                          </w:rPr>
                          <w:t>24 SB</w:t>
                        </w:r>
                      </w:p>
                    </w:tc>
                    <w:tc>
                      <w:tcPr>
                        <w:tcW w:w="5528" w:type="dxa"/>
                      </w:tcPr>
                      <w:p>
                        <w:pPr>
                          <w:rPr>
                            <w:iCs/>
                            <w:szCs w:val="24"/>
                          </w:rPr>
                        </w:pPr>
                        <w:r>
                          <w:rPr>
                            <w:iCs/>
                            <w:szCs w:val="24"/>
                          </w:rPr>
                          <w:t>Parengtas techninis darbo projektas, darbai – 2026 m.</w:t>
                        </w:r>
                      </w:p>
                      <w:p>
                        <w:pPr>
                          <w:rPr>
                            <w:iCs/>
                            <w:szCs w:val="24"/>
                          </w:rPr>
                        </w:pPr>
                        <w:r>
                          <w:rPr>
                            <w:iCs/>
                            <w:szCs w:val="24"/>
                          </w:rPr>
                          <w:t>(Statybos ir viešosios tvarkos skyrius)</w:t>
                        </w:r>
                      </w:p>
                      <w:p>
                        <w:pPr>
                          <w:rPr>
                            <w:iCs/>
                            <w:szCs w:val="24"/>
                          </w:rPr>
                        </w:pPr>
                      </w:p>
                      <w:p>
                        <w:pPr>
                          <w:rPr>
                            <w:iCs/>
                            <w:szCs w:val="24"/>
                          </w:rPr>
                        </w:pPr>
                      </w:p>
                      <w:p>
                        <w:pPr>
                          <w:rPr>
                            <w:iCs/>
                            <w:szCs w:val="24"/>
                          </w:rPr>
                        </w:pPr>
                      </w:p>
                    </w:tc>
                  </w:tr>
                  <w:tr>
                    <w:trPr>
                      <w:trHeight w:val="365"/>
                    </w:trPr>
                    <w:tc>
                      <w:tcPr>
                        <w:tcW w:w="4395" w:type="dxa"/>
                      </w:tcPr>
                      <w:p>
                        <w:pPr>
                          <w:rPr>
                            <w:bCs/>
                            <w:szCs w:val="24"/>
                          </w:rPr>
                        </w:pPr>
                        <w:r>
                          <w:rPr>
                            <w:bCs/>
                            <w:szCs w:val="24"/>
                          </w:rPr>
                          <w:t xml:space="preserve">10.1.1.10.Radviliškio m. Kovo 11-sios, Prūsų, Dzūkų gatvių statybos darbai (Nutiesta naujų kelių kilometrais) </w:t>
                        </w:r>
                        <w:r>
                          <w:rPr>
                            <w:szCs w:val="24"/>
                          </w:rPr>
                          <w:t>(SVP 4-1-2-32).</w:t>
                        </w:r>
                      </w:p>
                    </w:tc>
                    <w:tc>
                      <w:tcPr>
                        <w:tcW w:w="851" w:type="dxa"/>
                      </w:tcPr>
                      <w:p>
                        <w:pPr>
                          <w:rPr>
                            <w:iCs/>
                            <w:color w:val="000000"/>
                            <w:szCs w:val="24"/>
                          </w:rPr>
                        </w:pPr>
                        <w:r>
                          <w:rPr>
                            <w:bCs/>
                            <w:szCs w:val="24"/>
                          </w:rPr>
                          <w:t>0,30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Cs/>
                            <w:szCs w:val="24"/>
                          </w:rPr>
                          <w:t>0,1</w:t>
                        </w:r>
                      </w:p>
                    </w:tc>
                    <w:tc>
                      <w:tcPr>
                        <w:tcW w:w="992" w:type="dxa"/>
                      </w:tcPr>
                      <w:p>
                        <w:pPr>
                          <w:rPr>
                            <w:iCs/>
                            <w:szCs w:val="24"/>
                          </w:rPr>
                        </w:pPr>
                        <w:r>
                          <w:rPr>
                            <w:iCs/>
                            <w:szCs w:val="24"/>
                          </w:rPr>
                          <w:t>11 SB</w:t>
                        </w:r>
                      </w:p>
                      <w:p>
                        <w:pPr>
                          <w:rPr>
                            <w:iCs/>
                            <w:color w:val="000000"/>
                            <w:szCs w:val="24"/>
                          </w:rPr>
                        </w:pPr>
                        <w:r>
                          <w:rPr>
                            <w:iCs/>
                            <w:szCs w:val="24"/>
                          </w:rPr>
                          <w:t>170 VB</w:t>
                        </w:r>
                      </w:p>
                    </w:tc>
                    <w:tc>
                      <w:tcPr>
                        <w:tcW w:w="993" w:type="dxa"/>
                      </w:tcPr>
                      <w:p>
                        <w:pPr>
                          <w:rPr>
                            <w:iCs/>
                            <w:szCs w:val="24"/>
                          </w:rPr>
                        </w:pPr>
                        <w:r>
                          <w:rPr>
                            <w:iCs/>
                            <w:szCs w:val="24"/>
                          </w:rPr>
                          <w:t>3,7 SB</w:t>
                        </w:r>
                      </w:p>
                      <w:p>
                        <w:pPr>
                          <w:rPr>
                            <w:iCs/>
                            <w:color w:val="000000"/>
                            <w:szCs w:val="24"/>
                          </w:rPr>
                        </w:pPr>
                        <w:r>
                          <w:rPr>
                            <w:iCs/>
                            <w:szCs w:val="24"/>
                          </w:rPr>
                          <w:t>150 VB</w:t>
                        </w:r>
                      </w:p>
                    </w:tc>
                    <w:tc>
                      <w:tcPr>
                        <w:tcW w:w="5528" w:type="dxa"/>
                      </w:tcPr>
                      <w:p>
                        <w:pPr>
                          <w:rPr>
                            <w:iCs/>
                            <w:szCs w:val="24"/>
                          </w:rPr>
                        </w:pPr>
                        <w:r>
                          <w:rPr>
                            <w:iCs/>
                            <w:szCs w:val="24"/>
                          </w:rPr>
                          <w:t>Užbaigti Kovo 11-sios g. statybos darbai</w:t>
                        </w:r>
                      </w:p>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10.1.1.11.Tęstinė daugiabučių namų kiemų, susisiekimo komunikacijų ir jų inžinerinių tinklų statybos, rekonstravimo ir kapitalinio remonto, dalyvaujant fiziniams ir juridiniams asmenims Savivaldybės prisidėjimo dalies veikla.</w:t>
                        </w:r>
                      </w:p>
                      <w:p>
                        <w:pPr>
                          <w:rPr>
                            <w:bCs/>
                            <w:szCs w:val="24"/>
                          </w:rPr>
                        </w:pPr>
                        <w:r>
                          <w:rPr>
                            <w:bCs/>
                            <w:szCs w:val="24"/>
                          </w:rPr>
                          <w:t>(Sutvarkytų kiemų ir susisiekimo komunikacijų skaičius (</w:t>
                        </w:r>
                        <w:r>
                          <w:rPr>
                            <w:szCs w:val="24"/>
                          </w:rPr>
                          <w:t>SVP 4-1-2-33).</w:t>
                        </w:r>
                      </w:p>
                    </w:tc>
                    <w:tc>
                      <w:tcPr>
                        <w:tcW w:w="851" w:type="dxa"/>
                      </w:tcPr>
                      <w:p>
                        <w:pPr>
                          <w:rPr>
                            <w:iCs/>
                            <w:color w:val="000000"/>
                            <w:szCs w:val="24"/>
                          </w:rPr>
                        </w:pPr>
                        <w:r>
                          <w:rPr>
                            <w:bCs/>
                            <w:szCs w:val="24"/>
                          </w:rPr>
                          <w:t>7 vnt.</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ind w:left="720" w:hanging="360"/>
                          <w:rPr>
                            <w:iCs/>
                            <w:color w:val="000000"/>
                            <w:sz w:val="22"/>
                            <w:szCs w:val="24"/>
                          </w:rPr>
                        </w:pPr>
                        <w:r>
                          <w:rPr>
                            <w:iCs/>
                            <w:szCs w:val="24"/>
                          </w:rPr>
                          <w:t>8</w:t>
                          <w:tab/>
                        </w:r>
                        <w:r>
                          <w:rPr>
                            <w:iCs/>
                            <w:sz w:val="22"/>
                            <w:szCs w:val="24"/>
                          </w:rPr>
                          <w:t>vnt.</w:t>
                        </w:r>
                      </w:p>
                    </w:tc>
                    <w:tc>
                      <w:tcPr>
                        <w:tcW w:w="992" w:type="dxa"/>
                      </w:tcPr>
                      <w:p>
                        <w:pPr>
                          <w:ind w:left="720" w:hanging="360"/>
                          <w:rPr>
                            <w:color w:val="000000"/>
                            <w:sz w:val="22"/>
                            <w:szCs w:val="24"/>
                          </w:rPr>
                        </w:pPr>
                        <w:r>
                          <w:rPr>
                            <w:szCs w:val="24"/>
                          </w:rPr>
                          <w:t>400</w:t>
                          <w:tab/>
                        </w:r>
                      </w:p>
                    </w:tc>
                    <w:tc>
                      <w:tcPr>
                        <w:tcW w:w="993" w:type="dxa"/>
                      </w:tcPr>
                      <w:p>
                        <w:pPr>
                          <w:ind w:left="720" w:hanging="360"/>
                          <w:rPr>
                            <w:color w:val="000000"/>
                            <w:sz w:val="22"/>
                            <w:szCs w:val="24"/>
                          </w:rPr>
                        </w:pPr>
                        <w:r>
                          <w:rPr>
                            <w:szCs w:val="24"/>
                          </w:rPr>
                          <w:t>200</w:t>
                          <w:tab/>
                        </w:r>
                      </w:p>
                    </w:tc>
                    <w:tc>
                      <w:tcPr>
                        <w:tcW w:w="5528" w:type="dxa"/>
                      </w:tcPr>
                      <w:p>
                        <w:pPr>
                          <w:tabs>
                            <w:tab w:val="left" w:pos="451"/>
                          </w:tabs>
                          <w:rPr>
                            <w:b/>
                            <w:bCs/>
                            <w:szCs w:val="24"/>
                          </w:rPr>
                        </w:pPr>
                        <w:r>
                          <w:rPr>
                            <w:b/>
                            <w:bCs/>
                            <w:szCs w:val="24"/>
                          </w:rPr>
                          <w:t>Sutvarkyti daugiabučių namų kiemai:</w:t>
                        </w:r>
                        <w:r>
                          <w:rPr>
                            <w:szCs w:val="24"/>
                          </w:rPr>
                          <w:t xml:space="preserve"> Gedimino g. 4, Radviliškio m.; Kėdainių g. 112, Šeduvos m.; Draugystės g. 5, Pakiršinio k.; Kaimynų g. 3, Pakiršinio k.; V. Kudirkos g. 11, 13, 15, 17, Radviliškio m.; Kaimynų g. 14, 16, Radviliškio m. </w:t>
                        </w:r>
                        <w:r>
                          <w:rPr>
                            <w:b/>
                            <w:bCs/>
                            <w:szCs w:val="24"/>
                          </w:rPr>
                          <w:t>Sutvarkytos susisiekimo komunikacijos:</w:t>
                        </w:r>
                      </w:p>
                      <w:p>
                        <w:pPr>
                          <w:tabs>
                            <w:tab w:val="left" w:pos="451"/>
                          </w:tabs>
                          <w:rPr>
                            <w:szCs w:val="24"/>
                          </w:rPr>
                        </w:pPr>
                        <w:r>
                          <w:rPr>
                            <w:szCs w:val="24"/>
                          </w:rPr>
                          <w:t>Vietinės reikšmės kelias Nr. RD0110 Rukaičiai–Birjočiai;</w:t>
                        </w:r>
                      </w:p>
                      <w:p>
                        <w:pPr>
                          <w:tabs>
                            <w:tab w:val="left" w:pos="451"/>
                          </w:tabs>
                          <w:rPr>
                            <w:szCs w:val="24"/>
                          </w:rPr>
                        </w:pPr>
                        <w:r>
                          <w:rPr>
                            <w:szCs w:val="24"/>
                          </w:rPr>
                          <w:t>Vietinės reikšmės kelias RD1153 privažiavimo prie laukų nuo kelio 3404. (Statybos ir viešosios tvarkos skyrius)</w:t>
                        </w:r>
                      </w:p>
                    </w:tc>
                  </w:tr>
                  <w:tr>
                    <w:trPr>
                      <w:trHeight w:val="365"/>
                    </w:trPr>
                    <w:tc>
                      <w:tcPr>
                        <w:tcW w:w="4395" w:type="dxa"/>
                      </w:tcPr>
                      <w:p>
                        <w:pPr>
                          <w:tabs>
                            <w:tab w:val="left" w:pos="881"/>
                          </w:tabs>
                          <w:ind w:left="30"/>
                          <w:rPr>
                            <w:bCs/>
                            <w:szCs w:val="24"/>
                          </w:rPr>
                        </w:pPr>
                        <w:r>
                          <w:rPr>
                            <w:bCs/>
                            <w:szCs w:val="24"/>
                          </w:rPr>
                          <w:t xml:space="preserve">10.1.1.12.Tęstinė kaimiškųjų seniūnijų kelių priežiūros, eksploatavimo ir melioracijos statinių (žemės mokesčio lėšomis) veikla. (prižiūrimų žvyrkelių km skaičius) </w:t>
                        </w:r>
                        <w:r>
                          <w:rPr>
                            <w:szCs w:val="24"/>
                          </w:rPr>
                          <w:t>(SVP 4-1-2-36).</w:t>
                        </w:r>
                      </w:p>
                    </w:tc>
                    <w:tc>
                      <w:tcPr>
                        <w:tcW w:w="851" w:type="dxa"/>
                      </w:tcPr>
                      <w:p>
                        <w:pPr>
                          <w:rPr>
                            <w:iCs/>
                            <w:color w:val="000000"/>
                            <w:szCs w:val="24"/>
                          </w:rPr>
                        </w:pPr>
                        <w:r>
                          <w:rPr>
                            <w:bCs/>
                            <w:szCs w:val="24"/>
                          </w:rPr>
                          <w:t>800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800</w:t>
                        </w:r>
                      </w:p>
                    </w:tc>
                    <w:tc>
                      <w:tcPr>
                        <w:tcW w:w="992" w:type="dxa"/>
                      </w:tcPr>
                      <w:p>
                        <w:pPr>
                          <w:rPr>
                            <w:color w:val="000000"/>
                            <w:szCs w:val="24"/>
                          </w:rPr>
                        </w:pPr>
                        <w:r>
                          <w:rPr>
                            <w:szCs w:val="24"/>
                          </w:rPr>
                          <w:t>300 SB</w:t>
                        </w:r>
                      </w:p>
                    </w:tc>
                    <w:tc>
                      <w:tcPr>
                        <w:tcW w:w="993" w:type="dxa"/>
                      </w:tcPr>
                      <w:p>
                        <w:pPr>
                          <w:rPr>
                            <w:color w:val="000000"/>
                            <w:szCs w:val="24"/>
                          </w:rPr>
                        </w:pPr>
                        <w:r>
                          <w:rPr>
                            <w:szCs w:val="24"/>
                          </w:rPr>
                          <w:t>300 SB</w:t>
                        </w:r>
                      </w:p>
                    </w:tc>
                    <w:tc>
                      <w:tcPr>
                        <w:tcW w:w="5528" w:type="dxa"/>
                      </w:tcPr>
                      <w:p>
                        <w:pPr>
                          <w:rPr>
                            <w:szCs w:val="24"/>
                          </w:rPr>
                        </w:pPr>
                        <w:r>
                          <w:rPr>
                            <w:szCs w:val="24"/>
                          </w:rPr>
                          <w:t>Atlikti priežiūros darbai per 800 km žvyrkelių</w:t>
                        </w:r>
                      </w:p>
                      <w:p>
                        <w:pPr>
                          <w:rPr>
                            <w:iCs/>
                            <w:szCs w:val="24"/>
                          </w:rPr>
                        </w:pPr>
                        <w:r>
                          <w:rPr>
                            <w:szCs w:val="24"/>
                          </w:rPr>
                          <w:t>(Statybos ir viešosios tvarkos skyrius)</w:t>
                        </w:r>
                      </w:p>
                    </w:tc>
                  </w:tr>
                  <w:tr>
                    <w:trPr>
                      <w:trHeight w:val="365"/>
                    </w:trPr>
                    <w:tc>
                      <w:tcPr>
                        <w:tcW w:w="4395" w:type="dxa"/>
                      </w:tcPr>
                      <w:p>
                        <w:pPr>
                          <w:tabs>
                            <w:tab w:val="left" w:pos="881"/>
                          </w:tabs>
                          <w:ind w:left="30"/>
                          <w:rPr>
                            <w:bCs/>
                            <w:szCs w:val="24"/>
                          </w:rPr>
                        </w:pPr>
                        <w:r>
                          <w:rPr>
                            <w:bCs/>
                            <w:szCs w:val="24"/>
                          </w:rPr>
                          <w:t xml:space="preserve">10.1.1.13.Radviliškio r. sav. Baisogalos mstl. Grinkiškio g., Taikos g. ir Maironio g. kapitalinis remontas bei apšvietimo atnaujinimas. Rekonstruota vietinės reikšmės kelių km </w:t>
                        </w:r>
                        <w:r>
                          <w:rPr>
                            <w:szCs w:val="24"/>
                          </w:rPr>
                          <w:t>(SVP 4-1-2-40)</w:t>
                        </w:r>
                      </w:p>
                    </w:tc>
                    <w:tc>
                      <w:tcPr>
                        <w:tcW w:w="851" w:type="dxa"/>
                      </w:tcPr>
                      <w:p>
                        <w:pPr>
                          <w:rPr>
                            <w:iCs/>
                            <w:color w:val="000000"/>
                            <w:szCs w:val="24"/>
                          </w:rPr>
                        </w:pPr>
                        <w:r>
                          <w:rPr>
                            <w:bCs/>
                            <w:szCs w:val="24"/>
                          </w:rPr>
                          <w:t>1,2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27 SB</w:t>
                        </w:r>
                      </w:p>
                    </w:tc>
                    <w:tc>
                      <w:tcPr>
                        <w:tcW w:w="993" w:type="dxa"/>
                      </w:tcPr>
                      <w:p>
                        <w:pPr>
                          <w:rPr>
                            <w:iCs/>
                            <w:color w:val="000000"/>
                            <w:szCs w:val="24"/>
                          </w:rPr>
                        </w:pPr>
                        <w:r>
                          <w:rPr>
                            <w:iCs/>
                            <w:szCs w:val="24"/>
                          </w:rPr>
                          <w:t>0</w:t>
                        </w:r>
                      </w:p>
                    </w:tc>
                    <w:tc>
                      <w:tcPr>
                        <w:tcW w:w="5528" w:type="dxa"/>
                      </w:tcPr>
                      <w:p>
                        <w:pPr>
                          <w:rPr>
                            <w:szCs w:val="24"/>
                          </w:rPr>
                        </w:pPr>
                        <w:r>
                          <w:rPr>
                            <w:szCs w:val="24"/>
                          </w:rPr>
                          <w:t>Pasirašyta sutartis projektavimui 2025-12-31.</w:t>
                        </w:r>
                      </w:p>
                      <w:p>
                        <w:pPr>
                          <w:rPr>
                            <w:iCs/>
                            <w:szCs w:val="24"/>
                          </w:rPr>
                        </w:pPr>
                        <w:r>
                          <w:rPr>
                            <w:szCs w:val="24"/>
                          </w:rPr>
                          <w:t>(Statybos ir viešosios tvarkos skyrius)</w:t>
                        </w:r>
                      </w:p>
                    </w:tc>
                  </w:tr>
                  <w:tr>
                    <w:trPr>
                      <w:trHeight w:val="365"/>
                    </w:trPr>
                    <w:tc>
                      <w:tcPr>
                        <w:tcW w:w="4395" w:type="dxa"/>
                      </w:tcPr>
                      <w:p>
                        <w:pPr>
                          <w:tabs>
                            <w:tab w:val="left" w:pos="881"/>
                          </w:tabs>
                          <w:ind w:left="30"/>
                          <w:rPr>
                            <w:bCs/>
                            <w:szCs w:val="24"/>
                          </w:rPr>
                        </w:pPr>
                        <w:r>
                          <w:rPr>
                            <w:bCs/>
                            <w:szCs w:val="24"/>
                          </w:rPr>
                          <w:t xml:space="preserve">10.1.1.14.Radviliškio m. Kęstučio g. kapitalinis remontas, apšvietimo atnaujinimas. Rekonstruota vietinės reikšmės kelių km </w:t>
                        </w:r>
                        <w:r>
                          <w:rPr>
                            <w:szCs w:val="24"/>
                          </w:rPr>
                          <w:t>(SVP 4-1-2-41).</w:t>
                        </w:r>
                      </w:p>
                    </w:tc>
                    <w:tc>
                      <w:tcPr>
                        <w:tcW w:w="851" w:type="dxa"/>
                      </w:tcPr>
                      <w:p>
                        <w:pPr>
                          <w:rPr>
                            <w:iCs/>
                            <w:color w:val="000000"/>
                            <w:szCs w:val="24"/>
                          </w:rPr>
                        </w:pPr>
                        <w:r>
                          <w:rPr>
                            <w:bCs/>
                            <w:szCs w:val="24"/>
                          </w:rPr>
                          <w:t>0,37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21 SB</w:t>
                        </w:r>
                      </w:p>
                    </w:tc>
                    <w:tc>
                      <w:tcPr>
                        <w:tcW w:w="993" w:type="dxa"/>
                      </w:tcPr>
                      <w:p>
                        <w:pPr>
                          <w:rPr>
                            <w:iCs/>
                            <w:color w:val="000000"/>
                            <w:szCs w:val="24"/>
                          </w:rPr>
                        </w:pPr>
                        <w:r>
                          <w:rPr>
                            <w:iCs/>
                            <w:szCs w:val="24"/>
                          </w:rPr>
                          <w:t>0</w:t>
                        </w:r>
                      </w:p>
                    </w:tc>
                    <w:tc>
                      <w:tcPr>
                        <w:tcW w:w="5528" w:type="dxa"/>
                      </w:tcPr>
                      <w:p>
                        <w:pPr>
                          <w:rPr>
                            <w:szCs w:val="24"/>
                          </w:rPr>
                        </w:pPr>
                        <w:r>
                          <w:rPr>
                            <w:szCs w:val="24"/>
                          </w:rPr>
                          <w:t>Nepateko į 2025 m. prioritetinių objektų sąrašą.</w:t>
                        </w:r>
                      </w:p>
                      <w:p>
                        <w:pPr>
                          <w:rPr>
                            <w:iCs/>
                            <w:szCs w:val="24"/>
                          </w:rPr>
                        </w:pPr>
                        <w:r>
                          <w:rPr>
                            <w:szCs w:val="24"/>
                          </w:rPr>
                          <w:t>(Statybos ir viešosios tvarkos skyrius)</w:t>
                        </w:r>
                      </w:p>
                    </w:tc>
                  </w:tr>
                  <w:tr>
                    <w:trPr>
                      <w:trHeight w:val="365"/>
                    </w:trPr>
                    <w:tc>
                      <w:tcPr>
                        <w:tcW w:w="4395" w:type="dxa"/>
                      </w:tcPr>
                      <w:p>
                        <w:pPr>
                          <w:tabs>
                            <w:tab w:val="left" w:pos="881"/>
                          </w:tabs>
                          <w:ind w:left="30"/>
                          <w:rPr>
                            <w:bCs/>
                            <w:szCs w:val="24"/>
                          </w:rPr>
                        </w:pPr>
                        <w:r>
                          <w:rPr>
                            <w:bCs/>
                            <w:szCs w:val="24"/>
                          </w:rPr>
                          <w:t>10.1.1.15. Vietinės reikšmės kelio RD0380 Skomaičiai–Gražiškiai, sutampančio su Tuopų g., Skomaičių k., Skėmių sen., Radviliškio r. sav., kapitalinis remontas.</w:t>
                        </w:r>
                      </w:p>
                      <w:p>
                        <w:pPr>
                          <w:rPr>
                            <w:bCs/>
                            <w:szCs w:val="24"/>
                          </w:rPr>
                        </w:pPr>
                        <w:r>
                          <w:rPr>
                            <w:bCs/>
                            <w:szCs w:val="24"/>
                          </w:rPr>
                          <w:t>(Išasfaltuota žvyrkelių kilometrais) (</w:t>
                        </w:r>
                        <w:r>
                          <w:rPr>
                            <w:szCs w:val="24"/>
                          </w:rPr>
                          <w:t>SVP 4-1-2-42).</w:t>
                        </w:r>
                      </w:p>
                    </w:tc>
                    <w:tc>
                      <w:tcPr>
                        <w:tcW w:w="851" w:type="dxa"/>
                      </w:tcPr>
                      <w:p>
                        <w:pPr>
                          <w:rPr>
                            <w:iCs/>
                            <w:color w:val="000000"/>
                            <w:szCs w:val="24"/>
                          </w:rPr>
                        </w:pPr>
                        <w:r>
                          <w:rPr>
                            <w:bCs/>
                            <w:szCs w:val="24"/>
                          </w:rPr>
                          <w:t>0,7 km</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color w:val="000000"/>
                            <w:szCs w:val="24"/>
                          </w:rPr>
                        </w:pPr>
                        <w:r>
                          <w:rPr>
                            <w:iCs/>
                            <w:szCs w:val="24"/>
                          </w:rPr>
                          <w:t>0,66</w:t>
                        </w:r>
                      </w:p>
                    </w:tc>
                    <w:tc>
                      <w:tcPr>
                        <w:tcW w:w="992" w:type="dxa"/>
                      </w:tcPr>
                      <w:p>
                        <w:pPr>
                          <w:rPr>
                            <w:color w:val="000000"/>
                            <w:szCs w:val="24"/>
                          </w:rPr>
                        </w:pPr>
                        <w:r>
                          <w:rPr>
                            <w:szCs w:val="24"/>
                          </w:rPr>
                          <w:t>300 VB</w:t>
                        </w:r>
                      </w:p>
                    </w:tc>
                    <w:tc>
                      <w:tcPr>
                        <w:tcW w:w="993" w:type="dxa"/>
                      </w:tcPr>
                      <w:p>
                        <w:pPr>
                          <w:rPr>
                            <w:color w:val="000000"/>
                            <w:szCs w:val="24"/>
                          </w:rPr>
                        </w:pPr>
                        <w:r>
                          <w:rPr>
                            <w:szCs w:val="24"/>
                          </w:rPr>
                          <w:t>300 VB</w:t>
                        </w:r>
                      </w:p>
                    </w:tc>
                    <w:tc>
                      <w:tcPr>
                        <w:tcW w:w="5528" w:type="dxa"/>
                      </w:tcPr>
                      <w:p>
                        <w:pPr>
                          <w:rPr>
                            <w:szCs w:val="24"/>
                          </w:rPr>
                        </w:pPr>
                        <w:r>
                          <w:rPr>
                            <w:szCs w:val="24"/>
                          </w:rPr>
                          <w:t>Darbai bus tęsiami 2026 m.</w:t>
                        </w:r>
                      </w:p>
                      <w:p>
                        <w:pPr>
                          <w:rPr>
                            <w:szCs w:val="24"/>
                          </w:rPr>
                        </w:pPr>
                        <w:r>
                          <w:rPr>
                            <w:szCs w:val="24"/>
                          </w:rPr>
                          <w:t>(Statybos ir viešosios tvarkos skyrius)</w:t>
                        </w:r>
                      </w:p>
                    </w:tc>
                  </w:tr>
                  <w:tr>
                    <w:trPr>
                      <w:trHeight w:val="365"/>
                    </w:trPr>
                    <w:tc>
                      <w:tcPr>
                        <w:tcW w:w="4395" w:type="dxa"/>
                      </w:tcPr>
                      <w:p>
                        <w:pPr>
                          <w:tabs>
                            <w:tab w:val="left" w:pos="881"/>
                          </w:tabs>
                          <w:ind w:left="30"/>
                          <w:rPr>
                            <w:bCs/>
                            <w:szCs w:val="24"/>
                          </w:rPr>
                        </w:pPr>
                        <w:r>
                          <w:rPr>
                            <w:bCs/>
                            <w:szCs w:val="24"/>
                          </w:rPr>
                          <w:t>10.1.1.16. Pakalniškių sen. Veliakiemių k. vietinės reikšmės kelio RD0245 Veliakiemiai–Vaižgai kapitalinis remontas. (Išasfaltuota žvyrkelių kilometrais) (</w:t>
                        </w:r>
                        <w:r>
                          <w:rPr>
                            <w:szCs w:val="24"/>
                          </w:rPr>
                          <w:t>SVP 4-1-2-43).</w:t>
                        </w:r>
                      </w:p>
                    </w:tc>
                    <w:tc>
                      <w:tcPr>
                        <w:tcW w:w="851" w:type="dxa"/>
                      </w:tcPr>
                      <w:p>
                        <w:pPr>
                          <w:rPr>
                            <w:iCs/>
                            <w:color w:val="000000"/>
                            <w:szCs w:val="24"/>
                          </w:rPr>
                        </w:pPr>
                        <w:r>
                          <w:rPr>
                            <w:bCs/>
                            <w:szCs w:val="24"/>
                          </w:rPr>
                          <w:t>0,5 km</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color w:val="000000"/>
                            <w:szCs w:val="24"/>
                          </w:rPr>
                        </w:pPr>
                        <w:r>
                          <w:rPr>
                            <w:iCs/>
                            <w:szCs w:val="24"/>
                          </w:rPr>
                          <w:t>0,83</w:t>
                        </w:r>
                      </w:p>
                    </w:tc>
                    <w:tc>
                      <w:tcPr>
                        <w:tcW w:w="992" w:type="dxa"/>
                      </w:tcPr>
                      <w:p>
                        <w:pPr>
                          <w:rPr>
                            <w:color w:val="000000"/>
                            <w:szCs w:val="24"/>
                          </w:rPr>
                        </w:pPr>
                        <w:r>
                          <w:rPr>
                            <w:szCs w:val="24"/>
                          </w:rPr>
                          <w:t>500 VB</w:t>
                        </w:r>
                      </w:p>
                    </w:tc>
                    <w:tc>
                      <w:tcPr>
                        <w:tcW w:w="993" w:type="dxa"/>
                      </w:tcPr>
                      <w:p>
                        <w:pPr>
                          <w:rPr>
                            <w:color w:val="000000"/>
                            <w:szCs w:val="24"/>
                          </w:rPr>
                        </w:pPr>
                        <w:r>
                          <w:rPr>
                            <w:szCs w:val="24"/>
                          </w:rPr>
                          <w:t>350 VB</w:t>
                        </w:r>
                      </w:p>
                    </w:tc>
                    <w:tc>
                      <w:tcPr>
                        <w:tcW w:w="5528" w:type="dxa"/>
                      </w:tcPr>
                      <w:p>
                        <w:pPr>
                          <w:rPr>
                            <w:szCs w:val="24"/>
                          </w:rPr>
                        </w:pPr>
                        <w:r>
                          <w:rPr>
                            <w:szCs w:val="24"/>
                          </w:rPr>
                          <w:t>Darbai bus tęsiami 2026 m.</w:t>
                        </w:r>
                      </w:p>
                      <w:p>
                        <w:pPr>
                          <w:rPr>
                            <w:szCs w:val="24"/>
                          </w:rPr>
                        </w:pPr>
                        <w:r>
                          <w:rPr>
                            <w:szCs w:val="24"/>
                          </w:rPr>
                          <w:t>(Statybos ir viešosios tvarkos skyrius)</w:t>
                        </w:r>
                      </w:p>
                    </w:tc>
                  </w:tr>
                  <w:tr>
                    <w:trPr>
                      <w:trHeight w:val="365"/>
                    </w:trPr>
                    <w:tc>
                      <w:tcPr>
                        <w:tcW w:w="4395" w:type="dxa"/>
                      </w:tcPr>
                      <w:p>
                        <w:pPr>
                          <w:tabs>
                            <w:tab w:val="left" w:pos="881"/>
                          </w:tabs>
                          <w:ind w:left="30"/>
                          <w:rPr>
                            <w:bCs/>
                            <w:szCs w:val="24"/>
                          </w:rPr>
                        </w:pPr>
                        <w:r>
                          <w:rPr>
                            <w:bCs/>
                            <w:szCs w:val="24"/>
                          </w:rPr>
                          <w:t xml:space="preserve">10.1.1.17. Privažiuojamojo kelio RD8130 atkarpos, esančios Radviliškio m. nuo S. Dariaus ir S. Girėno g. iki geležinkelio kelio kapitalinis remontas ir lietaus trasos nuo privažiuojamojo kelio iki melioracijos tinklų, esančių Geležinkelio gatvėje, statyba. (Rekonstruotų vietinės reikšmės kelių kilometrais) </w:t>
                        </w:r>
                        <w:r>
                          <w:rPr>
                            <w:szCs w:val="24"/>
                          </w:rPr>
                          <w:t>(SVP 4-1-2-44).</w:t>
                        </w:r>
                      </w:p>
                    </w:tc>
                    <w:tc>
                      <w:tcPr>
                        <w:tcW w:w="851" w:type="dxa"/>
                      </w:tcPr>
                      <w:p>
                        <w:pPr>
                          <w:rPr>
                            <w:iCs/>
                            <w:color w:val="000000"/>
                            <w:szCs w:val="24"/>
                          </w:rPr>
                        </w:pPr>
                        <w:r>
                          <w:rPr>
                            <w:bCs/>
                            <w:szCs w:val="24"/>
                          </w:rPr>
                          <w:t>0,1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200 VB</w:t>
                        </w:r>
                      </w:p>
                    </w:tc>
                    <w:tc>
                      <w:tcPr>
                        <w:tcW w:w="993" w:type="dxa"/>
                      </w:tcPr>
                      <w:p>
                        <w:pPr>
                          <w:rPr>
                            <w:color w:val="000000"/>
                            <w:szCs w:val="24"/>
                          </w:rPr>
                        </w:pPr>
                        <w:r>
                          <w:rPr>
                            <w:szCs w:val="24"/>
                          </w:rPr>
                          <w:t>0</w:t>
                        </w:r>
                      </w:p>
                    </w:tc>
                    <w:tc>
                      <w:tcPr>
                        <w:tcW w:w="5528" w:type="dxa"/>
                      </w:tcPr>
                      <w:p>
                        <w:pPr>
                          <w:rPr>
                            <w:szCs w:val="24"/>
                          </w:rPr>
                        </w:pPr>
                        <w:r>
                          <w:rPr>
                            <w:szCs w:val="24"/>
                          </w:rPr>
                          <w:t>Nepateko į 2025 m. prioritetinių objektų sąrašą.</w:t>
                        </w:r>
                      </w:p>
                      <w:p>
                        <w:pPr>
                          <w:rPr>
                            <w:szCs w:val="24"/>
                            <w:highlight w:val="yellow"/>
                          </w:rPr>
                        </w:pPr>
                        <w:r>
                          <w:rPr>
                            <w:szCs w:val="24"/>
                          </w:rPr>
                          <w:t>(Statybos ir viešosios tvarkos skyrius)</w:t>
                        </w:r>
                      </w:p>
                    </w:tc>
                  </w:tr>
                  <w:tr>
                    <w:trPr>
                      <w:trHeight w:val="365"/>
                    </w:trPr>
                    <w:tc>
                      <w:tcPr>
                        <w:tcW w:w="4395" w:type="dxa"/>
                      </w:tcPr>
                      <w:p>
                        <w:pPr>
                          <w:tabs>
                            <w:tab w:val="left" w:pos="881"/>
                          </w:tabs>
                          <w:ind w:left="30"/>
                          <w:rPr>
                            <w:bCs/>
                            <w:szCs w:val="24"/>
                          </w:rPr>
                        </w:pPr>
                        <w:r>
                          <w:rPr>
                            <w:bCs/>
                            <w:szCs w:val="24"/>
                          </w:rPr>
                          <w:t xml:space="preserve">10.1.1.18. Radviliškio m. dalies Stadiono ir Liepų g. kapitalinis remontas (rekonstravimas), įrengiant pėsčiųjų (dviračių) taką. Įrengtų dviračių ir pėsčiųjų takų km) </w:t>
                        </w:r>
                        <w:r>
                          <w:rPr>
                            <w:szCs w:val="24"/>
                          </w:rPr>
                          <w:t>(SVP 4-1-2-49)</w:t>
                        </w:r>
                      </w:p>
                    </w:tc>
                    <w:tc>
                      <w:tcPr>
                        <w:tcW w:w="851" w:type="dxa"/>
                      </w:tcPr>
                      <w:p>
                        <w:pPr>
                          <w:rPr>
                            <w:iCs/>
                            <w:color w:val="000000"/>
                            <w:szCs w:val="24"/>
                          </w:rPr>
                        </w:pPr>
                        <w:r>
                          <w:rPr>
                            <w:bCs/>
                            <w:szCs w:val="24"/>
                          </w:rPr>
                          <w:t>0,6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24 SB</w:t>
                        </w:r>
                      </w:p>
                    </w:tc>
                    <w:tc>
                      <w:tcPr>
                        <w:tcW w:w="993" w:type="dxa"/>
                      </w:tcPr>
                      <w:p>
                        <w:pPr>
                          <w:rPr>
                            <w:iCs/>
                            <w:color w:val="000000"/>
                            <w:szCs w:val="24"/>
                          </w:rPr>
                        </w:pPr>
                        <w:r>
                          <w:rPr>
                            <w:iCs/>
                            <w:szCs w:val="24"/>
                          </w:rPr>
                          <w:t>0</w:t>
                        </w:r>
                      </w:p>
                    </w:tc>
                    <w:tc>
                      <w:tcPr>
                        <w:tcW w:w="5528" w:type="dxa"/>
                      </w:tcPr>
                      <w:p>
                        <w:pPr>
                          <w:rPr>
                            <w:szCs w:val="24"/>
                          </w:rPr>
                        </w:pPr>
                        <w:r>
                          <w:rPr>
                            <w:szCs w:val="24"/>
                          </w:rPr>
                          <w:t>Nepateko į 2025 m. prioritetinių objektų sąrašą.</w:t>
                        </w:r>
                      </w:p>
                      <w:p>
                        <w:pPr>
                          <w:rPr>
                            <w:iCs/>
                            <w:szCs w:val="24"/>
                            <w:highlight w:val="yellow"/>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10.1.1.19. Vietinės reikšmės kelio RD0021 privažiavimui prie kareivinių nuo kelio A9, sutampančio su Linkaičių g. Karčemų k. Radviliškio r. sav., ruožo nuo 0,0 km iki 1,16 km rekonstravimas (kapitalinis remontas). (Rekonstruotų vietinės reikšmės kelių kilometrais)</w:t>
                        </w:r>
                        <w:r>
                          <w:rPr>
                            <w:i/>
                            <w:iCs/>
                            <w:szCs w:val="24"/>
                          </w:rPr>
                          <w:t xml:space="preserve"> </w:t>
                        </w:r>
                        <w:r>
                          <w:rPr>
                            <w:szCs w:val="24"/>
                          </w:rPr>
                          <w:t>(SVP 4-1-2-51).</w:t>
                        </w:r>
                      </w:p>
                    </w:tc>
                    <w:tc>
                      <w:tcPr>
                        <w:tcW w:w="851" w:type="dxa"/>
                      </w:tcPr>
                      <w:p>
                        <w:pPr>
                          <w:rPr>
                            <w:iCs/>
                            <w:color w:val="000000"/>
                            <w:szCs w:val="24"/>
                          </w:rPr>
                        </w:pPr>
                        <w:r>
                          <w:rPr>
                            <w:bCs/>
                            <w:szCs w:val="24"/>
                          </w:rPr>
                          <w:t>0,60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Cs/>
                            <w:szCs w:val="24"/>
                          </w:rPr>
                          <w:t>1,1 km</w:t>
                        </w:r>
                      </w:p>
                    </w:tc>
                    <w:tc>
                      <w:tcPr>
                        <w:tcW w:w="992" w:type="dxa"/>
                      </w:tcPr>
                      <w:p>
                        <w:pPr>
                          <w:rPr>
                            <w:color w:val="000000"/>
                            <w:szCs w:val="24"/>
                          </w:rPr>
                        </w:pPr>
                        <w:r>
                          <w:rPr>
                            <w:szCs w:val="24"/>
                          </w:rPr>
                          <w:t>971 VB</w:t>
                        </w:r>
                      </w:p>
                    </w:tc>
                    <w:tc>
                      <w:tcPr>
                        <w:tcW w:w="993" w:type="dxa"/>
                      </w:tcPr>
                      <w:p>
                        <w:pPr>
                          <w:rPr>
                            <w:iCs/>
                            <w:szCs w:val="24"/>
                          </w:rPr>
                        </w:pPr>
                        <w:r>
                          <w:rPr>
                            <w:iCs/>
                            <w:szCs w:val="24"/>
                          </w:rPr>
                          <w:t>40 SB</w:t>
                        </w:r>
                      </w:p>
                      <w:p>
                        <w:pPr>
                          <w:rPr>
                            <w:color w:val="000000"/>
                            <w:szCs w:val="24"/>
                          </w:rPr>
                        </w:pPr>
                        <w:r>
                          <w:rPr>
                            <w:iCs/>
                            <w:szCs w:val="24"/>
                          </w:rPr>
                          <w:t>909,1 VB</w:t>
                        </w:r>
                      </w:p>
                    </w:tc>
                    <w:tc>
                      <w:tcPr>
                        <w:tcW w:w="5528" w:type="dxa"/>
                      </w:tcPr>
                      <w:p>
                        <w:pPr>
                          <w:rPr>
                            <w:szCs w:val="24"/>
                          </w:rPr>
                        </w:pPr>
                        <w:r>
                          <w:rPr>
                            <w:szCs w:val="24"/>
                          </w:rPr>
                          <w:t>Darbai baigti.</w:t>
                        </w:r>
                      </w:p>
                      <w:p>
                        <w:pPr>
                          <w:rPr>
                            <w:szCs w:val="24"/>
                          </w:rPr>
                        </w:pPr>
                        <w:r>
                          <w:rPr>
                            <w:szCs w:val="24"/>
                          </w:rPr>
                          <w:t>(Statybos ir viešosios tvarkos skyrius)</w:t>
                        </w:r>
                      </w:p>
                    </w:tc>
                  </w:tr>
                  <w:tr>
                    <w:trPr>
                      <w:trHeight w:val="1333"/>
                    </w:trPr>
                    <w:tc>
                      <w:tcPr>
                        <w:tcW w:w="4395" w:type="dxa"/>
                      </w:tcPr>
                      <w:p>
                        <w:pPr>
                          <w:tabs>
                            <w:tab w:val="left" w:pos="881"/>
                          </w:tabs>
                          <w:ind w:left="30"/>
                          <w:rPr>
                            <w:bCs/>
                            <w:szCs w:val="24"/>
                          </w:rPr>
                        </w:pPr>
                        <w:r>
                          <w:rPr>
                            <w:bCs/>
                            <w:szCs w:val="24"/>
                          </w:rPr>
                          <w:t>10.1.1.20.vietinės reikšmės kelių: RD1001 Baisogala–Moralinė, RD0635 Biliūnai–Augmėnai rekonstravimas.</w:t>
                        </w:r>
                      </w:p>
                      <w:p>
                        <w:pPr>
                          <w:tabs>
                            <w:tab w:val="left" w:pos="881"/>
                          </w:tabs>
                          <w:ind w:left="30"/>
                          <w:rPr>
                            <w:i/>
                            <w:iCs/>
                            <w:szCs w:val="24"/>
                          </w:rPr>
                        </w:pPr>
                        <w:r>
                          <w:rPr>
                            <w:bCs/>
                            <w:szCs w:val="24"/>
                          </w:rPr>
                          <w:t>(Rekonstruotų vietinės reikšmės kelių kilometrais)</w:t>
                        </w:r>
                        <w:r>
                          <w:rPr>
                            <w:szCs w:val="24"/>
                          </w:rPr>
                          <w:t xml:space="preserve"> (SVP 4-1-2-56)</w:t>
                        </w:r>
                      </w:p>
                    </w:tc>
                    <w:tc>
                      <w:tcPr>
                        <w:tcW w:w="851" w:type="dxa"/>
                      </w:tcPr>
                      <w:p>
                        <w:pPr>
                          <w:rPr>
                            <w:iCs/>
                            <w:color w:val="000000"/>
                            <w:szCs w:val="24"/>
                          </w:rPr>
                        </w:pPr>
                        <w:r>
                          <w:rPr>
                            <w:bCs/>
                            <w:szCs w:val="24"/>
                          </w:rPr>
                          <w:t>5,9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48 SB</w:t>
                        </w:r>
                      </w:p>
                    </w:tc>
                    <w:tc>
                      <w:tcPr>
                        <w:tcW w:w="993" w:type="dxa"/>
                      </w:tcPr>
                      <w:p>
                        <w:pPr>
                          <w:rPr>
                            <w:iCs/>
                            <w:color w:val="000000"/>
                            <w:szCs w:val="24"/>
                          </w:rPr>
                        </w:pPr>
                        <w:r>
                          <w:rPr>
                            <w:iCs/>
                            <w:szCs w:val="24"/>
                          </w:rPr>
                          <w:t>300 VB</w:t>
                        </w:r>
                      </w:p>
                    </w:tc>
                    <w:tc>
                      <w:tcPr>
                        <w:tcW w:w="5528" w:type="dxa"/>
                      </w:tcPr>
                      <w:p>
                        <w:pPr>
                          <w:rPr>
                            <w:iCs/>
                            <w:szCs w:val="24"/>
                          </w:rPr>
                        </w:pPr>
                        <w:r>
                          <w:rPr>
                            <w:iCs/>
                            <w:szCs w:val="24"/>
                          </w:rPr>
                          <w:t>Parengti techniniai darbo projektai EIM lėšomis</w:t>
                        </w:r>
                      </w:p>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10.1.1.21.vietinės reikšmės kelio RD1215 privažiavimas prie Dariaus ir Girėno gatvės RD8002, nuo kelio A9, kapitalinis remontas.(Rekonstruotų vietinės reikšmės kelių kilometrais)</w:t>
                        </w:r>
                        <w:r>
                          <w:rPr>
                            <w:i/>
                            <w:iCs/>
                            <w:szCs w:val="24"/>
                          </w:rPr>
                          <w:t xml:space="preserve"> </w:t>
                        </w:r>
                        <w:r>
                          <w:rPr>
                            <w:szCs w:val="24"/>
                          </w:rPr>
                          <w:t>(SVP 4-1-2-57)</w:t>
                        </w:r>
                      </w:p>
                    </w:tc>
                    <w:tc>
                      <w:tcPr>
                        <w:tcW w:w="851" w:type="dxa"/>
                      </w:tcPr>
                      <w:p>
                        <w:pPr>
                          <w:rPr>
                            <w:iCs/>
                            <w:color w:val="000000"/>
                            <w:szCs w:val="24"/>
                          </w:rPr>
                        </w:pPr>
                        <w:r>
                          <w:rPr>
                            <w:bCs/>
                            <w:szCs w:val="24"/>
                          </w:rPr>
                          <w:t>0,46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36 SB</w:t>
                        </w:r>
                      </w:p>
                    </w:tc>
                    <w:tc>
                      <w:tcPr>
                        <w:tcW w:w="993" w:type="dxa"/>
                      </w:tcPr>
                      <w:p>
                        <w:pPr>
                          <w:rPr>
                            <w:iCs/>
                            <w:color w:val="000000"/>
                            <w:szCs w:val="24"/>
                            <w:highlight w:val="yellow"/>
                          </w:rPr>
                        </w:pPr>
                        <w:r>
                          <w:rPr>
                            <w:iCs/>
                            <w:szCs w:val="24"/>
                          </w:rPr>
                          <w:t>0</w:t>
                        </w:r>
                      </w:p>
                    </w:tc>
                    <w:tc>
                      <w:tcPr>
                        <w:tcW w:w="5528" w:type="dxa"/>
                      </w:tcPr>
                      <w:p>
                        <w:pPr>
                          <w:rPr>
                            <w:szCs w:val="24"/>
                          </w:rPr>
                        </w:pPr>
                        <w:r>
                          <w:rPr>
                            <w:szCs w:val="24"/>
                          </w:rPr>
                          <w:t>Nepateko į 2025 m. prioritetinių objektų sąrašą.</w:t>
                        </w:r>
                      </w:p>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10.1.1.22. Šeduvos m. Kėdainių, Panevėžio g. pėsčiųjų takų atnaujinimas.</w:t>
                        </w:r>
                      </w:p>
                      <w:p>
                        <w:pPr>
                          <w:tabs>
                            <w:tab w:val="left" w:pos="881"/>
                          </w:tabs>
                          <w:ind w:left="30"/>
                          <w:rPr>
                            <w:bCs/>
                            <w:szCs w:val="24"/>
                          </w:rPr>
                        </w:pPr>
                        <w:r>
                          <w:rPr>
                            <w:bCs/>
                            <w:szCs w:val="24"/>
                          </w:rPr>
                          <w:t xml:space="preserve">(Atnaujintų dviračių ir pėsčiųjų takų km). </w:t>
                        </w:r>
                      </w:p>
                      <w:p>
                        <w:pPr>
                          <w:rPr>
                            <w:bCs/>
                            <w:szCs w:val="24"/>
                          </w:rPr>
                        </w:pPr>
                        <w:r>
                          <w:rPr>
                            <w:szCs w:val="24"/>
                          </w:rPr>
                          <w:t>(SVP 4-1-2-58)</w:t>
                        </w:r>
                      </w:p>
                    </w:tc>
                    <w:tc>
                      <w:tcPr>
                        <w:tcW w:w="851" w:type="dxa"/>
                      </w:tcPr>
                      <w:p>
                        <w:pPr>
                          <w:rPr>
                            <w:iCs/>
                            <w:color w:val="000000"/>
                            <w:szCs w:val="24"/>
                          </w:rPr>
                        </w:pPr>
                        <w:r>
                          <w:rPr>
                            <w:bCs/>
                            <w:szCs w:val="24"/>
                          </w:rPr>
                          <w:t>0,50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64 SB</w:t>
                        </w:r>
                      </w:p>
                    </w:tc>
                    <w:tc>
                      <w:tcPr>
                        <w:tcW w:w="993" w:type="dxa"/>
                      </w:tcPr>
                      <w:p>
                        <w:pPr>
                          <w:rPr>
                            <w:iCs/>
                            <w:color w:val="000000"/>
                            <w:szCs w:val="24"/>
                          </w:rPr>
                        </w:pPr>
                        <w:r>
                          <w:rPr>
                            <w:iCs/>
                            <w:szCs w:val="24"/>
                          </w:rPr>
                          <w:t>12 SB</w:t>
                        </w:r>
                      </w:p>
                    </w:tc>
                    <w:tc>
                      <w:tcPr>
                        <w:tcW w:w="5528" w:type="dxa"/>
                      </w:tcPr>
                      <w:p>
                        <w:pPr>
                          <w:rPr>
                            <w:iCs/>
                            <w:szCs w:val="24"/>
                          </w:rPr>
                        </w:pPr>
                        <w:r>
                          <w:rPr>
                            <w:iCs/>
                            <w:szCs w:val="24"/>
                          </w:rPr>
                          <w:t>Rengiami techniniai darbo projektai</w:t>
                        </w:r>
                      </w:p>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10.1.1.23. Pėsčiųjų ir dviračių takų plėtra Šeduvos m. (Parengtas techninis darbo projektas). (</w:t>
                        </w:r>
                        <w:r>
                          <w:rPr>
                            <w:szCs w:val="24"/>
                          </w:rPr>
                          <w:t>SVP 4-1-2-59)</w:t>
                        </w:r>
                      </w:p>
                    </w:tc>
                    <w:tc>
                      <w:tcPr>
                        <w:tcW w:w="851" w:type="dxa"/>
                      </w:tcPr>
                      <w:p>
                        <w:pPr>
                          <w:rPr>
                            <w:iCs/>
                            <w:color w:val="000000"/>
                            <w:szCs w:val="24"/>
                          </w:rPr>
                        </w:pPr>
                        <w:r>
                          <w:rPr>
                            <w:bCs/>
                            <w:szCs w:val="24"/>
                          </w:rPr>
                          <w:t>1 vnt.</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64 SB</w:t>
                        </w:r>
                      </w:p>
                    </w:tc>
                    <w:tc>
                      <w:tcPr>
                        <w:tcW w:w="993" w:type="dxa"/>
                      </w:tcPr>
                      <w:p>
                        <w:pPr>
                          <w:rPr>
                            <w:iCs/>
                            <w:color w:val="000000"/>
                            <w:szCs w:val="24"/>
                          </w:rPr>
                        </w:pPr>
                        <w:r>
                          <w:rPr>
                            <w:iCs/>
                            <w:szCs w:val="24"/>
                          </w:rPr>
                          <w:t>0</w:t>
                        </w:r>
                      </w:p>
                    </w:tc>
                    <w:tc>
                      <w:tcPr>
                        <w:tcW w:w="5528" w:type="dxa"/>
                      </w:tcPr>
                      <w:p>
                        <w:pPr>
                          <w:rPr>
                            <w:iCs/>
                            <w:szCs w:val="24"/>
                          </w:rPr>
                        </w:pPr>
                        <w:r>
                          <w:rPr>
                            <w:iCs/>
                            <w:szCs w:val="24"/>
                          </w:rPr>
                          <w:t>Rengiamas techninis darbo projektas</w:t>
                        </w:r>
                      </w:p>
                      <w:p>
                        <w:pPr>
                          <w:rPr>
                            <w:iCs/>
                            <w:szCs w:val="24"/>
                          </w:rPr>
                        </w:pPr>
                        <w:r>
                          <w:rPr>
                            <w:iCs/>
                            <w:szCs w:val="24"/>
                          </w:rPr>
                          <w:t>(Statybos ir viešosios tvarkos skyrius)</w:t>
                        </w:r>
                      </w:p>
                    </w:tc>
                  </w:tr>
                  <w:tr>
                    <w:trPr>
                      <w:trHeight w:val="365"/>
                    </w:trPr>
                    <w:tc>
                      <w:tcPr>
                        <w:tcW w:w="4395" w:type="dxa"/>
                      </w:tcPr>
                      <w:p>
                        <w:pPr>
                          <w:rPr>
                            <w:bCs/>
                            <w:szCs w:val="24"/>
                          </w:rPr>
                        </w:pPr>
                        <w:r>
                          <w:rPr>
                            <w:bCs/>
                            <w:szCs w:val="24"/>
                          </w:rPr>
                          <w:t>10.1.1.24. Vietinės reikšmės kelio RD0241, privažiavimas prie dvaro nuo kelio RD0239, kapitalinis remontas, įrengiant automobilių stovėjimo aikšteles (Parengtas techninis darbo projektas)</w:t>
                        </w:r>
                        <w:r>
                          <w:rPr>
                            <w:i/>
                            <w:iCs/>
                            <w:szCs w:val="24"/>
                          </w:rPr>
                          <w:t xml:space="preserve"> </w:t>
                        </w:r>
                        <w:r>
                          <w:rPr>
                            <w:szCs w:val="24"/>
                          </w:rPr>
                          <w:t>(SVP 4-1-2-60).</w:t>
                        </w:r>
                      </w:p>
                    </w:tc>
                    <w:tc>
                      <w:tcPr>
                        <w:tcW w:w="851" w:type="dxa"/>
                      </w:tcPr>
                      <w:p>
                        <w:pPr>
                          <w:rPr>
                            <w:iCs/>
                            <w:color w:val="000000"/>
                            <w:szCs w:val="24"/>
                          </w:rPr>
                        </w:pPr>
                        <w:r>
                          <w:rPr>
                            <w:bCs/>
                            <w:szCs w:val="24"/>
                          </w:rPr>
                          <w:t>1 vnt.</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
                            <w:szCs w:val="24"/>
                          </w:rPr>
                          <w:t>-</w:t>
                        </w:r>
                      </w:p>
                    </w:tc>
                    <w:tc>
                      <w:tcPr>
                        <w:tcW w:w="992" w:type="dxa"/>
                      </w:tcPr>
                      <w:p>
                        <w:pPr>
                          <w:rPr>
                            <w:color w:val="000000"/>
                            <w:szCs w:val="24"/>
                          </w:rPr>
                        </w:pPr>
                        <w:r>
                          <w:rPr>
                            <w:szCs w:val="24"/>
                          </w:rPr>
                          <w:t>36 SB</w:t>
                        </w:r>
                      </w:p>
                    </w:tc>
                    <w:tc>
                      <w:tcPr>
                        <w:tcW w:w="993" w:type="dxa"/>
                      </w:tcPr>
                      <w:p>
                        <w:pPr>
                          <w:rPr>
                            <w:iCs/>
                            <w:color w:val="000000"/>
                            <w:szCs w:val="24"/>
                          </w:rPr>
                        </w:pPr>
                        <w:r>
                          <w:rPr>
                            <w:iCs/>
                            <w:szCs w:val="24"/>
                          </w:rPr>
                          <w:t>0</w:t>
                        </w:r>
                      </w:p>
                    </w:tc>
                    <w:tc>
                      <w:tcPr>
                        <w:tcW w:w="5528" w:type="dxa"/>
                      </w:tcPr>
                      <w:p>
                        <w:pPr>
                          <w:rPr>
                            <w:iCs/>
                            <w:szCs w:val="24"/>
                          </w:rPr>
                        </w:pPr>
                        <w:r>
                          <w:rPr>
                            <w:iCs/>
                            <w:szCs w:val="24"/>
                          </w:rPr>
                          <w:t>Kelio remontas ir aikštelių įrengimas perkeltas į Daugyvenės kultūros istorijos muziejaus-draustinio įgyvendinamą projektą.</w:t>
                        </w:r>
                      </w:p>
                      <w:p>
                        <w:pPr>
                          <w:rPr>
                            <w:iCs/>
                            <w:szCs w:val="24"/>
                          </w:rPr>
                        </w:pPr>
                        <w:r>
                          <w:rPr>
                            <w:iCs/>
                            <w:szCs w:val="24"/>
                          </w:rPr>
                          <w:t>(Statybos ir viešosios tvarkos skyrius)</w:t>
                        </w:r>
                      </w:p>
                    </w:tc>
                  </w:tr>
                  <w:tr>
                    <w:trPr>
                      <w:trHeight w:val="365"/>
                    </w:trPr>
                    <w:tc>
                      <w:tcPr>
                        <w:tcW w:w="4395" w:type="dxa"/>
                      </w:tcPr>
                      <w:p>
                        <w:pPr>
                          <w:tabs>
                            <w:tab w:val="left" w:pos="881"/>
                          </w:tabs>
                          <w:ind w:left="30"/>
                          <w:rPr>
                            <w:bCs/>
                            <w:szCs w:val="24"/>
                          </w:rPr>
                        </w:pPr>
                        <w:r>
                          <w:rPr>
                            <w:bCs/>
                            <w:szCs w:val="24"/>
                          </w:rPr>
                          <w:t xml:space="preserve">10.1.1.25.Savivaldybės prisidėjimui pagal bendradarbiavimo sutartis su AB „Via Lietuva“. (Įrengta dviračių ir pėsčiųjų takų km) </w:t>
                        </w:r>
                        <w:r>
                          <w:rPr>
                            <w:szCs w:val="24"/>
                          </w:rPr>
                          <w:t>(SVP 4-1-2-62).</w:t>
                        </w:r>
                      </w:p>
                    </w:tc>
                    <w:tc>
                      <w:tcPr>
                        <w:tcW w:w="851" w:type="dxa"/>
                      </w:tcPr>
                      <w:p>
                        <w:pPr>
                          <w:rPr>
                            <w:iCs/>
                            <w:color w:val="000000"/>
                            <w:szCs w:val="24"/>
                          </w:rPr>
                        </w:pPr>
                        <w:r>
                          <w:rPr>
                            <w:bCs/>
                            <w:szCs w:val="24"/>
                          </w:rPr>
                          <w:t>0,8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color w:val="000000"/>
                            <w:szCs w:val="24"/>
                          </w:rPr>
                        </w:pPr>
                        <w:r>
                          <w:rPr>
                            <w:iCs/>
                            <w:szCs w:val="24"/>
                          </w:rPr>
                          <w:t>0,8 km</w:t>
                        </w:r>
                      </w:p>
                    </w:tc>
                    <w:tc>
                      <w:tcPr>
                        <w:tcW w:w="992" w:type="dxa"/>
                      </w:tcPr>
                      <w:p>
                        <w:pPr>
                          <w:rPr>
                            <w:color w:val="000000"/>
                            <w:szCs w:val="24"/>
                          </w:rPr>
                        </w:pPr>
                        <w:r>
                          <w:rPr>
                            <w:szCs w:val="24"/>
                          </w:rPr>
                          <w:t>300 SB</w:t>
                        </w:r>
                      </w:p>
                    </w:tc>
                    <w:tc>
                      <w:tcPr>
                        <w:tcW w:w="993" w:type="dxa"/>
                      </w:tcPr>
                      <w:p>
                        <w:pPr>
                          <w:rPr>
                            <w:color w:val="000000"/>
                            <w:szCs w:val="24"/>
                          </w:rPr>
                        </w:pPr>
                        <w:r>
                          <w:rPr>
                            <w:szCs w:val="24"/>
                          </w:rPr>
                          <w:t>420 SB</w:t>
                        </w:r>
                      </w:p>
                    </w:tc>
                    <w:tc>
                      <w:tcPr>
                        <w:tcW w:w="5528" w:type="dxa"/>
                      </w:tcPr>
                      <w:p>
                        <w:pPr>
                          <w:rPr>
                            <w:szCs w:val="24"/>
                          </w:rPr>
                        </w:pPr>
                        <w:r>
                          <w:rPr>
                            <w:szCs w:val="24"/>
                          </w:rPr>
                          <w:t xml:space="preserve">Valstybinės reikšmės krašto kelio Nr. 212 Radviliškis–Pakruojis ruožo 1,500-5,470 km </w:t>
                        </w:r>
                        <w:r>
                          <w:rPr>
                            <w:bCs/>
                            <w:szCs w:val="24"/>
                          </w:rPr>
                          <w:t xml:space="preserve">dviračių ir pėsčiųjų </w:t>
                        </w:r>
                        <w:r>
                          <w:rPr>
                            <w:szCs w:val="24"/>
                          </w:rPr>
                          <w:t>takas ir magistralinio kelio A9 Panevėžys–Šiauliai apšvietimo ruože nuo 54,935 iki 59,54 km požeminio elektros tinklo taisymas. (Statybos ir viešosios tvarkos skyrius)</w:t>
                        </w:r>
                      </w:p>
                    </w:tc>
                  </w:tr>
                  <w:tr>
                    <w:trPr>
                      <w:trHeight w:val="108"/>
                    </w:trPr>
                    <w:tc>
                      <w:tcPr>
                        <w:tcW w:w="15310" w:type="dxa"/>
                        <w:gridSpan w:val="8"/>
                      </w:tcPr>
                      <w:p>
                        <w:pPr>
                          <w:rPr>
                            <w:color w:val="000000"/>
                            <w:szCs w:val="24"/>
                          </w:rPr>
                        </w:pPr>
                        <w:r>
                          <w:rPr>
                            <w:color w:val="000000"/>
                            <w:szCs w:val="24"/>
                          </w:rPr>
                          <w:t>1.3. Uždavinys: Modernizuoti ir išplėsti rajono savivaldybės inžinerinę infrastruktūrą, užtikrinti patrauklią gyvenamąją aplinką</w:t>
                        </w:r>
                      </w:p>
                    </w:tc>
                  </w:tr>
                  <w:tr>
                    <w:trPr>
                      <w:trHeight w:val="616"/>
                    </w:trPr>
                    <w:tc>
                      <w:tcPr>
                        <w:tcW w:w="4395" w:type="dxa"/>
                      </w:tcPr>
                      <w:p>
                        <w:pPr>
                          <w:tabs>
                            <w:tab w:val="left" w:pos="825"/>
                          </w:tabs>
                          <w:rPr>
                            <w:szCs w:val="24"/>
                          </w:rPr>
                        </w:pPr>
                        <w:r>
                          <w:rPr>
                            <w:szCs w:val="24"/>
                          </w:rPr>
                          <w:t xml:space="preserve">10.1.2.1. Tęstinė techninių projektų rengimo, koregavimo, statinių ir projektų ekspertizės, projektų vykdymo priežiūros,  kelių saugumo audito, statinio statybos techninės priežiūros, kadastrinių matavimų ir kitų panašių techninių inžinerinių paslaugų veikla. (Parengtų techninių projektų skaičius)</w:t>
                        </w:r>
                        <w:r>
                          <w:rPr>
                            <w:i/>
                            <w:iCs/>
                            <w:szCs w:val="24"/>
                          </w:rPr>
                          <w:t xml:space="preserve"> </w:t>
                        </w:r>
                        <w:r>
                          <w:rPr>
                            <w:szCs w:val="24"/>
                          </w:rPr>
                          <w:t>(SVP 4-1-3-2).</w:t>
                        </w:r>
                      </w:p>
                    </w:tc>
                    <w:tc>
                      <w:tcPr>
                        <w:tcW w:w="851" w:type="dxa"/>
                      </w:tcPr>
                      <w:p>
                        <w:pPr>
                          <w:rPr>
                            <w:iCs/>
                            <w:color w:val="808080"/>
                            <w:szCs w:val="24"/>
                          </w:rPr>
                        </w:pPr>
                        <w:r>
                          <w:rPr>
                            <w:szCs w:val="24"/>
                          </w:rPr>
                          <w:t>3 vnt.</w:t>
                        </w:r>
                      </w:p>
                    </w:tc>
                    <w:tc>
                      <w:tcPr>
                        <w:tcW w:w="850" w:type="dxa"/>
                      </w:tcPr>
                      <w:p>
                        <w:pPr>
                          <w:rPr>
                            <w:i/>
                            <w:color w:val="808080"/>
                            <w:szCs w:val="24"/>
                          </w:rPr>
                        </w:pPr>
                        <w:r>
                          <w:rPr>
                            <w:i/>
                            <w:szCs w:val="24"/>
                          </w:rPr>
                          <w:t>-</w:t>
                        </w:r>
                      </w:p>
                    </w:tc>
                    <w:tc>
                      <w:tcPr>
                        <w:tcW w:w="851" w:type="dxa"/>
                      </w:tcPr>
                      <w:p>
                        <w:pPr>
                          <w:rPr>
                            <w:i/>
                            <w:color w:val="808080"/>
                            <w:szCs w:val="24"/>
                          </w:rPr>
                        </w:pPr>
                        <w:r>
                          <w:rPr>
                            <w:i/>
                            <w:szCs w:val="24"/>
                          </w:rPr>
                          <w:t>-</w:t>
                        </w:r>
                      </w:p>
                    </w:tc>
                    <w:tc>
                      <w:tcPr>
                        <w:tcW w:w="850" w:type="dxa"/>
                      </w:tcPr>
                      <w:p>
                        <w:pPr>
                          <w:rPr>
                            <w:iCs/>
                            <w:color w:val="808080"/>
                            <w:szCs w:val="24"/>
                          </w:rPr>
                        </w:pPr>
                        <w:r>
                          <w:rPr>
                            <w:iCs/>
                            <w:szCs w:val="24"/>
                          </w:rPr>
                          <w:t>3 vnt.</w:t>
                        </w:r>
                      </w:p>
                    </w:tc>
                    <w:tc>
                      <w:tcPr>
                        <w:tcW w:w="992" w:type="dxa"/>
                      </w:tcPr>
                      <w:p>
                        <w:pPr>
                          <w:rPr>
                            <w:iCs/>
                            <w:color w:val="808080"/>
                            <w:szCs w:val="24"/>
                          </w:rPr>
                        </w:pPr>
                        <w:r>
                          <w:rPr>
                            <w:szCs w:val="24"/>
                          </w:rPr>
                          <w:t>128,4 SB</w:t>
                        </w:r>
                      </w:p>
                    </w:tc>
                    <w:tc>
                      <w:tcPr>
                        <w:tcW w:w="993" w:type="dxa"/>
                      </w:tcPr>
                      <w:p>
                        <w:pPr>
                          <w:rPr>
                            <w:iCs/>
                            <w:color w:val="808080"/>
                            <w:szCs w:val="24"/>
                          </w:rPr>
                        </w:pPr>
                        <w:r>
                          <w:rPr>
                            <w:iCs/>
                            <w:szCs w:val="24"/>
                          </w:rPr>
                          <w:t>174 SB</w:t>
                        </w:r>
                      </w:p>
                    </w:tc>
                    <w:tc>
                      <w:tcPr>
                        <w:tcW w:w="5528" w:type="dxa"/>
                      </w:tcPr>
                      <w:p>
                        <w:pPr>
                          <w:rPr>
                            <w:iCs/>
                            <w:szCs w:val="24"/>
                          </w:rPr>
                        </w:pPr>
                        <w:r>
                          <w:rPr>
                            <w:szCs w:val="24"/>
                          </w:rPr>
                          <w:t>(Statybos ir viešosios tvarkos skyrius)</w:t>
                        </w:r>
                      </w:p>
                    </w:tc>
                  </w:tr>
                  <w:tr>
                    <w:trPr>
                      <w:trHeight w:val="616"/>
                    </w:trPr>
                    <w:tc>
                      <w:tcPr>
                        <w:tcW w:w="4395" w:type="dxa"/>
                      </w:tcPr>
                      <w:p>
                        <w:pPr>
                          <w:tabs>
                            <w:tab w:val="left" w:pos="825"/>
                          </w:tabs>
                          <w:rPr>
                            <w:szCs w:val="24"/>
                          </w:rPr>
                        </w:pPr>
                        <w:r>
                          <w:rPr>
                            <w:szCs w:val="24"/>
                          </w:rPr>
                          <w:t>10.1.2.2. Tekstilės atliekų surinkimo konteinerių plėtra Radviliškio rajone.</w:t>
                        </w:r>
                      </w:p>
                      <w:p>
                        <w:pPr>
                          <w:rPr>
                            <w:szCs w:val="24"/>
                          </w:rPr>
                        </w:pPr>
                        <w:r>
                          <w:rPr>
                            <w:szCs w:val="24"/>
                          </w:rPr>
                          <w:t>(Įsigyta tekstilės atliekų surinkimo konteinerių) (SVP 4-1-3-10).</w:t>
                        </w:r>
                      </w:p>
                    </w:tc>
                    <w:tc>
                      <w:tcPr>
                        <w:tcW w:w="851" w:type="dxa"/>
                      </w:tcPr>
                      <w:p>
                        <w:pPr>
                          <w:rPr>
                            <w:iCs/>
                            <w:color w:val="808080"/>
                            <w:szCs w:val="24"/>
                          </w:rPr>
                        </w:pPr>
                        <w:r>
                          <w:rPr>
                            <w:szCs w:val="24"/>
                          </w:rPr>
                          <w:t>10 vnt.</w:t>
                        </w:r>
                      </w:p>
                    </w:tc>
                    <w:tc>
                      <w:tcPr>
                        <w:tcW w:w="850" w:type="dxa"/>
                      </w:tcPr>
                      <w:p>
                        <w:pPr>
                          <w:rPr>
                            <w:i/>
                            <w:color w:val="808080"/>
                            <w:szCs w:val="24"/>
                          </w:rPr>
                        </w:pPr>
                        <w:r>
                          <w:rPr>
                            <w:i/>
                            <w:szCs w:val="24"/>
                          </w:rPr>
                          <w:t>-</w:t>
                        </w:r>
                      </w:p>
                    </w:tc>
                    <w:tc>
                      <w:tcPr>
                        <w:tcW w:w="851" w:type="dxa"/>
                      </w:tcPr>
                      <w:p>
                        <w:pPr>
                          <w:rPr>
                            <w:iCs/>
                            <w:color w:val="808080"/>
                            <w:szCs w:val="24"/>
                          </w:rPr>
                        </w:pPr>
                        <w:r>
                          <w:rPr>
                            <w:iCs/>
                            <w:szCs w:val="24"/>
                          </w:rPr>
                          <w:t>-</w:t>
                        </w:r>
                      </w:p>
                    </w:tc>
                    <w:tc>
                      <w:tcPr>
                        <w:tcW w:w="850" w:type="dxa"/>
                      </w:tcPr>
                      <w:p>
                        <w:pPr>
                          <w:rPr>
                            <w:iCs/>
                            <w:color w:val="808080"/>
                            <w:szCs w:val="24"/>
                          </w:rPr>
                        </w:pPr>
                        <w:r>
                          <w:rPr>
                            <w:iCs/>
                            <w:szCs w:val="24"/>
                          </w:rPr>
                          <w:t>7 vnt.</w:t>
                        </w:r>
                      </w:p>
                    </w:tc>
                    <w:tc>
                      <w:tcPr>
                        <w:tcW w:w="992" w:type="dxa"/>
                      </w:tcPr>
                      <w:p>
                        <w:pPr>
                          <w:rPr>
                            <w:iCs/>
                            <w:color w:val="808080"/>
                            <w:szCs w:val="24"/>
                          </w:rPr>
                        </w:pPr>
                        <w:r>
                          <w:rPr>
                            <w:iCs/>
                            <w:szCs w:val="24"/>
                          </w:rPr>
                          <w:t>15 SB</w:t>
                        </w:r>
                      </w:p>
                    </w:tc>
                    <w:tc>
                      <w:tcPr>
                        <w:tcW w:w="993" w:type="dxa"/>
                      </w:tcPr>
                      <w:p>
                        <w:pPr>
                          <w:rPr>
                            <w:iCs/>
                            <w:color w:val="808080"/>
                            <w:szCs w:val="24"/>
                          </w:rPr>
                        </w:pPr>
                        <w:r>
                          <w:rPr>
                            <w:iCs/>
                            <w:szCs w:val="24"/>
                          </w:rPr>
                          <w:t>6,65 SB</w:t>
                        </w:r>
                      </w:p>
                    </w:tc>
                    <w:tc>
                      <w:tcPr>
                        <w:tcW w:w="5528" w:type="dxa"/>
                      </w:tcPr>
                      <w:p>
                        <w:pPr>
                          <w:rPr>
                            <w:szCs w:val="24"/>
                          </w:rPr>
                        </w:pPr>
                        <w:r>
                          <w:rPr>
                            <w:szCs w:val="24"/>
                          </w:rPr>
                          <w:t>Vykdoma tekstilės atliekų surinkimo konteinerių tinklo plėtra Radviliškio ir Šeduvos miestuose bei Baisogalos miestelyje. Minimalūs poreikiai patenkinti.</w:t>
                        </w:r>
                      </w:p>
                      <w:p>
                        <w:pPr>
                          <w:rPr>
                            <w:iCs/>
                            <w:szCs w:val="24"/>
                          </w:rPr>
                        </w:pPr>
                        <w:r>
                          <w:rPr>
                            <w:szCs w:val="24"/>
                          </w:rPr>
                          <w:t>(Statybos ir viešosios tvarkos skyrius)</w:t>
                        </w:r>
                      </w:p>
                    </w:tc>
                  </w:tr>
                  <w:tr>
                    <w:trPr>
                      <w:trHeight w:val="616"/>
                    </w:trPr>
                    <w:tc>
                      <w:tcPr>
                        <w:tcW w:w="4395" w:type="dxa"/>
                      </w:tcPr>
                      <w:p>
                        <w:pPr>
                          <w:tabs>
                            <w:tab w:val="left" w:pos="825"/>
                          </w:tabs>
                          <w:rPr>
                            <w:szCs w:val="24"/>
                          </w:rPr>
                        </w:pPr>
                        <w:r>
                          <w:rPr>
                            <w:szCs w:val="24"/>
                          </w:rPr>
                          <w:t>10.1.2.3. Inžinerinių statinių ir inžinerinių tinklų viešoje erdvėje Laisvės alėjoje Radviliškio mieste statyba.</w:t>
                        </w:r>
                      </w:p>
                      <w:p>
                        <w:pPr>
                          <w:rPr>
                            <w:szCs w:val="24"/>
                          </w:rPr>
                        </w:pPr>
                        <w:r>
                          <w:rPr>
                            <w:szCs w:val="24"/>
                          </w:rPr>
                          <w:t>(Objekto statybos baigtumas procentais) (SVP 4-1-3-14).</w:t>
                        </w:r>
                      </w:p>
                    </w:tc>
                    <w:tc>
                      <w:tcPr>
                        <w:tcW w:w="851" w:type="dxa"/>
                      </w:tcPr>
                      <w:p>
                        <w:pPr>
                          <w:rPr>
                            <w:iCs/>
                            <w:color w:val="808080"/>
                            <w:szCs w:val="24"/>
                          </w:rPr>
                        </w:pPr>
                        <w:r>
                          <w:rPr>
                            <w:szCs w:val="24"/>
                          </w:rPr>
                          <w:t>100</w:t>
                        </w:r>
                        <w:r>
                          <w:rPr>
                            <w:szCs w:val="24"/>
                            <w:lang w:val="en-US"/>
                          </w:rPr>
                          <w:t>%</w:t>
                        </w:r>
                      </w:p>
                    </w:tc>
                    <w:tc>
                      <w:tcPr>
                        <w:tcW w:w="850" w:type="dxa"/>
                      </w:tcPr>
                      <w:p>
                        <w:pPr>
                          <w:rPr>
                            <w:i/>
                            <w:color w:val="808080"/>
                            <w:szCs w:val="24"/>
                          </w:rPr>
                        </w:pPr>
                        <w:r>
                          <w:rPr>
                            <w:i/>
                            <w:szCs w:val="24"/>
                          </w:rPr>
                          <w:t>-</w:t>
                        </w:r>
                      </w:p>
                    </w:tc>
                    <w:tc>
                      <w:tcPr>
                        <w:tcW w:w="851" w:type="dxa"/>
                      </w:tcPr>
                      <w:p>
                        <w:pPr>
                          <w:rPr>
                            <w:i/>
                            <w:color w:val="808080"/>
                            <w:szCs w:val="24"/>
                          </w:rPr>
                        </w:pPr>
                        <w:r>
                          <w:rPr>
                            <w:i/>
                            <w:szCs w:val="24"/>
                          </w:rPr>
                          <w:t>-</w:t>
                        </w:r>
                      </w:p>
                    </w:tc>
                    <w:tc>
                      <w:tcPr>
                        <w:tcW w:w="850" w:type="dxa"/>
                      </w:tcPr>
                      <w:p>
                        <w:pPr>
                          <w:rPr>
                            <w:iCs/>
                            <w:color w:val="808080"/>
                            <w:szCs w:val="24"/>
                          </w:rPr>
                        </w:pPr>
                        <w:r>
                          <w:rPr>
                            <w:iCs/>
                            <w:szCs w:val="24"/>
                          </w:rPr>
                          <w:t>100</w:t>
                        </w:r>
                        <w:r>
                          <w:rPr>
                            <w:iCs/>
                            <w:szCs w:val="24"/>
                            <w:lang w:val="en-US"/>
                          </w:rPr>
                          <w:t>%</w:t>
                        </w:r>
                      </w:p>
                    </w:tc>
                    <w:tc>
                      <w:tcPr>
                        <w:tcW w:w="992" w:type="dxa"/>
                      </w:tcPr>
                      <w:p>
                        <w:pPr>
                          <w:rPr>
                            <w:iCs/>
                            <w:color w:val="808080"/>
                            <w:szCs w:val="24"/>
                          </w:rPr>
                        </w:pPr>
                        <w:r>
                          <w:rPr>
                            <w:szCs w:val="24"/>
                          </w:rPr>
                          <w:t>162,1 SB</w:t>
                        </w:r>
                      </w:p>
                    </w:tc>
                    <w:tc>
                      <w:tcPr>
                        <w:tcW w:w="993" w:type="dxa"/>
                      </w:tcPr>
                      <w:p>
                        <w:pPr>
                          <w:ind w:right="-109"/>
                          <w:rPr>
                            <w:iCs/>
                            <w:szCs w:val="24"/>
                          </w:rPr>
                        </w:pPr>
                        <w:r>
                          <w:rPr>
                            <w:iCs/>
                            <w:szCs w:val="24"/>
                          </w:rPr>
                          <w:t>156,5</w:t>
                        </w:r>
                      </w:p>
                      <w:p>
                        <w:pPr>
                          <w:rPr>
                            <w:iCs/>
                            <w:color w:val="808080"/>
                            <w:szCs w:val="24"/>
                          </w:rPr>
                        </w:pPr>
                        <w:r>
                          <w:rPr>
                            <w:iCs/>
                            <w:szCs w:val="24"/>
                          </w:rPr>
                          <w:t>SB</w:t>
                        </w:r>
                      </w:p>
                    </w:tc>
                    <w:tc>
                      <w:tcPr>
                        <w:tcW w:w="5528" w:type="dxa"/>
                      </w:tcPr>
                      <w:p>
                        <w:pPr>
                          <w:rPr>
                            <w:iCs/>
                            <w:szCs w:val="24"/>
                          </w:rPr>
                        </w:pPr>
                        <w:r>
                          <w:rPr>
                            <w:iCs/>
                            <w:szCs w:val="24"/>
                          </w:rPr>
                          <w:t>Objekto statyba baigta</w:t>
                        </w:r>
                      </w:p>
                      <w:p>
                        <w:pPr>
                          <w:rPr>
                            <w:iCs/>
                            <w:szCs w:val="24"/>
                          </w:rPr>
                        </w:pPr>
                        <w:r>
                          <w:rPr>
                            <w:iCs/>
                            <w:szCs w:val="24"/>
                          </w:rPr>
                          <w:t>(Statybos ir viešosios tvarkos skyrius)</w:t>
                        </w:r>
                      </w:p>
                    </w:tc>
                  </w:tr>
                  <w:tr>
                    <w:trPr>
                      <w:trHeight w:val="616"/>
                    </w:trPr>
                    <w:tc>
                      <w:tcPr>
                        <w:tcW w:w="4395" w:type="dxa"/>
                      </w:tcPr>
                      <w:p>
                        <w:pPr>
                          <w:tabs>
                            <w:tab w:val="left" w:pos="825"/>
                          </w:tabs>
                          <w:rPr>
                            <w:szCs w:val="24"/>
                          </w:rPr>
                        </w:pPr>
                        <w:r>
                          <w:rPr>
                            <w:szCs w:val="24"/>
                          </w:rPr>
                          <w:t>10.1.2.4. Rūšiuojamojo atliekų surinkimo skatinimas Radviliškio rajone. Nustatytų bešeimininkių sąvartynų sutvarkymas. (SVP 4-1-3-26)</w:t>
                        </w:r>
                      </w:p>
                    </w:tc>
                    <w:tc>
                      <w:tcPr>
                        <w:tcW w:w="851" w:type="dxa"/>
                      </w:tcPr>
                      <w:p>
                        <w:pPr>
                          <w:rPr>
                            <w:iCs/>
                            <w:color w:val="808080"/>
                            <w:szCs w:val="24"/>
                          </w:rPr>
                        </w:pPr>
                        <w:r>
                          <w:rPr>
                            <w:szCs w:val="24"/>
                          </w:rPr>
                          <w:t>100</w:t>
                        </w:r>
                        <w:r>
                          <w:rPr>
                            <w:szCs w:val="24"/>
                            <w:lang w:val="en-US"/>
                          </w:rPr>
                          <w:t>%</w:t>
                        </w:r>
                      </w:p>
                    </w:tc>
                    <w:tc>
                      <w:tcPr>
                        <w:tcW w:w="850" w:type="dxa"/>
                      </w:tcPr>
                      <w:p>
                        <w:pPr>
                          <w:rPr>
                            <w:i/>
                            <w:color w:val="808080"/>
                            <w:szCs w:val="24"/>
                          </w:rPr>
                        </w:pPr>
                        <w:r>
                          <w:rPr>
                            <w:i/>
                            <w:szCs w:val="24"/>
                          </w:rPr>
                          <w:t>-</w:t>
                        </w:r>
                      </w:p>
                    </w:tc>
                    <w:tc>
                      <w:tcPr>
                        <w:tcW w:w="851" w:type="dxa"/>
                      </w:tcPr>
                      <w:p>
                        <w:pPr>
                          <w:rPr>
                            <w:i/>
                            <w:color w:val="808080"/>
                            <w:szCs w:val="24"/>
                          </w:rPr>
                        </w:pPr>
                        <w:r>
                          <w:rPr>
                            <w:i/>
                            <w:szCs w:val="24"/>
                          </w:rPr>
                          <w:t>-</w:t>
                        </w:r>
                      </w:p>
                    </w:tc>
                    <w:tc>
                      <w:tcPr>
                        <w:tcW w:w="850" w:type="dxa"/>
                      </w:tcPr>
                      <w:p>
                        <w:pPr>
                          <w:rPr>
                            <w:iCs/>
                            <w:color w:val="808080"/>
                            <w:szCs w:val="24"/>
                          </w:rPr>
                        </w:pPr>
                        <w:r>
                          <w:rPr>
                            <w:iCs/>
                            <w:szCs w:val="24"/>
                          </w:rPr>
                          <w:t>100%</w:t>
                        </w:r>
                      </w:p>
                    </w:tc>
                    <w:tc>
                      <w:tcPr>
                        <w:tcW w:w="992" w:type="dxa"/>
                      </w:tcPr>
                      <w:p>
                        <w:pPr>
                          <w:rPr>
                            <w:iCs/>
                            <w:color w:val="808080"/>
                            <w:szCs w:val="24"/>
                          </w:rPr>
                        </w:pPr>
                        <w:r>
                          <w:rPr>
                            <w:szCs w:val="24"/>
                          </w:rPr>
                          <w:t>10 SB</w:t>
                        </w:r>
                      </w:p>
                    </w:tc>
                    <w:tc>
                      <w:tcPr>
                        <w:tcW w:w="993" w:type="dxa"/>
                      </w:tcPr>
                      <w:p>
                        <w:pPr>
                          <w:rPr>
                            <w:i/>
                            <w:color w:val="808080"/>
                            <w:szCs w:val="24"/>
                          </w:rPr>
                        </w:pPr>
                        <w:r>
                          <w:rPr>
                            <w:i/>
                            <w:szCs w:val="24"/>
                          </w:rPr>
                          <w:t>-</w:t>
                        </w:r>
                      </w:p>
                    </w:tc>
                    <w:tc>
                      <w:tcPr>
                        <w:tcW w:w="5528" w:type="dxa"/>
                      </w:tcPr>
                      <w:p>
                        <w:pPr>
                          <w:rPr>
                            <w:szCs w:val="24"/>
                          </w:rPr>
                        </w:pPr>
                        <w:r>
                          <w:rPr>
                            <w:szCs w:val="24"/>
                          </w:rPr>
                          <w:t>Radviliškio miesto Povyliaus ir Gedimino g. esančių garažų masyvų teritorijose buvo nustatyti automobilių ardymo dalių ir buitinių atliekų sąvartynai. Atliekos sutvarkytos. (Statybos ir viešosios tvarkos skyrius)</w:t>
                        </w:r>
                      </w:p>
                    </w:tc>
                  </w:tr>
                  <w:tr>
                    <w:trPr>
                      <w:trHeight w:val="699"/>
                    </w:trPr>
                    <w:tc>
                      <w:tcPr>
                        <w:tcW w:w="4395" w:type="dxa"/>
                      </w:tcPr>
                      <w:p>
                        <w:pPr>
                          <w:rPr>
                            <w:szCs w:val="24"/>
                          </w:rPr>
                        </w:pPr>
                        <w:r>
                          <w:rPr>
                            <w:bCs/>
                            <w:szCs w:val="24"/>
                          </w:rPr>
                          <w:t>P-04-01-03-13 Nutiestų vandentiekio tinklų ilgis</w:t>
                        </w:r>
                      </w:p>
                    </w:tc>
                    <w:tc>
                      <w:tcPr>
                        <w:tcW w:w="851" w:type="dxa"/>
                      </w:tcPr>
                      <w:p>
                        <w:pPr>
                          <w:rPr>
                            <w:iCs/>
                            <w:color w:val="808080"/>
                            <w:szCs w:val="24"/>
                          </w:rPr>
                        </w:pPr>
                        <w:r>
                          <w:rPr>
                            <w:szCs w:val="24"/>
                          </w:rPr>
                          <w:t xml:space="preserve">1,0 km </w:t>
                        </w:r>
                      </w:p>
                    </w:tc>
                    <w:tc>
                      <w:tcPr>
                        <w:tcW w:w="850" w:type="dxa"/>
                      </w:tcPr>
                      <w:p>
                        <w:pPr>
                          <w:rPr>
                            <w:i/>
                            <w:color w:val="808080"/>
                            <w:szCs w:val="24"/>
                          </w:rPr>
                        </w:pPr>
                        <w:r>
                          <w:rPr>
                            <w:szCs w:val="24"/>
                          </w:rPr>
                          <w:t>1,347</w:t>
                        </w:r>
                      </w:p>
                    </w:tc>
                    <w:tc>
                      <w:tcPr>
                        <w:tcW w:w="851" w:type="dxa"/>
                      </w:tcPr>
                      <w:p>
                        <w:pPr>
                          <w:rPr>
                            <w:i/>
                            <w:color w:val="808080"/>
                            <w:szCs w:val="24"/>
                          </w:rPr>
                        </w:pPr>
                        <w:r>
                          <w:rPr>
                            <w:szCs w:val="24"/>
                          </w:rPr>
                          <w:t>2,181</w:t>
                        </w:r>
                      </w:p>
                    </w:tc>
                    <w:tc>
                      <w:tcPr>
                        <w:tcW w:w="850" w:type="dxa"/>
                      </w:tcPr>
                      <w:p>
                        <w:pPr>
                          <w:rPr>
                            <w:i/>
                            <w:color w:val="808080"/>
                            <w:szCs w:val="24"/>
                          </w:rPr>
                        </w:pPr>
                        <w:r>
                          <w:rPr>
                            <w:iCs/>
                            <w:color w:val="000000"/>
                            <w:szCs w:val="24"/>
                          </w:rPr>
                          <w:t>2,652</w:t>
                        </w:r>
                      </w:p>
                    </w:tc>
                    <w:tc>
                      <w:tcPr>
                        <w:tcW w:w="992" w:type="dxa"/>
                        <w:vMerge w:val="restart"/>
                      </w:tcPr>
                      <w:p>
                        <w:pPr>
                          <w:rPr>
                            <w:color w:val="000000"/>
                            <w:szCs w:val="24"/>
                          </w:rPr>
                        </w:pPr>
                        <w:r>
                          <w:rPr>
                            <w:color w:val="000000"/>
                            <w:szCs w:val="24"/>
                          </w:rPr>
                          <w:t>94,8 ES</w:t>
                        </w:r>
                      </w:p>
                      <w:p>
                        <w:pPr>
                          <w:rPr>
                            <w:color w:val="000000"/>
                            <w:szCs w:val="24"/>
                          </w:rPr>
                        </w:pPr>
                        <w:r>
                          <w:rPr>
                            <w:color w:val="000000"/>
                            <w:szCs w:val="24"/>
                          </w:rPr>
                          <w:t>585 SB</w:t>
                        </w:r>
                      </w:p>
                      <w:p>
                        <w:pPr>
                          <w:rPr>
                            <w:iCs/>
                            <w:color w:val="808080"/>
                            <w:szCs w:val="24"/>
                          </w:rPr>
                        </w:pPr>
                        <w:r>
                          <w:rPr>
                            <w:szCs w:val="24"/>
                          </w:rPr>
                          <w:t>425 KT</w:t>
                        </w:r>
                      </w:p>
                    </w:tc>
                    <w:tc>
                      <w:tcPr>
                        <w:tcW w:w="993" w:type="dxa"/>
                        <w:vMerge w:val="restart"/>
                      </w:tcPr>
                      <w:p>
                        <w:pPr>
                          <w:rPr>
                            <w:color w:val="000000"/>
                            <w:szCs w:val="24"/>
                          </w:rPr>
                        </w:pPr>
                        <w:r>
                          <w:rPr>
                            <w:color w:val="000000"/>
                            <w:szCs w:val="24"/>
                          </w:rPr>
                          <w:t>868,466 SB</w:t>
                        </w:r>
                      </w:p>
                      <w:p>
                        <w:pPr>
                          <w:rPr>
                            <w:color w:val="000000"/>
                            <w:szCs w:val="24"/>
                          </w:rPr>
                        </w:pPr>
                        <w:r>
                          <w:rPr>
                            <w:color w:val="000000"/>
                            <w:szCs w:val="24"/>
                          </w:rPr>
                          <w:t>203,447 VB</w:t>
                        </w:r>
                      </w:p>
                      <w:p>
                        <w:pPr>
                          <w:rPr>
                            <w:i/>
                            <w:color w:val="808080"/>
                            <w:szCs w:val="24"/>
                          </w:rPr>
                        </w:pPr>
                      </w:p>
                    </w:tc>
                    <w:tc>
                      <w:tcPr>
                        <w:tcW w:w="5528" w:type="dxa"/>
                        <w:vMerge w:val="restart"/>
                      </w:tcPr>
                      <w:p>
                        <w:pPr>
                          <w:rPr>
                            <w:iCs/>
                            <w:szCs w:val="24"/>
                          </w:rPr>
                        </w:pPr>
                        <w:r>
                          <w:rPr>
                            <w:iCs/>
                            <w:szCs w:val="24"/>
                          </w:rPr>
                          <w:t>Pažangos finansavimas plėtojant nuotekų tinklą Radviliškio aglomeracijoje (SB „Bitutė“, SB „Vyturėlis“) (Investicijų ir turto valdymo skyrius)</w:t>
                        </w:r>
                      </w:p>
                    </w:tc>
                  </w:tr>
                  <w:tr>
                    <w:trPr>
                      <w:trHeight w:val="269"/>
                    </w:trPr>
                    <w:tc>
                      <w:tcPr>
                        <w:tcW w:w="4395" w:type="dxa"/>
                      </w:tcPr>
                      <w:p>
                        <w:pPr>
                          <w:rPr>
                            <w:szCs w:val="24"/>
                          </w:rPr>
                        </w:pPr>
                        <w:r>
                          <w:rPr>
                            <w:bCs/>
                            <w:szCs w:val="24"/>
                          </w:rPr>
                          <w:t>P-04-01-03-13 Nutiestų nuotekų tinklų ilgis</w:t>
                        </w:r>
                      </w:p>
                    </w:tc>
                    <w:tc>
                      <w:tcPr>
                        <w:tcW w:w="851" w:type="dxa"/>
                      </w:tcPr>
                      <w:p>
                        <w:pPr>
                          <w:rPr>
                            <w:iCs/>
                            <w:color w:val="808080"/>
                            <w:szCs w:val="24"/>
                          </w:rPr>
                        </w:pPr>
                        <w:r>
                          <w:rPr>
                            <w:szCs w:val="24"/>
                          </w:rPr>
                          <w:t xml:space="preserve">1,0 km </w:t>
                        </w:r>
                      </w:p>
                    </w:tc>
                    <w:tc>
                      <w:tcPr>
                        <w:tcW w:w="850" w:type="dxa"/>
                      </w:tcPr>
                      <w:p>
                        <w:pPr>
                          <w:rPr>
                            <w:i/>
                            <w:color w:val="808080"/>
                            <w:szCs w:val="24"/>
                          </w:rPr>
                        </w:pPr>
                        <w:r>
                          <w:rPr>
                            <w:szCs w:val="24"/>
                          </w:rPr>
                          <w:t>0,368</w:t>
                        </w:r>
                      </w:p>
                    </w:tc>
                    <w:tc>
                      <w:tcPr>
                        <w:tcW w:w="851" w:type="dxa"/>
                      </w:tcPr>
                      <w:p>
                        <w:pPr>
                          <w:rPr>
                            <w:i/>
                            <w:color w:val="808080"/>
                            <w:szCs w:val="24"/>
                          </w:rPr>
                        </w:pPr>
                        <w:r>
                          <w:rPr>
                            <w:szCs w:val="24"/>
                          </w:rPr>
                          <w:t>2,150</w:t>
                        </w:r>
                      </w:p>
                    </w:tc>
                    <w:tc>
                      <w:tcPr>
                        <w:tcW w:w="850" w:type="dxa"/>
                      </w:tcPr>
                      <w:p>
                        <w:pPr>
                          <w:rPr>
                            <w:i/>
                            <w:color w:val="808080"/>
                            <w:szCs w:val="24"/>
                          </w:rPr>
                        </w:pPr>
                        <w:r>
                          <w:rPr>
                            <w:iCs/>
                            <w:color w:val="000000"/>
                            <w:szCs w:val="24"/>
                          </w:rPr>
                          <w:t>2,980</w:t>
                        </w:r>
                      </w:p>
                    </w:tc>
                    <w:tc>
                      <w:tcPr>
                        <w:tcW w:w="992" w:type="dxa"/>
                        <w:vMerge/>
                      </w:tcPr>
                      <w:p>
                        <w:pPr>
                          <w:rPr>
                            <w:iCs/>
                            <w:color w:val="808080"/>
                            <w:szCs w:val="24"/>
                          </w:rPr>
                        </w:pPr>
                      </w:p>
                    </w:tc>
                    <w:tc>
                      <w:tcPr>
                        <w:tcW w:w="993" w:type="dxa"/>
                        <w:vMerge/>
                      </w:tcPr>
                      <w:p>
                        <w:pPr>
                          <w:rPr>
                            <w:i/>
                            <w:color w:val="808080"/>
                            <w:szCs w:val="24"/>
                          </w:rPr>
                        </w:pPr>
                      </w:p>
                    </w:tc>
                    <w:tc>
                      <w:tcPr>
                        <w:tcW w:w="5528" w:type="dxa"/>
                        <w:vMerge/>
                      </w:tcPr>
                      <w:p>
                        <w:pPr>
                          <w:rPr>
                            <w:iCs/>
                            <w:szCs w:val="24"/>
                          </w:rPr>
                        </w:pPr>
                      </w:p>
                    </w:tc>
                  </w:tr>
                  <w:tr>
                    <w:trPr>
                      <w:trHeight w:val="616"/>
                    </w:trPr>
                    <w:tc>
                      <w:tcPr>
                        <w:tcW w:w="4395" w:type="dxa"/>
                      </w:tcPr>
                      <w:p>
                        <w:pPr>
                          <w:rPr>
                            <w:color w:val="000000"/>
                            <w:szCs w:val="24"/>
                          </w:rPr>
                        </w:pPr>
                        <w:r>
                          <w:rPr>
                            <w:color w:val="000000"/>
                            <w:szCs w:val="24"/>
                          </w:rPr>
                          <w:t xml:space="preserve">P-04-01-03-27 Įrengtų priedangų skaičius </w:t>
                        </w:r>
                      </w:p>
                      <w:p>
                        <w:pPr>
                          <w:rPr>
                            <w:bCs/>
                            <w:szCs w:val="24"/>
                          </w:rPr>
                        </w:pPr>
                      </w:p>
                    </w:tc>
                    <w:tc>
                      <w:tcPr>
                        <w:tcW w:w="851" w:type="dxa"/>
                      </w:tcPr>
                      <w:p>
                        <w:pPr>
                          <w:rPr>
                            <w:szCs w:val="24"/>
                          </w:rPr>
                        </w:pPr>
                        <w:r>
                          <w:rPr>
                            <w:szCs w:val="24"/>
                          </w:rPr>
                          <w:t xml:space="preserve">5 vnt. </w:t>
                        </w:r>
                      </w:p>
                    </w:tc>
                    <w:tc>
                      <w:tcPr>
                        <w:tcW w:w="850" w:type="dxa"/>
                      </w:tcPr>
                      <w:p>
                        <w:pPr>
                          <w:rPr>
                            <w:szCs w:val="24"/>
                          </w:rPr>
                        </w:pPr>
                      </w:p>
                    </w:tc>
                    <w:tc>
                      <w:tcPr>
                        <w:tcW w:w="851" w:type="dxa"/>
                      </w:tcPr>
                      <w:p>
                        <w:pPr>
                          <w:rPr>
                            <w:szCs w:val="24"/>
                          </w:rPr>
                        </w:pPr>
                      </w:p>
                    </w:tc>
                    <w:tc>
                      <w:tcPr>
                        <w:tcW w:w="850" w:type="dxa"/>
                      </w:tcPr>
                      <w:p>
                        <w:pPr>
                          <w:rPr>
                            <w:iCs/>
                            <w:color w:val="000000"/>
                            <w:szCs w:val="24"/>
                          </w:rPr>
                        </w:pPr>
                        <w:r>
                          <w:rPr>
                            <w:szCs w:val="24"/>
                            <w:lang w:eastAsia="lt-LT"/>
                          </w:rPr>
                          <w:t>9 vnt.</w:t>
                        </w:r>
                      </w:p>
                    </w:tc>
                    <w:tc>
                      <w:tcPr>
                        <w:tcW w:w="992" w:type="dxa"/>
                        <w:vMerge/>
                      </w:tcPr>
                      <w:p>
                        <w:pPr>
                          <w:rPr>
                            <w:iCs/>
                            <w:color w:val="808080"/>
                            <w:szCs w:val="24"/>
                          </w:rPr>
                        </w:pPr>
                      </w:p>
                    </w:tc>
                    <w:tc>
                      <w:tcPr>
                        <w:tcW w:w="993" w:type="dxa"/>
                        <w:vMerge/>
                      </w:tcPr>
                      <w:p>
                        <w:pPr>
                          <w:rPr>
                            <w:i/>
                            <w:color w:val="808080"/>
                            <w:szCs w:val="24"/>
                          </w:rPr>
                        </w:pPr>
                      </w:p>
                    </w:tc>
                    <w:tc>
                      <w:tcPr>
                        <w:tcW w:w="5528" w:type="dxa"/>
                      </w:tcPr>
                      <w:p>
                        <w:pPr>
                          <w:rPr>
                            <w:bCs/>
                            <w:iCs/>
                            <w:szCs w:val="24"/>
                          </w:rPr>
                        </w:pPr>
                        <w:r>
                          <w:rPr>
                            <w:bCs/>
                            <w:iCs/>
                            <w:szCs w:val="24"/>
                          </w:rPr>
                          <w:t>Įgyvendinami projektai VRM-001-K-045 „Priedangų infrastruktūros plėtra Radviliškio rajone“ ir VRM-002-K-022 „Stiprinti pasirengimą valdyti ekstremaliąsias situacijas ir šalinti jų padarinius Radviliškio rajone“</w:t>
                        </w:r>
                      </w:p>
                      <w:p>
                        <w:pPr>
                          <w:rPr>
                            <w:iCs/>
                            <w:szCs w:val="24"/>
                          </w:rPr>
                        </w:pPr>
                        <w:r>
                          <w:rPr>
                            <w:bCs/>
                            <w:iCs/>
                            <w:szCs w:val="24"/>
                          </w:rPr>
                          <w:t>(Investicijų ir turto valdymo skyrius)</w:t>
                        </w:r>
                      </w:p>
                    </w:tc>
                  </w:tr>
                  <w:tr>
                    <w:trPr>
                      <w:trHeight w:val="616"/>
                    </w:trPr>
                    <w:tc>
                      <w:tcPr>
                        <w:tcW w:w="15310" w:type="dxa"/>
                        <w:gridSpan w:val="8"/>
                      </w:tcPr>
                      <w:p>
                        <w:pPr>
                          <w:rPr>
                            <w:iCs/>
                            <w:szCs w:val="24"/>
                          </w:rPr>
                        </w:pPr>
                        <w:r>
                          <w:rPr>
                            <w:color w:val="000000"/>
                            <w:szCs w:val="24"/>
                          </w:rPr>
                          <w:t>1.4. Uždavinys</w:t>
                        </w:r>
                        <w:r>
                          <w:rPr>
                            <w:szCs w:val="24"/>
                          </w:rPr>
                          <w:t>: Modernizuoti Radviliškio rajono savivaldybės viešuosius pastatus, siekiant mažinti šilumos energijos suvartojimą bei gerinti teikiamų paslaugų kokybę</w:t>
                        </w:r>
                      </w:p>
                    </w:tc>
                  </w:tr>
                  <w:tr>
                    <w:trPr>
                      <w:trHeight w:val="1550"/>
                    </w:trPr>
                    <w:tc>
                      <w:tcPr>
                        <w:tcW w:w="4395" w:type="dxa"/>
                      </w:tcPr>
                      <w:p>
                        <w:pPr>
                          <w:rPr>
                            <w:szCs w:val="24"/>
                          </w:rPr>
                        </w:pPr>
                        <w:r>
                          <w:rPr>
                            <w:szCs w:val="24"/>
                          </w:rPr>
                          <w:t>10.1.3.1. Sporto paskirties inžinerinio statinio – Baisogalos gimnazijos stadiono su lauko aikštynais , Mokyklos g. 25, Baisogalos mstl., Radviliškio r. sav. – rekonstravimas. Rekonstruotas sporto paskirties inžinerinis statinys, vnt. (SVP 4-1-4-20)</w:t>
                        </w:r>
                      </w:p>
                    </w:tc>
                    <w:tc>
                      <w:tcPr>
                        <w:tcW w:w="851" w:type="dxa"/>
                      </w:tcPr>
                      <w:p>
                        <w:pPr>
                          <w:rPr>
                            <w:szCs w:val="24"/>
                            <w:lang w:eastAsia="lt-LT"/>
                          </w:rPr>
                        </w:pPr>
                        <w:r>
                          <w:rPr>
                            <w:szCs w:val="24"/>
                          </w:rPr>
                          <w:t xml:space="preserve">1 </w:t>
                        </w:r>
                      </w:p>
                    </w:tc>
                    <w:tc>
                      <w:tcPr>
                        <w:tcW w:w="850" w:type="dxa"/>
                      </w:tcPr>
                      <w:p>
                        <w:pPr>
                          <w:rPr>
                            <w:szCs w:val="24"/>
                          </w:rPr>
                        </w:pPr>
                        <w:r>
                          <w:rPr>
                            <w:i/>
                            <w:szCs w:val="24"/>
                          </w:rPr>
                          <w:t>-</w:t>
                        </w:r>
                      </w:p>
                    </w:tc>
                    <w:tc>
                      <w:tcPr>
                        <w:tcW w:w="851" w:type="dxa"/>
                      </w:tcPr>
                      <w:p>
                        <w:pPr>
                          <w:rPr>
                            <w:szCs w:val="24"/>
                          </w:rPr>
                        </w:pPr>
                        <w:r>
                          <w:rPr>
                            <w:i/>
                            <w:szCs w:val="24"/>
                          </w:rPr>
                          <w:t>-</w:t>
                        </w:r>
                      </w:p>
                    </w:tc>
                    <w:tc>
                      <w:tcPr>
                        <w:tcW w:w="850" w:type="dxa"/>
                      </w:tcPr>
                      <w:p>
                        <w:pPr>
                          <w:rPr>
                            <w:iCs/>
                            <w:szCs w:val="24"/>
                            <w:lang w:eastAsia="lt-LT"/>
                          </w:rPr>
                        </w:pPr>
                        <w:r>
                          <w:rPr>
                            <w:iCs/>
                            <w:szCs w:val="24"/>
                          </w:rPr>
                          <w:t>1</w:t>
                        </w:r>
                      </w:p>
                    </w:tc>
                    <w:tc>
                      <w:tcPr>
                        <w:tcW w:w="992" w:type="dxa"/>
                      </w:tcPr>
                      <w:p>
                        <w:pPr>
                          <w:rPr>
                            <w:szCs w:val="24"/>
                          </w:rPr>
                        </w:pPr>
                        <w:r>
                          <w:rPr>
                            <w:szCs w:val="24"/>
                          </w:rPr>
                          <w:t>50 SB</w:t>
                        </w:r>
                      </w:p>
                      <w:p>
                        <w:pPr>
                          <w:rPr>
                            <w:szCs w:val="24"/>
                          </w:rPr>
                        </w:pPr>
                      </w:p>
                      <w:p>
                        <w:pPr>
                          <w:rPr>
                            <w:szCs w:val="24"/>
                          </w:rPr>
                        </w:pPr>
                      </w:p>
                      <w:p>
                        <w:pPr>
                          <w:rPr>
                            <w:szCs w:val="24"/>
                          </w:rPr>
                        </w:pPr>
                      </w:p>
                      <w:p>
                        <w:pPr>
                          <w:rPr>
                            <w:szCs w:val="24"/>
                          </w:rPr>
                        </w:pPr>
                      </w:p>
                      <w:p>
                        <w:pPr>
                          <w:rPr>
                            <w:szCs w:val="24"/>
                          </w:rPr>
                        </w:pPr>
                      </w:p>
                    </w:tc>
                    <w:tc>
                      <w:tcPr>
                        <w:tcW w:w="993" w:type="dxa"/>
                      </w:tcPr>
                      <w:p>
                        <w:pPr>
                          <w:rPr>
                            <w:iCs/>
                            <w:szCs w:val="24"/>
                          </w:rPr>
                        </w:pPr>
                        <w:r>
                          <w:rPr>
                            <w:iCs/>
                            <w:szCs w:val="24"/>
                          </w:rPr>
                          <w:t>290 SB</w:t>
                        </w:r>
                      </w:p>
                      <w:p>
                        <w:pPr>
                          <w:rPr>
                            <w:iCs/>
                            <w:szCs w:val="24"/>
                          </w:rPr>
                        </w:pPr>
                      </w:p>
                      <w:p>
                        <w:pPr>
                          <w:rPr>
                            <w:iCs/>
                            <w:szCs w:val="24"/>
                          </w:rPr>
                        </w:pPr>
                      </w:p>
                      <w:p>
                        <w:pPr>
                          <w:rPr>
                            <w:iCs/>
                            <w:szCs w:val="24"/>
                          </w:rPr>
                        </w:pPr>
                      </w:p>
                      <w:p>
                        <w:pPr>
                          <w:rPr>
                            <w:iCs/>
                            <w:szCs w:val="24"/>
                          </w:rPr>
                        </w:pPr>
                      </w:p>
                      <w:p>
                        <w:pPr>
                          <w:rPr>
                            <w:iCs/>
                            <w:szCs w:val="24"/>
                          </w:rPr>
                        </w:pPr>
                      </w:p>
                    </w:tc>
                    <w:tc>
                      <w:tcPr>
                        <w:tcW w:w="5528" w:type="dxa"/>
                      </w:tcPr>
                      <w:p>
                        <w:pPr>
                          <w:rPr>
                            <w:iCs/>
                            <w:szCs w:val="24"/>
                          </w:rPr>
                        </w:pPr>
                        <w:r>
                          <w:rPr>
                            <w:iCs/>
                            <w:szCs w:val="24"/>
                          </w:rPr>
                          <w:t>Atlikti žemės darbai ir drenažo įrengimas. Objekto statyba bus tęsiama.</w:t>
                        </w:r>
                      </w:p>
                      <w:p>
                        <w:pPr>
                          <w:rPr>
                            <w:iCs/>
                            <w:szCs w:val="24"/>
                          </w:rPr>
                        </w:pPr>
                        <w:r>
                          <w:rPr>
                            <w:iCs/>
                            <w:szCs w:val="24"/>
                          </w:rPr>
                          <w:t>(Statybos ir viešosios tvarkos skyrius)</w:t>
                        </w:r>
                      </w:p>
                    </w:tc>
                  </w:tr>
                  <w:tr>
                    <w:trPr>
                      <w:trHeight w:val="616"/>
                    </w:trPr>
                    <w:tc>
                      <w:tcPr>
                        <w:tcW w:w="4395" w:type="dxa"/>
                      </w:tcPr>
                      <w:p>
                        <w:pPr>
                          <w:rPr>
                            <w:szCs w:val="24"/>
                          </w:rPr>
                        </w:pPr>
                        <w:r>
                          <w:rPr>
                            <w:szCs w:val="24"/>
                          </w:rPr>
                          <w:t>10.1.3.2. Gydymo paskirties pastato Gedimino g. 9, Radviliškis, lifto įrengimas. (SVP 4-1-4-23)</w:t>
                        </w:r>
                      </w:p>
                    </w:tc>
                    <w:tc>
                      <w:tcPr>
                        <w:tcW w:w="851" w:type="dxa"/>
                      </w:tcPr>
                      <w:p>
                        <w:pPr>
                          <w:rPr>
                            <w:szCs w:val="24"/>
                            <w:lang w:eastAsia="lt-LT"/>
                          </w:rPr>
                        </w:pPr>
                        <w:r>
                          <w:rPr>
                            <w:szCs w:val="24"/>
                          </w:rPr>
                          <w:t>1 vnt.</w:t>
                        </w:r>
                      </w:p>
                    </w:tc>
                    <w:tc>
                      <w:tcPr>
                        <w:tcW w:w="850" w:type="dxa"/>
                      </w:tcPr>
                      <w:p>
                        <w:pPr>
                          <w:rPr>
                            <w:szCs w:val="24"/>
                          </w:rPr>
                        </w:pPr>
                        <w:r>
                          <w:rPr>
                            <w:i/>
                            <w:szCs w:val="24"/>
                          </w:rPr>
                          <w:t>-</w:t>
                        </w:r>
                      </w:p>
                    </w:tc>
                    <w:tc>
                      <w:tcPr>
                        <w:tcW w:w="851" w:type="dxa"/>
                      </w:tcPr>
                      <w:p>
                        <w:pPr>
                          <w:rPr>
                            <w:szCs w:val="24"/>
                          </w:rPr>
                        </w:pPr>
                        <w:r>
                          <w:rPr>
                            <w:i/>
                            <w:szCs w:val="24"/>
                          </w:rPr>
                          <w:t>-</w:t>
                        </w:r>
                      </w:p>
                    </w:tc>
                    <w:tc>
                      <w:tcPr>
                        <w:tcW w:w="850" w:type="dxa"/>
                      </w:tcPr>
                      <w:p>
                        <w:pPr>
                          <w:rPr>
                            <w:iCs/>
                            <w:szCs w:val="24"/>
                            <w:lang w:eastAsia="lt-LT"/>
                          </w:rPr>
                        </w:pPr>
                        <w:r>
                          <w:rPr>
                            <w:iCs/>
                            <w:szCs w:val="24"/>
                          </w:rPr>
                          <w:t>1 vnt.</w:t>
                        </w:r>
                      </w:p>
                    </w:tc>
                    <w:tc>
                      <w:tcPr>
                        <w:tcW w:w="992" w:type="dxa"/>
                      </w:tcPr>
                      <w:p>
                        <w:pPr>
                          <w:rPr>
                            <w:szCs w:val="24"/>
                          </w:rPr>
                        </w:pPr>
                        <w:r>
                          <w:rPr>
                            <w:szCs w:val="24"/>
                          </w:rPr>
                          <w:t>11,3 SB</w:t>
                        </w:r>
                      </w:p>
                      <w:p>
                        <w:pPr>
                          <w:rPr>
                            <w:szCs w:val="24"/>
                          </w:rPr>
                        </w:pPr>
                      </w:p>
                      <w:p>
                        <w:pPr>
                          <w:rPr>
                            <w:szCs w:val="24"/>
                          </w:rPr>
                        </w:pPr>
                      </w:p>
                    </w:tc>
                    <w:tc>
                      <w:tcPr>
                        <w:tcW w:w="993" w:type="dxa"/>
                      </w:tcPr>
                      <w:p>
                        <w:pPr>
                          <w:rPr>
                            <w:iCs/>
                            <w:szCs w:val="24"/>
                          </w:rPr>
                        </w:pPr>
                        <w:r>
                          <w:rPr>
                            <w:iCs/>
                            <w:szCs w:val="24"/>
                          </w:rPr>
                          <w:t>11,3 SB</w:t>
                        </w:r>
                      </w:p>
                      <w:p>
                        <w:pPr>
                          <w:rPr>
                            <w:iCs/>
                            <w:szCs w:val="24"/>
                          </w:rPr>
                        </w:pPr>
                      </w:p>
                      <w:p>
                        <w:pPr>
                          <w:rPr>
                            <w:iCs/>
                            <w:szCs w:val="24"/>
                          </w:rPr>
                        </w:pPr>
                      </w:p>
                    </w:tc>
                    <w:tc>
                      <w:tcPr>
                        <w:tcW w:w="5528" w:type="dxa"/>
                      </w:tcPr>
                      <w:p>
                        <w:pPr>
                          <w:rPr>
                            <w:iCs/>
                            <w:szCs w:val="24"/>
                          </w:rPr>
                        </w:pPr>
                        <w:r>
                          <w:rPr>
                            <w:iCs/>
                            <w:szCs w:val="24"/>
                          </w:rPr>
                          <w:t>Objekto statyba baigta</w:t>
                        </w:r>
                      </w:p>
                      <w:p>
                        <w:pPr>
                          <w:rPr>
                            <w:iCs/>
                            <w:szCs w:val="24"/>
                          </w:rPr>
                        </w:pPr>
                        <w:r>
                          <w:rPr>
                            <w:iCs/>
                            <w:szCs w:val="24"/>
                          </w:rPr>
                          <w:t>(Statybos ir viešosios tvarkos skyrius)</w:t>
                        </w:r>
                      </w:p>
                    </w:tc>
                  </w:tr>
                  <w:tr>
                    <w:trPr>
                      <w:trHeight w:val="616"/>
                    </w:trPr>
                    <w:tc>
                      <w:tcPr>
                        <w:tcW w:w="4395" w:type="dxa"/>
                      </w:tcPr>
                      <w:p>
                        <w:pPr>
                          <w:rPr>
                            <w:szCs w:val="24"/>
                          </w:rPr>
                        </w:pPr>
                        <w:r>
                          <w:rPr>
                            <w:szCs w:val="24"/>
                          </w:rPr>
                          <w:t>10.1.3.3. Saulės elektrinės ant pastato Aušros a. 10, Radviliškyje, įrengimas.</w:t>
                        </w:r>
                      </w:p>
                      <w:p>
                        <w:pPr>
                          <w:ind w:firstLine="62"/>
                          <w:rPr>
                            <w:bCs/>
                            <w:szCs w:val="24"/>
                          </w:rPr>
                        </w:pPr>
                        <w:r>
                          <w:rPr>
                            <w:szCs w:val="24"/>
                          </w:rPr>
                          <w:t>(SVP 4-1-4-41)</w:t>
                        </w:r>
                      </w:p>
                    </w:tc>
                    <w:tc>
                      <w:tcPr>
                        <w:tcW w:w="851" w:type="dxa"/>
                      </w:tcPr>
                      <w:p>
                        <w:pPr>
                          <w:rPr>
                            <w:szCs w:val="24"/>
                            <w:lang w:eastAsia="lt-LT"/>
                          </w:rPr>
                        </w:pPr>
                        <w:r>
                          <w:rPr>
                            <w:szCs w:val="24"/>
                          </w:rPr>
                          <w:t>1 vnt.</w:t>
                        </w:r>
                      </w:p>
                    </w:tc>
                    <w:tc>
                      <w:tcPr>
                        <w:tcW w:w="850" w:type="dxa"/>
                      </w:tcPr>
                      <w:p>
                        <w:pPr>
                          <w:rPr>
                            <w:szCs w:val="24"/>
                          </w:rPr>
                        </w:pPr>
                        <w:r>
                          <w:rPr>
                            <w:i/>
                            <w:szCs w:val="24"/>
                          </w:rPr>
                          <w:t>-</w:t>
                        </w:r>
                      </w:p>
                    </w:tc>
                    <w:tc>
                      <w:tcPr>
                        <w:tcW w:w="851" w:type="dxa"/>
                      </w:tcPr>
                      <w:p>
                        <w:pPr>
                          <w:rPr>
                            <w:szCs w:val="24"/>
                          </w:rPr>
                        </w:pPr>
                        <w:r>
                          <w:rPr>
                            <w:i/>
                            <w:szCs w:val="24"/>
                          </w:rPr>
                          <w:t>-</w:t>
                        </w:r>
                      </w:p>
                    </w:tc>
                    <w:tc>
                      <w:tcPr>
                        <w:tcW w:w="850" w:type="dxa"/>
                      </w:tcPr>
                      <w:p>
                        <w:pPr>
                          <w:rPr>
                            <w:iCs/>
                            <w:szCs w:val="24"/>
                            <w:lang w:eastAsia="lt-LT"/>
                          </w:rPr>
                        </w:pPr>
                        <w:r>
                          <w:rPr>
                            <w:iCs/>
                            <w:szCs w:val="24"/>
                          </w:rPr>
                          <w:t>1 vnt.</w:t>
                        </w:r>
                      </w:p>
                    </w:tc>
                    <w:tc>
                      <w:tcPr>
                        <w:tcW w:w="992" w:type="dxa"/>
                      </w:tcPr>
                      <w:p>
                        <w:pPr>
                          <w:rPr>
                            <w:szCs w:val="24"/>
                          </w:rPr>
                        </w:pPr>
                        <w:r>
                          <w:rPr>
                            <w:szCs w:val="24"/>
                          </w:rPr>
                          <w:t>22 SB</w:t>
                        </w:r>
                      </w:p>
                    </w:tc>
                    <w:tc>
                      <w:tcPr>
                        <w:tcW w:w="993" w:type="dxa"/>
                      </w:tcPr>
                      <w:p>
                        <w:pPr>
                          <w:rPr>
                            <w:szCs w:val="24"/>
                          </w:rPr>
                        </w:pPr>
                        <w:r>
                          <w:rPr>
                            <w:iCs/>
                            <w:szCs w:val="24"/>
                          </w:rPr>
                          <w:t>22 SB</w:t>
                        </w:r>
                      </w:p>
                    </w:tc>
                    <w:tc>
                      <w:tcPr>
                        <w:tcW w:w="5528" w:type="dxa"/>
                      </w:tcPr>
                      <w:p>
                        <w:pPr>
                          <w:rPr>
                            <w:szCs w:val="24"/>
                          </w:rPr>
                        </w:pPr>
                        <w:r>
                          <w:rPr>
                            <w:szCs w:val="24"/>
                          </w:rPr>
                          <w:t>Objekto statyba baigta</w:t>
                        </w:r>
                      </w:p>
                      <w:p>
                        <w:pPr>
                          <w:rPr>
                            <w:iCs/>
                            <w:szCs w:val="24"/>
                          </w:rPr>
                        </w:pPr>
                        <w:r>
                          <w:rPr>
                            <w:szCs w:val="24"/>
                          </w:rPr>
                          <w:t>(Statybos ir viešosios tvarkos skyrius)</w:t>
                        </w:r>
                      </w:p>
                    </w:tc>
                  </w:tr>
                  <w:tr>
                    <w:trPr>
                      <w:trHeight w:val="351"/>
                    </w:trPr>
                    <w:tc>
                      <w:tcPr>
                        <w:tcW w:w="15310" w:type="dxa"/>
                        <w:gridSpan w:val="8"/>
                      </w:tcPr>
                      <w:p>
                        <w:pPr>
                          <w:rPr>
                            <w:color w:val="000000"/>
                            <w:szCs w:val="24"/>
                          </w:rPr>
                        </w:pPr>
                        <w:r>
                          <w:rPr>
                            <w:color w:val="000000"/>
                            <w:szCs w:val="24"/>
                          </w:rPr>
                          <w:t>2. Tikslas: Patrauklios gyvenamosios aplinkos užtikrinimas</w:t>
                        </w:r>
                      </w:p>
                    </w:tc>
                  </w:tr>
                  <w:tr>
                    <w:trPr>
                      <w:trHeight w:val="272"/>
                    </w:trPr>
                    <w:tc>
                      <w:tcPr>
                        <w:tcW w:w="15310" w:type="dxa"/>
                        <w:gridSpan w:val="8"/>
                      </w:tcPr>
                      <w:p>
                        <w:pPr>
                          <w:rPr>
                            <w:szCs w:val="24"/>
                          </w:rPr>
                        </w:pPr>
                        <w:r>
                          <w:rPr>
                            <w:color w:val="000000"/>
                            <w:szCs w:val="24"/>
                          </w:rPr>
                          <w:t xml:space="preserve">2.1. Uždavinys: </w:t>
                        </w:r>
                        <w:r>
                          <w:rPr>
                            <w:szCs w:val="24"/>
                          </w:rPr>
                          <w:t>Uždavinys: Pritaikyti gamtos ir kultūros paveldo objektus lankytojams, švietimui, kultūrai, edukacijai bei kitų paslaugų teikimui</w:t>
                        </w:r>
                      </w:p>
                    </w:tc>
                  </w:tr>
                  <w:tr>
                    <w:trPr>
                      <w:trHeight w:val="616"/>
                    </w:trPr>
                    <w:tc>
                      <w:tcPr>
                        <w:tcW w:w="4395" w:type="dxa"/>
                      </w:tcPr>
                      <w:p>
                        <w:pPr>
                          <w:rPr>
                            <w:iCs/>
                            <w:color w:val="000000"/>
                            <w:szCs w:val="24"/>
                          </w:rPr>
                        </w:pPr>
                        <w:r>
                          <w:rPr>
                            <w:iCs/>
                            <w:color w:val="000000"/>
                            <w:szCs w:val="24"/>
                          </w:rPr>
                          <w:t>2.1.1. Radviliškio miesto Antaniškių miške esančio žemės sklypo, Vytauto Landsbergio–Žemkalnio g. 26, Radviliškio m., sutvarkymo ir pritaikymo lankymui techninio darbo projekto parengimas.(SVP 4-2-1-11)</w:t>
                        </w:r>
                      </w:p>
                    </w:tc>
                    <w:tc>
                      <w:tcPr>
                        <w:tcW w:w="851" w:type="dxa"/>
                      </w:tcPr>
                      <w:p>
                        <w:pPr>
                          <w:rPr>
                            <w:szCs w:val="24"/>
                            <w:lang w:eastAsia="lt-LT"/>
                          </w:rPr>
                        </w:pPr>
                        <w:r>
                          <w:rPr>
                            <w:iCs/>
                            <w:color w:val="000000"/>
                            <w:szCs w:val="24"/>
                          </w:rPr>
                          <w:t>1 vnt.</w:t>
                        </w:r>
                      </w:p>
                    </w:tc>
                    <w:tc>
                      <w:tcPr>
                        <w:tcW w:w="850" w:type="dxa"/>
                      </w:tcPr>
                      <w:p>
                        <w:pPr>
                          <w:rPr>
                            <w:szCs w:val="24"/>
                          </w:rPr>
                        </w:pPr>
                        <w:r>
                          <w:rPr>
                            <w:iCs/>
                            <w:color w:val="000000"/>
                            <w:szCs w:val="24"/>
                          </w:rPr>
                          <w:t>-</w:t>
                        </w:r>
                      </w:p>
                    </w:tc>
                    <w:tc>
                      <w:tcPr>
                        <w:tcW w:w="851" w:type="dxa"/>
                      </w:tcPr>
                      <w:p>
                        <w:pPr>
                          <w:rPr>
                            <w:szCs w:val="24"/>
                          </w:rPr>
                        </w:pPr>
                        <w:r>
                          <w:rPr>
                            <w:iCs/>
                            <w:color w:val="000000"/>
                            <w:szCs w:val="24"/>
                          </w:rPr>
                          <w:t>-</w:t>
                        </w:r>
                      </w:p>
                    </w:tc>
                    <w:tc>
                      <w:tcPr>
                        <w:tcW w:w="850" w:type="dxa"/>
                      </w:tcPr>
                      <w:p>
                        <w:pPr>
                          <w:rPr>
                            <w:szCs w:val="24"/>
                            <w:lang w:eastAsia="lt-LT"/>
                          </w:rPr>
                        </w:pPr>
                        <w:r>
                          <w:rPr>
                            <w:iCs/>
                            <w:color w:val="000000"/>
                            <w:szCs w:val="24"/>
                          </w:rPr>
                          <w:t>1 vnt.</w:t>
                        </w:r>
                      </w:p>
                    </w:tc>
                    <w:tc>
                      <w:tcPr>
                        <w:tcW w:w="992" w:type="dxa"/>
                      </w:tcPr>
                      <w:p>
                        <w:pPr>
                          <w:rPr>
                            <w:szCs w:val="24"/>
                          </w:rPr>
                        </w:pPr>
                        <w:r>
                          <w:rPr>
                            <w:iCs/>
                            <w:color w:val="000000"/>
                            <w:szCs w:val="24"/>
                          </w:rPr>
                          <w:t>80 SB</w:t>
                        </w:r>
                      </w:p>
                    </w:tc>
                    <w:tc>
                      <w:tcPr>
                        <w:tcW w:w="993" w:type="dxa"/>
                      </w:tcPr>
                      <w:p>
                        <w:pPr>
                          <w:rPr>
                            <w:iCs/>
                            <w:color w:val="000000"/>
                            <w:szCs w:val="24"/>
                          </w:rPr>
                        </w:pPr>
                        <w:r>
                          <w:rPr>
                            <w:iCs/>
                            <w:color w:val="000000"/>
                            <w:szCs w:val="24"/>
                          </w:rPr>
                          <w:t>52,635</w:t>
                        </w:r>
                      </w:p>
                      <w:p>
                        <w:pPr>
                          <w:rPr>
                            <w:szCs w:val="24"/>
                          </w:rPr>
                        </w:pPr>
                        <w:r>
                          <w:rPr>
                            <w:iCs/>
                            <w:color w:val="000000"/>
                            <w:szCs w:val="24"/>
                          </w:rPr>
                          <w:t>SB</w:t>
                        </w:r>
                      </w:p>
                    </w:tc>
                    <w:tc>
                      <w:tcPr>
                        <w:tcW w:w="5528" w:type="dxa"/>
                      </w:tcPr>
                      <w:p>
                        <w:pPr>
                          <w:rPr>
                            <w:iCs/>
                            <w:color w:val="000000"/>
                            <w:szCs w:val="24"/>
                          </w:rPr>
                        </w:pPr>
                        <w:r>
                          <w:rPr>
                            <w:iCs/>
                            <w:color w:val="000000"/>
                            <w:szCs w:val="24"/>
                          </w:rPr>
                          <w:t xml:space="preserve">2025-07-15 pasirašyta sutartis projektavimui. Parengti projektiniai pasiūlymai. Gautas statybą leidžiantis dokumentas (Nr. LSNS-66-251205-00036). </w:t>
                        </w:r>
                      </w:p>
                      <w:p>
                        <w:pPr>
                          <w:rPr>
                            <w:szCs w:val="24"/>
                          </w:rPr>
                        </w:pPr>
                        <w:r>
                          <w:rPr>
                            <w:iCs/>
                            <w:color w:val="000000"/>
                            <w:szCs w:val="24"/>
                          </w:rPr>
                          <w:t>(Architektūros ir urbanistikos skyrius).</w:t>
                        </w:r>
                      </w:p>
                    </w:tc>
                  </w:tr>
                  <w:tr>
                    <w:trPr>
                      <w:trHeight w:val="616"/>
                    </w:trPr>
                    <w:tc>
                      <w:tcPr>
                        <w:tcW w:w="4395" w:type="dxa"/>
                      </w:tcPr>
                      <w:p>
                        <w:pPr>
                          <w:tabs>
                            <w:tab w:val="left" w:pos="825"/>
                          </w:tabs>
                          <w:rPr>
                            <w:szCs w:val="24"/>
                          </w:rPr>
                        </w:pPr>
                        <w:r>
                          <w:rPr>
                            <w:szCs w:val="24"/>
                          </w:rPr>
                          <w:t>10.1.4.1. Kitų inžinerinių statinių, stoginių, Panevėžio g. 36, Šeduva, statyba.</w:t>
                        </w:r>
                      </w:p>
                      <w:p>
                        <w:pPr>
                          <w:rPr>
                            <w:bCs/>
                            <w:szCs w:val="24"/>
                          </w:rPr>
                        </w:pPr>
                        <w:r>
                          <w:rPr>
                            <w:szCs w:val="24"/>
                          </w:rPr>
                          <w:t>Įrengta stoginė. (SVP 4-2-1-04)</w:t>
                        </w:r>
                      </w:p>
                    </w:tc>
                    <w:tc>
                      <w:tcPr>
                        <w:tcW w:w="851" w:type="dxa"/>
                      </w:tcPr>
                      <w:p>
                        <w:pPr>
                          <w:rPr>
                            <w:iCs/>
                            <w:szCs w:val="24"/>
                          </w:rPr>
                        </w:pPr>
                        <w:r>
                          <w:rPr>
                            <w:szCs w:val="24"/>
                          </w:rPr>
                          <w:t xml:space="preserve">1 </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szCs w:val="24"/>
                          </w:rPr>
                        </w:pPr>
                        <w:r>
                          <w:rPr>
                            <w:iCs/>
                            <w:szCs w:val="24"/>
                          </w:rPr>
                          <w:t xml:space="preserve">1 </w:t>
                        </w:r>
                      </w:p>
                    </w:tc>
                    <w:tc>
                      <w:tcPr>
                        <w:tcW w:w="992" w:type="dxa"/>
                      </w:tcPr>
                      <w:p>
                        <w:pPr>
                          <w:rPr>
                            <w:szCs w:val="24"/>
                          </w:rPr>
                        </w:pPr>
                        <w:r>
                          <w:rPr>
                            <w:szCs w:val="24"/>
                          </w:rPr>
                          <w:t>6,1 SB</w:t>
                        </w:r>
                      </w:p>
                    </w:tc>
                    <w:tc>
                      <w:tcPr>
                        <w:tcW w:w="993" w:type="dxa"/>
                      </w:tcPr>
                      <w:p>
                        <w:pPr>
                          <w:rPr>
                            <w:iCs/>
                            <w:szCs w:val="24"/>
                          </w:rPr>
                        </w:pPr>
                        <w:r>
                          <w:rPr>
                            <w:iCs/>
                            <w:szCs w:val="24"/>
                          </w:rPr>
                          <w:t>6,1 SB</w:t>
                        </w:r>
                      </w:p>
                    </w:tc>
                    <w:tc>
                      <w:tcPr>
                        <w:tcW w:w="5528" w:type="dxa"/>
                      </w:tcPr>
                      <w:p>
                        <w:pPr>
                          <w:rPr>
                            <w:szCs w:val="24"/>
                          </w:rPr>
                        </w:pPr>
                        <w:r>
                          <w:rPr>
                            <w:szCs w:val="24"/>
                          </w:rPr>
                          <w:t>Objekto statyba baigta</w:t>
                        </w:r>
                      </w:p>
                      <w:p>
                        <w:pPr>
                          <w:rPr>
                            <w:iCs/>
                            <w:szCs w:val="24"/>
                          </w:rPr>
                        </w:pPr>
                        <w:r>
                          <w:rPr>
                            <w:szCs w:val="24"/>
                          </w:rPr>
                          <w:t>(Statybos ir viešosios tvarkos skyrius)</w:t>
                        </w:r>
                      </w:p>
                    </w:tc>
                  </w:tr>
                  <w:tr>
                    <w:trPr>
                      <w:trHeight w:val="616"/>
                    </w:trPr>
                    <w:tc>
                      <w:tcPr>
                        <w:tcW w:w="4395" w:type="dxa"/>
                      </w:tcPr>
                      <w:p>
                        <w:pPr>
                          <w:rPr>
                            <w:bCs/>
                            <w:szCs w:val="24"/>
                          </w:rPr>
                        </w:pPr>
                        <w:r>
                          <w:rPr>
                            <w:bCs/>
                            <w:szCs w:val="24"/>
                          </w:rPr>
                          <w:t>Rodiklis: P-04-02-03-01 Parengtas naujas investicinis projektas</w:t>
                        </w:r>
                      </w:p>
                    </w:tc>
                    <w:tc>
                      <w:tcPr>
                        <w:tcW w:w="851" w:type="dxa"/>
                      </w:tcPr>
                      <w:p>
                        <w:pPr>
                          <w:rPr>
                            <w:iCs/>
                            <w:szCs w:val="24"/>
                          </w:rPr>
                        </w:pPr>
                        <w:r>
                          <w:rPr>
                            <w:szCs w:val="24"/>
                          </w:rPr>
                          <w:t xml:space="preserve">4 vnt. </w:t>
                        </w:r>
                      </w:p>
                    </w:tc>
                    <w:tc>
                      <w:tcPr>
                        <w:tcW w:w="850" w:type="dxa"/>
                      </w:tcPr>
                      <w:p>
                        <w:pPr>
                          <w:rPr>
                            <w:iCs/>
                            <w:szCs w:val="24"/>
                          </w:rPr>
                        </w:pPr>
                        <w:r>
                          <w:rPr>
                            <w:iCs/>
                            <w:szCs w:val="24"/>
                          </w:rPr>
                          <w:t>3</w:t>
                        </w:r>
                      </w:p>
                    </w:tc>
                    <w:tc>
                      <w:tcPr>
                        <w:tcW w:w="851" w:type="dxa"/>
                      </w:tcPr>
                      <w:p>
                        <w:pPr>
                          <w:rPr>
                            <w:iCs/>
                            <w:szCs w:val="24"/>
                          </w:rPr>
                        </w:pPr>
                        <w:r>
                          <w:rPr>
                            <w:iCs/>
                            <w:szCs w:val="24"/>
                          </w:rPr>
                          <w:t>3</w:t>
                        </w:r>
                      </w:p>
                    </w:tc>
                    <w:tc>
                      <w:tcPr>
                        <w:tcW w:w="850" w:type="dxa"/>
                      </w:tcPr>
                      <w:p>
                        <w:pPr>
                          <w:rPr>
                            <w:iCs/>
                            <w:szCs w:val="24"/>
                          </w:rPr>
                        </w:pPr>
                        <w:r>
                          <w:rPr>
                            <w:iCs/>
                            <w:szCs w:val="24"/>
                          </w:rPr>
                          <w:t>6</w:t>
                        </w:r>
                      </w:p>
                    </w:tc>
                    <w:tc>
                      <w:tcPr>
                        <w:tcW w:w="992" w:type="dxa"/>
                      </w:tcPr>
                      <w:p>
                        <w:pPr>
                          <w:rPr>
                            <w:szCs w:val="24"/>
                          </w:rPr>
                        </w:pPr>
                        <w:r>
                          <w:rPr>
                            <w:szCs w:val="24"/>
                          </w:rPr>
                          <w:t>80 SB</w:t>
                        </w:r>
                      </w:p>
                    </w:tc>
                    <w:tc>
                      <w:tcPr>
                        <w:tcW w:w="993" w:type="dxa"/>
                      </w:tcPr>
                      <w:p>
                        <w:pPr>
                          <w:rPr>
                            <w:szCs w:val="24"/>
                          </w:rPr>
                        </w:pPr>
                        <w:r>
                          <w:rPr>
                            <w:szCs w:val="24"/>
                          </w:rPr>
                          <w:t>79,683 SB</w:t>
                        </w:r>
                      </w:p>
                    </w:tc>
                    <w:tc>
                      <w:tcPr>
                        <w:tcW w:w="5528" w:type="dxa"/>
                      </w:tcPr>
                      <w:p>
                        <w:pPr>
                          <w:rPr>
                            <w:color w:val="000000"/>
                            <w:szCs w:val="24"/>
                          </w:rPr>
                        </w:pPr>
                        <w:r>
                          <w:rPr>
                            <w:color w:val="000000"/>
                            <w:szCs w:val="24"/>
                          </w:rPr>
                          <w:t xml:space="preserve">Vykdytas pažangos finansavimas naujiems investiciniams projektams, galimybių studijoms, TP rengimui ir kitoms  paslaugoms (Investicijų ir turto valdymo skyrius).</w:t>
                        </w:r>
                      </w:p>
                    </w:tc>
                  </w:tr>
                  <w:tr>
                    <w:trPr>
                      <w:trHeight w:val="292"/>
                    </w:trPr>
                    <w:tc>
                      <w:tcPr>
                        <w:tcW w:w="15310" w:type="dxa"/>
                        <w:gridSpan w:val="8"/>
                      </w:tcPr>
                      <w:p>
                        <w:pPr>
                          <w:rPr>
                            <w:iCs/>
                            <w:szCs w:val="24"/>
                          </w:rPr>
                        </w:pPr>
                        <w:r>
                          <w:rPr>
                            <w:bCs/>
                            <w:szCs w:val="24"/>
                          </w:rPr>
                          <w:t xml:space="preserve">2.2. </w:t>
                        </w:r>
                        <w:r>
                          <w:rPr>
                            <w:color w:val="000000"/>
                            <w:szCs w:val="24"/>
                          </w:rPr>
                          <w:t xml:space="preserve">Uždavinys: </w:t>
                        </w:r>
                        <w:r>
                          <w:rPr>
                            <w:bCs/>
                            <w:szCs w:val="24"/>
                          </w:rPr>
                          <w:t>Didinti miesto ir kaimo gyvenamųjų erdvių ir kraštovaizdžio patrauklumą</w:t>
                        </w:r>
                        <w:r>
                          <w:rPr>
                            <w:b/>
                            <w:szCs w:val="24"/>
                          </w:rPr>
                          <w:t>.</w:t>
                        </w:r>
                      </w:p>
                    </w:tc>
                  </w:tr>
                  <w:tr>
                    <w:trPr>
                      <w:trHeight w:val="616"/>
                    </w:trPr>
                    <w:tc>
                      <w:tcPr>
                        <w:tcW w:w="4395" w:type="dxa"/>
                      </w:tcPr>
                      <w:p>
                        <w:pPr>
                          <w:tabs>
                            <w:tab w:val="left" w:pos="825"/>
                          </w:tabs>
                          <w:rPr>
                            <w:szCs w:val="24"/>
                          </w:rPr>
                        </w:pPr>
                        <w:r>
                          <w:rPr>
                            <w:szCs w:val="24"/>
                          </w:rPr>
                          <w:t>10.1.5.1. Alksniupių krašto skvero įrengimas. (SVP 4-2-2-05)</w:t>
                        </w:r>
                      </w:p>
                    </w:tc>
                    <w:tc>
                      <w:tcPr>
                        <w:tcW w:w="851" w:type="dxa"/>
                      </w:tcPr>
                      <w:p>
                        <w:pPr>
                          <w:rPr>
                            <w:iCs/>
                            <w:szCs w:val="24"/>
                          </w:rPr>
                        </w:pPr>
                        <w:r>
                          <w:rPr>
                            <w:szCs w:val="24"/>
                          </w:rPr>
                          <w:t>1 vnt.</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szCs w:val="24"/>
                          </w:rPr>
                        </w:pPr>
                        <w:r>
                          <w:rPr>
                            <w:iCs/>
                            <w:szCs w:val="24"/>
                          </w:rPr>
                          <w:t>1 vnt.</w:t>
                        </w:r>
                      </w:p>
                    </w:tc>
                    <w:tc>
                      <w:tcPr>
                        <w:tcW w:w="992" w:type="dxa"/>
                      </w:tcPr>
                      <w:p>
                        <w:pPr>
                          <w:rPr>
                            <w:iCs/>
                            <w:szCs w:val="24"/>
                          </w:rPr>
                        </w:pPr>
                        <w:r>
                          <w:rPr>
                            <w:iCs/>
                            <w:szCs w:val="24"/>
                          </w:rPr>
                          <w:t>13,5 SB</w:t>
                        </w:r>
                      </w:p>
                    </w:tc>
                    <w:tc>
                      <w:tcPr>
                        <w:tcW w:w="993" w:type="dxa"/>
                      </w:tcPr>
                      <w:p>
                        <w:pPr>
                          <w:rPr>
                            <w:iCs/>
                            <w:szCs w:val="24"/>
                          </w:rPr>
                        </w:pPr>
                        <w:r>
                          <w:rPr>
                            <w:iCs/>
                            <w:szCs w:val="24"/>
                          </w:rPr>
                          <w:t>13,5 SB</w:t>
                        </w:r>
                      </w:p>
                    </w:tc>
                    <w:tc>
                      <w:tcPr>
                        <w:tcW w:w="5528" w:type="dxa"/>
                      </w:tcPr>
                      <w:p>
                        <w:pPr>
                          <w:rPr>
                            <w:iCs/>
                            <w:szCs w:val="24"/>
                          </w:rPr>
                        </w:pPr>
                        <w:r>
                          <w:rPr>
                            <w:iCs/>
                            <w:szCs w:val="24"/>
                          </w:rPr>
                          <w:t>Objekto statyba baigta</w:t>
                        </w:r>
                      </w:p>
                      <w:p>
                        <w:pPr>
                          <w:rPr>
                            <w:iCs/>
                            <w:szCs w:val="24"/>
                          </w:rPr>
                        </w:pPr>
                        <w:r>
                          <w:rPr>
                            <w:iCs/>
                            <w:szCs w:val="24"/>
                          </w:rPr>
                          <w:t>(Statybos ir viešosios tvarkos skyrius)</w:t>
                        </w:r>
                      </w:p>
                    </w:tc>
                  </w:tr>
                  <w:tr>
                    <w:trPr>
                      <w:trHeight w:val="363"/>
                    </w:trPr>
                    <w:tc>
                      <w:tcPr>
                        <w:tcW w:w="15310" w:type="dxa"/>
                        <w:gridSpan w:val="8"/>
                      </w:tcPr>
                      <w:p>
                        <w:pPr>
                          <w:rPr>
                            <w:iCs/>
                            <w:szCs w:val="24"/>
                          </w:rPr>
                        </w:pPr>
                        <w:r>
                          <w:rPr>
                            <w:szCs w:val="24"/>
                          </w:rPr>
                          <w:t>2.3. Uždavinys: Verslo aplinkos gerinimas ir konkurencingumo skatinimas.</w:t>
                        </w:r>
                      </w:p>
                    </w:tc>
                  </w:tr>
                  <w:tr>
                    <w:trPr>
                      <w:trHeight w:val="616"/>
                    </w:trPr>
                    <w:tc>
                      <w:tcPr>
                        <w:tcW w:w="4395" w:type="dxa"/>
                      </w:tcPr>
                      <w:p>
                        <w:pPr>
                          <w:tabs>
                            <w:tab w:val="left" w:pos="825"/>
                          </w:tabs>
                          <w:rPr>
                            <w:szCs w:val="24"/>
                          </w:rPr>
                        </w:pPr>
                        <w:r>
                          <w:rPr>
                            <w:szCs w:val="24"/>
                          </w:rPr>
                          <w:t>10.1.6.1. Susisiekimo infrastruktūros privažiuojamojo kelio prie investicinių sklypų Vėriškių g. 63 ir Vėriškių g. 66, Šeduvos m. Radviliškio r. sav. tiesimas.</w:t>
                        </w:r>
                      </w:p>
                      <w:p>
                        <w:pPr>
                          <w:tabs>
                            <w:tab w:val="left" w:pos="825"/>
                          </w:tabs>
                          <w:rPr>
                            <w:szCs w:val="24"/>
                          </w:rPr>
                        </w:pPr>
                        <w:r>
                          <w:rPr>
                            <w:szCs w:val="24"/>
                          </w:rPr>
                          <w:t>Nutiesta naujų kelių. (SVP 4-4-1-02)</w:t>
                        </w:r>
                      </w:p>
                    </w:tc>
                    <w:tc>
                      <w:tcPr>
                        <w:tcW w:w="851" w:type="dxa"/>
                      </w:tcPr>
                      <w:p>
                        <w:pPr>
                          <w:rPr>
                            <w:iCs/>
                            <w:szCs w:val="24"/>
                          </w:rPr>
                        </w:pPr>
                        <w:r>
                          <w:rPr>
                            <w:szCs w:val="24"/>
                          </w:rPr>
                          <w:t>0,8 km</w:t>
                        </w:r>
                      </w:p>
                    </w:tc>
                    <w:tc>
                      <w:tcPr>
                        <w:tcW w:w="850" w:type="dxa"/>
                      </w:tcPr>
                      <w:p>
                        <w:pPr>
                          <w:rPr>
                            <w:iCs/>
                            <w:szCs w:val="24"/>
                          </w:rPr>
                        </w:pPr>
                        <w:r>
                          <w:rPr>
                            <w:i/>
                            <w:szCs w:val="24"/>
                          </w:rPr>
                          <w:t>-</w:t>
                        </w:r>
                      </w:p>
                    </w:tc>
                    <w:tc>
                      <w:tcPr>
                        <w:tcW w:w="851" w:type="dxa"/>
                      </w:tcPr>
                      <w:p>
                        <w:pPr>
                          <w:rPr>
                            <w:iCs/>
                            <w:szCs w:val="24"/>
                          </w:rPr>
                        </w:pPr>
                        <w:r>
                          <w:rPr>
                            <w:i/>
                            <w:szCs w:val="24"/>
                          </w:rPr>
                          <w:t>-</w:t>
                        </w:r>
                      </w:p>
                    </w:tc>
                    <w:tc>
                      <w:tcPr>
                        <w:tcW w:w="850" w:type="dxa"/>
                      </w:tcPr>
                      <w:p>
                        <w:pPr>
                          <w:rPr>
                            <w:iCs/>
                            <w:szCs w:val="24"/>
                          </w:rPr>
                        </w:pPr>
                        <w:r>
                          <w:rPr>
                            <w:iCs/>
                            <w:szCs w:val="24"/>
                          </w:rPr>
                          <w:t>0,8</w:t>
                        </w:r>
                      </w:p>
                    </w:tc>
                    <w:tc>
                      <w:tcPr>
                        <w:tcW w:w="992" w:type="dxa"/>
                      </w:tcPr>
                      <w:p>
                        <w:pPr>
                          <w:rPr>
                            <w:szCs w:val="24"/>
                          </w:rPr>
                        </w:pPr>
                        <w:r>
                          <w:rPr>
                            <w:szCs w:val="24"/>
                          </w:rPr>
                          <w:t>50 SB</w:t>
                        </w:r>
                      </w:p>
                      <w:p>
                        <w:pPr>
                          <w:rPr>
                            <w:szCs w:val="24"/>
                          </w:rPr>
                        </w:pPr>
                        <w:r>
                          <w:rPr>
                            <w:szCs w:val="24"/>
                          </w:rPr>
                          <w:t>2 700 VB</w:t>
                        </w:r>
                      </w:p>
                    </w:tc>
                    <w:tc>
                      <w:tcPr>
                        <w:tcW w:w="993" w:type="dxa"/>
                      </w:tcPr>
                      <w:p>
                        <w:pPr>
                          <w:rPr>
                            <w:iCs/>
                            <w:szCs w:val="24"/>
                          </w:rPr>
                        </w:pPr>
                        <w:r>
                          <w:rPr>
                            <w:iCs/>
                            <w:szCs w:val="24"/>
                          </w:rPr>
                          <w:t>1 900 VB</w:t>
                        </w:r>
                      </w:p>
                    </w:tc>
                    <w:tc>
                      <w:tcPr>
                        <w:tcW w:w="5528" w:type="dxa"/>
                      </w:tcPr>
                      <w:p>
                        <w:pPr>
                          <w:rPr>
                            <w:iCs/>
                            <w:szCs w:val="24"/>
                          </w:rPr>
                        </w:pPr>
                        <w:r>
                          <w:rPr>
                            <w:iCs/>
                            <w:szCs w:val="24"/>
                          </w:rPr>
                          <w:t>(Statybos ir viešosios tvarkos skyrius)</w:t>
                        </w:r>
                      </w:p>
                    </w:tc>
                  </w:tr>
                  <w:tr>
                    <w:trPr>
                      <w:trHeight w:val="341"/>
                    </w:trPr>
                    <w:tc>
                      <w:tcPr>
                        <w:tcW w:w="15310" w:type="dxa"/>
                        <w:gridSpan w:val="8"/>
                      </w:tcPr>
                      <w:p>
                        <w:pPr>
                          <w:rPr>
                            <w:szCs w:val="24"/>
                          </w:rPr>
                        </w:pPr>
                        <w:r>
                          <w:rPr>
                            <w:szCs w:val="24"/>
                          </w:rPr>
                          <w:t>3. Tikslas: Gyventojų sveikatos gerinimas, psichinės ir fizinės sveikatos stiprinimas.</w:t>
                        </w:r>
                      </w:p>
                    </w:tc>
                  </w:tr>
                  <w:tr>
                    <w:trPr>
                      <w:trHeight w:val="290"/>
                    </w:trPr>
                    <w:tc>
                      <w:tcPr>
                        <w:tcW w:w="15310" w:type="dxa"/>
                        <w:gridSpan w:val="8"/>
                      </w:tcPr>
                      <w:p>
                        <w:pPr>
                          <w:rPr>
                            <w:szCs w:val="24"/>
                          </w:rPr>
                        </w:pPr>
                        <w:r>
                          <w:rPr>
                            <w:szCs w:val="24"/>
                          </w:rPr>
                          <w:t>3.1. Uždavinys: Užtikrinti vienodas galimybes naudotis sveikatos priežiūros paslaugomis.</w:t>
                        </w:r>
                      </w:p>
                    </w:tc>
                  </w:tr>
                  <w:tr>
                    <w:trPr>
                      <w:trHeight w:val="616"/>
                    </w:trPr>
                    <w:tc>
                      <w:tcPr>
                        <w:tcW w:w="4395" w:type="dxa"/>
                      </w:tcPr>
                      <w:p>
                        <w:pPr>
                          <w:ind w:left="-108"/>
                          <w:rPr>
                            <w:color w:val="000000"/>
                            <w:szCs w:val="24"/>
                          </w:rPr>
                        </w:pPr>
                        <w:r>
                          <w:rPr>
                            <w:color w:val="000000"/>
                            <w:szCs w:val="24"/>
                          </w:rPr>
                          <w:t xml:space="preserve">Rodiklis: P-04-03-01-03 Sukurtų ilgalaikės priežiūros specialistų komandų, teikiančių paslaugas gyventojų namuose, skaičius </w:t>
                        </w:r>
                      </w:p>
                      <w:p>
                        <w:pPr>
                          <w:rPr>
                            <w:bCs/>
                            <w:szCs w:val="24"/>
                          </w:rPr>
                        </w:pPr>
                      </w:p>
                    </w:tc>
                    <w:tc>
                      <w:tcPr>
                        <w:tcW w:w="851" w:type="dxa"/>
                      </w:tcPr>
                      <w:p>
                        <w:pPr>
                          <w:ind w:left="-108"/>
                          <w:rPr>
                            <w:color w:val="000000"/>
                            <w:szCs w:val="24"/>
                          </w:rPr>
                        </w:pPr>
                        <w:r>
                          <w:rPr>
                            <w:color w:val="000000"/>
                            <w:szCs w:val="24"/>
                          </w:rPr>
                          <w:t>1 vnt.</w:t>
                        </w:r>
                      </w:p>
                      <w:p>
                        <w:pPr>
                          <w:rPr>
                            <w:iCs/>
                            <w:szCs w:val="24"/>
                          </w:rPr>
                        </w:pPr>
                      </w:p>
                    </w:tc>
                    <w:tc>
                      <w:tcPr>
                        <w:tcW w:w="850" w:type="dxa"/>
                      </w:tcPr>
                      <w:p>
                        <w:pPr>
                          <w:rPr>
                            <w:iCs/>
                            <w:szCs w:val="24"/>
                          </w:rPr>
                        </w:pPr>
                      </w:p>
                    </w:tc>
                    <w:tc>
                      <w:tcPr>
                        <w:tcW w:w="851" w:type="dxa"/>
                      </w:tcPr>
                      <w:p>
                        <w:pPr>
                          <w:rPr>
                            <w:iCs/>
                            <w:szCs w:val="24"/>
                          </w:rPr>
                        </w:pPr>
                      </w:p>
                    </w:tc>
                    <w:tc>
                      <w:tcPr>
                        <w:tcW w:w="850" w:type="dxa"/>
                      </w:tcPr>
                      <w:p>
                        <w:pPr>
                          <w:rPr>
                            <w:iCs/>
                            <w:szCs w:val="24"/>
                          </w:rPr>
                        </w:pPr>
                        <w:r>
                          <w:rPr>
                            <w:szCs w:val="24"/>
                          </w:rPr>
                          <w:t>4</w:t>
                        </w:r>
                      </w:p>
                    </w:tc>
                    <w:tc>
                      <w:tcPr>
                        <w:tcW w:w="992" w:type="dxa"/>
                      </w:tcPr>
                      <w:p>
                        <w:pPr>
                          <w:rPr>
                            <w:color w:val="000000"/>
                            <w:szCs w:val="24"/>
                          </w:rPr>
                        </w:pPr>
                        <w:r>
                          <w:rPr>
                            <w:color w:val="000000"/>
                            <w:szCs w:val="24"/>
                          </w:rPr>
                          <w:t>731,1 ES</w:t>
                        </w:r>
                      </w:p>
                      <w:p>
                        <w:pPr>
                          <w:rPr>
                            <w:color w:val="000000"/>
                            <w:szCs w:val="24"/>
                          </w:rPr>
                        </w:pPr>
                        <w:r>
                          <w:rPr>
                            <w:color w:val="000000"/>
                            <w:szCs w:val="24"/>
                          </w:rPr>
                          <w:t>101,5 VB</w:t>
                        </w:r>
                      </w:p>
                      <w:p>
                        <w:pPr>
                          <w:rPr>
                            <w:szCs w:val="24"/>
                          </w:rPr>
                        </w:pPr>
                        <w:r>
                          <w:rPr>
                            <w:szCs w:val="24"/>
                          </w:rPr>
                          <w:t>206,9 SB</w:t>
                        </w:r>
                      </w:p>
                    </w:tc>
                    <w:tc>
                      <w:tcPr>
                        <w:tcW w:w="993" w:type="dxa"/>
                      </w:tcPr>
                      <w:p>
                        <w:pPr>
                          <w:rPr>
                            <w:color w:val="000000"/>
                            <w:szCs w:val="24"/>
                          </w:rPr>
                        </w:pPr>
                        <w:r>
                          <w:rPr>
                            <w:color w:val="000000"/>
                            <w:szCs w:val="24"/>
                          </w:rPr>
                          <w:t>396,114 ES</w:t>
                        </w:r>
                      </w:p>
                      <w:p>
                        <w:pPr>
                          <w:rPr>
                            <w:color w:val="000000"/>
                            <w:szCs w:val="24"/>
                          </w:rPr>
                        </w:pPr>
                        <w:r>
                          <w:rPr>
                            <w:color w:val="000000"/>
                            <w:szCs w:val="24"/>
                          </w:rPr>
                          <w:t>47,958 VB</w:t>
                        </w:r>
                      </w:p>
                      <w:p>
                        <w:pPr>
                          <w:rPr>
                            <w:color w:val="000000"/>
                            <w:szCs w:val="24"/>
                          </w:rPr>
                        </w:pPr>
                        <w:r>
                          <w:rPr>
                            <w:color w:val="000000"/>
                            <w:szCs w:val="24"/>
                          </w:rPr>
                          <w:t>38,863SB</w:t>
                        </w:r>
                      </w:p>
                      <w:p>
                        <w:pPr>
                          <w:rPr>
                            <w:szCs w:val="24"/>
                          </w:rPr>
                        </w:pPr>
                      </w:p>
                    </w:tc>
                    <w:tc>
                      <w:tcPr>
                        <w:tcW w:w="5528" w:type="dxa"/>
                      </w:tcPr>
                      <w:p>
                        <w:pPr>
                          <w:rPr>
                            <w:szCs w:val="24"/>
                          </w:rPr>
                        </w:pPr>
                        <w:r>
                          <w:rPr>
                            <w:color w:val="000000"/>
                            <w:szCs w:val="24"/>
                          </w:rPr>
                          <w:t xml:space="preserve">Projektų „Radviliškio </w:t>
                        </w:r>
                        <w:r>
                          <w:rPr>
                            <w:bCs/>
                            <w:szCs w:val="24"/>
                          </w:rPr>
                          <w:t xml:space="preserve">rajono pirminės sveikatos priežiūros centro mobiliosios komandos aprūpinimas įranga ir transporto priemone“ Nr. </w:t>
                        </w:r>
                        <w:r>
                          <w:rPr>
                            <w:color w:val="000000"/>
                            <w:szCs w:val="24"/>
                          </w:rPr>
                          <w:t>09-010-P-0002</w:t>
                        </w:r>
                        <w:r>
                          <w:rPr>
                            <w:szCs w:val="24"/>
                          </w:rPr>
                          <w:t xml:space="preserve"> ir „</w:t>
                        </w:r>
                        <w:r>
                          <w:rPr>
                            <w:szCs w:val="24"/>
                            <w:shd w:val="clear" w:color="auto" w:fill="FFFFFF"/>
                          </w:rPr>
                          <w:t>Mobiliųjų komandų aprūpinimas darbui reikalinga įranga ir priemonių komplektais bei automobiliais Radviliškio rajone“ Nr.  26-537-P-0001</w:t>
                        </w:r>
                        <w:r>
                          <w:rPr>
                            <w:szCs w:val="24"/>
                          </w:rPr>
                          <w:t xml:space="preserve"> įgyvendinimo metu įsigyti keturi elektromobiliai, keturios elektromobilių įkrovimo stotelės, reikiama įranga. Įgyvendinami projektai: „Radviliškio rajono sveikatos centro teikiamų sveikatos priežiūros paslaugų kokybės ir prieinamumo gerinimas“ Nr. 09-023-P-0006 ir „Sveikatos centro sudėtyje teikiamų sveikatos priežiūros paslaugų infrastruktūros modernizavimas Radviliškio rajone“ Nr. 09-022-P-0009 (Investicijų ir turto valdymo skyrius).</w:t>
                        </w:r>
                      </w:p>
                    </w:tc>
                  </w:tr>
                  <w:tr>
                    <w:trPr>
                      <w:trHeight w:val="319"/>
                    </w:trPr>
                    <w:tc>
                      <w:tcPr>
                        <w:tcW w:w="15310" w:type="dxa"/>
                        <w:gridSpan w:val="8"/>
                      </w:tcPr>
                      <w:p>
                        <w:pPr>
                          <w:rPr>
                            <w:color w:val="000000"/>
                            <w:szCs w:val="24"/>
                          </w:rPr>
                        </w:pPr>
                        <w:r>
                          <w:rPr>
                            <w:color w:val="000000"/>
                            <w:szCs w:val="24"/>
                          </w:rPr>
                          <w:t>4.Tikslas: Socialinės pagalbos prieinamumo didinimas, socialinės atsakomybės stiprinimas</w:t>
                        </w:r>
                      </w:p>
                    </w:tc>
                  </w:tr>
                  <w:tr>
                    <w:trPr>
                      <w:trHeight w:val="282"/>
                    </w:trPr>
                    <w:tc>
                      <w:tcPr>
                        <w:tcW w:w="15310" w:type="dxa"/>
                        <w:gridSpan w:val="8"/>
                      </w:tcPr>
                      <w:p>
                        <w:pPr>
                          <w:rPr>
                            <w:color w:val="000000"/>
                            <w:szCs w:val="24"/>
                          </w:rPr>
                        </w:pPr>
                        <w:r>
                          <w:rPr>
                            <w:color w:val="000000"/>
                            <w:szCs w:val="24"/>
                          </w:rPr>
                          <w:t>4.1. Uždavinys: Didinti socialinę integraciją, mažinti atskirtį</w:t>
                        </w:r>
                      </w:p>
                    </w:tc>
                  </w:tr>
                  <w:tr>
                    <w:trPr>
                      <w:trHeight w:val="616"/>
                    </w:trPr>
                    <w:tc>
                      <w:tcPr>
                        <w:tcW w:w="4395" w:type="dxa"/>
                      </w:tcPr>
                      <w:p>
                        <w:pPr>
                          <w:ind w:left="-108"/>
                          <w:rPr>
                            <w:color w:val="000000"/>
                            <w:szCs w:val="24"/>
                          </w:rPr>
                        </w:pPr>
                        <w:r>
                          <w:rPr>
                            <w:color w:val="000000"/>
                            <w:szCs w:val="24"/>
                          </w:rPr>
                          <w:t xml:space="preserve">P-04-05-01-02 Rodiklis: Naujų arba modernizuotų socialinių būstų naudotojų skaičius per metus </w:t>
                        </w:r>
                      </w:p>
                    </w:tc>
                    <w:tc>
                      <w:tcPr>
                        <w:tcW w:w="851" w:type="dxa"/>
                      </w:tcPr>
                      <w:p>
                        <w:pPr>
                          <w:ind w:left="-108"/>
                          <w:rPr>
                            <w:color w:val="000000"/>
                            <w:szCs w:val="24"/>
                          </w:rPr>
                        </w:pPr>
                        <w:r>
                          <w:rPr>
                            <w:color w:val="000000"/>
                            <w:szCs w:val="24"/>
                          </w:rPr>
                          <w:t xml:space="preserve">26 asm. </w:t>
                        </w:r>
                      </w:p>
                    </w:tc>
                    <w:tc>
                      <w:tcPr>
                        <w:tcW w:w="850" w:type="dxa"/>
                      </w:tcPr>
                      <w:p>
                        <w:pPr>
                          <w:rPr>
                            <w:iCs/>
                            <w:szCs w:val="24"/>
                          </w:rPr>
                        </w:pPr>
                      </w:p>
                    </w:tc>
                    <w:tc>
                      <w:tcPr>
                        <w:tcW w:w="851" w:type="dxa"/>
                      </w:tcPr>
                      <w:p>
                        <w:pPr>
                          <w:rPr>
                            <w:iCs/>
                            <w:szCs w:val="24"/>
                          </w:rPr>
                        </w:pPr>
                      </w:p>
                    </w:tc>
                    <w:tc>
                      <w:tcPr>
                        <w:tcW w:w="850" w:type="dxa"/>
                      </w:tcPr>
                      <w:p>
                        <w:pPr>
                          <w:rPr>
                            <w:szCs w:val="24"/>
                          </w:rPr>
                        </w:pPr>
                        <w:r>
                          <w:rPr>
                            <w:color w:val="000000"/>
                            <w:szCs w:val="24"/>
                          </w:rPr>
                          <w:t xml:space="preserve">5 </w:t>
                        </w:r>
                        <w:r>
                          <w:rPr>
                            <w:szCs w:val="24"/>
                          </w:rPr>
                          <w:t>asm.</w:t>
                        </w:r>
                      </w:p>
                    </w:tc>
                    <w:tc>
                      <w:tcPr>
                        <w:tcW w:w="992" w:type="dxa"/>
                      </w:tcPr>
                      <w:p>
                        <w:pPr>
                          <w:rPr>
                            <w:color w:val="000000"/>
                            <w:szCs w:val="24"/>
                          </w:rPr>
                        </w:pPr>
                        <w:r>
                          <w:rPr>
                            <w:color w:val="000000"/>
                            <w:szCs w:val="24"/>
                          </w:rPr>
                          <w:t>218,6 ES</w:t>
                        </w:r>
                      </w:p>
                      <w:p>
                        <w:pPr>
                          <w:rPr>
                            <w:color w:val="000000"/>
                            <w:szCs w:val="24"/>
                          </w:rPr>
                        </w:pPr>
                        <w:r>
                          <w:rPr>
                            <w:color w:val="000000"/>
                            <w:szCs w:val="24"/>
                          </w:rPr>
                          <w:t>160 SB</w:t>
                        </w:r>
                      </w:p>
                    </w:tc>
                    <w:tc>
                      <w:tcPr>
                        <w:tcW w:w="993" w:type="dxa"/>
                      </w:tcPr>
                      <w:p>
                        <w:pPr>
                          <w:rPr>
                            <w:szCs w:val="24"/>
                          </w:rPr>
                        </w:pPr>
                        <w:r>
                          <w:rPr>
                            <w:szCs w:val="24"/>
                          </w:rPr>
                          <w:t>42,492 ES</w:t>
                        </w:r>
                      </w:p>
                      <w:p>
                        <w:pPr>
                          <w:rPr>
                            <w:szCs w:val="24"/>
                          </w:rPr>
                        </w:pPr>
                        <w:r>
                          <w:rPr>
                            <w:szCs w:val="24"/>
                          </w:rPr>
                          <w:t>7,537 SB</w:t>
                        </w:r>
                      </w:p>
                      <w:p>
                        <w:pPr>
                          <w:rPr>
                            <w:color w:val="000000"/>
                            <w:szCs w:val="24"/>
                          </w:rPr>
                        </w:pPr>
                      </w:p>
                    </w:tc>
                    <w:tc>
                      <w:tcPr>
                        <w:tcW w:w="5528" w:type="dxa"/>
                      </w:tcPr>
                      <w:p>
                        <w:pPr>
                          <w:rPr>
                            <w:color w:val="000000"/>
                            <w:szCs w:val="24"/>
                          </w:rPr>
                        </w:pPr>
                        <w:r>
                          <w:rPr>
                            <w:color w:val="000000"/>
                            <w:szCs w:val="24"/>
                          </w:rPr>
                          <w:t>Projektas „Socialinio būsto fondo plėtra Radviliškio rajono savivaldybėje“ Nr. 26-402-P-0001. Nupirktas vienas trijų kambarių butas Radviliškyje. Radviliškio būsto pardavimo rinkoje trūksta ne žemesnės kaip C energetinio naudingumo klasės būstų, kurie atitiktų projekto keliamus reikalavimus (Investicijų ir turto valdymo skyrius)</w:t>
                        </w:r>
                      </w:p>
                    </w:tc>
                  </w:tr>
                  <w:tr>
                    <w:trPr>
                      <w:trHeight w:val="616"/>
                    </w:trPr>
                    <w:tc>
                      <w:tcPr>
                        <w:tcW w:w="4395" w:type="dxa"/>
                      </w:tcPr>
                      <w:p>
                        <w:pPr>
                          <w:rPr>
                            <w:color w:val="000000"/>
                            <w:szCs w:val="24"/>
                          </w:rPr>
                        </w:pPr>
                        <w:r>
                          <w:rPr>
                            <w:color w:val="000000"/>
                            <w:szCs w:val="24"/>
                          </w:rPr>
                          <w:t xml:space="preserve">P-04-05-01-03 Rodiklis: Naujų arba modernizuotų socialinių būstų naudotojų skaičius per metus </w:t>
                        </w:r>
                      </w:p>
                    </w:tc>
                    <w:tc>
                      <w:tcPr>
                        <w:tcW w:w="851" w:type="dxa"/>
                      </w:tcPr>
                      <w:p>
                        <w:pPr>
                          <w:ind w:left="-108"/>
                          <w:rPr>
                            <w:color w:val="000000"/>
                            <w:szCs w:val="24"/>
                          </w:rPr>
                        </w:pPr>
                        <w:r>
                          <w:rPr>
                            <w:color w:val="000000"/>
                            <w:szCs w:val="24"/>
                          </w:rPr>
                          <w:t>4 asm.</w:t>
                        </w:r>
                      </w:p>
                    </w:tc>
                    <w:tc>
                      <w:tcPr>
                        <w:tcW w:w="850" w:type="dxa"/>
                      </w:tcPr>
                      <w:p>
                        <w:pPr>
                          <w:rPr>
                            <w:iCs/>
                            <w:szCs w:val="24"/>
                          </w:rPr>
                        </w:pPr>
                        <w:r>
                          <w:rPr>
                            <w:iCs/>
                            <w:szCs w:val="24"/>
                          </w:rPr>
                          <w:t>3</w:t>
                        </w:r>
                      </w:p>
                    </w:tc>
                    <w:tc>
                      <w:tcPr>
                        <w:tcW w:w="851" w:type="dxa"/>
                      </w:tcPr>
                      <w:p>
                        <w:pPr>
                          <w:rPr>
                            <w:iCs/>
                            <w:szCs w:val="24"/>
                          </w:rPr>
                        </w:pPr>
                        <w:r>
                          <w:rPr>
                            <w:iCs/>
                            <w:szCs w:val="24"/>
                          </w:rPr>
                          <w:t>2</w:t>
                        </w:r>
                      </w:p>
                    </w:tc>
                    <w:tc>
                      <w:tcPr>
                        <w:tcW w:w="850" w:type="dxa"/>
                      </w:tcPr>
                      <w:p>
                        <w:pPr>
                          <w:rPr>
                            <w:szCs w:val="24"/>
                          </w:rPr>
                        </w:pPr>
                        <w:r>
                          <w:rPr>
                            <w:iCs/>
                            <w:szCs w:val="24"/>
                          </w:rPr>
                          <w:t>26</w:t>
                        </w:r>
                        <w:r>
                          <w:rPr>
                            <w:szCs w:val="24"/>
                          </w:rPr>
                          <w:t xml:space="preserve"> asm.</w:t>
                        </w:r>
                      </w:p>
                    </w:tc>
                    <w:tc>
                      <w:tcPr>
                        <w:tcW w:w="992" w:type="dxa"/>
                      </w:tcPr>
                      <w:p>
                        <w:pPr>
                          <w:rPr>
                            <w:color w:val="000000"/>
                            <w:szCs w:val="24"/>
                          </w:rPr>
                        </w:pPr>
                        <w:r>
                          <w:rPr>
                            <w:color w:val="000000"/>
                            <w:szCs w:val="24"/>
                          </w:rPr>
                          <w:t>219,1 SB</w:t>
                        </w:r>
                      </w:p>
                    </w:tc>
                    <w:tc>
                      <w:tcPr>
                        <w:tcW w:w="993" w:type="dxa"/>
                      </w:tcPr>
                      <w:p>
                        <w:pPr>
                          <w:rPr>
                            <w:szCs w:val="24"/>
                          </w:rPr>
                        </w:pPr>
                        <w:r>
                          <w:rPr>
                            <w:szCs w:val="24"/>
                          </w:rPr>
                          <w:t>229,55 SB</w:t>
                        </w:r>
                      </w:p>
                      <w:p>
                        <w:pPr>
                          <w:rPr>
                            <w:color w:val="000000"/>
                            <w:szCs w:val="24"/>
                          </w:rPr>
                        </w:pPr>
                      </w:p>
                    </w:tc>
                    <w:tc>
                      <w:tcPr>
                        <w:tcW w:w="5528" w:type="dxa"/>
                      </w:tcPr>
                      <w:p>
                        <w:pPr>
                          <w:rPr>
                            <w:color w:val="000000"/>
                            <w:szCs w:val="24"/>
                          </w:rPr>
                        </w:pPr>
                        <w:r>
                          <w:rPr>
                            <w:color w:val="000000"/>
                            <w:szCs w:val="24"/>
                          </w:rPr>
                          <w:t>Vykdyta socialinio būsto fondo plėtra</w:t>
                        </w:r>
                      </w:p>
                      <w:p>
                        <w:pPr>
                          <w:rPr>
                            <w:color w:val="000000"/>
                            <w:szCs w:val="24"/>
                          </w:rPr>
                        </w:pPr>
                        <w:r>
                          <w:rPr>
                            <w:color w:val="000000"/>
                            <w:szCs w:val="24"/>
                          </w:rPr>
                          <w:t>(Investicijų ir turto valdymo skyrius)</w:t>
                        </w:r>
                      </w:p>
                    </w:tc>
                  </w:tr>
                </w:tbl>
                <w:p>
                  <w:pPr>
                    <w:suppressAutoHyphens/>
                    <w:textAlignment w:val="baseline"/>
                    <w:rPr>
                      <w:b/>
                      <w:szCs w:val="24"/>
                    </w:rPr>
                  </w:pPr>
                </w:p>
              </w:sdtContent>
            </w:sdt>
            <w:sdt>
              <w:sdtPr>
                <w:alias w:val="poskyris"/>
                <w:tag w:val="part_15002dba935e4cf8aa0301c11ecb3159"/>
                <w:lock w:val="sdtLocked"/>
                <w:richText/>
              </w:sdtPr>
              <w:sdtContent>
                <w:p>
                  <w:pPr>
                    <w:suppressAutoHyphens/>
                    <w:ind w:firstLine="851"/>
                    <w:textAlignment w:val="baseline"/>
                    <w:rPr>
                      <w:b/>
                      <w:szCs w:val="24"/>
                    </w:rPr>
                  </w:pPr>
                  <w:sdt>
                    <w:sdtPr>
                      <w:alias w:val="Pavadinimas"/>
                      <w:tag w:val="title_15002dba935e4cf8aa0301c11ecb3159"/>
                      <w:lock w:val="sdtLocked"/>
                      <w:richText/>
                    </w:sdtPr>
                    <w:sdtContent>
                      <w:r>
                        <w:rPr>
                          <w:b/>
                          <w:szCs w:val="24"/>
                        </w:rPr>
                        <w:t>5 programa. Gyventojų turiningo laisvalaikio užtikrinimo, bendruomeniškumo ir veiklumo skatinimo programa</w:t>
                      </w:r>
                    </w:sdtContent>
                  </w:sdt>
                </w:p>
                <w:p>
                  <w:pPr>
                    <w:suppressAutoHyphens/>
                    <w:ind w:firstLine="851"/>
                    <w:textAlignment w:val="baseline"/>
                    <w:rPr>
                      <w:b/>
                      <w:szCs w:val="24"/>
                    </w:rPr>
                  </w:pPr>
                  <w:r>
                    <w:rPr>
                      <w:szCs w:val="24"/>
                    </w:rPr>
                    <w:t>Įgyvendinant 5 programą siekiama sudaryti palankias sąlygas gyventojams turiningai praleisti laisvalaikį, įgyvendinti bendruomenės kultūrines ir sporto iniciatyvas, plėtoti smulkų ir vidutinį verslą, pritaikyti gamtos, kultūros paveldo ir kitus objektus lankytojams, švietimui, kultūrai, edukacijai bei kitų paslaugų teikimui</w:t>
                  </w:r>
                  <w:r>
                    <w:rPr>
                      <w:b/>
                      <w:szCs w:val="24"/>
                    </w:rPr>
                    <w:t xml:space="preserve">. </w:t>
                  </w:r>
                  <w:r>
                    <w:rPr>
                      <w:bCs/>
                      <w:szCs w:val="24"/>
                    </w:rPr>
                    <w:t>Taip pat siekiama įgyvendinti ne tik SVP tikslus ir uždavinius, bet ir Radviliškio rajono kultūros plėtros strategijoje 2022–2030 m. (toliau KPS) bei Radviliškio rajono turizmo plėtros 2024–2030 metų programoje (toliau TPP) numatytus tikslus ir uždavinius.</w:t>
                  </w:r>
                </w:p>
                <w:p>
                  <w:pPr>
                    <w:tabs>
                      <w:tab w:val="left" w:pos="993"/>
                    </w:tabs>
                    <w:suppressAutoHyphens/>
                    <w:spacing w:line="276" w:lineRule="auto"/>
                    <w:ind w:left="709"/>
                    <w:textAlignment w:val="baseline"/>
                    <w:rPr>
                      <w:rFonts w:eastAsia="Calibri"/>
                      <w:b/>
                      <w:bCs/>
                      <w:i/>
                      <w:color w:val="808080"/>
                      <w:szCs w:val="24"/>
                    </w:rPr>
                  </w:pPr>
                </w:p>
                <w:p>
                  <w:pPr>
                    <w:rPr>
                      <w:bCs/>
                      <w:szCs w:val="24"/>
                    </w:rPr>
                  </w:pPr>
                  <w:r>
                    <w:rPr>
                      <w:b/>
                      <w:szCs w:val="24"/>
                    </w:rPr>
                    <w:t>5 lentelė.</w:t>
                  </w:r>
                  <w:r>
                    <w:rPr>
                      <w:i/>
                      <w:szCs w:val="24"/>
                    </w:rPr>
                    <w:t xml:space="preserve"> </w:t>
                  </w:r>
                  <w:r>
                    <w:rPr>
                      <w:bCs/>
                      <w:szCs w:val="24"/>
                    </w:rPr>
                    <w:t>5 programos strateginių ir (arba) metų veiklos tikslų įgyvendinimo rodikliai</w:t>
                  </w: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993"/>
                    <w:gridCol w:w="850"/>
                    <w:gridCol w:w="851"/>
                    <w:gridCol w:w="850"/>
                    <w:gridCol w:w="992"/>
                    <w:gridCol w:w="993"/>
                    <w:gridCol w:w="5386"/>
                  </w:tblGrid>
                  <w:tr>
                    <w:tc>
                      <w:tcPr>
                        <w:tcW w:w="4253" w:type="dxa"/>
                        <w:vMerge w:val="restart"/>
                        <w:shd w:val="clear" w:color="auto" w:fill="DBE5F1"/>
                        <w:vAlign w:val="center"/>
                      </w:tcPr>
                      <w:p>
                        <w:pPr>
                          <w:rPr>
                            <w:b/>
                            <w:color w:val="000000"/>
                            <w:szCs w:val="24"/>
                          </w:rPr>
                        </w:pPr>
                        <w:r>
                          <w:rPr>
                            <w:b/>
                            <w:color w:val="000000"/>
                            <w:szCs w:val="24"/>
                          </w:rPr>
                          <w:t>Priemonės ir (arba) rodiklio kodas ir pavadinimas</w:t>
                        </w:r>
                      </w:p>
                      <w:p>
                        <w:pPr>
                          <w:rPr>
                            <w:b/>
                            <w:color w:val="000000"/>
                            <w:szCs w:val="24"/>
                          </w:rPr>
                        </w:pPr>
                        <w:r>
                          <w:rPr>
                            <w:b/>
                            <w:color w:val="000000"/>
                            <w:szCs w:val="24"/>
                          </w:rPr>
                          <w:t>(Sąsaja su Savivaldybės planavimo dokumentais)</w:t>
                        </w:r>
                      </w:p>
                    </w:tc>
                    <w:tc>
                      <w:tcPr>
                        <w:tcW w:w="993" w:type="dxa"/>
                        <w:vMerge w:val="restart"/>
                        <w:shd w:val="clear" w:color="auto" w:fill="DBE5F1"/>
                        <w:textDirection w:val="btLr"/>
                        <w:vAlign w:val="center"/>
                      </w:tcPr>
                      <w:p>
                        <w:pPr>
                          <w:ind w:left="113" w:right="113"/>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985" w:type="dxa"/>
                        <w:gridSpan w:val="2"/>
                        <w:shd w:val="clear" w:color="auto" w:fill="DBE5F1"/>
                        <w:vAlign w:val="center"/>
                      </w:tcPr>
                      <w:p>
                        <w:pPr>
                          <w:rPr>
                            <w:b/>
                            <w:color w:val="000000"/>
                            <w:szCs w:val="24"/>
                          </w:rPr>
                        </w:pPr>
                        <w:r>
                          <w:rPr>
                            <w:b/>
                            <w:color w:val="000000"/>
                            <w:szCs w:val="24"/>
                          </w:rPr>
                          <w:t>Finansavimas</w:t>
                        </w:r>
                      </w:p>
                      <w:p>
                        <w:pPr>
                          <w:rPr>
                            <w:b/>
                            <w:color w:val="000000"/>
                            <w:szCs w:val="24"/>
                          </w:rPr>
                        </w:pPr>
                        <w:r>
                          <w:rPr>
                            <w:b/>
                            <w:color w:val="000000"/>
                            <w:szCs w:val="24"/>
                          </w:rPr>
                          <w:t xml:space="preserve">(tūkst. Eur), </w:t>
                        </w:r>
                      </w:p>
                      <w:p>
                        <w:pPr>
                          <w:rPr>
                            <w:b/>
                            <w:color w:val="000000"/>
                            <w:szCs w:val="24"/>
                          </w:rPr>
                        </w:pPr>
                        <w:r>
                          <w:rPr>
                            <w:b/>
                            <w:color w:val="000000"/>
                            <w:szCs w:val="24"/>
                          </w:rPr>
                          <w:t xml:space="preserve">asignavimų šaltinis </w:t>
                        </w:r>
                      </w:p>
                    </w:tc>
                    <w:tc>
                      <w:tcPr>
                        <w:tcW w:w="5386"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rPr>
                      <w:trHeight w:val="1213"/>
                    </w:trPr>
                    <w:tc>
                      <w:tcPr>
                        <w:tcW w:w="4253" w:type="dxa"/>
                        <w:vMerge/>
                        <w:tcBorders>
                          <w:bottom w:val="single" w:sz="4" w:space="0" w:color="auto"/>
                        </w:tcBorders>
                        <w:shd w:val="clear" w:color="auto" w:fill="DBE5F1"/>
                        <w:vAlign w:val="center"/>
                      </w:tcPr>
                      <w:p>
                        <w:pPr>
                          <w:rPr>
                            <w:b/>
                            <w:color w:val="000000"/>
                            <w:szCs w:val="24"/>
                          </w:rPr>
                        </w:pPr>
                      </w:p>
                    </w:tc>
                    <w:tc>
                      <w:tcPr>
                        <w:tcW w:w="993" w:type="dxa"/>
                        <w:vMerge/>
                        <w:tcBorders>
                          <w:bottom w:val="single" w:sz="4" w:space="0" w:color="auto"/>
                        </w:tcBorders>
                        <w:shd w:val="clear" w:color="auto" w:fill="DBE5F1"/>
                        <w:vAlign w:val="center"/>
                      </w:tcPr>
                      <w:p>
                        <w:pPr>
                          <w:rPr>
                            <w:b/>
                            <w:color w:val="000000"/>
                            <w:szCs w:val="24"/>
                          </w:rPr>
                        </w:pPr>
                      </w:p>
                    </w:tc>
                    <w:tc>
                      <w:tcPr>
                        <w:tcW w:w="850" w:type="dxa"/>
                        <w:tcBorders>
                          <w:bottom w:val="single" w:sz="4" w:space="0" w:color="auto"/>
                        </w:tcBorders>
                        <w:shd w:val="clear" w:color="auto" w:fill="DBE5F1"/>
                        <w:vAlign w:val="center"/>
                      </w:tcPr>
                      <w:p>
                        <w:pPr>
                          <w:rPr>
                            <w:b/>
                            <w:color w:val="000000"/>
                            <w:szCs w:val="24"/>
                          </w:rPr>
                        </w:pPr>
                        <w:r>
                          <w:rPr>
                            <w:b/>
                            <w:color w:val="000000"/>
                            <w:szCs w:val="24"/>
                          </w:rPr>
                          <w:t>2023metai</w:t>
                        </w:r>
                      </w:p>
                    </w:tc>
                    <w:tc>
                      <w:tcPr>
                        <w:tcW w:w="851" w:type="dxa"/>
                        <w:tcBorders>
                          <w:bottom w:val="single" w:sz="4" w:space="0" w:color="auto"/>
                        </w:tcBorders>
                        <w:shd w:val="clear" w:color="auto" w:fill="DBE5F1"/>
                        <w:vAlign w:val="center"/>
                      </w:tcPr>
                      <w:p>
                        <w:pPr>
                          <w:rPr>
                            <w:b/>
                            <w:color w:val="000000"/>
                            <w:szCs w:val="24"/>
                          </w:rPr>
                        </w:pPr>
                        <w:r>
                          <w:rPr>
                            <w:b/>
                            <w:color w:val="000000"/>
                            <w:szCs w:val="24"/>
                          </w:rPr>
                          <w:t>2024 metai</w:t>
                        </w:r>
                      </w:p>
                    </w:tc>
                    <w:tc>
                      <w:tcPr>
                        <w:tcW w:w="850" w:type="dxa"/>
                        <w:tcBorders>
                          <w:bottom w:val="single" w:sz="4" w:space="0" w:color="auto"/>
                        </w:tcBorders>
                        <w:shd w:val="clear" w:color="auto" w:fill="DBE5F1"/>
                        <w:vAlign w:val="center"/>
                      </w:tcPr>
                      <w:p>
                        <w:pPr>
                          <w:rPr>
                            <w:b/>
                            <w:color w:val="000000"/>
                            <w:szCs w:val="24"/>
                          </w:rPr>
                        </w:pPr>
                        <w:r>
                          <w:rPr>
                            <w:b/>
                            <w:color w:val="000000"/>
                            <w:szCs w:val="24"/>
                          </w:rPr>
                          <w:t>2025 metai</w:t>
                        </w:r>
                      </w:p>
                    </w:tc>
                    <w:tc>
                      <w:tcPr>
                        <w:tcW w:w="992"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Įvykdymas</w:t>
                        </w:r>
                      </w:p>
                    </w:tc>
                    <w:tc>
                      <w:tcPr>
                        <w:tcW w:w="5386" w:type="dxa"/>
                        <w:vMerge/>
                        <w:tcBorders>
                          <w:bottom w:val="single" w:sz="4" w:space="0" w:color="auto"/>
                        </w:tcBorders>
                        <w:shd w:val="clear" w:color="auto" w:fill="DBE5F1"/>
                        <w:vAlign w:val="center"/>
                      </w:tcPr>
                      <w:p>
                        <w:pPr>
                          <w:rPr>
                            <w:b/>
                            <w:color w:val="000000"/>
                            <w:szCs w:val="24"/>
                          </w:rPr>
                        </w:pPr>
                      </w:p>
                    </w:tc>
                  </w:tr>
                  <w:tr>
                    <w:trPr>
                      <w:trHeight w:val="368"/>
                    </w:trPr>
                    <w:tc>
                      <w:tcPr>
                        <w:tcW w:w="4253" w:type="dxa"/>
                        <w:shd w:val="clear" w:color="auto" w:fill="DBE5F1"/>
                      </w:tcPr>
                      <w:p>
                        <w:pPr>
                          <w:rPr>
                            <w:color w:val="000000"/>
                            <w:szCs w:val="24"/>
                          </w:rPr>
                        </w:pPr>
                        <w:r>
                          <w:rPr>
                            <w:color w:val="000000"/>
                            <w:szCs w:val="24"/>
                          </w:rPr>
                          <w:t>1</w:t>
                        </w:r>
                      </w:p>
                    </w:tc>
                    <w:tc>
                      <w:tcPr>
                        <w:tcW w:w="993" w:type="dxa"/>
                        <w:shd w:val="clear" w:color="auto" w:fill="DBE5F1"/>
                      </w:tcPr>
                      <w:p>
                        <w:pPr>
                          <w:rPr>
                            <w:color w:val="000000"/>
                            <w:szCs w:val="24"/>
                          </w:rPr>
                        </w:pPr>
                        <w:r>
                          <w:rPr>
                            <w:color w:val="000000"/>
                            <w:szCs w:val="24"/>
                          </w:rPr>
                          <w:t>2</w:t>
                        </w:r>
                      </w:p>
                    </w:tc>
                    <w:tc>
                      <w:tcPr>
                        <w:tcW w:w="850" w:type="dxa"/>
                        <w:shd w:val="clear" w:color="auto" w:fill="DBE5F1"/>
                      </w:tcPr>
                      <w:p>
                        <w:pPr>
                          <w:rPr>
                            <w:color w:val="000000"/>
                            <w:szCs w:val="24"/>
                          </w:rPr>
                        </w:pPr>
                        <w:r>
                          <w:rPr>
                            <w:color w:val="000000"/>
                            <w:szCs w:val="24"/>
                          </w:rPr>
                          <w:t>3</w:t>
                        </w:r>
                      </w:p>
                    </w:tc>
                    <w:tc>
                      <w:tcPr>
                        <w:tcW w:w="851" w:type="dxa"/>
                        <w:shd w:val="clear" w:color="auto" w:fill="DBE5F1"/>
                      </w:tcPr>
                      <w:p>
                        <w:pPr>
                          <w:rPr>
                            <w:color w:val="000000"/>
                            <w:szCs w:val="24"/>
                          </w:rPr>
                        </w:pPr>
                        <w:r>
                          <w:rPr>
                            <w:color w:val="000000"/>
                            <w:szCs w:val="24"/>
                          </w:rPr>
                          <w:t>4</w:t>
                        </w:r>
                      </w:p>
                    </w:tc>
                    <w:tc>
                      <w:tcPr>
                        <w:tcW w:w="850" w:type="dxa"/>
                        <w:shd w:val="clear" w:color="auto" w:fill="DBE5F1"/>
                      </w:tcPr>
                      <w:p>
                        <w:pPr>
                          <w:rPr>
                            <w:color w:val="000000"/>
                            <w:szCs w:val="24"/>
                          </w:rPr>
                        </w:pPr>
                        <w:r>
                          <w:rPr>
                            <w:color w:val="000000"/>
                            <w:szCs w:val="24"/>
                          </w:rPr>
                          <w:t>5</w:t>
                        </w:r>
                      </w:p>
                    </w:tc>
                    <w:tc>
                      <w:tcPr>
                        <w:tcW w:w="992" w:type="dxa"/>
                        <w:shd w:val="clear" w:color="auto" w:fill="DBE5F1"/>
                      </w:tcPr>
                      <w:p>
                        <w:pPr>
                          <w:rPr>
                            <w:color w:val="000000"/>
                            <w:szCs w:val="24"/>
                          </w:rPr>
                        </w:pPr>
                        <w:r>
                          <w:rPr>
                            <w:color w:val="000000"/>
                            <w:szCs w:val="24"/>
                          </w:rPr>
                          <w:t>6</w:t>
                        </w:r>
                      </w:p>
                    </w:tc>
                    <w:tc>
                      <w:tcPr>
                        <w:tcW w:w="993" w:type="dxa"/>
                        <w:shd w:val="clear" w:color="auto" w:fill="DBE5F1"/>
                      </w:tcPr>
                      <w:p>
                        <w:pPr>
                          <w:rPr>
                            <w:color w:val="000000"/>
                            <w:szCs w:val="24"/>
                          </w:rPr>
                        </w:pPr>
                        <w:r>
                          <w:rPr>
                            <w:color w:val="000000"/>
                            <w:szCs w:val="24"/>
                          </w:rPr>
                          <w:t>7</w:t>
                        </w:r>
                      </w:p>
                    </w:tc>
                    <w:tc>
                      <w:tcPr>
                        <w:tcW w:w="5386" w:type="dxa"/>
                        <w:shd w:val="clear" w:color="auto" w:fill="DBE5F1"/>
                      </w:tcPr>
                      <w:p>
                        <w:pPr>
                          <w:rPr>
                            <w:color w:val="000000"/>
                            <w:szCs w:val="24"/>
                          </w:rPr>
                        </w:pPr>
                        <w:r>
                          <w:rPr>
                            <w:color w:val="000000"/>
                            <w:szCs w:val="24"/>
                          </w:rPr>
                          <w:t>8</w:t>
                        </w:r>
                      </w:p>
                    </w:tc>
                  </w:tr>
                  <w:tr>
                    <w:trPr>
                      <w:trHeight w:val="365"/>
                    </w:trPr>
                    <w:tc>
                      <w:tcPr>
                        <w:tcW w:w="15168" w:type="dxa"/>
                        <w:gridSpan w:val="8"/>
                      </w:tcPr>
                      <w:p>
                        <w:pPr>
                          <w:rPr>
                            <w:color w:val="000000"/>
                            <w:szCs w:val="24"/>
                          </w:rPr>
                        </w:pPr>
                        <w:r>
                          <w:rPr>
                            <w:color w:val="000000"/>
                            <w:szCs w:val="24"/>
                          </w:rPr>
                          <w:t>1. Tikslas: Ugdyti sąmoningą ir aktyvią rajono bendruomenę</w:t>
                        </w:r>
                      </w:p>
                    </w:tc>
                  </w:tr>
                  <w:tr>
                    <w:trPr>
                      <w:trHeight w:val="365"/>
                    </w:trPr>
                    <w:tc>
                      <w:tcPr>
                        <w:tcW w:w="15168" w:type="dxa"/>
                        <w:gridSpan w:val="8"/>
                      </w:tcPr>
                      <w:p>
                        <w:pPr>
                          <w:rPr>
                            <w:color w:val="000000"/>
                            <w:szCs w:val="24"/>
                          </w:rPr>
                        </w:pPr>
                        <w:r>
                          <w:rPr>
                            <w:color w:val="000000"/>
                            <w:szCs w:val="24"/>
                          </w:rPr>
                          <w:t>1.1. Uždavinys: Gerinti kultūros, turizmo, laisvalaikio paslaugų kokybę, pakankamumą ir pasiekiamumą</w:t>
                        </w:r>
                      </w:p>
                    </w:tc>
                  </w:tr>
                  <w:tr>
                    <w:trPr>
                      <w:trHeight w:val="365"/>
                    </w:trPr>
                    <w:tc>
                      <w:tcPr>
                        <w:tcW w:w="4253" w:type="dxa"/>
                      </w:tcPr>
                      <w:p>
                        <w:pPr>
                          <w:spacing w:line="259" w:lineRule="auto"/>
                          <w:rPr>
                            <w:color w:val="000000"/>
                            <w:szCs w:val="24"/>
                          </w:rPr>
                        </w:pPr>
                        <w:r>
                          <w:rPr>
                            <w:bCs/>
                            <w:szCs w:val="24"/>
                          </w:rPr>
                          <w:t xml:space="preserve">9.1.1.1. Optimalaus kultūros įstaigų tinklo  Radviliškio rajono savivaldybėje užtikrinimas (pagal poreikį).(KPS 2.1.1.1)</w:t>
                        </w:r>
                      </w:p>
                    </w:tc>
                    <w:tc>
                      <w:tcPr>
                        <w:tcW w:w="993" w:type="dxa"/>
                      </w:tcPr>
                      <w:p>
                        <w:pPr>
                          <w:rPr>
                            <w:color w:val="000000"/>
                            <w:szCs w:val="24"/>
                          </w:rPr>
                        </w:pPr>
                        <w:r>
                          <w:rPr>
                            <w:szCs w:val="24"/>
                          </w:rPr>
                          <w:t>100</w:t>
                        </w:r>
                        <w:r>
                          <w:rPr>
                            <w:szCs w:val="24"/>
                            <w:lang w:val="en-US"/>
                          </w:rPr>
                          <w:t>%</w:t>
                        </w:r>
                      </w:p>
                    </w:tc>
                    <w:tc>
                      <w:tcPr>
                        <w:tcW w:w="850" w:type="dxa"/>
                      </w:tcPr>
                      <w:p>
                        <w:pPr>
                          <w:rPr>
                            <w:color w:val="000000"/>
                            <w:szCs w:val="24"/>
                          </w:rPr>
                        </w:pPr>
                        <w:r>
                          <w:rPr>
                            <w:szCs w:val="24"/>
                          </w:rPr>
                          <w:t>-</w:t>
                        </w:r>
                      </w:p>
                    </w:tc>
                    <w:tc>
                      <w:tcPr>
                        <w:tcW w:w="851" w:type="dxa"/>
                      </w:tcPr>
                      <w:p>
                        <w:pPr>
                          <w:rPr>
                            <w:color w:val="000000"/>
                            <w:szCs w:val="24"/>
                          </w:rPr>
                        </w:pPr>
                        <w:r>
                          <w:rPr>
                            <w:szCs w:val="24"/>
                          </w:rPr>
                          <w:t>100%</w:t>
                        </w:r>
                      </w:p>
                    </w:tc>
                    <w:tc>
                      <w:tcPr>
                        <w:tcW w:w="850" w:type="dxa"/>
                      </w:tcPr>
                      <w:p>
                        <w:pPr>
                          <w:rPr>
                            <w:color w:val="000000"/>
                            <w:szCs w:val="24"/>
                          </w:rPr>
                        </w:pPr>
                        <w:r>
                          <w:rPr>
                            <w:szCs w:val="24"/>
                          </w:rPr>
                          <w:t>100</w:t>
                        </w:r>
                        <w:r>
                          <w:rPr>
                            <w:szCs w:val="24"/>
                            <w:lang w:val="en-US"/>
                          </w:rPr>
                          <w:t>%</w:t>
                        </w:r>
                      </w:p>
                    </w:tc>
                    <w:tc>
                      <w:tcPr>
                        <w:tcW w:w="992" w:type="dxa"/>
                      </w:tcPr>
                      <w:p>
                        <w:pPr>
                          <w:rPr>
                            <w:color w:val="000000"/>
                            <w:szCs w:val="24"/>
                          </w:rPr>
                        </w:pPr>
                        <w:r>
                          <w:rPr>
                            <w:szCs w:val="24"/>
                          </w:rPr>
                          <w:t>-</w:t>
                        </w:r>
                      </w:p>
                    </w:tc>
                    <w:tc>
                      <w:tcPr>
                        <w:tcW w:w="993" w:type="dxa"/>
                      </w:tcPr>
                      <w:p>
                        <w:pPr>
                          <w:rPr>
                            <w:color w:val="000000"/>
                            <w:szCs w:val="24"/>
                          </w:rPr>
                        </w:pPr>
                        <w:r>
                          <w:rPr>
                            <w:szCs w:val="24"/>
                          </w:rPr>
                          <w:t>-</w:t>
                        </w:r>
                      </w:p>
                    </w:tc>
                    <w:tc>
                      <w:tcPr>
                        <w:tcW w:w="5386" w:type="dxa"/>
                      </w:tcPr>
                      <w:p>
                        <w:pPr>
                          <w:rPr>
                            <w:szCs w:val="24"/>
                          </w:rPr>
                        </w:pPr>
                        <w:r>
                          <w:rPr>
                            <w:szCs w:val="24"/>
                          </w:rPr>
                          <w:t>Radviliškio rajono savivaldybės etninės kultūros ir amatų centras (Pakiršinio dvaras) nuo 2025 m. spalio 1 d. prijungtas prie Radviliškio miesto kultūros centro ir tapo jo filialu. (Kultūros, paveldosaugos ir turizmo skyrius).</w:t>
                        </w:r>
                      </w:p>
                    </w:tc>
                  </w:tr>
                  <w:tr>
                    <w:trPr>
                      <w:trHeight w:val="20"/>
                    </w:trPr>
                    <w:tc>
                      <w:tcPr>
                        <w:tcW w:w="4252" w:type="dxa"/>
                      </w:tcPr>
                      <w:p>
                        <w:pPr>
                          <w:rPr>
                            <w:bCs/>
                            <w:szCs w:val="24"/>
                          </w:rPr>
                        </w:pPr>
                        <w:r>
                          <w:rPr>
                            <w:bCs/>
                            <w:szCs w:val="24"/>
                          </w:rPr>
                          <w:t>9.1.1.2. Parengtų dokumentų, dėl Savivaldybės finansinio prisidėjimo prie laimėtų projektų Lietuvos kultūros taryboje, skaičius. (SVP 5-1-1-29; KPS 2.2.1.3)</w:t>
                        </w:r>
                      </w:p>
                    </w:tc>
                    <w:tc>
                      <w:tcPr>
                        <w:tcW w:w="993" w:type="dxa"/>
                      </w:tcPr>
                      <w:p>
                        <w:pPr>
                          <w:rPr>
                            <w:color w:val="000000"/>
                            <w:szCs w:val="24"/>
                          </w:rPr>
                        </w:pPr>
                        <w:r>
                          <w:rPr>
                            <w:szCs w:val="24"/>
                          </w:rPr>
                          <w:t>22 vnt.</w:t>
                        </w:r>
                      </w:p>
                    </w:tc>
                    <w:tc>
                      <w:tcPr>
                        <w:tcW w:w="850" w:type="dxa"/>
                      </w:tcPr>
                      <w:p>
                        <w:pPr>
                          <w:rPr>
                            <w:color w:val="000000"/>
                            <w:szCs w:val="24"/>
                          </w:rPr>
                        </w:pPr>
                        <w:r>
                          <w:rPr>
                            <w:szCs w:val="24"/>
                          </w:rPr>
                          <w:t>20 vnt.</w:t>
                        </w:r>
                      </w:p>
                    </w:tc>
                    <w:tc>
                      <w:tcPr>
                        <w:tcW w:w="851" w:type="dxa"/>
                      </w:tcPr>
                      <w:p>
                        <w:pPr>
                          <w:rPr>
                            <w:color w:val="000000"/>
                            <w:szCs w:val="24"/>
                          </w:rPr>
                        </w:pPr>
                        <w:r>
                          <w:rPr>
                            <w:szCs w:val="24"/>
                          </w:rPr>
                          <w:t>21 vnt.</w:t>
                        </w:r>
                      </w:p>
                    </w:tc>
                    <w:tc>
                      <w:tcPr>
                        <w:tcW w:w="850" w:type="dxa"/>
                      </w:tcPr>
                      <w:p>
                        <w:pPr>
                          <w:rPr>
                            <w:color w:val="000000"/>
                            <w:szCs w:val="24"/>
                          </w:rPr>
                        </w:pPr>
                        <w:r>
                          <w:rPr>
                            <w:szCs w:val="24"/>
                          </w:rPr>
                          <w:t xml:space="preserve">19 vnt. </w:t>
                        </w:r>
                      </w:p>
                    </w:tc>
                    <w:tc>
                      <w:tcPr>
                        <w:tcW w:w="992" w:type="dxa"/>
                      </w:tcPr>
                      <w:p>
                        <w:pPr>
                          <w:rPr>
                            <w:color w:val="000000"/>
                            <w:szCs w:val="24"/>
                          </w:rPr>
                        </w:pPr>
                        <w:r>
                          <w:rPr>
                            <w:szCs w:val="24"/>
                          </w:rPr>
                          <w:t>-</w:t>
                        </w:r>
                      </w:p>
                    </w:tc>
                    <w:tc>
                      <w:tcPr>
                        <w:tcW w:w="993" w:type="dxa"/>
                      </w:tcPr>
                      <w:p>
                        <w:pPr>
                          <w:rPr>
                            <w:color w:val="000000"/>
                            <w:szCs w:val="24"/>
                          </w:rPr>
                        </w:pPr>
                        <w:r>
                          <w:rPr>
                            <w:szCs w:val="24"/>
                          </w:rPr>
                          <w:t>-</w:t>
                        </w:r>
                      </w:p>
                    </w:tc>
                    <w:tc>
                      <w:tcPr>
                        <w:tcW w:w="5386" w:type="dxa"/>
                      </w:tcPr>
                      <w:p>
                        <w:pPr>
                          <w:rPr>
                            <w:szCs w:val="24"/>
                          </w:rPr>
                        </w:pPr>
                        <w:r>
                          <w:rPr>
                            <w:szCs w:val="24"/>
                          </w:rPr>
                          <w:t>Kultūros įstaigos gali teikti paraiškas Lietuvos kultūros tarybai tik gavę Savivaldybės finansinį prisidėjimą. (Kultūros, paveldosaugos ir turizmo skyrius).</w:t>
                        </w:r>
                      </w:p>
                    </w:tc>
                  </w:tr>
                  <w:tr>
                    <w:trPr>
                      <w:trHeight w:val="1093"/>
                    </w:trPr>
                    <w:tc>
                      <w:tcPr>
                        <w:tcW w:w="4252" w:type="dxa"/>
                      </w:tcPr>
                      <w:p>
                        <w:pPr>
                          <w:rPr>
                            <w:bCs/>
                            <w:szCs w:val="24"/>
                          </w:rPr>
                        </w:pPr>
                        <w:r>
                          <w:rPr>
                            <w:bCs/>
                            <w:szCs w:val="24"/>
                          </w:rPr>
                          <w:t>9.1.1.3. Krašto kultūrai ir istorijai reikšmingų ir išliekamąją vertę turinčių leidinių leidybos skatinimas.</w:t>
                        </w:r>
                      </w:p>
                      <w:p>
                        <w:pPr>
                          <w:spacing w:line="259" w:lineRule="auto"/>
                          <w:rPr>
                            <w:bCs/>
                            <w:color w:val="000000"/>
                            <w:szCs w:val="24"/>
                          </w:rPr>
                        </w:pPr>
                        <w:r>
                          <w:rPr>
                            <w:bCs/>
                            <w:szCs w:val="24"/>
                          </w:rPr>
                          <w:t>(SVP P-5-1-1-29; KPS 3.1.2.1)</w:t>
                        </w:r>
                      </w:p>
                    </w:tc>
                    <w:tc>
                      <w:tcPr>
                        <w:tcW w:w="993" w:type="dxa"/>
                      </w:tcPr>
                      <w:p>
                        <w:pPr>
                          <w:rPr>
                            <w:color w:val="000000"/>
                            <w:szCs w:val="24"/>
                          </w:rPr>
                        </w:pPr>
                        <w:r>
                          <w:rPr>
                            <w:szCs w:val="24"/>
                          </w:rPr>
                          <w:t xml:space="preserve">100 </w:t>
                        </w:r>
                        <w:r>
                          <w:rPr>
                            <w:szCs w:val="24"/>
                            <w:lang w:val="en-US"/>
                          </w:rPr>
                          <w:t>%</w:t>
                        </w:r>
                      </w:p>
                    </w:tc>
                    <w:tc>
                      <w:tcPr>
                        <w:tcW w:w="850" w:type="dxa"/>
                      </w:tcPr>
                      <w:p>
                        <w:pPr>
                          <w:rPr>
                            <w:color w:val="000000"/>
                            <w:szCs w:val="24"/>
                          </w:rPr>
                        </w:pPr>
                        <w:r>
                          <w:rPr>
                            <w:szCs w:val="24"/>
                          </w:rPr>
                          <w:t>100 %</w:t>
                        </w:r>
                      </w:p>
                    </w:tc>
                    <w:tc>
                      <w:tcPr>
                        <w:tcW w:w="851" w:type="dxa"/>
                      </w:tcPr>
                      <w:p>
                        <w:pPr>
                          <w:rPr>
                            <w:color w:val="000000"/>
                            <w:szCs w:val="24"/>
                          </w:rPr>
                        </w:pPr>
                        <w:r>
                          <w:rPr>
                            <w:szCs w:val="24"/>
                          </w:rPr>
                          <w:t>100 %</w:t>
                        </w:r>
                      </w:p>
                    </w:tc>
                    <w:tc>
                      <w:tcPr>
                        <w:tcW w:w="850" w:type="dxa"/>
                      </w:tcPr>
                      <w:p>
                        <w:pPr>
                          <w:rPr>
                            <w:color w:val="000000"/>
                            <w:szCs w:val="24"/>
                          </w:rPr>
                        </w:pPr>
                        <w:r>
                          <w:rPr>
                            <w:szCs w:val="24"/>
                          </w:rPr>
                          <w:t>50 %</w:t>
                        </w:r>
                      </w:p>
                    </w:tc>
                    <w:tc>
                      <w:tcPr>
                        <w:tcW w:w="992" w:type="dxa"/>
                      </w:tcPr>
                      <w:p>
                        <w:pPr>
                          <w:rPr>
                            <w:color w:val="000000"/>
                            <w:szCs w:val="24"/>
                          </w:rPr>
                        </w:pPr>
                        <w:r>
                          <w:rPr>
                            <w:szCs w:val="24"/>
                          </w:rPr>
                          <w:t>6,0 SB</w:t>
                        </w:r>
                      </w:p>
                    </w:tc>
                    <w:tc>
                      <w:tcPr>
                        <w:tcW w:w="993" w:type="dxa"/>
                      </w:tcPr>
                      <w:p>
                        <w:pPr>
                          <w:rPr>
                            <w:color w:val="000000"/>
                            <w:szCs w:val="24"/>
                          </w:rPr>
                        </w:pPr>
                        <w:r>
                          <w:rPr>
                            <w:szCs w:val="24"/>
                          </w:rPr>
                          <w:t>4,0 SB</w:t>
                        </w:r>
                      </w:p>
                    </w:tc>
                    <w:tc>
                      <w:tcPr>
                        <w:tcW w:w="5386" w:type="dxa"/>
                      </w:tcPr>
                      <w:p>
                        <w:pPr>
                          <w:rPr>
                            <w:szCs w:val="24"/>
                          </w:rPr>
                        </w:pPr>
                        <w:r>
                          <w:rPr>
                            <w:szCs w:val="24"/>
                          </w:rPr>
                          <w:t xml:space="preserve">Finansuota krašto istorijai svarbių leidinių leidyba. Finansuota 1  paraiška (1 vykdytojas atsisakė vykdyti projektą). (Kultūros, paveldosaugos ir turizmo skyrius).</w:t>
                        </w:r>
                      </w:p>
                    </w:tc>
                  </w:tr>
                  <w:tr>
                    <w:trPr>
                      <w:trHeight w:val="1212"/>
                    </w:trPr>
                    <w:tc>
                      <w:tcPr>
                        <w:tcW w:w="4252" w:type="dxa"/>
                      </w:tcPr>
                      <w:p>
                        <w:pPr>
                          <w:rPr>
                            <w:bCs/>
                            <w:szCs w:val="24"/>
                          </w:rPr>
                        </w:pPr>
                        <w:r>
                          <w:rPr>
                            <w:bCs/>
                            <w:szCs w:val="24"/>
                          </w:rPr>
                          <w:t>9.1.1.4. Kultūros darbuotojų skatinimo priemonių skaičius (geriausio kultūros darbuotojo apdovanojimai).</w:t>
                        </w:r>
                      </w:p>
                      <w:p>
                        <w:pPr>
                          <w:spacing w:line="259" w:lineRule="auto"/>
                          <w:rPr>
                            <w:bCs/>
                            <w:szCs w:val="24"/>
                          </w:rPr>
                        </w:pPr>
                        <w:r>
                          <w:rPr>
                            <w:bCs/>
                            <w:szCs w:val="24"/>
                          </w:rPr>
                          <w:t>(SVP P-5-1-1-29)</w:t>
                        </w:r>
                      </w:p>
                    </w:tc>
                    <w:tc>
                      <w:tcPr>
                        <w:tcW w:w="993" w:type="dxa"/>
                      </w:tcPr>
                      <w:p>
                        <w:pPr>
                          <w:rPr>
                            <w:iCs/>
                            <w:szCs w:val="24"/>
                          </w:rPr>
                        </w:pPr>
                        <w:r>
                          <w:rPr>
                            <w:szCs w:val="24"/>
                          </w:rPr>
                          <w:t xml:space="preserve">1 vnt. </w:t>
                        </w:r>
                      </w:p>
                    </w:tc>
                    <w:tc>
                      <w:tcPr>
                        <w:tcW w:w="850" w:type="dxa"/>
                      </w:tcPr>
                      <w:p>
                        <w:pPr>
                          <w:rPr>
                            <w:iCs/>
                            <w:szCs w:val="24"/>
                          </w:rPr>
                        </w:pPr>
                        <w:r>
                          <w:rPr>
                            <w:szCs w:val="24"/>
                          </w:rPr>
                          <w:t xml:space="preserve">1 vnt. </w:t>
                        </w:r>
                      </w:p>
                    </w:tc>
                    <w:tc>
                      <w:tcPr>
                        <w:tcW w:w="851" w:type="dxa"/>
                      </w:tcPr>
                      <w:p>
                        <w:pPr>
                          <w:rPr>
                            <w:iCs/>
                            <w:szCs w:val="24"/>
                          </w:rPr>
                        </w:pPr>
                        <w:r>
                          <w:rPr>
                            <w:szCs w:val="24"/>
                          </w:rPr>
                          <w:t xml:space="preserve">1 vnt. </w:t>
                        </w:r>
                      </w:p>
                    </w:tc>
                    <w:tc>
                      <w:tcPr>
                        <w:tcW w:w="850" w:type="dxa"/>
                      </w:tcPr>
                      <w:p>
                        <w:pPr>
                          <w:rPr>
                            <w:iCs/>
                            <w:szCs w:val="24"/>
                          </w:rPr>
                        </w:pPr>
                        <w:r>
                          <w:rPr>
                            <w:szCs w:val="24"/>
                          </w:rPr>
                          <w:t>1 vnt.</w:t>
                        </w:r>
                      </w:p>
                    </w:tc>
                    <w:tc>
                      <w:tcPr>
                        <w:tcW w:w="992" w:type="dxa"/>
                      </w:tcPr>
                      <w:p>
                        <w:pPr>
                          <w:rPr>
                            <w:szCs w:val="24"/>
                          </w:rPr>
                        </w:pPr>
                        <w:r>
                          <w:rPr>
                            <w:szCs w:val="24"/>
                          </w:rPr>
                          <w:t>1,0 SB</w:t>
                        </w:r>
                      </w:p>
                    </w:tc>
                    <w:tc>
                      <w:tcPr>
                        <w:tcW w:w="993" w:type="dxa"/>
                      </w:tcPr>
                      <w:p>
                        <w:pPr>
                          <w:rPr>
                            <w:szCs w:val="24"/>
                          </w:rPr>
                        </w:pPr>
                        <w:r>
                          <w:rPr>
                            <w:szCs w:val="24"/>
                          </w:rPr>
                          <w:t>1,0 SB</w:t>
                        </w:r>
                      </w:p>
                    </w:tc>
                    <w:tc>
                      <w:tcPr>
                        <w:tcW w:w="5386" w:type="dxa"/>
                      </w:tcPr>
                      <w:p>
                        <w:pPr>
                          <w:rPr>
                            <w:color w:val="000000"/>
                            <w:szCs w:val="24"/>
                          </w:rPr>
                        </w:pPr>
                        <w:r>
                          <w:rPr>
                            <w:szCs w:val="24"/>
                          </w:rPr>
                          <w:t>Radviliškio krašto kultūros premija apdovanota Šeduvos kultūros ir amatų centro meno vadovė Evelina Stalgienė. (Kultūros, paveldosaugos ir turizmo skyrius).</w:t>
                        </w:r>
                      </w:p>
                    </w:tc>
                  </w:tr>
                  <w:tr>
                    <w:trPr>
                      <w:trHeight w:val="20"/>
                    </w:trPr>
                    <w:tc>
                      <w:tcPr>
                        <w:tcW w:w="4252" w:type="dxa"/>
                      </w:tcPr>
                      <w:p>
                        <w:pPr>
                          <w:rPr>
                            <w:bCs/>
                            <w:szCs w:val="24"/>
                          </w:rPr>
                        </w:pPr>
                        <w:r>
                          <w:rPr>
                            <w:bCs/>
                            <w:szCs w:val="24"/>
                          </w:rPr>
                          <w:t>9.1.1.5. Didžiausių rajono renginių, valstybinių švenčių minėjimų koordinavimas /organizavimas.</w:t>
                        </w:r>
                      </w:p>
                      <w:p>
                        <w:pPr>
                          <w:spacing w:line="259" w:lineRule="auto"/>
                          <w:rPr>
                            <w:bCs/>
                            <w:szCs w:val="24"/>
                          </w:rPr>
                        </w:pPr>
                        <w:r>
                          <w:rPr>
                            <w:bCs/>
                            <w:szCs w:val="24"/>
                          </w:rPr>
                          <w:t>(SVP P-5-1-1-19)</w:t>
                        </w:r>
                      </w:p>
                    </w:tc>
                    <w:tc>
                      <w:tcPr>
                        <w:tcW w:w="993" w:type="dxa"/>
                      </w:tcPr>
                      <w:p>
                        <w:pPr>
                          <w:rPr>
                            <w:iCs/>
                            <w:szCs w:val="24"/>
                          </w:rPr>
                        </w:pPr>
                        <w:r>
                          <w:rPr>
                            <w:szCs w:val="24"/>
                          </w:rPr>
                          <w:t>10 vnt.</w:t>
                        </w:r>
                      </w:p>
                    </w:tc>
                    <w:tc>
                      <w:tcPr>
                        <w:tcW w:w="850" w:type="dxa"/>
                      </w:tcPr>
                      <w:p>
                        <w:pPr>
                          <w:rPr>
                            <w:iCs/>
                            <w:szCs w:val="24"/>
                          </w:rPr>
                        </w:pPr>
                        <w:r>
                          <w:rPr>
                            <w:szCs w:val="24"/>
                          </w:rPr>
                          <w:t>10 vnt.</w:t>
                        </w:r>
                      </w:p>
                    </w:tc>
                    <w:tc>
                      <w:tcPr>
                        <w:tcW w:w="851" w:type="dxa"/>
                      </w:tcPr>
                      <w:p>
                        <w:pPr>
                          <w:rPr>
                            <w:iCs/>
                            <w:szCs w:val="24"/>
                          </w:rPr>
                        </w:pPr>
                        <w:r>
                          <w:rPr>
                            <w:szCs w:val="24"/>
                          </w:rPr>
                          <w:t>10 vnt.</w:t>
                        </w:r>
                      </w:p>
                    </w:tc>
                    <w:tc>
                      <w:tcPr>
                        <w:tcW w:w="850" w:type="dxa"/>
                      </w:tcPr>
                      <w:p>
                        <w:pPr>
                          <w:rPr>
                            <w:iCs/>
                            <w:szCs w:val="24"/>
                          </w:rPr>
                        </w:pPr>
                        <w:r>
                          <w:rPr>
                            <w:szCs w:val="24"/>
                          </w:rPr>
                          <w:t>10 vnt.</w:t>
                        </w:r>
                      </w:p>
                    </w:tc>
                    <w:tc>
                      <w:tcPr>
                        <w:tcW w:w="992" w:type="dxa"/>
                      </w:tcPr>
                      <w:p>
                        <w:pPr>
                          <w:rPr>
                            <w:szCs w:val="24"/>
                          </w:rPr>
                        </w:pPr>
                        <w:r>
                          <w:rPr>
                            <w:szCs w:val="24"/>
                          </w:rPr>
                          <w:t>20,0 SB</w:t>
                        </w:r>
                      </w:p>
                    </w:tc>
                    <w:tc>
                      <w:tcPr>
                        <w:tcW w:w="993" w:type="dxa"/>
                      </w:tcPr>
                      <w:p>
                        <w:pPr>
                          <w:rPr>
                            <w:szCs w:val="24"/>
                          </w:rPr>
                        </w:pPr>
                        <w:r>
                          <w:rPr>
                            <w:szCs w:val="24"/>
                          </w:rPr>
                          <w:t>14,0 SB</w:t>
                        </w:r>
                      </w:p>
                    </w:tc>
                    <w:tc>
                      <w:tcPr>
                        <w:tcW w:w="5386" w:type="dxa"/>
                      </w:tcPr>
                      <w:p>
                        <w:pPr>
                          <w:ind w:firstLine="62"/>
                          <w:rPr>
                            <w:color w:val="000000"/>
                            <w:szCs w:val="24"/>
                          </w:rPr>
                        </w:pPr>
                        <w:r>
                          <w:rPr>
                            <w:szCs w:val="24"/>
                          </w:rPr>
                          <w:t>(Kultūros, paveldosaugos ir turizmo skyrius).</w:t>
                        </w:r>
                      </w:p>
                    </w:tc>
                  </w:tr>
                  <w:tr>
                    <w:trPr>
                      <w:trHeight w:val="20"/>
                    </w:trPr>
                    <w:tc>
                      <w:tcPr>
                        <w:tcW w:w="4252" w:type="dxa"/>
                      </w:tcPr>
                      <w:p>
                        <w:pPr>
                          <w:rPr>
                            <w:bCs/>
                            <w:szCs w:val="24"/>
                          </w:rPr>
                        </w:pPr>
                        <w:r>
                          <w:rPr>
                            <w:bCs/>
                            <w:szCs w:val="24"/>
                          </w:rPr>
                          <w:t xml:space="preserve">9.1.1.6. Radviliškio rajono kultūros plėtros strategijos 2022–2030 m. </w:t>
                        </w:r>
                      </w:p>
                      <w:p>
                        <w:pPr>
                          <w:rPr>
                            <w:bCs/>
                            <w:szCs w:val="24"/>
                          </w:rPr>
                        </w:pPr>
                        <w:r>
                          <w:rPr>
                            <w:bCs/>
                            <w:szCs w:val="24"/>
                          </w:rPr>
                          <w:t>įgyvendinimo koordinavimas.</w:t>
                        </w:r>
                      </w:p>
                      <w:p>
                        <w:pPr>
                          <w:rPr>
                            <w:color w:val="000000"/>
                            <w:szCs w:val="24"/>
                          </w:rPr>
                        </w:pPr>
                      </w:p>
                    </w:tc>
                    <w:tc>
                      <w:tcPr>
                        <w:tcW w:w="993" w:type="dxa"/>
                      </w:tcPr>
                      <w:p>
                        <w:pPr>
                          <w:rPr>
                            <w:color w:val="000000"/>
                            <w:szCs w:val="24"/>
                          </w:rPr>
                        </w:pPr>
                        <w:r>
                          <w:rPr>
                            <w:szCs w:val="24"/>
                          </w:rPr>
                          <w:t xml:space="preserve">100 </w:t>
                        </w:r>
                        <w:r>
                          <w:rPr>
                            <w:szCs w:val="24"/>
                            <w:lang w:val="en-US"/>
                          </w:rPr>
                          <w:t>%</w:t>
                        </w:r>
                      </w:p>
                    </w:tc>
                    <w:tc>
                      <w:tcPr>
                        <w:tcW w:w="850" w:type="dxa"/>
                      </w:tcPr>
                      <w:p>
                        <w:pPr>
                          <w:rPr>
                            <w:color w:val="000000"/>
                            <w:szCs w:val="24"/>
                          </w:rPr>
                        </w:pPr>
                      </w:p>
                    </w:tc>
                    <w:tc>
                      <w:tcPr>
                        <w:tcW w:w="851" w:type="dxa"/>
                      </w:tcPr>
                      <w:p>
                        <w:pPr>
                          <w:rPr>
                            <w:color w:val="000000"/>
                            <w:szCs w:val="24"/>
                          </w:rPr>
                        </w:pPr>
                        <w:r>
                          <w:rPr>
                            <w:szCs w:val="24"/>
                          </w:rPr>
                          <w:t>100</w:t>
                        </w:r>
                        <w:r>
                          <w:rPr>
                            <w:szCs w:val="24"/>
                            <w:lang w:val="en-US"/>
                          </w:rPr>
                          <w:t>%</w:t>
                        </w:r>
                      </w:p>
                    </w:tc>
                    <w:tc>
                      <w:tcPr>
                        <w:tcW w:w="850" w:type="dxa"/>
                      </w:tcPr>
                      <w:p>
                        <w:pPr>
                          <w:rPr>
                            <w:color w:val="000000"/>
                            <w:szCs w:val="24"/>
                          </w:rPr>
                        </w:pPr>
                        <w:r>
                          <w:rPr>
                            <w:szCs w:val="24"/>
                          </w:rPr>
                          <w:t>100</w:t>
                        </w:r>
                        <w:r>
                          <w:rPr>
                            <w:szCs w:val="24"/>
                            <w:lang w:val="en-US"/>
                          </w:rPr>
                          <w:t>%</w:t>
                        </w:r>
                      </w:p>
                    </w:tc>
                    <w:tc>
                      <w:tcPr>
                        <w:tcW w:w="992" w:type="dxa"/>
                      </w:tcPr>
                      <w:p>
                        <w:pPr>
                          <w:rPr>
                            <w:color w:val="000000"/>
                            <w:szCs w:val="24"/>
                          </w:rPr>
                        </w:pPr>
                        <w:r>
                          <w:rPr>
                            <w:szCs w:val="24"/>
                          </w:rPr>
                          <w:t>-</w:t>
                        </w:r>
                      </w:p>
                    </w:tc>
                    <w:tc>
                      <w:tcPr>
                        <w:tcW w:w="993" w:type="dxa"/>
                      </w:tcPr>
                      <w:p>
                        <w:pPr>
                          <w:rPr>
                            <w:color w:val="000000"/>
                            <w:szCs w:val="24"/>
                          </w:rPr>
                        </w:pPr>
                        <w:r>
                          <w:rPr>
                            <w:szCs w:val="24"/>
                          </w:rPr>
                          <w:t>-</w:t>
                        </w:r>
                      </w:p>
                    </w:tc>
                    <w:tc>
                      <w:tcPr>
                        <w:tcW w:w="5386" w:type="dxa"/>
                      </w:tcPr>
                      <w:p>
                        <w:pPr>
                          <w:rPr>
                            <w:color w:val="000000"/>
                            <w:szCs w:val="24"/>
                          </w:rPr>
                        </w:pPr>
                        <w:r>
                          <w:rPr>
                            <w:szCs w:val="24"/>
                          </w:rPr>
                          <w:t>Užtikrinamas Radviliškio rajono kultūros plėtros strategijos 2022–2030 m. įgyvendinimas, koordinuojant numatytas veiklas, stebint rezultatus ir laikantis nustatytų rodiklių. (Kultūros, paveldosaugos ir turizmo skyrius).</w:t>
                        </w:r>
                      </w:p>
                    </w:tc>
                  </w:tr>
                  <w:tr>
                    <w:trPr>
                      <w:trHeight w:val="20"/>
                    </w:trPr>
                    <w:tc>
                      <w:tcPr>
                        <w:tcW w:w="4252" w:type="dxa"/>
                      </w:tcPr>
                      <w:p>
                        <w:pPr>
                          <w:rPr>
                            <w:bCs/>
                            <w:szCs w:val="24"/>
                          </w:rPr>
                        </w:pPr>
                        <w:r>
                          <w:rPr>
                            <w:bCs/>
                            <w:szCs w:val="24"/>
                          </w:rPr>
                          <w:t>9.2.1.1. Modernizuoti turizmo objektus (QR kodų lankytinuose objektuose diegimo organizavimas / koordinavimas)</w:t>
                        </w:r>
                      </w:p>
                      <w:p>
                        <w:pPr>
                          <w:rPr>
                            <w:bCs/>
                            <w:szCs w:val="24"/>
                          </w:rPr>
                        </w:pPr>
                        <w:r>
                          <w:rPr>
                            <w:bCs/>
                            <w:szCs w:val="24"/>
                          </w:rPr>
                          <w:t>(SVP P-5-1-1-29; TPP 3.1.1.5)</w:t>
                        </w:r>
                      </w:p>
                    </w:tc>
                    <w:tc>
                      <w:tcPr>
                        <w:tcW w:w="993" w:type="dxa"/>
                      </w:tcPr>
                      <w:p>
                        <w:pPr>
                          <w:rPr>
                            <w:szCs w:val="24"/>
                          </w:rPr>
                        </w:pPr>
                        <w:r>
                          <w:rPr>
                            <w:iCs/>
                            <w:szCs w:val="24"/>
                          </w:rPr>
                          <w:t>100 %</w:t>
                        </w:r>
                      </w:p>
                    </w:tc>
                    <w:tc>
                      <w:tcPr>
                        <w:tcW w:w="850" w:type="dxa"/>
                      </w:tcPr>
                      <w:p>
                        <w:pPr>
                          <w:rPr>
                            <w:color w:val="000000"/>
                            <w:szCs w:val="24"/>
                          </w:rPr>
                        </w:pPr>
                        <w:r>
                          <w:rPr>
                            <w:color w:val="000000"/>
                            <w:szCs w:val="24"/>
                          </w:rPr>
                          <w:t>-</w:t>
                        </w:r>
                      </w:p>
                    </w:tc>
                    <w:tc>
                      <w:tcPr>
                        <w:tcW w:w="851" w:type="dxa"/>
                      </w:tcPr>
                      <w:p>
                        <w:pPr>
                          <w:rPr>
                            <w:szCs w:val="24"/>
                          </w:rPr>
                        </w:pPr>
                        <w:r>
                          <w:rPr>
                            <w:szCs w:val="24"/>
                          </w:rPr>
                          <w:t>-</w:t>
                        </w:r>
                      </w:p>
                    </w:tc>
                    <w:tc>
                      <w:tcPr>
                        <w:tcW w:w="850" w:type="dxa"/>
                      </w:tcPr>
                      <w:p>
                        <w:pPr>
                          <w:rPr>
                            <w:szCs w:val="24"/>
                          </w:rPr>
                        </w:pPr>
                        <w:r>
                          <w:rPr>
                            <w:iCs/>
                            <w:szCs w:val="24"/>
                          </w:rPr>
                          <w:t>100 %</w:t>
                        </w:r>
                      </w:p>
                    </w:tc>
                    <w:tc>
                      <w:tcPr>
                        <w:tcW w:w="992" w:type="dxa"/>
                      </w:tcPr>
                      <w:p>
                        <w:pPr>
                          <w:rPr>
                            <w:szCs w:val="24"/>
                          </w:rPr>
                        </w:pPr>
                        <w:r>
                          <w:rPr>
                            <w:szCs w:val="24"/>
                          </w:rPr>
                          <w:t>-</w:t>
                        </w:r>
                      </w:p>
                    </w:tc>
                    <w:tc>
                      <w:tcPr>
                        <w:tcW w:w="993" w:type="dxa"/>
                      </w:tcPr>
                      <w:p>
                        <w:pPr>
                          <w:rPr>
                            <w:szCs w:val="24"/>
                          </w:rPr>
                        </w:pPr>
                        <w:r>
                          <w:rPr>
                            <w:szCs w:val="24"/>
                          </w:rPr>
                          <w:t>-</w:t>
                        </w:r>
                      </w:p>
                    </w:tc>
                    <w:tc>
                      <w:tcPr>
                        <w:tcW w:w="5386" w:type="dxa"/>
                      </w:tcPr>
                      <w:p>
                        <w:pPr>
                          <w:rPr>
                            <w:iCs/>
                            <w:szCs w:val="24"/>
                          </w:rPr>
                        </w:pPr>
                        <w:r>
                          <w:rPr>
                            <w:iCs/>
                            <w:szCs w:val="24"/>
                          </w:rPr>
                          <w:t xml:space="preserve">Radviliškio mieste ir rajone pagal poreikį prie lankytinų objektų diegiamos lentelės su QR kodais. </w:t>
                        </w:r>
                      </w:p>
                      <w:p>
                        <w:pPr>
                          <w:rPr>
                            <w:iCs/>
                            <w:szCs w:val="24"/>
                          </w:rPr>
                        </w:pPr>
                        <w:r>
                          <w:rPr>
                            <w:szCs w:val="24"/>
                          </w:rPr>
                          <w:t>(Kultūros, paveldosaugos ir turizmo skyrius).</w:t>
                        </w:r>
                      </w:p>
                    </w:tc>
                  </w:tr>
                  <w:tr>
                    <w:trPr>
                      <w:trHeight w:val="365"/>
                    </w:trPr>
                    <w:tc>
                      <w:tcPr>
                        <w:tcW w:w="4253" w:type="dxa"/>
                      </w:tcPr>
                      <w:p>
                        <w:pPr>
                          <w:rPr>
                            <w:iCs/>
                            <w:szCs w:val="24"/>
                          </w:rPr>
                        </w:pPr>
                        <w:r>
                          <w:rPr>
                            <w:iCs/>
                            <w:szCs w:val="24"/>
                          </w:rPr>
                          <w:t>9.2.1.2. Plėtoti Radviliškio rajono žinomumą (Europos paveldo dienų, žygių dviračiais, dalyvavimo parodose organizavimas/koordinavimas)</w:t>
                        </w:r>
                      </w:p>
                      <w:p>
                        <w:pPr>
                          <w:rPr>
                            <w:bCs/>
                            <w:szCs w:val="24"/>
                          </w:rPr>
                        </w:pPr>
                        <w:r>
                          <w:rPr>
                            <w:iCs/>
                            <w:szCs w:val="24"/>
                          </w:rPr>
                          <w:t>(SVP P-5-1-1-29; TPP 3.2.1.9)</w:t>
                        </w:r>
                      </w:p>
                    </w:tc>
                    <w:tc>
                      <w:tcPr>
                        <w:tcW w:w="993" w:type="dxa"/>
                      </w:tcPr>
                      <w:p>
                        <w:pPr>
                          <w:rPr>
                            <w:iCs/>
                            <w:szCs w:val="24"/>
                          </w:rPr>
                        </w:pPr>
                        <w:r>
                          <w:rPr>
                            <w:iCs/>
                            <w:szCs w:val="24"/>
                          </w:rPr>
                          <w:t>100 %</w:t>
                        </w:r>
                      </w:p>
                    </w:tc>
                    <w:tc>
                      <w:tcPr>
                        <w:tcW w:w="850" w:type="dxa"/>
                      </w:tcPr>
                      <w:p>
                        <w:pPr>
                          <w:rPr>
                            <w:color w:val="000000"/>
                            <w:szCs w:val="24"/>
                          </w:rPr>
                        </w:pPr>
                        <w:r>
                          <w:rPr>
                            <w:iCs/>
                            <w:szCs w:val="24"/>
                          </w:rPr>
                          <w:t>100 %</w:t>
                        </w:r>
                      </w:p>
                    </w:tc>
                    <w:tc>
                      <w:tcPr>
                        <w:tcW w:w="851" w:type="dxa"/>
                      </w:tcPr>
                      <w:p>
                        <w:pPr>
                          <w:rPr>
                            <w:szCs w:val="24"/>
                          </w:rPr>
                        </w:pPr>
                        <w:r>
                          <w:rPr>
                            <w:iCs/>
                            <w:szCs w:val="24"/>
                          </w:rPr>
                          <w:t>100 %</w:t>
                        </w:r>
                      </w:p>
                    </w:tc>
                    <w:tc>
                      <w:tcPr>
                        <w:tcW w:w="850" w:type="dxa"/>
                      </w:tcPr>
                      <w:p>
                        <w:pPr>
                          <w:rPr>
                            <w:iCs/>
                            <w:szCs w:val="24"/>
                          </w:rPr>
                        </w:pPr>
                        <w:r>
                          <w:rPr>
                            <w:iCs/>
                            <w:szCs w:val="24"/>
                          </w:rPr>
                          <w:t>100 %</w:t>
                        </w:r>
                      </w:p>
                    </w:tc>
                    <w:tc>
                      <w:tcPr>
                        <w:tcW w:w="992" w:type="dxa"/>
                      </w:tcPr>
                      <w:p>
                        <w:pPr>
                          <w:rPr>
                            <w:szCs w:val="24"/>
                          </w:rPr>
                        </w:pPr>
                      </w:p>
                    </w:tc>
                    <w:tc>
                      <w:tcPr>
                        <w:tcW w:w="993" w:type="dxa"/>
                      </w:tcPr>
                      <w:p>
                        <w:pPr>
                          <w:rPr>
                            <w:szCs w:val="24"/>
                          </w:rPr>
                        </w:pPr>
                      </w:p>
                    </w:tc>
                    <w:tc>
                      <w:tcPr>
                        <w:tcW w:w="5386" w:type="dxa"/>
                      </w:tcPr>
                      <w:p>
                        <w:pPr>
                          <w:rPr>
                            <w:iCs/>
                            <w:szCs w:val="24"/>
                          </w:rPr>
                        </w:pPr>
                        <w:r>
                          <w:rPr>
                            <w:iCs/>
                            <w:szCs w:val="24"/>
                          </w:rPr>
                          <w:t xml:space="preserve">Radviliškio rajonas pristatytas „Balttour“ parodoje Latvijoje ir Vilniaus knygų mugėje. Tai pat organizuotas tradicinis dviračių žygis po rajono kultūros paveldo ir turistinius objektus bei organizuotos Europos paveldo dienų veiklos. </w:t>
                        </w:r>
                      </w:p>
                      <w:p>
                        <w:pPr>
                          <w:rPr>
                            <w:color w:val="000000"/>
                            <w:szCs w:val="24"/>
                          </w:rPr>
                        </w:pPr>
                        <w:r>
                          <w:rPr>
                            <w:szCs w:val="24"/>
                          </w:rPr>
                          <w:t>(Kultūros, paveldosaugos ir turizmo skyrius).</w:t>
                        </w:r>
                      </w:p>
                    </w:tc>
                  </w:tr>
                  <w:tr>
                    <w:trPr>
                      <w:trHeight w:val="365"/>
                    </w:trPr>
                    <w:tc>
                      <w:tcPr>
                        <w:tcW w:w="4253" w:type="dxa"/>
                      </w:tcPr>
                      <w:p>
                        <w:pPr>
                          <w:rPr>
                            <w:iCs/>
                            <w:szCs w:val="24"/>
                          </w:rPr>
                        </w:pPr>
                        <w:r>
                          <w:rPr>
                            <w:iCs/>
                            <w:szCs w:val="24"/>
                          </w:rPr>
                          <w:t>9.2.1.3. Lankymo reikmėms pritaikyti turistiniai objektai (tinkamas ženklinimas, aplinkos tvarkymas). (SVP P-5-1-3-02; TPP 3.2.1.9)</w:t>
                        </w:r>
                      </w:p>
                    </w:tc>
                    <w:tc>
                      <w:tcPr>
                        <w:tcW w:w="993" w:type="dxa"/>
                      </w:tcPr>
                      <w:p>
                        <w:pPr>
                          <w:rPr>
                            <w:iCs/>
                            <w:szCs w:val="24"/>
                          </w:rPr>
                        </w:pPr>
                        <w:r>
                          <w:rPr>
                            <w:iCs/>
                            <w:szCs w:val="24"/>
                          </w:rPr>
                          <w:t>100 %</w:t>
                        </w:r>
                      </w:p>
                      <w:p>
                        <w:pPr>
                          <w:rPr>
                            <w:iCs/>
                            <w:szCs w:val="24"/>
                          </w:rPr>
                        </w:pPr>
                      </w:p>
                      <w:p>
                        <w:pPr>
                          <w:rPr>
                            <w:iCs/>
                            <w:szCs w:val="24"/>
                          </w:rPr>
                        </w:pPr>
                      </w:p>
                    </w:tc>
                    <w:tc>
                      <w:tcPr>
                        <w:tcW w:w="850" w:type="dxa"/>
                      </w:tcPr>
                      <w:p>
                        <w:pPr>
                          <w:rPr>
                            <w:color w:val="000000"/>
                            <w:szCs w:val="24"/>
                          </w:rPr>
                        </w:pPr>
                        <w:r>
                          <w:rPr>
                            <w:iCs/>
                            <w:szCs w:val="24"/>
                          </w:rPr>
                          <w:t>100 %</w:t>
                        </w:r>
                      </w:p>
                    </w:tc>
                    <w:tc>
                      <w:tcPr>
                        <w:tcW w:w="851" w:type="dxa"/>
                      </w:tcPr>
                      <w:p>
                        <w:pPr>
                          <w:rPr>
                            <w:szCs w:val="24"/>
                          </w:rPr>
                        </w:pPr>
                        <w:r>
                          <w:rPr>
                            <w:iCs/>
                            <w:szCs w:val="24"/>
                          </w:rPr>
                          <w:t>100 %</w:t>
                        </w:r>
                      </w:p>
                    </w:tc>
                    <w:tc>
                      <w:tcPr>
                        <w:tcW w:w="850" w:type="dxa"/>
                      </w:tcPr>
                      <w:p>
                        <w:pPr>
                          <w:rPr>
                            <w:iCs/>
                            <w:szCs w:val="24"/>
                          </w:rPr>
                        </w:pPr>
                        <w:r>
                          <w:rPr>
                            <w:iCs/>
                            <w:szCs w:val="24"/>
                          </w:rPr>
                          <w:t>100 %</w:t>
                        </w:r>
                      </w:p>
                    </w:tc>
                    <w:tc>
                      <w:tcPr>
                        <w:tcW w:w="992" w:type="dxa"/>
                      </w:tcPr>
                      <w:p>
                        <w:pPr>
                          <w:rPr>
                            <w:szCs w:val="24"/>
                          </w:rPr>
                        </w:pPr>
                        <w:r>
                          <w:rPr>
                            <w:iCs/>
                            <w:szCs w:val="24"/>
                          </w:rPr>
                          <w:t>25,7 SB</w:t>
                        </w:r>
                      </w:p>
                    </w:tc>
                    <w:tc>
                      <w:tcPr>
                        <w:tcW w:w="993" w:type="dxa"/>
                      </w:tcPr>
                      <w:p>
                        <w:pPr>
                          <w:rPr>
                            <w:szCs w:val="24"/>
                          </w:rPr>
                        </w:pPr>
                        <w:r>
                          <w:rPr>
                            <w:iCs/>
                            <w:szCs w:val="24"/>
                          </w:rPr>
                          <w:t>0,49 SB</w:t>
                        </w:r>
                      </w:p>
                    </w:tc>
                    <w:tc>
                      <w:tcPr>
                        <w:tcW w:w="5386" w:type="dxa"/>
                      </w:tcPr>
                      <w:p>
                        <w:pPr>
                          <w:rPr>
                            <w:iCs/>
                            <w:szCs w:val="24"/>
                          </w:rPr>
                        </w:pPr>
                        <w:r>
                          <w:rPr>
                            <w:iCs/>
                            <w:szCs w:val="24"/>
                          </w:rPr>
                          <w:t>Atminimo ženklais pažymėti 7 partizanų ir jų ryšininkų kapai Radviliškio mieste ir rajone. (Kultūros, paveldosaugos ir turizmo skyrius).</w:t>
                        </w:r>
                      </w:p>
                    </w:tc>
                  </w:tr>
                  <w:tr>
                    <w:trPr>
                      <w:trHeight w:val="365"/>
                    </w:trPr>
                    <w:tc>
                      <w:tcPr>
                        <w:tcW w:w="4253" w:type="dxa"/>
                      </w:tcPr>
                      <w:p>
                        <w:pPr>
                          <w:rPr>
                            <w:bCs/>
                            <w:szCs w:val="24"/>
                          </w:rPr>
                        </w:pPr>
                        <w:r>
                          <w:rPr>
                            <w:iCs/>
                            <w:szCs w:val="24"/>
                          </w:rPr>
                          <w:t>9.3.1.1. Nekilnojamų kultūros paveldo objektų būklės stebėsena ir patikrinimo aktų pildymas. (TPP 2.1.2)</w:t>
                        </w:r>
                      </w:p>
                    </w:tc>
                    <w:tc>
                      <w:tcPr>
                        <w:tcW w:w="993" w:type="dxa"/>
                      </w:tcPr>
                      <w:p>
                        <w:pPr>
                          <w:rPr>
                            <w:iCs/>
                            <w:szCs w:val="24"/>
                          </w:rPr>
                        </w:pPr>
                        <w:r>
                          <w:rPr>
                            <w:iCs/>
                            <w:szCs w:val="24"/>
                          </w:rPr>
                          <w:t xml:space="preserve">30 vnt. </w:t>
                        </w:r>
                      </w:p>
                    </w:tc>
                    <w:tc>
                      <w:tcPr>
                        <w:tcW w:w="850" w:type="dxa"/>
                      </w:tcPr>
                      <w:p>
                        <w:pPr>
                          <w:rPr>
                            <w:color w:val="000000"/>
                            <w:szCs w:val="24"/>
                          </w:rPr>
                        </w:pPr>
                        <w:r>
                          <w:rPr>
                            <w:iCs/>
                            <w:szCs w:val="24"/>
                          </w:rPr>
                          <w:t>32 vnt.</w:t>
                        </w:r>
                      </w:p>
                    </w:tc>
                    <w:tc>
                      <w:tcPr>
                        <w:tcW w:w="851" w:type="dxa"/>
                      </w:tcPr>
                      <w:p>
                        <w:pPr>
                          <w:ind w:firstLine="62"/>
                          <w:rPr>
                            <w:szCs w:val="24"/>
                          </w:rPr>
                        </w:pPr>
                        <w:r>
                          <w:rPr>
                            <w:iCs/>
                            <w:szCs w:val="24"/>
                          </w:rPr>
                          <w:t xml:space="preserve">35 vnt. </w:t>
                        </w:r>
                      </w:p>
                    </w:tc>
                    <w:tc>
                      <w:tcPr>
                        <w:tcW w:w="850" w:type="dxa"/>
                      </w:tcPr>
                      <w:p>
                        <w:pPr>
                          <w:rPr>
                            <w:iCs/>
                            <w:szCs w:val="24"/>
                          </w:rPr>
                        </w:pPr>
                        <w:r>
                          <w:rPr>
                            <w:iCs/>
                            <w:szCs w:val="24"/>
                          </w:rPr>
                          <w:t xml:space="preserve">35 vnt. </w:t>
                        </w:r>
                      </w:p>
                    </w:tc>
                    <w:tc>
                      <w:tcPr>
                        <w:tcW w:w="992" w:type="dxa"/>
                      </w:tcPr>
                      <w:p>
                        <w:pPr>
                          <w:rPr>
                            <w:szCs w:val="24"/>
                          </w:rPr>
                        </w:pPr>
                        <w:r>
                          <w:rPr>
                            <w:iCs/>
                            <w:szCs w:val="24"/>
                          </w:rPr>
                          <w:t>-</w:t>
                        </w:r>
                      </w:p>
                    </w:tc>
                    <w:tc>
                      <w:tcPr>
                        <w:tcW w:w="993" w:type="dxa"/>
                      </w:tcPr>
                      <w:p>
                        <w:pPr>
                          <w:rPr>
                            <w:szCs w:val="24"/>
                          </w:rPr>
                        </w:pPr>
                        <w:r>
                          <w:rPr>
                            <w:iCs/>
                            <w:szCs w:val="24"/>
                          </w:rPr>
                          <w:t>-</w:t>
                        </w:r>
                      </w:p>
                    </w:tc>
                    <w:tc>
                      <w:tcPr>
                        <w:tcW w:w="5386" w:type="dxa"/>
                      </w:tcPr>
                      <w:p>
                        <w:pPr>
                          <w:rPr>
                            <w:color w:val="000000"/>
                            <w:szCs w:val="24"/>
                          </w:rPr>
                        </w:pPr>
                        <w:r>
                          <w:rPr>
                            <w:iCs/>
                            <w:szCs w:val="24"/>
                          </w:rPr>
                          <w:t>Atlikta valstybės saugomų nekilnojamų kultūros paveldo objektų stebėsena ir užpildyti patikrinimo aktai.</w:t>
                        </w:r>
                        <w:r>
                          <w:rPr>
                            <w:szCs w:val="24"/>
                          </w:rPr>
                          <w:t xml:space="preserve"> (Kultūros, paveldosaugos ir turizmo skyrius).</w:t>
                        </w:r>
                      </w:p>
                    </w:tc>
                  </w:tr>
                  <w:tr>
                    <w:trPr>
                      <w:trHeight w:val="365"/>
                    </w:trPr>
                    <w:tc>
                      <w:tcPr>
                        <w:tcW w:w="4253" w:type="dxa"/>
                      </w:tcPr>
                      <w:p>
                        <w:pPr>
                          <w:rPr>
                            <w:iCs/>
                            <w:szCs w:val="24"/>
                          </w:rPr>
                        </w:pPr>
                        <w:r>
                          <w:rPr>
                            <w:iCs/>
                            <w:szCs w:val="24"/>
                          </w:rPr>
                          <w:t>9.3.1.2. Savanorių ir partizanų kapų, paminklų, neveikiančių kapinių, kitų kultūros paveldo vertybių, esančių seniūnijose tvarkymo ir priežiūros ir tvarkybos darbų koordinavimas.</w:t>
                        </w:r>
                      </w:p>
                      <w:p>
                        <w:pPr>
                          <w:rPr>
                            <w:bCs/>
                            <w:szCs w:val="24"/>
                          </w:rPr>
                        </w:pPr>
                        <w:r>
                          <w:rPr>
                            <w:iCs/>
                            <w:szCs w:val="24"/>
                          </w:rPr>
                          <w:t>(SVP P-5-1-3-04)</w:t>
                        </w:r>
                      </w:p>
                    </w:tc>
                    <w:tc>
                      <w:tcPr>
                        <w:tcW w:w="993" w:type="dxa"/>
                      </w:tcPr>
                      <w:p>
                        <w:pPr>
                          <w:rPr>
                            <w:iCs/>
                            <w:szCs w:val="24"/>
                          </w:rPr>
                        </w:pPr>
                        <w:r>
                          <w:rPr>
                            <w:iCs/>
                            <w:szCs w:val="24"/>
                          </w:rPr>
                          <w:t>100</w:t>
                        </w:r>
                        <w:r>
                          <w:rPr>
                            <w:iCs/>
                            <w:szCs w:val="24"/>
                            <w:lang w:val="en-US"/>
                          </w:rPr>
                          <w:t>%</w:t>
                        </w:r>
                      </w:p>
                    </w:tc>
                    <w:tc>
                      <w:tcPr>
                        <w:tcW w:w="850" w:type="dxa"/>
                      </w:tcPr>
                      <w:p>
                        <w:pPr>
                          <w:rPr>
                            <w:color w:val="000000"/>
                            <w:szCs w:val="24"/>
                          </w:rPr>
                        </w:pPr>
                        <w:r>
                          <w:rPr>
                            <w:iCs/>
                            <w:szCs w:val="24"/>
                          </w:rPr>
                          <w:t>100%</w:t>
                        </w:r>
                      </w:p>
                    </w:tc>
                    <w:tc>
                      <w:tcPr>
                        <w:tcW w:w="851" w:type="dxa"/>
                      </w:tcPr>
                      <w:p>
                        <w:pPr>
                          <w:rPr>
                            <w:szCs w:val="24"/>
                          </w:rPr>
                        </w:pPr>
                        <w:r>
                          <w:rPr>
                            <w:iCs/>
                            <w:szCs w:val="24"/>
                          </w:rPr>
                          <w:t>100%</w:t>
                        </w:r>
                      </w:p>
                    </w:tc>
                    <w:tc>
                      <w:tcPr>
                        <w:tcW w:w="850" w:type="dxa"/>
                      </w:tcPr>
                      <w:p>
                        <w:pPr>
                          <w:rPr>
                            <w:iCs/>
                            <w:szCs w:val="24"/>
                          </w:rPr>
                        </w:pPr>
                        <w:r>
                          <w:rPr>
                            <w:iCs/>
                            <w:szCs w:val="24"/>
                          </w:rPr>
                          <w:t>100%</w:t>
                        </w:r>
                      </w:p>
                    </w:tc>
                    <w:tc>
                      <w:tcPr>
                        <w:tcW w:w="992" w:type="dxa"/>
                      </w:tcPr>
                      <w:p>
                        <w:pPr>
                          <w:rPr>
                            <w:szCs w:val="24"/>
                          </w:rPr>
                        </w:pPr>
                        <w:r>
                          <w:rPr>
                            <w:iCs/>
                            <w:szCs w:val="24"/>
                          </w:rPr>
                          <w:t>25,7 SB</w:t>
                        </w:r>
                      </w:p>
                    </w:tc>
                    <w:tc>
                      <w:tcPr>
                        <w:tcW w:w="993" w:type="dxa"/>
                      </w:tcPr>
                      <w:p>
                        <w:pPr>
                          <w:rPr>
                            <w:szCs w:val="24"/>
                          </w:rPr>
                        </w:pPr>
                        <w:r>
                          <w:rPr>
                            <w:iCs/>
                            <w:szCs w:val="24"/>
                          </w:rPr>
                          <w:t>17,21 SB</w:t>
                        </w:r>
                      </w:p>
                    </w:tc>
                    <w:tc>
                      <w:tcPr>
                        <w:tcW w:w="5386" w:type="dxa"/>
                      </w:tcPr>
                      <w:p>
                        <w:pPr>
                          <w:rPr>
                            <w:szCs w:val="24"/>
                          </w:rPr>
                        </w:pPr>
                        <w:r>
                          <w:rPr>
                            <w:szCs w:val="24"/>
                          </w:rPr>
                          <w:t>Atminimo ženklais Radviliškio rajone pažymėtos 6 partizanų palaidojimo vietos ir viena partizanų ryšininkės kapavietė. Seniūnijose pagal poreikį vykdyta paminklų, neveikiančių kapinių ir kitų kultūros paveldo vertybių, tvarkybos darbai ir priežiūra: Radviliškio mieste, metaline tvora, buvo aptverta dalis senųjų rusų kapinių, tvarkyta senųjų miesto kapinių akmeninė tvora; Šeduvos miesto seniūnijoje tvora aptvertos senosios Užuožerių kapinės; Radviliškio seniūnijoje sutvarkyta teritorija ir takas Verdulių kaime prie mitologinio „Velnio“ akmens, atliktas Bebrujų kaimo koplytėlės smulkus remontas ir perdažytas Vaidulių kaimo koplytstulpis; Aukštelkų seniūnijoje tvarkytas paminklas Lietuvos nepriklausomybės dešimtmečiui (Kaulinių kaime) ir Liaudiškių koplytėlės remontas; Šiaulėnuose sutvarkytas koplystulpis prie Šiaulėnų dvaro, atnaujintas Šiaulėnų kapinėse esantis Nepriklausomybės paminklas bei atnaujinti Kudinų piliakalnio laiptai. (Kultūros, paveldosaugos ir turizmo skyrius).</w:t>
                        </w:r>
                      </w:p>
                    </w:tc>
                  </w:tr>
                  <w:tr>
                    <w:trPr>
                      <w:trHeight w:val="365"/>
                    </w:trPr>
                    <w:tc>
                      <w:tcPr>
                        <w:tcW w:w="4253" w:type="dxa"/>
                      </w:tcPr>
                      <w:p>
                        <w:pPr>
                          <w:rPr>
                            <w:bCs/>
                            <w:szCs w:val="24"/>
                          </w:rPr>
                        </w:pPr>
                        <w:r>
                          <w:rPr>
                            <w:szCs w:val="24"/>
                          </w:rPr>
                          <w:t>14.1.1.3.Radviliškio rajono žemdirbių šventės organizavimas (SVP 2025m. 05 programa, priemonė 5-1-1-19)</w:t>
                        </w:r>
                      </w:p>
                    </w:tc>
                    <w:tc>
                      <w:tcPr>
                        <w:tcW w:w="993" w:type="dxa"/>
                      </w:tcPr>
                      <w:p>
                        <w:pPr>
                          <w:rPr>
                            <w:iCs/>
                            <w:szCs w:val="24"/>
                          </w:rPr>
                        </w:pPr>
                        <w:r>
                          <w:rPr>
                            <w:szCs w:val="24"/>
                          </w:rPr>
                          <w:t>1 vnt.</w:t>
                        </w:r>
                      </w:p>
                    </w:tc>
                    <w:tc>
                      <w:tcPr>
                        <w:tcW w:w="850" w:type="dxa"/>
                      </w:tcPr>
                      <w:p>
                        <w:pPr>
                          <w:rPr>
                            <w:color w:val="000000"/>
                            <w:szCs w:val="24"/>
                          </w:rPr>
                        </w:pPr>
                        <w:r>
                          <w:rPr>
                            <w:szCs w:val="24"/>
                          </w:rPr>
                          <w:t>1 vnt.</w:t>
                        </w:r>
                      </w:p>
                    </w:tc>
                    <w:tc>
                      <w:tcPr>
                        <w:tcW w:w="851" w:type="dxa"/>
                      </w:tcPr>
                      <w:p>
                        <w:pPr>
                          <w:rPr>
                            <w:szCs w:val="24"/>
                          </w:rPr>
                        </w:pPr>
                        <w:r>
                          <w:rPr>
                            <w:szCs w:val="24"/>
                          </w:rPr>
                          <w:t>1 vnt.</w:t>
                        </w:r>
                      </w:p>
                    </w:tc>
                    <w:tc>
                      <w:tcPr>
                        <w:tcW w:w="850" w:type="dxa"/>
                      </w:tcPr>
                      <w:p>
                        <w:pPr>
                          <w:rPr>
                            <w:iCs/>
                            <w:szCs w:val="24"/>
                          </w:rPr>
                        </w:pPr>
                        <w:r>
                          <w:rPr>
                            <w:szCs w:val="24"/>
                          </w:rPr>
                          <w:t>1 vnt.</w:t>
                        </w:r>
                      </w:p>
                    </w:tc>
                    <w:tc>
                      <w:tcPr>
                        <w:tcW w:w="992" w:type="dxa"/>
                      </w:tcPr>
                      <w:p>
                        <w:pPr>
                          <w:rPr>
                            <w:szCs w:val="24"/>
                          </w:rPr>
                        </w:pPr>
                        <w:r>
                          <w:rPr>
                            <w:szCs w:val="24"/>
                          </w:rPr>
                          <w:t>10,0 (SB)</w:t>
                        </w:r>
                      </w:p>
                    </w:tc>
                    <w:tc>
                      <w:tcPr>
                        <w:tcW w:w="993" w:type="dxa"/>
                      </w:tcPr>
                      <w:p>
                        <w:pPr>
                          <w:rPr>
                            <w:szCs w:val="24"/>
                          </w:rPr>
                        </w:pPr>
                        <w:r>
                          <w:rPr>
                            <w:szCs w:val="24"/>
                          </w:rPr>
                          <w:t>8,5 (SB)</w:t>
                        </w:r>
                      </w:p>
                    </w:tc>
                    <w:tc>
                      <w:tcPr>
                        <w:tcW w:w="5386" w:type="dxa"/>
                      </w:tcPr>
                      <w:p>
                        <w:pPr>
                          <w:ind w:firstLine="62"/>
                          <w:rPr>
                            <w:color w:val="000000"/>
                            <w:szCs w:val="24"/>
                          </w:rPr>
                        </w:pPr>
                        <w:r>
                          <w:rPr>
                            <w:szCs w:val="24"/>
                          </w:rPr>
                          <w:t>(Žemės ūkio skyrius)</w:t>
                        </w:r>
                      </w:p>
                    </w:tc>
                  </w:tr>
                  <w:tr>
                    <w:trPr>
                      <w:trHeight w:val="365"/>
                    </w:trPr>
                    <w:tc>
                      <w:tcPr>
                        <w:tcW w:w="4253" w:type="dxa"/>
                      </w:tcPr>
                      <w:p>
                        <w:pPr>
                          <w:rPr>
                            <w:szCs w:val="24"/>
                          </w:rPr>
                        </w:pPr>
                        <w:r>
                          <w:rPr>
                            <w:szCs w:val="24"/>
                          </w:rPr>
                          <w:t xml:space="preserve">15.1.1.5. Suorganizuota medikų dienos šventė. (SVP 5-1-1-19). </w:t>
                        </w:r>
                      </w:p>
                    </w:tc>
                    <w:tc>
                      <w:tcPr>
                        <w:tcW w:w="993" w:type="dxa"/>
                      </w:tcPr>
                      <w:p>
                        <w:pPr>
                          <w:rPr>
                            <w:iCs/>
                            <w:szCs w:val="24"/>
                          </w:rPr>
                        </w:pPr>
                        <w:r>
                          <w:rPr>
                            <w:szCs w:val="24"/>
                          </w:rPr>
                          <w:t>1 vnt.</w:t>
                        </w:r>
                      </w:p>
                    </w:tc>
                    <w:tc>
                      <w:tcPr>
                        <w:tcW w:w="850" w:type="dxa"/>
                      </w:tcPr>
                      <w:p>
                        <w:pPr>
                          <w:rPr>
                            <w:color w:val="000000"/>
                            <w:szCs w:val="24"/>
                          </w:rPr>
                        </w:pPr>
                        <w:r>
                          <w:rPr>
                            <w:szCs w:val="24"/>
                          </w:rPr>
                          <w:t>1</w:t>
                        </w:r>
                      </w:p>
                    </w:tc>
                    <w:tc>
                      <w:tcPr>
                        <w:tcW w:w="851" w:type="dxa"/>
                      </w:tcPr>
                      <w:p>
                        <w:pPr>
                          <w:rPr>
                            <w:szCs w:val="24"/>
                          </w:rPr>
                        </w:pPr>
                        <w:r>
                          <w:rPr>
                            <w:szCs w:val="24"/>
                          </w:rPr>
                          <w:t>1</w:t>
                        </w:r>
                      </w:p>
                    </w:tc>
                    <w:tc>
                      <w:tcPr>
                        <w:tcW w:w="850" w:type="dxa"/>
                      </w:tcPr>
                      <w:p>
                        <w:pPr>
                          <w:rPr>
                            <w:iCs/>
                            <w:szCs w:val="24"/>
                          </w:rPr>
                        </w:pPr>
                        <w:r>
                          <w:rPr>
                            <w:szCs w:val="24"/>
                          </w:rPr>
                          <w:t>1</w:t>
                        </w:r>
                      </w:p>
                    </w:tc>
                    <w:tc>
                      <w:tcPr>
                        <w:tcW w:w="992" w:type="dxa"/>
                      </w:tcPr>
                      <w:p>
                        <w:pPr>
                          <w:rPr>
                            <w:szCs w:val="24"/>
                          </w:rPr>
                        </w:pPr>
                        <w:r>
                          <w:rPr>
                            <w:szCs w:val="24"/>
                          </w:rPr>
                          <w:t>7 SB</w:t>
                        </w:r>
                      </w:p>
                    </w:tc>
                    <w:tc>
                      <w:tcPr>
                        <w:tcW w:w="993" w:type="dxa"/>
                      </w:tcPr>
                      <w:p>
                        <w:pPr>
                          <w:rPr>
                            <w:szCs w:val="24"/>
                          </w:rPr>
                        </w:pPr>
                        <w:r>
                          <w:rPr>
                            <w:szCs w:val="24"/>
                          </w:rPr>
                          <w:t>6,4 SB</w:t>
                        </w:r>
                      </w:p>
                    </w:tc>
                    <w:tc>
                      <w:tcPr>
                        <w:tcW w:w="5386" w:type="dxa"/>
                      </w:tcPr>
                      <w:p>
                        <w:pPr>
                          <w:ind w:firstLine="62"/>
                          <w:rPr>
                            <w:color w:val="000000"/>
                            <w:szCs w:val="24"/>
                          </w:rPr>
                        </w:pPr>
                        <w:r>
                          <w:rPr>
                            <w:szCs w:val="24"/>
                          </w:rPr>
                          <w:t>(Sveikatos reikalų koordinatorė).</w:t>
                        </w:r>
                      </w:p>
                    </w:tc>
                  </w:tr>
                  <w:tr>
                    <w:trPr>
                      <w:trHeight w:val="586"/>
                    </w:trPr>
                    <w:tc>
                      <w:tcPr>
                        <w:tcW w:w="4253" w:type="dxa"/>
                      </w:tcPr>
                      <w:p>
                        <w:pPr>
                          <w:rPr>
                            <w:szCs w:val="24"/>
                          </w:rPr>
                        </w:pPr>
                        <w:r>
                          <w:rPr>
                            <w:szCs w:val="24"/>
                          </w:rPr>
                          <w:t>5.2.1.1. Suorganizuota Auksinių vestuvių šventė (SVP 5-1-1-19)</w:t>
                        </w:r>
                      </w:p>
                    </w:tc>
                    <w:tc>
                      <w:tcPr>
                        <w:tcW w:w="993" w:type="dxa"/>
                      </w:tcPr>
                      <w:p>
                        <w:pPr>
                          <w:rPr>
                            <w:szCs w:val="24"/>
                          </w:rPr>
                        </w:pPr>
                        <w:r>
                          <w:rPr>
                            <w:szCs w:val="24"/>
                          </w:rPr>
                          <w:t>1</w:t>
                        </w:r>
                      </w:p>
                    </w:tc>
                    <w:tc>
                      <w:tcPr>
                        <w:tcW w:w="850" w:type="dxa"/>
                      </w:tcPr>
                      <w:p>
                        <w:pPr>
                          <w:rPr>
                            <w:szCs w:val="24"/>
                          </w:rPr>
                        </w:pPr>
                        <w:r>
                          <w:rPr>
                            <w:szCs w:val="24"/>
                          </w:rPr>
                          <w:t>1</w:t>
                        </w:r>
                      </w:p>
                    </w:tc>
                    <w:tc>
                      <w:tcPr>
                        <w:tcW w:w="851" w:type="dxa"/>
                      </w:tcPr>
                      <w:p>
                        <w:pPr>
                          <w:rPr>
                            <w:szCs w:val="24"/>
                          </w:rPr>
                        </w:pPr>
                        <w:r>
                          <w:rPr>
                            <w:szCs w:val="24"/>
                          </w:rPr>
                          <w:t>1</w:t>
                        </w:r>
                      </w:p>
                    </w:tc>
                    <w:tc>
                      <w:tcPr>
                        <w:tcW w:w="850" w:type="dxa"/>
                      </w:tcPr>
                      <w:p>
                        <w:pPr>
                          <w:rPr>
                            <w:szCs w:val="24"/>
                          </w:rPr>
                        </w:pPr>
                        <w:r>
                          <w:rPr>
                            <w:szCs w:val="24"/>
                          </w:rPr>
                          <w:t>1</w:t>
                        </w:r>
                      </w:p>
                    </w:tc>
                    <w:tc>
                      <w:tcPr>
                        <w:tcW w:w="992" w:type="dxa"/>
                      </w:tcPr>
                      <w:p>
                        <w:pPr>
                          <w:rPr>
                            <w:szCs w:val="24"/>
                          </w:rPr>
                        </w:pPr>
                        <w:r>
                          <w:rPr>
                            <w:szCs w:val="24"/>
                          </w:rPr>
                          <w:t>5,5 SB</w:t>
                        </w:r>
                      </w:p>
                    </w:tc>
                    <w:tc>
                      <w:tcPr>
                        <w:tcW w:w="993" w:type="dxa"/>
                      </w:tcPr>
                      <w:p>
                        <w:pPr>
                          <w:rPr>
                            <w:szCs w:val="24"/>
                          </w:rPr>
                        </w:pPr>
                        <w:r>
                          <w:rPr>
                            <w:szCs w:val="24"/>
                          </w:rPr>
                          <w:t>5,5 SB</w:t>
                        </w:r>
                      </w:p>
                    </w:tc>
                    <w:tc>
                      <w:tcPr>
                        <w:tcW w:w="5386" w:type="dxa"/>
                      </w:tcPr>
                      <w:p>
                        <w:pPr>
                          <w:rPr>
                            <w:szCs w:val="24"/>
                          </w:rPr>
                        </w:pPr>
                        <w:r>
                          <w:rPr>
                            <w:szCs w:val="24"/>
                          </w:rPr>
                          <w:t>(Civilinės metrikacijos, informacinių technologijų ir komunikacijos skyrius)</w:t>
                        </w:r>
                      </w:p>
                    </w:tc>
                  </w:tr>
                  <w:tr>
                    <w:trPr>
                      <w:trHeight w:val="365"/>
                    </w:trPr>
                    <w:tc>
                      <w:tcPr>
                        <w:tcW w:w="15168" w:type="dxa"/>
                        <w:gridSpan w:val="8"/>
                      </w:tcPr>
                      <w:p>
                        <w:pPr>
                          <w:spacing w:line="259" w:lineRule="auto"/>
                          <w:rPr>
                            <w:color w:val="000000"/>
                            <w:szCs w:val="24"/>
                            <w:highlight w:val="yellow"/>
                          </w:rPr>
                        </w:pPr>
                        <w:r>
                          <w:rPr>
                            <w:color w:val="000000"/>
                            <w:szCs w:val="24"/>
                          </w:rPr>
                          <w:t>1.2.</w:t>
                        </w:r>
                        <w:r>
                          <w:rPr>
                            <w:szCs w:val="24"/>
                          </w:rPr>
                          <w:t xml:space="preserve"> </w:t>
                        </w:r>
                        <w:r>
                          <w:rPr>
                            <w:color w:val="000000"/>
                            <w:szCs w:val="24"/>
                          </w:rPr>
                          <w:t>Skatinti gyventojų fizinį aktyvumą, ugdyti sportuojančią visuomenę</w:t>
                        </w:r>
                      </w:p>
                    </w:tc>
                  </w:tr>
                  <w:tr>
                    <w:trPr>
                      <w:trHeight w:val="365"/>
                    </w:trPr>
                    <w:tc>
                      <w:tcPr>
                        <w:tcW w:w="4253" w:type="dxa"/>
                      </w:tcPr>
                      <w:p>
                        <w:pPr>
                          <w:rPr>
                            <w:bCs/>
                            <w:color w:val="000000"/>
                            <w:szCs w:val="24"/>
                          </w:rPr>
                        </w:pPr>
                        <w:r>
                          <w:rPr>
                            <w:rFonts w:eastAsia="Calibri"/>
                            <w:szCs w:val="24"/>
                          </w:rPr>
                          <w:t>12.2.1.1.</w:t>
                        </w:r>
                        <w:r>
                          <w:rPr>
                            <w:rFonts w:eastAsia="Calibri"/>
                            <w:color w:val="A6A6A6"/>
                            <w:szCs w:val="24"/>
                          </w:rPr>
                          <w:t xml:space="preserve"> </w:t>
                        </w:r>
                        <w:r>
                          <w:rPr>
                            <w:szCs w:val="24"/>
                          </w:rPr>
                          <w:t>Savivaldybės kūno kultūros ir sporto programos projektų koordinavimas ir organizavimas (įgyvendintų projektų skaičius) SVP (05-01-02-01)</w:t>
                        </w:r>
                      </w:p>
                    </w:tc>
                    <w:tc>
                      <w:tcPr>
                        <w:tcW w:w="993" w:type="dxa"/>
                      </w:tcPr>
                      <w:p>
                        <w:pPr>
                          <w:rPr>
                            <w:color w:val="000000"/>
                            <w:szCs w:val="24"/>
                          </w:rPr>
                        </w:pPr>
                        <w:r>
                          <w:rPr>
                            <w:iCs/>
                            <w:szCs w:val="24"/>
                          </w:rPr>
                          <w:t>24</w:t>
                        </w:r>
                      </w:p>
                    </w:tc>
                    <w:tc>
                      <w:tcPr>
                        <w:tcW w:w="850" w:type="dxa"/>
                      </w:tcPr>
                      <w:p>
                        <w:pPr>
                          <w:rPr>
                            <w:color w:val="000000"/>
                            <w:szCs w:val="24"/>
                          </w:rPr>
                        </w:pPr>
                        <w:r>
                          <w:rPr>
                            <w:iCs/>
                            <w:szCs w:val="24"/>
                          </w:rPr>
                          <w:t>24</w:t>
                        </w:r>
                      </w:p>
                    </w:tc>
                    <w:tc>
                      <w:tcPr>
                        <w:tcW w:w="851" w:type="dxa"/>
                      </w:tcPr>
                      <w:p>
                        <w:pPr>
                          <w:rPr>
                            <w:color w:val="000000"/>
                            <w:szCs w:val="24"/>
                          </w:rPr>
                        </w:pPr>
                        <w:r>
                          <w:rPr>
                            <w:iCs/>
                            <w:szCs w:val="24"/>
                          </w:rPr>
                          <w:t>24</w:t>
                        </w:r>
                      </w:p>
                    </w:tc>
                    <w:tc>
                      <w:tcPr>
                        <w:tcW w:w="850" w:type="dxa"/>
                      </w:tcPr>
                      <w:p>
                        <w:pPr>
                          <w:rPr>
                            <w:color w:val="000000"/>
                            <w:szCs w:val="24"/>
                          </w:rPr>
                        </w:pPr>
                        <w:r>
                          <w:rPr>
                            <w:iCs/>
                            <w:szCs w:val="24"/>
                          </w:rPr>
                          <w:t>26</w:t>
                        </w:r>
                      </w:p>
                    </w:tc>
                    <w:tc>
                      <w:tcPr>
                        <w:tcW w:w="992" w:type="dxa"/>
                      </w:tcPr>
                      <w:p>
                        <w:pPr>
                          <w:rPr>
                            <w:color w:val="000000"/>
                            <w:szCs w:val="24"/>
                          </w:rPr>
                        </w:pPr>
                        <w:r>
                          <w:rPr>
                            <w:iCs/>
                            <w:szCs w:val="24"/>
                          </w:rPr>
                          <w:t>200 (SB)</w:t>
                        </w:r>
                      </w:p>
                    </w:tc>
                    <w:tc>
                      <w:tcPr>
                        <w:tcW w:w="993" w:type="dxa"/>
                      </w:tcPr>
                      <w:p>
                        <w:pPr>
                          <w:rPr>
                            <w:color w:val="000000"/>
                            <w:szCs w:val="24"/>
                          </w:rPr>
                        </w:pPr>
                        <w:r>
                          <w:rPr>
                            <w:iCs/>
                            <w:szCs w:val="24"/>
                          </w:rPr>
                          <w:t>200 (SB)</w:t>
                        </w:r>
                      </w:p>
                    </w:tc>
                    <w:tc>
                      <w:tcPr>
                        <w:tcW w:w="5386" w:type="dxa"/>
                      </w:tcPr>
                      <w:p>
                        <w:pPr>
                          <w:rPr>
                            <w:szCs w:val="24"/>
                          </w:rPr>
                        </w:pPr>
                        <w:r>
                          <w:rPr>
                            <w:szCs w:val="24"/>
                          </w:rPr>
                          <w:t>Planuotas rodiklis viršytas, įvykdyti 26 projektai. (Švietimo ir sporto skyrius)</w:t>
                        </w:r>
                      </w:p>
                    </w:tc>
                  </w:tr>
                  <w:tr>
                    <w:trPr>
                      <w:trHeight w:val="365"/>
                    </w:trPr>
                    <w:tc>
                      <w:tcPr>
                        <w:tcW w:w="4253" w:type="dxa"/>
                      </w:tcPr>
                      <w:p>
                        <w:pPr>
                          <w:rPr>
                            <w:bCs/>
                            <w:color w:val="000000"/>
                            <w:szCs w:val="24"/>
                          </w:rPr>
                        </w:pPr>
                        <w:r>
                          <w:rPr>
                            <w:rFonts w:eastAsia="Calibri"/>
                            <w:szCs w:val="24"/>
                          </w:rPr>
                          <w:t xml:space="preserve">12.2.1.2. </w:t>
                        </w:r>
                        <w:r>
                          <w:rPr>
                            <w:szCs w:val="24"/>
                          </w:rPr>
                          <w:t>Savivaldybės kūno kultūros ir sporto programos 2025 m. įgyvendinamų projektų patikrų skaičius</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w:t>
                        </w:r>
                      </w:p>
                    </w:tc>
                    <w:tc>
                      <w:tcPr>
                        <w:tcW w:w="992" w:type="dxa"/>
                      </w:tcPr>
                      <w:p>
                        <w:pPr>
                          <w:rPr>
                            <w:color w:val="000000"/>
                            <w:szCs w:val="24"/>
                          </w:rPr>
                        </w:pPr>
                        <w:r>
                          <w:rPr>
                            <w:iCs/>
                            <w:szCs w:val="24"/>
                          </w:rPr>
                          <w:t>-</w:t>
                        </w:r>
                      </w:p>
                    </w:tc>
                    <w:tc>
                      <w:tcPr>
                        <w:tcW w:w="993" w:type="dxa"/>
                      </w:tcPr>
                      <w:p>
                        <w:pPr>
                          <w:rPr>
                            <w:color w:val="000000"/>
                            <w:szCs w:val="24"/>
                          </w:rPr>
                        </w:pPr>
                        <w:r>
                          <w:rPr>
                            <w:iCs/>
                            <w:szCs w:val="24"/>
                          </w:rPr>
                          <w:t>-</w:t>
                        </w:r>
                      </w:p>
                    </w:tc>
                    <w:tc>
                      <w:tcPr>
                        <w:tcW w:w="5386" w:type="dxa"/>
                      </w:tcPr>
                      <w:p>
                        <w:pPr>
                          <w:rPr>
                            <w:szCs w:val="24"/>
                          </w:rPr>
                        </w:pPr>
                        <w:r>
                          <w:rPr>
                            <w:szCs w:val="24"/>
                          </w:rPr>
                          <w:t>Planuotas rodiklis pasiektas, atlikta vieno sporto projekto patikra ir parengta pažyma. (Švietimo ir sporto skyrius)</w:t>
                        </w:r>
                      </w:p>
                    </w:tc>
                  </w:tr>
                  <w:tr>
                    <w:trPr>
                      <w:trHeight w:val="365"/>
                    </w:trPr>
                    <w:tc>
                      <w:tcPr>
                        <w:tcW w:w="4253" w:type="dxa"/>
                      </w:tcPr>
                      <w:p>
                        <w:pPr>
                          <w:rPr>
                            <w:color w:val="000000"/>
                            <w:szCs w:val="24"/>
                          </w:rPr>
                        </w:pPr>
                        <w:r>
                          <w:rPr>
                            <w:rFonts w:eastAsia="Calibri"/>
                            <w:szCs w:val="24"/>
                          </w:rPr>
                          <w:t xml:space="preserve">12.2.1.3. </w:t>
                        </w:r>
                        <w:r>
                          <w:rPr>
                            <w:szCs w:val="24"/>
                          </w:rPr>
                          <w:t>Savivaldybės švietimo ir sporto paslaugų centro Sporto skyriaus organizuojamų veiklų patikrų skaičius</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w:t>
                        </w:r>
                      </w:p>
                    </w:tc>
                    <w:tc>
                      <w:tcPr>
                        <w:tcW w:w="851"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0</w:t>
                        </w:r>
                      </w:p>
                    </w:tc>
                    <w:tc>
                      <w:tcPr>
                        <w:tcW w:w="992" w:type="dxa"/>
                      </w:tcPr>
                      <w:p>
                        <w:pPr>
                          <w:rPr>
                            <w:color w:val="000000"/>
                            <w:szCs w:val="24"/>
                          </w:rPr>
                        </w:pPr>
                        <w:r>
                          <w:rPr>
                            <w:iCs/>
                            <w:szCs w:val="24"/>
                          </w:rPr>
                          <w:t>-</w:t>
                        </w:r>
                      </w:p>
                    </w:tc>
                    <w:tc>
                      <w:tcPr>
                        <w:tcW w:w="993" w:type="dxa"/>
                      </w:tcPr>
                      <w:p>
                        <w:pPr>
                          <w:rPr>
                            <w:color w:val="000000"/>
                            <w:szCs w:val="24"/>
                          </w:rPr>
                        </w:pPr>
                        <w:r>
                          <w:rPr>
                            <w:iCs/>
                            <w:szCs w:val="24"/>
                          </w:rPr>
                          <w:t>-</w:t>
                        </w:r>
                      </w:p>
                    </w:tc>
                    <w:tc>
                      <w:tcPr>
                        <w:tcW w:w="5386" w:type="dxa"/>
                      </w:tcPr>
                      <w:p>
                        <w:pPr>
                          <w:rPr>
                            <w:szCs w:val="24"/>
                          </w:rPr>
                        </w:pPr>
                        <w:r>
                          <w:rPr>
                            <w:szCs w:val="24"/>
                          </w:rPr>
                          <w:t>Planuotas rodiklis nepasiektas, Savivaldybės švietimo ir sporto paslaugų centro Sporto skyriaus organizuojamų veiklų patikra bus atliekama 2026 m.</w:t>
                        </w:r>
                      </w:p>
                      <w:p>
                        <w:pPr>
                          <w:rPr>
                            <w:b/>
                            <w:bCs/>
                            <w:color w:val="000000"/>
                            <w:szCs w:val="24"/>
                          </w:rPr>
                        </w:pPr>
                        <w:r>
                          <w:rPr>
                            <w:szCs w:val="24"/>
                          </w:rPr>
                          <w:t>(Švietimo ir sporto skyrius)</w:t>
                        </w:r>
                      </w:p>
                    </w:tc>
                  </w:tr>
                  <w:tr>
                    <w:trPr>
                      <w:trHeight w:val="365"/>
                    </w:trPr>
                    <w:tc>
                      <w:tcPr>
                        <w:tcW w:w="4253" w:type="dxa"/>
                      </w:tcPr>
                      <w:p>
                        <w:pPr>
                          <w:rPr>
                            <w:color w:val="000000"/>
                            <w:szCs w:val="24"/>
                          </w:rPr>
                        </w:pPr>
                        <w:r>
                          <w:rPr>
                            <w:color w:val="000000"/>
                            <w:szCs w:val="24"/>
                          </w:rPr>
                          <w:t>1.2.4. Savivaldybės kūno kultūros ir sporto programos projektų koordinavimas ir organizavimas (įgyvendintų projektų skaičius) (SVP 5.1.2.01)</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24 vnt.</w:t>
                        </w:r>
                      </w:p>
                    </w:tc>
                    <w:tc>
                      <w:tcPr>
                        <w:tcW w:w="850" w:type="dxa"/>
                        <w:tcBorders>
                          <w:top w:val="single" w:sz="8" w:space="0" w:color="000000"/>
                          <w:left w:val="single" w:sz="8" w:space="0" w:color="000000"/>
                          <w:bottom w:val="single" w:sz="8" w:space="0" w:color="000000"/>
                          <w:right w:val="single" w:sz="8" w:space="0" w:color="000000"/>
                        </w:tcBorders>
                      </w:tcPr>
                      <w:p>
                        <w:pPr>
                          <w:rPr>
                            <w:szCs w:val="24"/>
                          </w:rPr>
                        </w:pPr>
                        <w:r>
                          <w:rPr>
                            <w:color w:val="000000"/>
                            <w:szCs w:val="24"/>
                          </w:rPr>
                          <w:t>27 vnt.</w:t>
                        </w:r>
                      </w:p>
                    </w:tc>
                    <w:tc>
                      <w:tcPr>
                        <w:tcW w:w="851" w:type="dxa"/>
                        <w:tcBorders>
                          <w:top w:val="single" w:sz="8" w:space="0" w:color="000000"/>
                          <w:left w:val="single" w:sz="8" w:space="0" w:color="000000"/>
                          <w:bottom w:val="single" w:sz="8" w:space="0" w:color="000000"/>
                          <w:right w:val="single" w:sz="8" w:space="0" w:color="000000"/>
                        </w:tcBorders>
                      </w:tcPr>
                      <w:p>
                        <w:pPr>
                          <w:rPr>
                            <w:szCs w:val="24"/>
                          </w:rPr>
                        </w:pPr>
                        <w:r>
                          <w:rPr>
                            <w:color w:val="000000"/>
                            <w:szCs w:val="24"/>
                          </w:rPr>
                          <w:t>24 vnt.</w:t>
                        </w:r>
                      </w:p>
                    </w:tc>
                    <w:tc>
                      <w:tcPr>
                        <w:tcW w:w="850" w:type="dxa"/>
                        <w:tcBorders>
                          <w:top w:val="single" w:sz="8" w:space="0" w:color="000000"/>
                          <w:left w:val="single" w:sz="8" w:space="0" w:color="000000"/>
                          <w:bottom w:val="single" w:sz="8" w:space="0" w:color="000000"/>
                          <w:right w:val="single" w:sz="8" w:space="0" w:color="000000"/>
                        </w:tcBorders>
                      </w:tcPr>
                      <w:p>
                        <w:pPr>
                          <w:rPr>
                            <w:szCs w:val="24"/>
                          </w:rPr>
                        </w:pPr>
                        <w:r>
                          <w:rPr>
                            <w:color w:val="000000"/>
                            <w:szCs w:val="24"/>
                          </w:rPr>
                          <w:t>24 vnt.</w:t>
                        </w:r>
                      </w:p>
                    </w:tc>
                    <w:tc>
                      <w:tcPr>
                        <w:tcW w:w="992"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200 SB</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198 SB</w:t>
                        </w:r>
                      </w:p>
                    </w:tc>
                    <w:tc>
                      <w:tcPr>
                        <w:tcW w:w="5386"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(Švietimo ir sporto skyrius)</w:t>
                        </w:r>
                      </w:p>
                    </w:tc>
                  </w:tr>
                  <w:tr>
                    <w:trPr>
                      <w:trHeight w:val="365"/>
                    </w:trPr>
                    <w:tc>
                      <w:tcPr>
                        <w:tcW w:w="15168" w:type="dxa"/>
                        <w:gridSpan w:val="8"/>
                      </w:tcPr>
                      <w:p>
                        <w:pPr>
                          <w:spacing w:line="259" w:lineRule="auto"/>
                          <w:rPr>
                            <w:color w:val="000000"/>
                            <w:kern w:val="2"/>
                            <w:szCs w:val="24"/>
                            <w:highlight w:val="yellow"/>
                            <w14:ligatures w14:val="standardContextual"/>
                          </w:rPr>
                        </w:pPr>
                        <w:r>
                          <w:rPr>
                            <w:color w:val="000000"/>
                            <w:szCs w:val="24"/>
                          </w:rPr>
                          <w:t>1.3. Pritaikyti gamtos, kultūros paveldo ir kitus objektus lankytojams, švietimui, kultūrai, edukacijai bei kitų paslaugų teikimui</w:t>
                        </w:r>
                      </w:p>
                    </w:tc>
                  </w:tr>
                  <w:tr>
                    <w:trPr>
                      <w:trHeight w:val="365"/>
                    </w:trPr>
                    <w:tc>
                      <w:tcPr>
                        <w:tcW w:w="4253" w:type="dxa"/>
                      </w:tcPr>
                      <w:p>
                        <w:pPr>
                          <w:rPr>
                            <w:iCs/>
                            <w:szCs w:val="24"/>
                          </w:rPr>
                        </w:pPr>
                        <w:r>
                          <w:rPr>
                            <w:iCs/>
                            <w:szCs w:val="24"/>
                          </w:rPr>
                          <w:t>9.3.1.2. Savanorių ir partizanų kapų, paminklų, neveikiančių kapinių, kitų kultūros paveldo vertybių, esančių seniūnijose tvarkymo ir priežiūros ir tvarkybos darbų koordinavimas.</w:t>
                        </w:r>
                      </w:p>
                      <w:p>
                        <w:pPr>
                          <w:rPr>
                            <w:color w:val="000000"/>
                            <w:szCs w:val="24"/>
                            <w:highlight w:val="yellow"/>
                          </w:rPr>
                        </w:pPr>
                        <w:r>
                          <w:rPr>
                            <w:iCs/>
                            <w:szCs w:val="24"/>
                          </w:rPr>
                          <w:t>(SVP P-5-1-3-04)</w:t>
                        </w:r>
                      </w:p>
                    </w:tc>
                    <w:tc>
                      <w:tcPr>
                        <w:tcW w:w="993" w:type="dxa"/>
                      </w:tcPr>
                      <w:p>
                        <w:pPr>
                          <w:rPr>
                            <w:color w:val="000000"/>
                            <w:szCs w:val="24"/>
                          </w:rPr>
                        </w:pPr>
                        <w:r>
                          <w:rPr>
                            <w:color w:val="000000"/>
                            <w:szCs w:val="24"/>
                          </w:rPr>
                          <w:t>100 %</w:t>
                        </w:r>
                      </w:p>
                    </w:tc>
                    <w:tc>
                      <w:tcPr>
                        <w:tcW w:w="850" w:type="dxa"/>
                      </w:tcPr>
                      <w:p>
                        <w:pPr>
                          <w:rPr>
                            <w:color w:val="000000"/>
                            <w:szCs w:val="24"/>
                          </w:rPr>
                        </w:pPr>
                        <w:r>
                          <w:rPr>
                            <w:color w:val="000000"/>
                            <w:szCs w:val="24"/>
                          </w:rPr>
                          <w:t xml:space="preserve">100 % </w:t>
                        </w:r>
                      </w:p>
                    </w:tc>
                    <w:tc>
                      <w:tcPr>
                        <w:tcW w:w="851" w:type="dxa"/>
                      </w:tcPr>
                      <w:p>
                        <w:pPr>
                          <w:rPr>
                            <w:color w:val="000000"/>
                            <w:szCs w:val="24"/>
                          </w:rPr>
                        </w:pPr>
                        <w:r>
                          <w:rPr>
                            <w:color w:val="000000"/>
                            <w:szCs w:val="24"/>
                          </w:rPr>
                          <w:t xml:space="preserve">100% </w:t>
                        </w:r>
                      </w:p>
                    </w:tc>
                    <w:tc>
                      <w:tcPr>
                        <w:tcW w:w="850" w:type="dxa"/>
                      </w:tcPr>
                      <w:p>
                        <w:pPr>
                          <w:rPr>
                            <w:color w:val="000000"/>
                            <w:szCs w:val="24"/>
                          </w:rPr>
                        </w:pPr>
                        <w:r>
                          <w:rPr>
                            <w:color w:val="000000"/>
                            <w:szCs w:val="24"/>
                          </w:rPr>
                          <w:t>100 %%</w:t>
                        </w:r>
                      </w:p>
                    </w:tc>
                    <w:tc>
                      <w:tcPr>
                        <w:tcW w:w="992" w:type="dxa"/>
                      </w:tcPr>
                      <w:p>
                        <w:pPr>
                          <w:rPr>
                            <w:color w:val="000000"/>
                            <w:szCs w:val="24"/>
                          </w:rPr>
                        </w:pPr>
                        <w:r>
                          <w:rPr>
                            <w:color w:val="000000"/>
                            <w:szCs w:val="24"/>
                          </w:rPr>
                          <w:t>25,7 SB</w:t>
                        </w:r>
                      </w:p>
                    </w:tc>
                    <w:tc>
                      <w:tcPr>
                        <w:tcW w:w="993" w:type="dxa"/>
                      </w:tcPr>
                      <w:p>
                        <w:pPr>
                          <w:rPr>
                            <w:color w:val="000000"/>
                            <w:szCs w:val="24"/>
                          </w:rPr>
                        </w:pPr>
                        <w:r>
                          <w:rPr>
                            <w:iCs/>
                            <w:szCs w:val="24"/>
                          </w:rPr>
                          <w:t>17,21</w:t>
                        </w:r>
                        <w:r>
                          <w:rPr>
                            <w:color w:val="000000"/>
                            <w:szCs w:val="24"/>
                          </w:rPr>
                          <w:t xml:space="preserve"> SB</w:t>
                        </w:r>
                      </w:p>
                    </w:tc>
                    <w:tc>
                      <w:tcPr>
                        <w:tcW w:w="5386" w:type="dxa"/>
                      </w:tcPr>
                      <w:p>
                        <w:pPr>
                          <w:spacing w:line="259" w:lineRule="auto"/>
                          <w:rPr>
                            <w:color w:val="000000"/>
                            <w:kern w:val="2"/>
                            <w:szCs w:val="24"/>
                            <w14:ligatures w14:val="standardContextual"/>
                          </w:rPr>
                        </w:pPr>
                        <w:r>
                          <w:rPr>
                            <w:color w:val="000000"/>
                            <w:szCs w:val="24"/>
                          </w:rPr>
                          <w:t>Seniūnijose pagal poreikį vykdoma savanorių ir partizanų kapų, paminklų, neveikiančių kapinių ir kitų kultūros paveldo vertybių, tvarkybos darbai ir priežiūra (Kultūros, paveldosaugos ir turizmo skyrius).</w:t>
                        </w:r>
                      </w:p>
                    </w:tc>
                  </w:tr>
                  <w:tr>
                    <w:trPr>
                      <w:trHeight w:val="365"/>
                    </w:trPr>
                    <w:tc>
                      <w:tcPr>
                        <w:tcW w:w="4253" w:type="dxa"/>
                      </w:tcPr>
                      <w:p>
                        <w:pPr>
                          <w:rPr>
                            <w:bCs/>
                            <w:szCs w:val="24"/>
                          </w:rPr>
                        </w:pPr>
                        <w:r>
                          <w:rPr>
                            <w:bCs/>
                            <w:szCs w:val="24"/>
                          </w:rPr>
                          <w:t>16.1.2.2. Savivaldybės biudžeto lėšomis finansuotų tradicinių religinių bendruomenių ir bendrijų projektų administravimas, % (SVP 5-1-3-16.)</w:t>
                        </w:r>
                      </w:p>
                    </w:tc>
                    <w:tc>
                      <w:tcPr>
                        <w:tcW w:w="993" w:type="dxa"/>
                      </w:tcPr>
                      <w:p>
                        <w:pPr>
                          <w:rPr>
                            <w:color w:val="000000"/>
                            <w:szCs w:val="24"/>
                          </w:rPr>
                        </w:pPr>
                        <w:r>
                          <w:rPr>
                            <w:szCs w:val="24"/>
                          </w:rPr>
                          <w:t>100 %</w:t>
                        </w:r>
                      </w:p>
                    </w:tc>
                    <w:tc>
                      <w:tcPr>
                        <w:tcW w:w="850" w:type="dxa"/>
                      </w:tcPr>
                      <w:p>
                        <w:pPr>
                          <w:rPr>
                            <w:color w:val="000000"/>
                            <w:szCs w:val="24"/>
                          </w:rPr>
                        </w:pPr>
                        <w:r>
                          <w:rPr>
                            <w:szCs w:val="24"/>
                          </w:rPr>
                          <w:t>0 %</w:t>
                        </w:r>
                      </w:p>
                    </w:tc>
                    <w:tc>
                      <w:tcPr>
                        <w:tcW w:w="851" w:type="dxa"/>
                      </w:tcPr>
                      <w:p>
                        <w:pPr>
                          <w:rPr>
                            <w:color w:val="000000"/>
                            <w:szCs w:val="24"/>
                          </w:rPr>
                        </w:pPr>
                        <w:r>
                          <w:rPr>
                            <w:szCs w:val="24"/>
                          </w:rPr>
                          <w:t>100 %</w:t>
                        </w:r>
                      </w:p>
                    </w:tc>
                    <w:tc>
                      <w:tcPr>
                        <w:tcW w:w="850" w:type="dxa"/>
                      </w:tcPr>
                      <w:p>
                        <w:pPr>
                          <w:rPr>
                            <w:color w:val="000000"/>
                            <w:szCs w:val="24"/>
                          </w:rPr>
                        </w:pPr>
                        <w:r>
                          <w:rPr>
                            <w:szCs w:val="24"/>
                          </w:rPr>
                          <w:t>100 %</w:t>
                        </w:r>
                      </w:p>
                    </w:tc>
                    <w:tc>
                      <w:tcPr>
                        <w:tcW w:w="992" w:type="dxa"/>
                      </w:tcPr>
                      <w:p>
                        <w:pPr>
                          <w:rPr>
                            <w:szCs w:val="24"/>
                          </w:rPr>
                        </w:pPr>
                        <w:r>
                          <w:rPr>
                            <w:szCs w:val="24"/>
                          </w:rPr>
                          <w:t>50</w:t>
                        </w:r>
                      </w:p>
                      <w:p>
                        <w:pPr>
                          <w:rPr>
                            <w:color w:val="000000"/>
                            <w:szCs w:val="24"/>
                          </w:rPr>
                        </w:pPr>
                        <w:r>
                          <w:rPr>
                            <w:szCs w:val="24"/>
                          </w:rPr>
                          <w:t>SB</w:t>
                        </w:r>
                      </w:p>
                    </w:tc>
                    <w:tc>
                      <w:tcPr>
                        <w:tcW w:w="993" w:type="dxa"/>
                      </w:tcPr>
                      <w:p>
                        <w:pPr>
                          <w:rPr>
                            <w:szCs w:val="24"/>
                          </w:rPr>
                        </w:pPr>
                        <w:r>
                          <w:rPr>
                            <w:szCs w:val="24"/>
                          </w:rPr>
                          <w:t>48</w:t>
                        </w:r>
                      </w:p>
                      <w:p>
                        <w:pPr>
                          <w:rPr>
                            <w:iCs/>
                            <w:szCs w:val="24"/>
                          </w:rPr>
                        </w:pPr>
                        <w:r>
                          <w:rPr>
                            <w:szCs w:val="24"/>
                          </w:rPr>
                          <w:t>SB</w:t>
                        </w:r>
                      </w:p>
                    </w:tc>
                    <w:tc>
                      <w:tcPr>
                        <w:tcW w:w="5386" w:type="dxa"/>
                      </w:tcPr>
                      <w:p>
                        <w:pPr>
                          <w:rPr>
                            <w:szCs w:val="24"/>
                          </w:rPr>
                        </w:pPr>
                        <w:r>
                          <w:rPr>
                            <w:szCs w:val="24"/>
                          </w:rPr>
                          <w:t>2025 m. finansuoti 4 projektai, kurių dėka buvo atliekami remonto, aplinkos tvarkymo darbai. (Jaunimo reikalų koordinatorius (patarėjas).</w:t>
                        </w:r>
                      </w:p>
                    </w:tc>
                  </w:tr>
                  <w:tr>
                    <w:trPr>
                      <w:trHeight w:val="365"/>
                    </w:trPr>
                    <w:tc>
                      <w:tcPr>
                        <w:tcW w:w="15168" w:type="dxa"/>
                        <w:gridSpan w:val="8"/>
                      </w:tcPr>
                      <w:p>
                        <w:pPr>
                          <w:spacing w:line="259" w:lineRule="auto"/>
                          <w:rPr>
                            <w:color w:val="000000"/>
                            <w:kern w:val="2"/>
                            <w:szCs w:val="24"/>
                            <w:highlight w:val="yellow"/>
                            <w14:ligatures w14:val="standardContextual"/>
                          </w:rPr>
                        </w:pPr>
                        <w:r>
                          <w:rPr>
                            <w:color w:val="000000"/>
                            <w:kern w:val="2"/>
                            <w:szCs w:val="24"/>
                            <w14:ligatures w14:val="standardContextual"/>
                          </w:rPr>
                          <w:t>1.4. Skatinti rajono gyventojų kompetencijų plėtojimą, bendruomeniškumą ir veiklumą.</w:t>
                        </w:r>
                      </w:p>
                    </w:tc>
                  </w:tr>
                  <w:tr>
                    <w:trPr>
                      <w:trHeight w:val="365"/>
                    </w:trPr>
                    <w:tc>
                      <w:tcPr>
                        <w:tcW w:w="4253" w:type="dxa"/>
                      </w:tcPr>
                      <w:p>
                        <w:pPr>
                          <w:rPr>
                            <w:color w:val="000000"/>
                            <w:szCs w:val="24"/>
                            <w:highlight w:val="yellow"/>
                          </w:rPr>
                        </w:pPr>
                        <w:r>
                          <w:rPr>
                            <w:bCs/>
                            <w:szCs w:val="24"/>
                          </w:rPr>
                          <w:t>Rodiklis: P-05-01-04-01 Smulkaus ir vidutinio verslo įmonių, gavusių paramą, skaičius</w:t>
                        </w:r>
                      </w:p>
                    </w:tc>
                    <w:tc>
                      <w:tcPr>
                        <w:tcW w:w="993" w:type="dxa"/>
                      </w:tcPr>
                      <w:p>
                        <w:pPr>
                          <w:rPr>
                            <w:color w:val="000000"/>
                            <w:szCs w:val="24"/>
                          </w:rPr>
                        </w:pPr>
                        <w:r>
                          <w:rPr>
                            <w:color w:val="000000"/>
                            <w:szCs w:val="24"/>
                          </w:rPr>
                          <w:t xml:space="preserve">70 vnt. </w:t>
                        </w:r>
                      </w:p>
                      <w:p>
                        <w:pPr>
                          <w:rPr>
                            <w:color w:val="000000"/>
                            <w:szCs w:val="24"/>
                          </w:rPr>
                        </w:pPr>
                      </w:p>
                    </w:tc>
                    <w:tc>
                      <w:tcPr>
                        <w:tcW w:w="850" w:type="dxa"/>
                      </w:tcPr>
                      <w:p>
                        <w:pPr>
                          <w:rPr>
                            <w:color w:val="000000"/>
                            <w:szCs w:val="24"/>
                          </w:rPr>
                        </w:pPr>
                        <w:r>
                          <w:rPr>
                            <w:iCs/>
                            <w:szCs w:val="24"/>
                          </w:rPr>
                          <w:t>64</w:t>
                        </w:r>
                      </w:p>
                    </w:tc>
                    <w:tc>
                      <w:tcPr>
                        <w:tcW w:w="851" w:type="dxa"/>
                      </w:tcPr>
                      <w:p>
                        <w:pPr>
                          <w:rPr>
                            <w:color w:val="000000"/>
                            <w:szCs w:val="24"/>
                          </w:rPr>
                        </w:pPr>
                        <w:r>
                          <w:rPr>
                            <w:iCs/>
                            <w:szCs w:val="24"/>
                          </w:rPr>
                          <w:t>71</w:t>
                        </w:r>
                      </w:p>
                    </w:tc>
                    <w:tc>
                      <w:tcPr>
                        <w:tcW w:w="850" w:type="dxa"/>
                      </w:tcPr>
                      <w:p>
                        <w:pPr>
                          <w:rPr>
                            <w:color w:val="000000"/>
                            <w:szCs w:val="24"/>
                          </w:rPr>
                        </w:pPr>
                        <w:r>
                          <w:rPr>
                            <w:iCs/>
                            <w:szCs w:val="24"/>
                          </w:rPr>
                          <w:t>107</w:t>
                        </w:r>
                      </w:p>
                    </w:tc>
                    <w:tc>
                      <w:tcPr>
                        <w:tcW w:w="992" w:type="dxa"/>
                      </w:tcPr>
                      <w:p>
                        <w:pPr>
                          <w:rPr>
                            <w:color w:val="000000"/>
                            <w:szCs w:val="24"/>
                          </w:rPr>
                        </w:pPr>
                        <w:r>
                          <w:rPr>
                            <w:color w:val="000000"/>
                            <w:szCs w:val="24"/>
                          </w:rPr>
                          <w:t>60 SB</w:t>
                        </w:r>
                      </w:p>
                      <w:p>
                        <w:pPr>
                          <w:rPr>
                            <w:color w:val="000000"/>
                            <w:szCs w:val="24"/>
                          </w:rPr>
                        </w:pPr>
                      </w:p>
                    </w:tc>
                    <w:tc>
                      <w:tcPr>
                        <w:tcW w:w="993" w:type="dxa"/>
                      </w:tcPr>
                      <w:p>
                        <w:pPr>
                          <w:rPr>
                            <w:color w:val="000000"/>
                            <w:szCs w:val="24"/>
                          </w:rPr>
                        </w:pPr>
                        <w:r>
                          <w:rPr>
                            <w:iCs/>
                            <w:szCs w:val="24"/>
                          </w:rPr>
                          <w:t>54,489 SB</w:t>
                        </w:r>
                      </w:p>
                    </w:tc>
                    <w:tc>
                      <w:tcPr>
                        <w:tcW w:w="5386" w:type="dxa"/>
                      </w:tcPr>
                      <w:p>
                        <w:pPr>
                          <w:rPr>
                            <w:szCs w:val="24"/>
                          </w:rPr>
                        </w:pPr>
                        <w:r>
                          <w:rPr>
                            <w:szCs w:val="24"/>
                          </w:rPr>
                          <w:t>Vykdyta tęstinė smulkaus ir vidutinio verslo įmonių kūrimosi skatinimo veikla ir institucinė pagalba</w:t>
                        </w:r>
                      </w:p>
                      <w:p>
                        <w:pPr>
                          <w:spacing w:line="259" w:lineRule="auto"/>
                          <w:rPr>
                            <w:color w:val="000000"/>
                            <w:kern w:val="2"/>
                            <w:szCs w:val="24"/>
                            <w14:ligatures w14:val="standardContextual"/>
                          </w:rPr>
                        </w:pPr>
                        <w:r>
                          <w:rPr>
                            <w:szCs w:val="24"/>
                          </w:rPr>
                          <w:t>(Investicijų ir turto valdymo skyrius)</w:t>
                        </w:r>
                      </w:p>
                    </w:tc>
                  </w:tr>
                  <w:tr>
                    <w:trPr>
                      <w:trHeight w:val="365"/>
                    </w:trPr>
                    <w:tc>
                      <w:tcPr>
                        <w:tcW w:w="4253"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12.1.1.11. Savivaldybės vaikų vasaros poilsio programų rėmimo konkurso koordinavimas ir organizavimas (vaikų vasaros poilsio programose dalyvavusių vaikų skaičius) (SVP 05-01-04-02)</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1560 vaikai</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1441 vaikai</w:t>
                        </w:r>
                      </w:p>
                    </w:tc>
                    <w:tc>
                      <w:tcPr>
                        <w:tcW w:w="851"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1484 vaikai</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1782 vaikai</w:t>
                        </w:r>
                      </w:p>
                    </w:tc>
                    <w:tc>
                      <w:tcPr>
                        <w:tcW w:w="992"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157,5 SB</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iCs/>
                            <w:szCs w:val="24"/>
                          </w:rPr>
                          <w:t>157,5 SB</w:t>
                        </w:r>
                      </w:p>
                    </w:tc>
                    <w:tc>
                      <w:tcPr>
                        <w:tcW w:w="5386" w:type="dxa"/>
                        <w:tcBorders>
                          <w:top w:val="single" w:sz="8" w:space="0" w:color="000000"/>
                          <w:left w:val="single" w:sz="8" w:space="0" w:color="000000"/>
                          <w:bottom w:val="single" w:sz="8" w:space="0" w:color="000000"/>
                          <w:right w:val="single" w:sz="8" w:space="0" w:color="000000"/>
                        </w:tcBorders>
                      </w:tcPr>
                      <w:p>
                        <w:pPr>
                          <w:rPr>
                            <w:szCs w:val="24"/>
                          </w:rPr>
                        </w:pPr>
                        <w:r>
                          <w:rPr>
                            <w:szCs w:val="24"/>
                          </w:rPr>
                          <w:t xml:space="preserve">2025 m. 33 programų vykdytojai įgyvendino 53 programas. Panaudotos visos iš Savivaldybės biudžeto skirtos lėšos. </w:t>
                        </w:r>
                        <w:r>
                          <w:rPr>
                            <w:color w:val="000000"/>
                            <w:szCs w:val="24"/>
                          </w:rPr>
                          <w:t>(Švietimo ir sporto skyrius)</w:t>
                        </w:r>
                      </w:p>
                    </w:tc>
                  </w:tr>
                  <w:tr>
                    <w:trPr>
                      <w:trHeight w:val="365"/>
                    </w:trPr>
                    <w:tc>
                      <w:tcPr>
                        <w:tcW w:w="4253" w:type="dxa"/>
                      </w:tcPr>
                      <w:p>
                        <w:pPr>
                          <w:rPr>
                            <w:bCs/>
                            <w:szCs w:val="24"/>
                          </w:rPr>
                        </w:pPr>
                        <w:r>
                          <w:rPr>
                            <w:bCs/>
                            <w:szCs w:val="24"/>
                          </w:rPr>
                          <w:t>16.1.2.1. Savivaldybės biudžeto lėšomis finansuotų ir įgyvendintų nevyriausybinių organizacijų veiklų (projektų, iniciatyvų ir pan.) administravimas, % (SVP 5-1-4-06.)</w:t>
                        </w:r>
                      </w:p>
                    </w:tc>
                    <w:tc>
                      <w:tcPr>
                        <w:tcW w:w="993" w:type="dxa"/>
                      </w:tcPr>
                      <w:p>
                        <w:pPr>
                          <w:rPr>
                            <w:color w:val="000000"/>
                            <w:szCs w:val="24"/>
                          </w:rPr>
                        </w:pPr>
                        <w:r>
                          <w:rPr>
                            <w:szCs w:val="24"/>
                          </w:rPr>
                          <w:t>100 %</w:t>
                        </w:r>
                      </w:p>
                    </w:tc>
                    <w:tc>
                      <w:tcPr>
                        <w:tcW w:w="850" w:type="dxa"/>
                      </w:tcPr>
                      <w:p>
                        <w:pPr>
                          <w:rPr>
                            <w:color w:val="000000"/>
                            <w:szCs w:val="24"/>
                          </w:rPr>
                        </w:pPr>
                        <w:r>
                          <w:rPr>
                            <w:szCs w:val="24"/>
                          </w:rPr>
                          <w:t>100 %</w:t>
                        </w:r>
                      </w:p>
                    </w:tc>
                    <w:tc>
                      <w:tcPr>
                        <w:tcW w:w="851" w:type="dxa"/>
                      </w:tcPr>
                      <w:p>
                        <w:pPr>
                          <w:rPr>
                            <w:szCs w:val="24"/>
                          </w:rPr>
                        </w:pPr>
                        <w:r>
                          <w:rPr>
                            <w:szCs w:val="24"/>
                          </w:rPr>
                          <w:t>100</w:t>
                        </w:r>
                      </w:p>
                      <w:p>
                        <w:pPr>
                          <w:rPr>
                            <w:color w:val="000000"/>
                            <w:szCs w:val="24"/>
                          </w:rPr>
                        </w:pPr>
                        <w:r>
                          <w:rPr>
                            <w:szCs w:val="24"/>
                          </w:rPr>
                          <w:t>%</w:t>
                        </w:r>
                      </w:p>
                    </w:tc>
                    <w:tc>
                      <w:tcPr>
                        <w:tcW w:w="850" w:type="dxa"/>
                      </w:tcPr>
                      <w:p>
                        <w:pPr>
                          <w:rPr>
                            <w:szCs w:val="24"/>
                          </w:rPr>
                        </w:pPr>
                        <w:r>
                          <w:rPr>
                            <w:szCs w:val="24"/>
                          </w:rPr>
                          <w:t>100</w:t>
                        </w:r>
                      </w:p>
                      <w:p>
                        <w:pPr>
                          <w:rPr>
                            <w:color w:val="000000"/>
                            <w:szCs w:val="24"/>
                          </w:rPr>
                        </w:pPr>
                        <w:r>
                          <w:rPr>
                            <w:szCs w:val="24"/>
                          </w:rPr>
                          <w:t>%</w:t>
                        </w:r>
                      </w:p>
                    </w:tc>
                    <w:tc>
                      <w:tcPr>
                        <w:tcW w:w="992" w:type="dxa"/>
                      </w:tcPr>
                      <w:p>
                        <w:pPr>
                          <w:rPr>
                            <w:szCs w:val="24"/>
                          </w:rPr>
                        </w:pPr>
                        <w:r>
                          <w:rPr>
                            <w:szCs w:val="24"/>
                          </w:rPr>
                          <w:t xml:space="preserve">80  </w:t>
                        </w:r>
                      </w:p>
                      <w:p>
                        <w:pPr>
                          <w:rPr>
                            <w:color w:val="000000"/>
                            <w:szCs w:val="24"/>
                          </w:rPr>
                        </w:pPr>
                        <w:r>
                          <w:rPr>
                            <w:szCs w:val="24"/>
                          </w:rPr>
                          <w:t>SB</w:t>
                        </w:r>
                      </w:p>
                    </w:tc>
                    <w:tc>
                      <w:tcPr>
                        <w:tcW w:w="993" w:type="dxa"/>
                      </w:tcPr>
                      <w:p>
                        <w:pPr>
                          <w:rPr>
                            <w:szCs w:val="24"/>
                          </w:rPr>
                        </w:pPr>
                        <w:r>
                          <w:rPr>
                            <w:szCs w:val="24"/>
                          </w:rPr>
                          <w:t>90,5 </w:t>
                        </w:r>
                      </w:p>
                      <w:p>
                        <w:pPr>
                          <w:rPr>
                            <w:color w:val="000000"/>
                            <w:szCs w:val="24"/>
                          </w:rPr>
                        </w:pPr>
                        <w:r>
                          <w:rPr>
                            <w:szCs w:val="24"/>
                          </w:rPr>
                          <w:t>SB</w:t>
                        </w:r>
                      </w:p>
                    </w:tc>
                    <w:tc>
                      <w:tcPr>
                        <w:tcW w:w="5386" w:type="dxa"/>
                      </w:tcPr>
                      <w:p>
                        <w:pPr>
                          <w:rPr>
                            <w:szCs w:val="24"/>
                          </w:rPr>
                        </w:pPr>
                        <w:r>
                          <w:rPr>
                            <w:szCs w:val="24"/>
                          </w:rPr>
                          <w:t xml:space="preserve">Visi 57 patvirtinti projektai finansuoti ir įvykdyti.  (Jaunimo reikalų koordinatorius (patarėjas).</w:t>
                        </w:r>
                      </w:p>
                    </w:tc>
                  </w:tr>
                </w:tbl>
                <w:p>
                  <w:pPr>
                    <w:suppressAutoHyphens/>
                    <w:textAlignment w:val="baseline"/>
                    <w:rPr>
                      <w:rFonts w:eastAsia="Calibri"/>
                      <w:b/>
                      <w:bCs/>
                      <w:szCs w:val="24"/>
                    </w:rPr>
                  </w:pPr>
                </w:p>
              </w:sdtContent>
            </w:sdt>
            <w:sdt>
              <w:sdtPr>
                <w:alias w:val="poskyris"/>
                <w:tag w:val="part_9957c9e933b64208a04f80bcb5d4f55c"/>
                <w:lock w:val="sdtLocked"/>
                <w:richText/>
              </w:sdtPr>
              <w:sdtContent>
                <w:p>
                  <w:pPr>
                    <w:ind w:firstLine="851"/>
                    <w:rPr>
                      <w:b/>
                      <w:szCs w:val="24"/>
                    </w:rPr>
                  </w:pPr>
                  <w:sdt>
                    <w:sdtPr>
                      <w:alias w:val="Pavadinimas"/>
                      <w:tag w:val="title_9957c9e933b64208a04f80bcb5d4f55c"/>
                      <w:lock w:val="sdtLocked"/>
                      <w:richText/>
                    </w:sdtPr>
                    <w:sdtContent>
                      <w:r>
                        <w:rPr>
                          <w:b/>
                          <w:szCs w:val="24"/>
                        </w:rPr>
                        <w:t>6 programa. Saugios, švarios ir patogios aplinkos užtikrinimo programa</w:t>
                      </w:r>
                    </w:sdtContent>
                  </w:sdt>
                </w:p>
                <w:p>
                  <w:pPr>
                    <w:ind w:firstLine="851"/>
                    <w:rPr>
                      <w:color w:val="000000"/>
                      <w:szCs w:val="24"/>
                    </w:rPr>
                  </w:pPr>
                </w:p>
                <w:p>
                  <w:pPr>
                    <w:ind w:firstLine="851"/>
                    <w:rPr>
                      <w:b/>
                      <w:szCs w:val="24"/>
                    </w:rPr>
                  </w:pPr>
                  <w:r>
                    <w:rPr>
                      <w:color w:val="000000"/>
                      <w:szCs w:val="24"/>
                    </w:rPr>
                    <w:t>Įgyvendinant 6 programą siekiama pašalinti rizikos veiksnius, keliančius grėsmę gamtinei aplinkai; išsaugoti natūralų rajono kraštovaizdį gyvūniją ir augaliją; vykdyti kryptingą visuomenės sveikatinimo veiklą; didinti asmens sveikatos priežiūros paslaugų prieinamumą ir gerinti kokybę; prižiūrėti rajono infrastruktūros objektus ir užtikrinti nepertraukiamą komunalinių paslaugų teikimą bei užtikrinti viešąją tvarką ir viešąjį saugumą.</w:t>
                  </w:r>
                </w:p>
                <w:p>
                  <w:pPr>
                    <w:rPr>
                      <w:b/>
                      <w:szCs w:val="24"/>
                    </w:rPr>
                  </w:pPr>
                </w:p>
                <w:p>
                  <w:pPr>
                    <w:rPr>
                      <w:bCs/>
                      <w:szCs w:val="24"/>
                    </w:rPr>
                  </w:pPr>
                  <w:r>
                    <w:rPr>
                      <w:b/>
                      <w:szCs w:val="24"/>
                    </w:rPr>
                    <w:t>6 lentelė.</w:t>
                  </w:r>
                  <w:r>
                    <w:rPr>
                      <w:i/>
                      <w:szCs w:val="24"/>
                    </w:rPr>
                    <w:t xml:space="preserve"> </w:t>
                  </w:r>
                  <w:r>
                    <w:rPr>
                      <w:iCs/>
                      <w:szCs w:val="24"/>
                    </w:rPr>
                    <w:t xml:space="preserve">6 </w:t>
                  </w:r>
                  <w:r>
                    <w:rPr>
                      <w:bCs/>
                      <w:szCs w:val="24"/>
                    </w:rPr>
                    <w:t>programos strateginių ir (arba) metų veiklos tikslų įgyvendinimo rodikliai</w:t>
                  </w: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993"/>
                    <w:gridCol w:w="850"/>
                    <w:gridCol w:w="851"/>
                    <w:gridCol w:w="850"/>
                    <w:gridCol w:w="992"/>
                    <w:gridCol w:w="993"/>
                    <w:gridCol w:w="5386"/>
                  </w:tblGrid>
                  <w:tr>
                    <w:tc>
                      <w:tcPr>
                        <w:tcW w:w="4253" w:type="dxa"/>
                        <w:vMerge w:val="restart"/>
                        <w:shd w:val="clear" w:color="auto" w:fill="DBE5F1"/>
                        <w:vAlign w:val="center"/>
                      </w:tcPr>
                      <w:p>
                        <w:pPr>
                          <w:rPr>
                            <w:b/>
                            <w:color w:val="000000"/>
                            <w:szCs w:val="24"/>
                          </w:rPr>
                        </w:pPr>
                        <w:r>
                          <w:rPr>
                            <w:b/>
                            <w:color w:val="000000"/>
                            <w:szCs w:val="24"/>
                          </w:rPr>
                          <w:t>Priemonės ir (arba) rodiklio kodas ir pavadinimas</w:t>
                        </w:r>
                      </w:p>
                      <w:p>
                        <w:pPr>
                          <w:rPr>
                            <w:b/>
                            <w:color w:val="000000"/>
                            <w:szCs w:val="24"/>
                          </w:rPr>
                        </w:pPr>
                        <w:r>
                          <w:rPr>
                            <w:b/>
                            <w:color w:val="000000"/>
                            <w:szCs w:val="24"/>
                          </w:rPr>
                          <w:t>(Sąsaja su Savivaldybės planavimo dokumentais)</w:t>
                        </w:r>
                      </w:p>
                    </w:tc>
                    <w:tc>
                      <w:tcPr>
                        <w:tcW w:w="993" w:type="dxa"/>
                        <w:vMerge w:val="restart"/>
                        <w:shd w:val="clear" w:color="auto" w:fill="DBE5F1"/>
                        <w:textDirection w:val="btLr"/>
                        <w:vAlign w:val="center"/>
                      </w:tcPr>
                      <w:p>
                        <w:pPr>
                          <w:ind w:left="113" w:right="113"/>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985" w:type="dxa"/>
                        <w:gridSpan w:val="2"/>
                        <w:shd w:val="clear" w:color="auto" w:fill="DBE5F1"/>
                        <w:vAlign w:val="center"/>
                      </w:tcPr>
                      <w:p>
                        <w:pPr>
                          <w:rPr>
                            <w:b/>
                            <w:color w:val="000000"/>
                            <w:szCs w:val="24"/>
                          </w:rPr>
                        </w:pPr>
                        <w:r>
                          <w:rPr>
                            <w:b/>
                            <w:color w:val="000000"/>
                            <w:szCs w:val="24"/>
                          </w:rPr>
                          <w:t>Finansavimas</w:t>
                        </w:r>
                      </w:p>
                      <w:p>
                        <w:pPr>
                          <w:rPr>
                            <w:b/>
                            <w:color w:val="000000"/>
                            <w:szCs w:val="24"/>
                          </w:rPr>
                        </w:pPr>
                        <w:r>
                          <w:rPr>
                            <w:b/>
                            <w:color w:val="000000"/>
                            <w:szCs w:val="24"/>
                          </w:rPr>
                          <w:t xml:space="preserve">(tūkst. Eur), </w:t>
                        </w:r>
                      </w:p>
                      <w:p>
                        <w:pPr>
                          <w:rPr>
                            <w:b/>
                            <w:color w:val="000000"/>
                            <w:szCs w:val="24"/>
                          </w:rPr>
                        </w:pPr>
                        <w:r>
                          <w:rPr>
                            <w:b/>
                            <w:color w:val="000000"/>
                            <w:szCs w:val="24"/>
                          </w:rPr>
                          <w:t xml:space="preserve">asignavimų šaltinis </w:t>
                        </w:r>
                      </w:p>
                    </w:tc>
                    <w:tc>
                      <w:tcPr>
                        <w:tcW w:w="5386"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rPr>
                      <w:trHeight w:val="1213"/>
                    </w:trPr>
                    <w:tc>
                      <w:tcPr>
                        <w:tcW w:w="4253" w:type="dxa"/>
                        <w:vMerge/>
                        <w:tcBorders>
                          <w:bottom w:val="single" w:sz="4" w:space="0" w:color="auto"/>
                        </w:tcBorders>
                        <w:shd w:val="clear" w:color="auto" w:fill="DBE5F1"/>
                        <w:vAlign w:val="center"/>
                      </w:tcPr>
                      <w:p>
                        <w:pPr>
                          <w:rPr>
                            <w:b/>
                            <w:color w:val="000000"/>
                            <w:szCs w:val="24"/>
                          </w:rPr>
                        </w:pPr>
                      </w:p>
                    </w:tc>
                    <w:tc>
                      <w:tcPr>
                        <w:tcW w:w="993" w:type="dxa"/>
                        <w:vMerge/>
                        <w:tcBorders>
                          <w:bottom w:val="single" w:sz="4" w:space="0" w:color="auto"/>
                        </w:tcBorders>
                        <w:shd w:val="clear" w:color="auto" w:fill="DBE5F1"/>
                        <w:vAlign w:val="center"/>
                      </w:tcPr>
                      <w:p>
                        <w:pPr>
                          <w:rPr>
                            <w:b/>
                            <w:color w:val="000000"/>
                            <w:szCs w:val="24"/>
                          </w:rPr>
                        </w:pPr>
                      </w:p>
                    </w:tc>
                    <w:tc>
                      <w:tcPr>
                        <w:tcW w:w="850" w:type="dxa"/>
                        <w:tcBorders>
                          <w:bottom w:val="single" w:sz="4" w:space="0" w:color="auto"/>
                        </w:tcBorders>
                        <w:shd w:val="clear" w:color="auto" w:fill="DBE5F1"/>
                        <w:vAlign w:val="center"/>
                      </w:tcPr>
                      <w:p>
                        <w:pPr>
                          <w:rPr>
                            <w:b/>
                            <w:iCs/>
                            <w:color w:val="000000"/>
                            <w:szCs w:val="24"/>
                          </w:rPr>
                        </w:pPr>
                        <w:r>
                          <w:rPr>
                            <w:b/>
                            <w:i/>
                            <w:iCs/>
                            <w:color w:val="000000"/>
                            <w:szCs w:val="24"/>
                          </w:rPr>
                          <w:t>2022</w:t>
                        </w:r>
                        <w:r>
                          <w:rPr>
                            <w:b/>
                            <w:iCs/>
                            <w:color w:val="000000"/>
                            <w:szCs w:val="24"/>
                          </w:rPr>
                          <w:t xml:space="preserve"> metai</w:t>
                        </w:r>
                      </w:p>
                    </w:tc>
                    <w:tc>
                      <w:tcPr>
                        <w:tcW w:w="851" w:type="dxa"/>
                        <w:tcBorders>
                          <w:bottom w:val="single" w:sz="4" w:space="0" w:color="auto"/>
                        </w:tcBorders>
                        <w:shd w:val="clear" w:color="auto" w:fill="DBE5F1"/>
                        <w:vAlign w:val="center"/>
                      </w:tcPr>
                      <w:p>
                        <w:pPr>
                          <w:rPr>
                            <w:b/>
                            <w:iCs/>
                            <w:color w:val="000000"/>
                            <w:szCs w:val="24"/>
                          </w:rPr>
                        </w:pPr>
                        <w:r>
                          <w:rPr>
                            <w:b/>
                            <w:i/>
                            <w:iCs/>
                            <w:color w:val="000000"/>
                            <w:szCs w:val="24"/>
                          </w:rPr>
                          <w:t>2023</w:t>
                        </w:r>
                        <w:r>
                          <w:rPr>
                            <w:b/>
                            <w:iCs/>
                            <w:color w:val="000000"/>
                            <w:szCs w:val="24"/>
                          </w:rPr>
                          <w:t xml:space="preserve"> metai</w:t>
                        </w:r>
                      </w:p>
                    </w:tc>
                    <w:tc>
                      <w:tcPr>
                        <w:tcW w:w="850" w:type="dxa"/>
                        <w:tcBorders>
                          <w:bottom w:val="single" w:sz="4" w:space="0" w:color="auto"/>
                        </w:tcBorders>
                        <w:shd w:val="clear" w:color="auto" w:fill="DBE5F1"/>
                        <w:vAlign w:val="center"/>
                      </w:tcPr>
                      <w:p>
                        <w:pPr>
                          <w:rPr>
                            <w:b/>
                            <w:iCs/>
                            <w:color w:val="000000"/>
                            <w:szCs w:val="24"/>
                          </w:rPr>
                        </w:pPr>
                        <w:r>
                          <w:rPr>
                            <w:b/>
                            <w:i/>
                            <w:iCs/>
                            <w:color w:val="000000"/>
                            <w:szCs w:val="24"/>
                          </w:rPr>
                          <w:t xml:space="preserve">2024 </w:t>
                        </w:r>
                        <w:r>
                          <w:rPr>
                            <w:b/>
                            <w:iCs/>
                            <w:color w:val="000000"/>
                            <w:szCs w:val="24"/>
                          </w:rPr>
                          <w:t>metai</w:t>
                        </w:r>
                      </w:p>
                    </w:tc>
                    <w:tc>
                      <w:tcPr>
                        <w:tcW w:w="992"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pPr>
                          <w:ind w:left="113" w:right="113"/>
                          <w:rPr>
                            <w:b/>
                            <w:color w:val="000000"/>
                            <w:szCs w:val="24"/>
                          </w:rPr>
                        </w:pPr>
                        <w:r>
                          <w:rPr>
                            <w:b/>
                            <w:color w:val="000000"/>
                            <w:szCs w:val="24"/>
                          </w:rPr>
                          <w:t>Įvykdymas</w:t>
                        </w:r>
                      </w:p>
                    </w:tc>
                    <w:tc>
                      <w:tcPr>
                        <w:tcW w:w="5386" w:type="dxa"/>
                        <w:vMerge/>
                        <w:tcBorders>
                          <w:bottom w:val="single" w:sz="4" w:space="0" w:color="auto"/>
                        </w:tcBorders>
                        <w:shd w:val="clear" w:color="auto" w:fill="DBE5F1"/>
                        <w:vAlign w:val="center"/>
                      </w:tcPr>
                      <w:p>
                        <w:pPr>
                          <w:rPr>
                            <w:b/>
                            <w:color w:val="000000"/>
                            <w:szCs w:val="24"/>
                          </w:rPr>
                        </w:pPr>
                      </w:p>
                    </w:tc>
                  </w:tr>
                  <w:tr>
                    <w:trPr>
                      <w:trHeight w:val="368"/>
                    </w:trPr>
                    <w:tc>
                      <w:tcPr>
                        <w:tcW w:w="4253" w:type="dxa"/>
                        <w:shd w:val="clear" w:color="auto" w:fill="DBE5F1"/>
                      </w:tcPr>
                      <w:p>
                        <w:pPr>
                          <w:rPr>
                            <w:color w:val="000000"/>
                            <w:szCs w:val="24"/>
                          </w:rPr>
                        </w:pPr>
                        <w:r>
                          <w:rPr>
                            <w:color w:val="000000"/>
                            <w:szCs w:val="24"/>
                          </w:rPr>
                          <w:t>1</w:t>
                        </w:r>
                      </w:p>
                    </w:tc>
                    <w:tc>
                      <w:tcPr>
                        <w:tcW w:w="993" w:type="dxa"/>
                        <w:shd w:val="clear" w:color="auto" w:fill="DBE5F1"/>
                      </w:tcPr>
                      <w:p>
                        <w:pPr>
                          <w:rPr>
                            <w:color w:val="000000"/>
                            <w:szCs w:val="24"/>
                          </w:rPr>
                        </w:pPr>
                        <w:r>
                          <w:rPr>
                            <w:color w:val="000000"/>
                            <w:szCs w:val="24"/>
                          </w:rPr>
                          <w:t>2</w:t>
                        </w:r>
                      </w:p>
                    </w:tc>
                    <w:tc>
                      <w:tcPr>
                        <w:tcW w:w="850" w:type="dxa"/>
                        <w:shd w:val="clear" w:color="auto" w:fill="DBE5F1"/>
                      </w:tcPr>
                      <w:p>
                        <w:pPr>
                          <w:rPr>
                            <w:color w:val="000000"/>
                            <w:szCs w:val="24"/>
                          </w:rPr>
                        </w:pPr>
                        <w:r>
                          <w:rPr>
                            <w:color w:val="000000"/>
                            <w:szCs w:val="24"/>
                          </w:rPr>
                          <w:t>3</w:t>
                        </w:r>
                      </w:p>
                    </w:tc>
                    <w:tc>
                      <w:tcPr>
                        <w:tcW w:w="851" w:type="dxa"/>
                        <w:shd w:val="clear" w:color="auto" w:fill="DBE5F1"/>
                      </w:tcPr>
                      <w:p>
                        <w:pPr>
                          <w:rPr>
                            <w:color w:val="000000"/>
                            <w:szCs w:val="24"/>
                          </w:rPr>
                        </w:pPr>
                        <w:r>
                          <w:rPr>
                            <w:color w:val="000000"/>
                            <w:szCs w:val="24"/>
                          </w:rPr>
                          <w:t>4</w:t>
                        </w:r>
                      </w:p>
                    </w:tc>
                    <w:tc>
                      <w:tcPr>
                        <w:tcW w:w="850" w:type="dxa"/>
                        <w:shd w:val="clear" w:color="auto" w:fill="DBE5F1"/>
                      </w:tcPr>
                      <w:p>
                        <w:pPr>
                          <w:rPr>
                            <w:color w:val="000000"/>
                            <w:szCs w:val="24"/>
                          </w:rPr>
                        </w:pPr>
                        <w:r>
                          <w:rPr>
                            <w:color w:val="000000"/>
                            <w:szCs w:val="24"/>
                          </w:rPr>
                          <w:t>5</w:t>
                        </w:r>
                      </w:p>
                    </w:tc>
                    <w:tc>
                      <w:tcPr>
                        <w:tcW w:w="992" w:type="dxa"/>
                        <w:shd w:val="clear" w:color="auto" w:fill="DBE5F1"/>
                      </w:tcPr>
                      <w:p>
                        <w:pPr>
                          <w:rPr>
                            <w:color w:val="000000"/>
                            <w:szCs w:val="24"/>
                          </w:rPr>
                        </w:pPr>
                        <w:r>
                          <w:rPr>
                            <w:color w:val="000000"/>
                            <w:szCs w:val="24"/>
                          </w:rPr>
                          <w:t>6</w:t>
                        </w:r>
                      </w:p>
                    </w:tc>
                    <w:tc>
                      <w:tcPr>
                        <w:tcW w:w="993" w:type="dxa"/>
                        <w:shd w:val="clear" w:color="auto" w:fill="DBE5F1"/>
                      </w:tcPr>
                      <w:p>
                        <w:pPr>
                          <w:rPr>
                            <w:color w:val="000000"/>
                            <w:szCs w:val="24"/>
                          </w:rPr>
                        </w:pPr>
                        <w:r>
                          <w:rPr>
                            <w:color w:val="000000"/>
                            <w:szCs w:val="24"/>
                          </w:rPr>
                          <w:t>7</w:t>
                        </w:r>
                      </w:p>
                    </w:tc>
                    <w:tc>
                      <w:tcPr>
                        <w:tcW w:w="5386" w:type="dxa"/>
                        <w:shd w:val="clear" w:color="auto" w:fill="DBE5F1"/>
                      </w:tcPr>
                      <w:p>
                        <w:pPr>
                          <w:rPr>
                            <w:color w:val="000000"/>
                            <w:szCs w:val="24"/>
                          </w:rPr>
                        </w:pPr>
                        <w:r>
                          <w:rPr>
                            <w:color w:val="000000"/>
                            <w:szCs w:val="24"/>
                          </w:rPr>
                          <w:t>8</w:t>
                        </w:r>
                      </w:p>
                    </w:tc>
                  </w:tr>
                  <w:tr>
                    <w:trPr>
                      <w:trHeight w:val="278"/>
                    </w:trPr>
                    <w:tc>
                      <w:tcPr>
                        <w:tcW w:w="15168" w:type="dxa"/>
                        <w:gridSpan w:val="8"/>
                      </w:tcPr>
                      <w:p>
                        <w:pPr>
                          <w:rPr>
                            <w:color w:val="000000"/>
                            <w:szCs w:val="24"/>
                          </w:rPr>
                        </w:pPr>
                        <w:r>
                          <w:rPr>
                            <w:color w:val="000000"/>
                            <w:szCs w:val="24"/>
                          </w:rPr>
                          <w:t>1. Tikslas: Užtikrinti rajone saugią, švarią ir tvarkingą aplinką.</w:t>
                        </w:r>
                      </w:p>
                    </w:tc>
                  </w:tr>
                  <w:tr>
                    <w:trPr>
                      <w:trHeight w:val="283"/>
                    </w:trPr>
                    <w:tc>
                      <w:tcPr>
                        <w:tcW w:w="15168" w:type="dxa"/>
                        <w:gridSpan w:val="8"/>
                      </w:tcPr>
                      <w:p>
                        <w:pPr>
                          <w:rPr>
                            <w:color w:val="000000"/>
                            <w:szCs w:val="24"/>
                          </w:rPr>
                        </w:pPr>
                        <w:r>
                          <w:rPr>
                            <w:color w:val="000000"/>
                            <w:szCs w:val="24"/>
                          </w:rPr>
                          <w:t>1.1. Uždavinys: Pašalinti rizikos veiksnius, keliančius grėsmę gamtinei aplinkai</w:t>
                        </w:r>
                      </w:p>
                    </w:tc>
                  </w:tr>
                  <w:tr>
                    <w:tc>
                      <w:tcPr>
                        <w:tcW w:w="4253" w:type="dxa"/>
                      </w:tcPr>
                      <w:p>
                        <w:pPr>
                          <w:rPr>
                            <w:bCs/>
                            <w:szCs w:val="24"/>
                          </w:rPr>
                        </w:pPr>
                        <w:r>
                          <w:rPr>
                            <w:bCs/>
                            <w:szCs w:val="24"/>
                          </w:rPr>
                          <w:t>5.3.1.1. Mirusiųjų kūnų pervežimo ir saugojimo veiklos administravimas (sutarčių skaičius)</w:t>
                        </w:r>
                        <w:r>
                          <w:rPr>
                            <w:szCs w:val="24"/>
                          </w:rPr>
                          <w:t>(SVP 6-1-5-26)</w:t>
                        </w:r>
                      </w:p>
                    </w:tc>
                    <w:tc>
                      <w:tcPr>
                        <w:tcW w:w="993" w:type="dxa"/>
                      </w:tcPr>
                      <w:p>
                        <w:pPr>
                          <w:rPr>
                            <w:color w:val="000000"/>
                            <w:szCs w:val="24"/>
                          </w:rPr>
                        </w:pPr>
                        <w:r>
                          <w:rPr>
                            <w:color w:val="000000"/>
                            <w:szCs w:val="24"/>
                          </w:rPr>
                          <w:t>1</w:t>
                        </w:r>
                      </w:p>
                    </w:tc>
                    <w:tc>
                      <w:tcPr>
                        <w:tcW w:w="850" w:type="dxa"/>
                      </w:tcPr>
                      <w:p>
                        <w:pPr>
                          <w:rPr>
                            <w:iCs/>
                            <w:szCs w:val="24"/>
                          </w:rPr>
                        </w:pPr>
                        <w:r>
                          <w:rPr>
                            <w:szCs w:val="24"/>
                          </w:rPr>
                          <w:t>-</w:t>
                        </w:r>
                      </w:p>
                    </w:tc>
                    <w:tc>
                      <w:tcPr>
                        <w:tcW w:w="851" w:type="dxa"/>
                      </w:tcPr>
                      <w:p>
                        <w:pPr>
                          <w:rPr>
                            <w:iCs/>
                            <w:szCs w:val="24"/>
                          </w:rPr>
                        </w:pPr>
                      </w:p>
                    </w:tc>
                    <w:tc>
                      <w:tcPr>
                        <w:tcW w:w="850" w:type="dxa"/>
                      </w:tcPr>
                      <w:p>
                        <w:pPr>
                          <w:rPr>
                            <w:szCs w:val="24"/>
                          </w:rPr>
                        </w:pPr>
                        <w:r>
                          <w:rPr>
                            <w:szCs w:val="24"/>
                          </w:rPr>
                          <w:t>1</w:t>
                        </w:r>
                      </w:p>
                    </w:tc>
                    <w:tc>
                      <w:tcPr>
                        <w:tcW w:w="992" w:type="dxa"/>
                      </w:tcPr>
                      <w:p>
                        <w:pPr>
                          <w:rPr>
                            <w:color w:val="000000"/>
                            <w:szCs w:val="24"/>
                          </w:rPr>
                        </w:pPr>
                        <w:r>
                          <w:rPr>
                            <w:color w:val="000000"/>
                            <w:szCs w:val="24"/>
                          </w:rPr>
                          <w:t>25 SB</w:t>
                        </w:r>
                      </w:p>
                    </w:tc>
                    <w:tc>
                      <w:tcPr>
                        <w:tcW w:w="993" w:type="dxa"/>
                      </w:tcPr>
                      <w:p>
                        <w:pPr>
                          <w:rPr>
                            <w:szCs w:val="24"/>
                          </w:rPr>
                        </w:pPr>
                        <w:r>
                          <w:rPr>
                            <w:szCs w:val="24"/>
                          </w:rPr>
                          <w:t>14,7 SB</w:t>
                        </w:r>
                      </w:p>
                    </w:tc>
                    <w:tc>
                      <w:tcPr>
                        <w:tcW w:w="5386" w:type="dxa"/>
                      </w:tcPr>
                      <w:p>
                        <w:pPr>
                          <w:rPr>
                            <w:szCs w:val="24"/>
                          </w:rPr>
                        </w:pPr>
                        <w:r>
                          <w:rPr>
                            <w:szCs w:val="24"/>
                          </w:rPr>
                          <w:t>(Civilinės metrikacijos, informacinių technologijų ir komunikacijos skyrius)</w:t>
                        </w:r>
                      </w:p>
                    </w:tc>
                  </w:tr>
                  <w:tr>
                    <w:tc>
                      <w:tcPr>
                        <w:tcW w:w="4253" w:type="dxa"/>
                      </w:tcPr>
                      <w:p>
                        <w:pPr>
                          <w:rPr>
                            <w:color w:val="000000"/>
                            <w:szCs w:val="24"/>
                          </w:rPr>
                        </w:pPr>
                        <w:r>
                          <w:rPr>
                            <w:bCs/>
                            <w:szCs w:val="24"/>
                          </w:rPr>
                          <w:t>Rodiklis: P-06-01-01-09 K</w:t>
                        </w:r>
                        <w:r>
                          <w:rPr>
                            <w:szCs w:val="24"/>
                          </w:rPr>
                          <w:t>ompensacijas, įsirengusiems individualius nuotekų valymo įrenginius, gavusių gyventojų skaičius</w:t>
                        </w:r>
                      </w:p>
                    </w:tc>
                    <w:tc>
                      <w:tcPr>
                        <w:tcW w:w="993" w:type="dxa"/>
                      </w:tcPr>
                      <w:p>
                        <w:pPr>
                          <w:rPr>
                            <w:color w:val="000000"/>
                            <w:szCs w:val="24"/>
                          </w:rPr>
                        </w:pPr>
                        <w:r>
                          <w:rPr>
                            <w:color w:val="000000"/>
                            <w:szCs w:val="24"/>
                          </w:rPr>
                          <w:t xml:space="preserve">85 vnt. </w:t>
                        </w:r>
                      </w:p>
                      <w:p>
                        <w:pPr>
                          <w:rPr>
                            <w:color w:val="000000"/>
                            <w:szCs w:val="24"/>
                          </w:rPr>
                        </w:pPr>
                      </w:p>
                    </w:tc>
                    <w:tc>
                      <w:tcPr>
                        <w:tcW w:w="850" w:type="dxa"/>
                      </w:tcPr>
                      <w:p>
                        <w:pPr>
                          <w:rPr>
                            <w:color w:val="000000"/>
                            <w:szCs w:val="24"/>
                          </w:rPr>
                        </w:pPr>
                        <w:r>
                          <w:rPr>
                            <w:iCs/>
                            <w:szCs w:val="24"/>
                          </w:rPr>
                          <w:t>113</w:t>
                        </w:r>
                      </w:p>
                    </w:tc>
                    <w:tc>
                      <w:tcPr>
                        <w:tcW w:w="851" w:type="dxa"/>
                      </w:tcPr>
                      <w:p>
                        <w:pPr>
                          <w:rPr>
                            <w:color w:val="000000"/>
                            <w:szCs w:val="24"/>
                          </w:rPr>
                        </w:pPr>
                        <w:r>
                          <w:rPr>
                            <w:iCs/>
                            <w:szCs w:val="24"/>
                          </w:rPr>
                          <w:t>82</w:t>
                        </w:r>
                      </w:p>
                    </w:tc>
                    <w:tc>
                      <w:tcPr>
                        <w:tcW w:w="850" w:type="dxa"/>
                      </w:tcPr>
                      <w:p>
                        <w:pPr>
                          <w:rPr>
                            <w:color w:val="000000"/>
                            <w:szCs w:val="24"/>
                          </w:rPr>
                        </w:pPr>
                        <w:r>
                          <w:rPr>
                            <w:szCs w:val="24"/>
                          </w:rPr>
                          <w:t>107</w:t>
                        </w:r>
                      </w:p>
                    </w:tc>
                    <w:tc>
                      <w:tcPr>
                        <w:tcW w:w="992" w:type="dxa"/>
                      </w:tcPr>
                      <w:p>
                        <w:pPr>
                          <w:rPr>
                            <w:color w:val="000000"/>
                            <w:szCs w:val="24"/>
                          </w:rPr>
                        </w:pPr>
                        <w:r>
                          <w:rPr>
                            <w:color w:val="000000"/>
                            <w:szCs w:val="24"/>
                          </w:rPr>
                          <w:t>85 SB</w:t>
                        </w:r>
                      </w:p>
                      <w:p>
                        <w:pPr>
                          <w:rPr>
                            <w:color w:val="000000"/>
                            <w:szCs w:val="24"/>
                          </w:rPr>
                        </w:pPr>
                      </w:p>
                    </w:tc>
                    <w:tc>
                      <w:tcPr>
                        <w:tcW w:w="993" w:type="dxa"/>
                      </w:tcPr>
                      <w:p>
                        <w:pPr>
                          <w:rPr>
                            <w:color w:val="000000"/>
                            <w:szCs w:val="24"/>
                          </w:rPr>
                        </w:pPr>
                        <w:r>
                          <w:rPr>
                            <w:szCs w:val="24"/>
                          </w:rPr>
                          <w:t>108,2 SB</w:t>
                        </w:r>
                      </w:p>
                    </w:tc>
                    <w:tc>
                      <w:tcPr>
                        <w:tcW w:w="5386" w:type="dxa"/>
                      </w:tcPr>
                      <w:p>
                        <w:pPr>
                          <w:rPr>
                            <w:szCs w:val="24"/>
                          </w:rPr>
                        </w:pPr>
                        <w:r>
                          <w:rPr>
                            <w:szCs w:val="24"/>
                          </w:rPr>
                          <w:t>Vykdyta tęstinė veikla mokant kompensacijas įsirengusiems individualius nuotekų valymo įrenginius. Lėšų skirta papildomai.</w:t>
                        </w:r>
                      </w:p>
                      <w:p>
                        <w:pPr>
                          <w:rPr>
                            <w:color w:val="000000"/>
                            <w:szCs w:val="24"/>
                          </w:rPr>
                        </w:pPr>
                        <w:r>
                          <w:rPr>
                            <w:szCs w:val="24"/>
                          </w:rPr>
                          <w:t>(Investicijų ir turto valdymo skyrius)</w:t>
                        </w:r>
                      </w:p>
                    </w:tc>
                  </w:tr>
                  <w:tr>
                    <w:tc>
                      <w:tcPr>
                        <w:tcW w:w="4253" w:type="dxa"/>
                      </w:tcPr>
                      <w:p>
                        <w:pPr>
                          <w:rPr>
                            <w:szCs w:val="24"/>
                          </w:rPr>
                        </w:pPr>
                        <w:r>
                          <w:rPr>
                            <w:szCs w:val="24"/>
                          </w:rPr>
                          <w:t>10.2.1.1. Tęstinė veikla, tvarkant nelegalius sąvartynus.</w:t>
                        </w:r>
                      </w:p>
                      <w:p>
                        <w:pPr>
                          <w:rPr>
                            <w:szCs w:val="24"/>
                          </w:rPr>
                        </w:pPr>
                        <w:r>
                          <w:rPr>
                            <w:szCs w:val="24"/>
                          </w:rPr>
                          <w:t>Išaiškintų nelegalių sąvartynų sutvarkymas. (SVP 6-1-1-11)</w:t>
                        </w:r>
                      </w:p>
                    </w:tc>
                    <w:tc>
                      <w:tcPr>
                        <w:tcW w:w="993" w:type="dxa"/>
                      </w:tcPr>
                      <w:p>
                        <w:pPr>
                          <w:rPr>
                            <w:color w:val="000000"/>
                            <w:szCs w:val="24"/>
                          </w:rPr>
                        </w:pPr>
                        <w:r>
                          <w:rPr>
                            <w:color w:val="000000"/>
                            <w:szCs w:val="24"/>
                          </w:rPr>
                          <w:t>100</w:t>
                        </w:r>
                        <w:r>
                          <w:rPr>
                            <w:color w:val="000000"/>
                            <w:szCs w:val="24"/>
                            <w:lang w:val="en-US"/>
                          </w:rPr>
                          <w:t>%</w:t>
                        </w:r>
                      </w:p>
                    </w:tc>
                    <w:tc>
                      <w:tcPr>
                        <w:tcW w:w="850" w:type="dxa"/>
                      </w:tcPr>
                      <w:p>
                        <w:pPr>
                          <w:rPr>
                            <w:iCs/>
                            <w:szCs w:val="24"/>
                          </w:rPr>
                        </w:pPr>
                        <w:r>
                          <w:rPr>
                            <w:szCs w:val="24"/>
                          </w:rPr>
                          <w:t>-</w:t>
                        </w:r>
                      </w:p>
                    </w:tc>
                    <w:tc>
                      <w:tcPr>
                        <w:tcW w:w="851" w:type="dxa"/>
                      </w:tcPr>
                      <w:p>
                        <w:pPr>
                          <w:rPr>
                            <w:iCs/>
                            <w:szCs w:val="24"/>
                          </w:rPr>
                        </w:pPr>
                        <w:r>
                          <w:rPr>
                            <w:szCs w:val="24"/>
                          </w:rPr>
                          <w:t>-</w:t>
                        </w:r>
                      </w:p>
                    </w:tc>
                    <w:tc>
                      <w:tcPr>
                        <w:tcW w:w="850" w:type="dxa"/>
                      </w:tcPr>
                      <w:p>
                        <w:pPr>
                          <w:rPr>
                            <w:szCs w:val="24"/>
                          </w:rPr>
                        </w:pPr>
                        <w:r>
                          <w:rPr>
                            <w:szCs w:val="24"/>
                          </w:rPr>
                          <w:t>100%</w:t>
                        </w:r>
                      </w:p>
                    </w:tc>
                    <w:tc>
                      <w:tcPr>
                        <w:tcW w:w="992" w:type="dxa"/>
                      </w:tcPr>
                      <w:p>
                        <w:pPr>
                          <w:rPr>
                            <w:color w:val="000000"/>
                            <w:szCs w:val="24"/>
                          </w:rPr>
                        </w:pPr>
                        <w:r>
                          <w:rPr>
                            <w:color w:val="000000"/>
                            <w:szCs w:val="24"/>
                          </w:rPr>
                          <w:t>10 SB</w:t>
                        </w:r>
                      </w:p>
                    </w:tc>
                    <w:tc>
                      <w:tcPr>
                        <w:tcW w:w="993" w:type="dxa"/>
                      </w:tcPr>
                      <w:p>
                        <w:pPr>
                          <w:rPr>
                            <w:szCs w:val="24"/>
                          </w:rPr>
                        </w:pPr>
                        <w:r>
                          <w:rPr>
                            <w:szCs w:val="24"/>
                          </w:rPr>
                          <w:t>2,4 SB</w:t>
                        </w:r>
                      </w:p>
                    </w:tc>
                    <w:tc>
                      <w:tcPr>
                        <w:tcW w:w="5386" w:type="dxa"/>
                      </w:tcPr>
                      <w:p>
                        <w:pPr>
                          <w:rPr>
                            <w:szCs w:val="24"/>
                          </w:rPr>
                        </w:pPr>
                        <w:r>
                          <w:rPr>
                            <w:szCs w:val="24"/>
                          </w:rPr>
                          <w:t>Radviliškio rajone netoli Linkaičių kaimo nustatytas nelegalus sąvartynas. Sutvarkyta dalis sąvartyno.</w:t>
                        </w:r>
                      </w:p>
                      <w:p>
                        <w:pPr>
                          <w:rPr>
                            <w:szCs w:val="24"/>
                          </w:rPr>
                        </w:pPr>
                        <w:r>
                          <w:rPr>
                            <w:szCs w:val="24"/>
                          </w:rPr>
                          <w:t>(Statybos ir viešosios tvarkos skyrius)</w:t>
                        </w:r>
                      </w:p>
                    </w:tc>
                  </w:tr>
                  <w:tr>
                    <w:tc>
                      <w:tcPr>
                        <w:tcW w:w="4253" w:type="dxa"/>
                      </w:tcPr>
                      <w:p>
                        <w:pPr>
                          <w:rPr>
                            <w:szCs w:val="24"/>
                          </w:rPr>
                        </w:pPr>
                        <w:r>
                          <w:rPr>
                            <w:szCs w:val="24"/>
                          </w:rPr>
                          <w:t>14.3.1.1. Pranešimų dėl triukšmo atliekant buto remontą administravimas (SVP 6-1-1-07)</w:t>
                        </w:r>
                      </w:p>
                    </w:tc>
                    <w:tc>
                      <w:tcPr>
                        <w:tcW w:w="993" w:type="dxa"/>
                      </w:tcPr>
                      <w:p>
                        <w:pPr>
                          <w:rPr>
                            <w:color w:val="000000"/>
                            <w:szCs w:val="24"/>
                          </w:rPr>
                        </w:pPr>
                        <w:r>
                          <w:rPr>
                            <w:color w:val="000000"/>
                            <w:szCs w:val="24"/>
                          </w:rPr>
                          <w:t>100</w:t>
                        </w:r>
                        <w:r>
                          <w:rPr>
                            <w:color w:val="000000"/>
                            <w:szCs w:val="24"/>
                            <w:lang w:val="en-US"/>
                          </w:rPr>
                          <w:t>%</w:t>
                        </w:r>
                      </w:p>
                    </w:tc>
                    <w:tc>
                      <w:tcPr>
                        <w:tcW w:w="850" w:type="dxa"/>
                      </w:tcPr>
                      <w:p>
                        <w:pPr>
                          <w:rPr>
                            <w:szCs w:val="24"/>
                          </w:rPr>
                        </w:pPr>
                        <w:r>
                          <w:rPr>
                            <w:szCs w:val="24"/>
                          </w:rPr>
                          <w:t>100</w:t>
                        </w:r>
                        <w:r>
                          <w:rPr>
                            <w:szCs w:val="24"/>
                            <w:lang w:val="en-US"/>
                          </w:rPr>
                          <w:t>%</w:t>
                        </w:r>
                      </w:p>
                    </w:tc>
                    <w:tc>
                      <w:tcPr>
                        <w:tcW w:w="851" w:type="dxa"/>
                      </w:tcPr>
                      <w:p>
                        <w:pPr>
                          <w:rPr>
                            <w:szCs w:val="24"/>
                          </w:rPr>
                        </w:pPr>
                        <w:r>
                          <w:rPr>
                            <w:szCs w:val="24"/>
                          </w:rPr>
                          <w:t>100</w:t>
                        </w:r>
                        <w:r>
                          <w:rPr>
                            <w:szCs w:val="24"/>
                            <w:lang w:val="en-US"/>
                          </w:rPr>
                          <w:t>%</w:t>
                        </w:r>
                      </w:p>
                    </w:tc>
                    <w:tc>
                      <w:tcPr>
                        <w:tcW w:w="850" w:type="dxa"/>
                      </w:tcPr>
                      <w:p>
                        <w:pPr>
                          <w:rPr>
                            <w:szCs w:val="24"/>
                          </w:rPr>
                        </w:pPr>
                        <w:r>
                          <w:rPr>
                            <w:szCs w:val="24"/>
                          </w:rPr>
                          <w:t>100</w:t>
                        </w:r>
                        <w:r>
                          <w:rPr>
                            <w:szCs w:val="24"/>
                            <w:lang w:val="en-US"/>
                          </w:rPr>
                          <w:t>%</w:t>
                        </w:r>
                      </w:p>
                    </w:tc>
                    <w:tc>
                      <w:tcPr>
                        <w:tcW w:w="992" w:type="dxa"/>
                      </w:tcPr>
                      <w:p>
                        <w:pPr>
                          <w:rPr>
                            <w:color w:val="000000"/>
                            <w:szCs w:val="24"/>
                          </w:rPr>
                        </w:pPr>
                      </w:p>
                    </w:tc>
                    <w:tc>
                      <w:tcPr>
                        <w:tcW w:w="993" w:type="dxa"/>
                      </w:tcPr>
                      <w:p>
                        <w:pPr>
                          <w:rPr>
                            <w:szCs w:val="24"/>
                          </w:rPr>
                        </w:pPr>
                      </w:p>
                    </w:tc>
                    <w:tc>
                      <w:tcPr>
                        <w:tcW w:w="5386" w:type="dxa"/>
                      </w:tcPr>
                      <w:p>
                        <w:pPr>
                          <w:rPr>
                            <w:szCs w:val="24"/>
                          </w:rPr>
                        </w:pPr>
                        <w:r>
                          <w:rPr>
                            <w:szCs w:val="24"/>
                          </w:rPr>
                          <w:t>Radviliškio rajono savivaldybės teritorijoje Priimta ir administruota 131 pranešimas. (Žemės ūkio skyrius)</w:t>
                        </w:r>
                      </w:p>
                    </w:tc>
                  </w:tr>
                  <w:tr>
                    <w:tc>
                      <w:tcPr>
                        <w:tcW w:w="4253" w:type="dxa"/>
                      </w:tcPr>
                      <w:p>
                        <w:pPr>
                          <w:rPr>
                            <w:szCs w:val="24"/>
                          </w:rPr>
                        </w:pPr>
                        <w:r>
                          <w:rPr>
                            <w:szCs w:val="24"/>
                          </w:rPr>
                          <w:t>14.3.1.2. Vandens telkinių, tinkančių rekreacijai, patikrinimų skaičius (SVP 6-1-1-07)</w:t>
                        </w:r>
                      </w:p>
                    </w:tc>
                    <w:tc>
                      <w:tcPr>
                        <w:tcW w:w="993" w:type="dxa"/>
                      </w:tcPr>
                      <w:p>
                        <w:pPr>
                          <w:rPr>
                            <w:color w:val="000000"/>
                            <w:szCs w:val="24"/>
                          </w:rPr>
                        </w:pPr>
                        <w:r>
                          <w:rPr>
                            <w:color w:val="000000"/>
                            <w:szCs w:val="24"/>
                          </w:rPr>
                          <w:t>4 vnt.</w:t>
                        </w:r>
                      </w:p>
                    </w:tc>
                    <w:tc>
                      <w:tcPr>
                        <w:tcW w:w="850" w:type="dxa"/>
                      </w:tcPr>
                      <w:p>
                        <w:pPr>
                          <w:rPr>
                            <w:szCs w:val="24"/>
                          </w:rPr>
                        </w:pPr>
                        <w:r>
                          <w:rPr>
                            <w:szCs w:val="24"/>
                          </w:rPr>
                          <w:t>12 vnt.</w:t>
                        </w:r>
                      </w:p>
                    </w:tc>
                    <w:tc>
                      <w:tcPr>
                        <w:tcW w:w="851" w:type="dxa"/>
                      </w:tcPr>
                      <w:p>
                        <w:pPr>
                          <w:rPr>
                            <w:szCs w:val="24"/>
                          </w:rPr>
                        </w:pPr>
                        <w:r>
                          <w:rPr>
                            <w:szCs w:val="24"/>
                          </w:rPr>
                          <w:t>12 vnt.</w:t>
                        </w:r>
                      </w:p>
                    </w:tc>
                    <w:tc>
                      <w:tcPr>
                        <w:tcW w:w="850" w:type="dxa"/>
                      </w:tcPr>
                      <w:p>
                        <w:pPr>
                          <w:rPr>
                            <w:szCs w:val="24"/>
                          </w:rPr>
                        </w:pPr>
                        <w:r>
                          <w:rPr>
                            <w:szCs w:val="24"/>
                          </w:rPr>
                          <w:t>5 vnt.</w:t>
                        </w:r>
                      </w:p>
                    </w:tc>
                    <w:tc>
                      <w:tcPr>
                        <w:tcW w:w="992" w:type="dxa"/>
                      </w:tcPr>
                      <w:p>
                        <w:pPr>
                          <w:rPr>
                            <w:color w:val="000000"/>
                            <w:szCs w:val="24"/>
                          </w:rPr>
                        </w:pPr>
                      </w:p>
                    </w:tc>
                    <w:tc>
                      <w:tcPr>
                        <w:tcW w:w="993" w:type="dxa"/>
                      </w:tcPr>
                      <w:p>
                        <w:pPr>
                          <w:rPr>
                            <w:szCs w:val="24"/>
                          </w:rPr>
                        </w:pPr>
                      </w:p>
                    </w:tc>
                    <w:tc>
                      <w:tcPr>
                        <w:tcW w:w="5386" w:type="dxa"/>
                      </w:tcPr>
                      <w:p>
                        <w:pPr>
                          <w:rPr>
                            <w:szCs w:val="24"/>
                          </w:rPr>
                        </w:pPr>
                        <w:r>
                          <w:rPr>
                            <w:szCs w:val="24"/>
                          </w:rPr>
                          <w:t>Maudyklų kontrolė. (Žemės ūkio skyrius)</w:t>
                        </w:r>
                      </w:p>
                    </w:tc>
                  </w:tr>
                  <w:tr>
                    <w:trPr>
                      <w:trHeight w:val="365"/>
                    </w:trPr>
                    <w:tc>
                      <w:tcPr>
                        <w:tcW w:w="4253" w:type="dxa"/>
                      </w:tcPr>
                      <w:p>
                        <w:pPr>
                          <w:rPr>
                            <w:szCs w:val="24"/>
                          </w:rPr>
                        </w:pPr>
                        <w:r>
                          <w:rPr>
                            <w:rFonts w:eastAsia="Calibri"/>
                            <w:color w:val="000000"/>
                            <w:szCs w:val="24"/>
                          </w:rPr>
                          <w:t xml:space="preserve">19.2.2.2. </w:t>
                        </w:r>
                        <w:r>
                          <w:rPr>
                            <w:rFonts w:eastAsia="Calibri"/>
                            <w:szCs w:val="24"/>
                          </w:rPr>
                          <w:t xml:space="preserve">Varninių paukščių gausos reguliavimo veikla. (SVP </w:t>
                        </w:r>
                        <w:r>
                          <w:rPr>
                            <w:szCs w:val="24"/>
                          </w:rPr>
                          <w:t>6-1-1-10)</w:t>
                        </w:r>
                      </w:p>
                    </w:tc>
                    <w:tc>
                      <w:tcPr>
                        <w:tcW w:w="993" w:type="dxa"/>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Pr>
                      <w:p>
                        <w:pPr>
                          <w:rPr>
                            <w:rFonts w:eastAsia="Calibri"/>
                            <w:szCs w:val="24"/>
                            <w:lang w:val="en-US"/>
                          </w:rPr>
                        </w:pPr>
                        <w:r>
                          <w:rPr>
                            <w:rFonts w:eastAsia="Calibri"/>
                            <w:szCs w:val="24"/>
                          </w:rPr>
                          <w:t xml:space="preserve">100 </w:t>
                        </w:r>
                        <w:r>
                          <w:rPr>
                            <w:rFonts w:eastAsia="Calibri"/>
                            <w:szCs w:val="24"/>
                            <w:lang w:val="en-US"/>
                          </w:rPr>
                          <w:t>%</w:t>
                        </w:r>
                      </w:p>
                      <w:p>
                        <w:pPr>
                          <w:rPr>
                            <w:szCs w:val="24"/>
                          </w:rPr>
                        </w:pPr>
                      </w:p>
                    </w:tc>
                    <w:tc>
                      <w:tcPr>
                        <w:tcW w:w="851" w:type="dxa"/>
                      </w:tcPr>
                      <w:p>
                        <w:pPr>
                          <w:rPr>
                            <w:rFonts w:eastAsia="Calibri"/>
                            <w:szCs w:val="24"/>
                            <w:lang w:val="en-US"/>
                          </w:rPr>
                        </w:pPr>
                        <w:r>
                          <w:rPr>
                            <w:rFonts w:eastAsia="Calibri"/>
                            <w:szCs w:val="24"/>
                          </w:rPr>
                          <w:t xml:space="preserve">100 </w:t>
                        </w:r>
                        <w:r>
                          <w:rPr>
                            <w:rFonts w:eastAsia="Calibri"/>
                            <w:szCs w:val="24"/>
                            <w:lang w:val="en-US"/>
                          </w:rPr>
                          <w:t>%</w:t>
                        </w:r>
                      </w:p>
                      <w:p>
                        <w:pPr>
                          <w:rPr>
                            <w:szCs w:val="24"/>
                          </w:rPr>
                        </w:pPr>
                      </w:p>
                    </w:tc>
                    <w:tc>
                      <w:tcPr>
                        <w:tcW w:w="850" w:type="dxa"/>
                      </w:tcPr>
                      <w:p>
                        <w:pPr>
                          <w:rPr>
                            <w:rFonts w:eastAsia="Calibri"/>
                            <w:szCs w:val="24"/>
                            <w:lang w:val="en-US"/>
                          </w:rPr>
                        </w:pPr>
                        <w:r>
                          <w:rPr>
                            <w:rFonts w:eastAsia="Calibri"/>
                            <w:szCs w:val="24"/>
                          </w:rPr>
                          <w:t xml:space="preserve">100 </w:t>
                        </w:r>
                        <w:r>
                          <w:rPr>
                            <w:rFonts w:eastAsia="Calibri"/>
                            <w:szCs w:val="24"/>
                            <w:lang w:val="en-US"/>
                          </w:rPr>
                          <w:t>%</w:t>
                        </w:r>
                      </w:p>
                      <w:p>
                        <w:pPr>
                          <w:rPr>
                            <w:szCs w:val="24"/>
                          </w:rPr>
                        </w:pPr>
                      </w:p>
                    </w:tc>
                    <w:tc>
                      <w:tcPr>
                        <w:tcW w:w="992" w:type="dxa"/>
                      </w:tcPr>
                      <w:p>
                        <w:pPr>
                          <w:rPr>
                            <w:color w:val="000000"/>
                            <w:szCs w:val="24"/>
                          </w:rPr>
                        </w:pPr>
                      </w:p>
                    </w:tc>
                    <w:tc>
                      <w:tcPr>
                        <w:tcW w:w="993" w:type="dxa"/>
                      </w:tcPr>
                      <w:p>
                        <w:pPr>
                          <w:rPr>
                            <w:szCs w:val="24"/>
                          </w:rPr>
                        </w:pPr>
                      </w:p>
                    </w:tc>
                    <w:tc>
                      <w:tcPr>
                        <w:tcW w:w="5386" w:type="dxa"/>
                      </w:tcPr>
                      <w:p>
                        <w:pPr>
                          <w:rPr>
                            <w:szCs w:val="24"/>
                          </w:rPr>
                        </w:pPr>
                        <w:r>
                          <w:rPr>
                            <w:szCs w:val="24"/>
                          </w:rPr>
                          <w:t>(Baisogalos seniūnija)</w:t>
                        </w:r>
                      </w:p>
                    </w:tc>
                  </w:tr>
                  <w:tr>
                    <w:trPr>
                      <w:trHeight w:val="365"/>
                    </w:trPr>
                    <w:tc>
                      <w:tcPr>
                        <w:tcW w:w="4253" w:type="dxa"/>
                      </w:tcPr>
                      <w:p>
                        <w:pPr>
                          <w:rPr>
                            <w:szCs w:val="24"/>
                          </w:rPr>
                        </w:pPr>
                        <w:r>
                          <w:rPr>
                            <w:szCs w:val="24"/>
                          </w:rPr>
                          <w:t>22.2.3.1.Tęstinė smėlio, druskos ir purvo mišinio surinkimo iš miesto gatvių veikla (SVP 6-1-1-02)</w:t>
                        </w:r>
                      </w:p>
                    </w:tc>
                    <w:tc>
                      <w:tcPr>
                        <w:tcW w:w="993" w:type="dxa"/>
                      </w:tcPr>
                      <w:p>
                        <w:pPr>
                          <w:rPr>
                            <w:color w:val="000000"/>
                            <w:szCs w:val="24"/>
                          </w:rPr>
                        </w:pPr>
                        <w:r>
                          <w:rPr>
                            <w:szCs w:val="24"/>
                          </w:rPr>
                          <w:t xml:space="preserve">100% </w:t>
                        </w:r>
                      </w:p>
                    </w:tc>
                    <w:tc>
                      <w:tcPr>
                        <w:tcW w:w="850" w:type="dxa"/>
                      </w:tcPr>
                      <w:p>
                        <w:pPr>
                          <w:rPr>
                            <w:szCs w:val="24"/>
                          </w:rPr>
                        </w:pPr>
                        <w:r>
                          <w:rPr>
                            <w:szCs w:val="24"/>
                          </w:rPr>
                          <w:t xml:space="preserve">100% </w:t>
                        </w:r>
                      </w:p>
                    </w:tc>
                    <w:tc>
                      <w:tcPr>
                        <w:tcW w:w="851" w:type="dxa"/>
                      </w:tcPr>
                      <w:p>
                        <w:pPr>
                          <w:rPr>
                            <w:szCs w:val="24"/>
                          </w:rPr>
                        </w:pPr>
                        <w:r>
                          <w:rPr>
                            <w:szCs w:val="24"/>
                          </w:rPr>
                          <w:t xml:space="preserve">100% </w:t>
                        </w:r>
                      </w:p>
                    </w:tc>
                    <w:tc>
                      <w:tcPr>
                        <w:tcW w:w="850" w:type="dxa"/>
                      </w:tcPr>
                      <w:p>
                        <w:pPr>
                          <w:rPr>
                            <w:szCs w:val="24"/>
                          </w:rPr>
                        </w:pPr>
                        <w:r>
                          <w:rPr>
                            <w:szCs w:val="24"/>
                          </w:rPr>
                          <w:t xml:space="preserve">100% </w:t>
                        </w:r>
                      </w:p>
                    </w:tc>
                    <w:tc>
                      <w:tcPr>
                        <w:tcW w:w="992" w:type="dxa"/>
                        <w:vMerge w:val="restart"/>
                      </w:tcPr>
                      <w:p>
                        <w:pPr>
                          <w:rPr>
                            <w:color w:val="000000"/>
                            <w:szCs w:val="24"/>
                          </w:rPr>
                        </w:pPr>
                        <w:r>
                          <w:rPr>
                            <w:szCs w:val="24"/>
                          </w:rPr>
                          <w:t>18,00 AA</w:t>
                        </w:r>
                      </w:p>
                    </w:tc>
                    <w:tc>
                      <w:tcPr>
                        <w:tcW w:w="993" w:type="dxa"/>
                        <w:vMerge w:val="restart"/>
                      </w:tcPr>
                      <w:p>
                        <w:pPr>
                          <w:rPr>
                            <w:szCs w:val="24"/>
                            <w:lang w:val="en-US"/>
                          </w:rPr>
                        </w:pPr>
                        <w:r>
                          <w:rPr>
                            <w:szCs w:val="24"/>
                            <w:lang w:val="en-US"/>
                          </w:rPr>
                          <w:t xml:space="preserve">19,00 </w:t>
                        </w:r>
                        <w:r>
                          <w:rPr>
                            <w:szCs w:val="24"/>
                          </w:rPr>
                          <w:t>(AA)</w:t>
                        </w:r>
                      </w:p>
                      <w:p>
                        <w:pPr>
                          <w:rPr>
                            <w:szCs w:val="24"/>
                          </w:rPr>
                        </w:pPr>
                      </w:p>
                    </w:tc>
                    <w:tc>
                      <w:tcPr>
                        <w:tcW w:w="5386" w:type="dxa"/>
                      </w:tcPr>
                      <w:p>
                        <w:pPr>
                          <w:rPr>
                            <w:szCs w:val="24"/>
                          </w:rPr>
                        </w:pPr>
                        <w:r>
                          <w:rPr>
                            <w:szCs w:val="24"/>
                          </w:rPr>
                          <w:t xml:space="preserve">Darbai nevykdyti, nes smėlio, druskos ir purvo mišinys nebuvo sandėliuojamas. </w:t>
                        </w:r>
                        <w:r>
                          <w:rPr>
                            <w:bCs/>
                            <w:szCs w:val="24"/>
                          </w:rPr>
                          <w:t>(Radviliškio miesto seniūnija)</w:t>
                        </w:r>
                      </w:p>
                    </w:tc>
                  </w:tr>
                  <w:tr>
                    <w:trPr>
                      <w:trHeight w:val="365"/>
                    </w:trPr>
                    <w:tc>
                      <w:tcPr>
                        <w:tcW w:w="4253" w:type="dxa"/>
                      </w:tcPr>
                      <w:p>
                        <w:pPr>
                          <w:rPr>
                            <w:szCs w:val="24"/>
                          </w:rPr>
                        </w:pPr>
                        <w:r>
                          <w:rPr>
                            <w:szCs w:val="24"/>
                          </w:rPr>
                          <w:t xml:space="preserve">22.2.3.2.Tęstinė invazinių augalų ir gyvūnų naikinimo veikla </w:t>
                        </w:r>
                      </w:p>
                      <w:p>
                        <w:pPr>
                          <w:rPr>
                            <w:szCs w:val="24"/>
                          </w:rPr>
                        </w:pPr>
                        <w:r>
                          <w:rPr>
                            <w:szCs w:val="24"/>
                          </w:rPr>
                          <w:t>(SVP 6-1-1-05)</w:t>
                        </w:r>
                      </w:p>
                    </w:tc>
                    <w:tc>
                      <w:tcPr>
                        <w:tcW w:w="993" w:type="dxa"/>
                      </w:tcPr>
                      <w:p>
                        <w:pPr>
                          <w:rPr>
                            <w:color w:val="000000"/>
                            <w:szCs w:val="24"/>
                          </w:rPr>
                        </w:pPr>
                        <w:r>
                          <w:rPr>
                            <w:szCs w:val="24"/>
                          </w:rPr>
                          <w:t xml:space="preserve">100% </w:t>
                        </w:r>
                      </w:p>
                    </w:tc>
                    <w:tc>
                      <w:tcPr>
                        <w:tcW w:w="850" w:type="dxa"/>
                      </w:tcPr>
                      <w:p>
                        <w:pPr>
                          <w:rPr>
                            <w:szCs w:val="24"/>
                          </w:rPr>
                        </w:pPr>
                        <w:r>
                          <w:rPr>
                            <w:szCs w:val="24"/>
                          </w:rPr>
                          <w:t xml:space="preserve">100% </w:t>
                        </w:r>
                      </w:p>
                    </w:tc>
                    <w:tc>
                      <w:tcPr>
                        <w:tcW w:w="851" w:type="dxa"/>
                      </w:tcPr>
                      <w:p>
                        <w:pPr>
                          <w:rPr>
                            <w:szCs w:val="24"/>
                          </w:rPr>
                        </w:pPr>
                        <w:r>
                          <w:rPr>
                            <w:szCs w:val="24"/>
                          </w:rPr>
                          <w:t xml:space="preserve">100% </w:t>
                        </w:r>
                      </w:p>
                    </w:tc>
                    <w:tc>
                      <w:tcPr>
                        <w:tcW w:w="850" w:type="dxa"/>
                      </w:tcPr>
                      <w:p>
                        <w:pPr>
                          <w:rPr>
                            <w:szCs w:val="24"/>
                          </w:rPr>
                        </w:pPr>
                        <w:r>
                          <w:rPr>
                            <w:szCs w:val="24"/>
                          </w:rPr>
                          <w:t xml:space="preserve">100% </w:t>
                        </w:r>
                      </w:p>
                    </w:tc>
                    <w:tc>
                      <w:tcPr>
                        <w:tcW w:w="992" w:type="dxa"/>
                        <w:vMerge/>
                      </w:tcPr>
                      <w:p>
                        <w:pPr>
                          <w:rPr>
                            <w:color w:val="000000"/>
                            <w:szCs w:val="24"/>
                          </w:rPr>
                        </w:pPr>
                      </w:p>
                    </w:tc>
                    <w:tc>
                      <w:tcPr>
                        <w:tcW w:w="993" w:type="dxa"/>
                        <w:vMerge/>
                      </w:tcPr>
                      <w:p>
                        <w:pPr>
                          <w:rPr>
                            <w:szCs w:val="24"/>
                          </w:rPr>
                        </w:pPr>
                      </w:p>
                    </w:tc>
                    <w:tc>
                      <w:tcPr>
                        <w:tcW w:w="5386" w:type="dxa"/>
                      </w:tcPr>
                      <w:p>
                        <w:pPr>
                          <w:rPr>
                            <w:szCs w:val="24"/>
                          </w:rPr>
                        </w:pPr>
                        <w:r>
                          <w:rPr>
                            <w:szCs w:val="24"/>
                          </w:rPr>
                          <w:t>Invazinio Sosnovskio barščio naikinimas cheminiu būdu ir šienaujant 208 arai: Šiaulių g., Žironų g., Perkūno g., Saulėtekio g., Radviliškio m.</w:t>
                        </w:r>
                        <w:r>
                          <w:rPr>
                            <w:bCs/>
                            <w:szCs w:val="24"/>
                          </w:rPr>
                          <w:t>(Radviliškio miesto seniūnija)</w:t>
                        </w:r>
                      </w:p>
                    </w:tc>
                  </w:tr>
                  <w:tr>
                    <w:trPr>
                      <w:trHeight w:val="365"/>
                    </w:trPr>
                    <w:tc>
                      <w:tcPr>
                        <w:tcW w:w="4253" w:type="dxa"/>
                      </w:tcPr>
                      <w:p>
                        <w:pPr>
                          <w:rPr>
                            <w:szCs w:val="24"/>
                          </w:rPr>
                        </w:pPr>
                        <w:r>
                          <w:rPr>
                            <w:szCs w:val="24"/>
                          </w:rPr>
                          <w:t xml:space="preserve">22.2.3.3. Tęstinė Varninių paukščių gausos reguliavimo veikla </w:t>
                        </w:r>
                      </w:p>
                      <w:p>
                        <w:pPr>
                          <w:rPr>
                            <w:szCs w:val="24"/>
                          </w:rPr>
                        </w:pPr>
                        <w:r>
                          <w:rPr>
                            <w:szCs w:val="24"/>
                          </w:rPr>
                          <w:t>(SVP 6-1-1-10)</w:t>
                        </w:r>
                      </w:p>
                    </w:tc>
                    <w:tc>
                      <w:tcPr>
                        <w:tcW w:w="993" w:type="dxa"/>
                      </w:tcPr>
                      <w:p>
                        <w:pPr>
                          <w:rPr>
                            <w:color w:val="000000"/>
                            <w:szCs w:val="24"/>
                          </w:rPr>
                        </w:pPr>
                        <w:r>
                          <w:rPr>
                            <w:szCs w:val="24"/>
                          </w:rPr>
                          <w:t xml:space="preserve">100% </w:t>
                        </w:r>
                      </w:p>
                    </w:tc>
                    <w:tc>
                      <w:tcPr>
                        <w:tcW w:w="850" w:type="dxa"/>
                      </w:tcPr>
                      <w:p>
                        <w:pPr>
                          <w:rPr>
                            <w:szCs w:val="24"/>
                          </w:rPr>
                        </w:pPr>
                        <w:r>
                          <w:rPr>
                            <w:szCs w:val="24"/>
                          </w:rPr>
                          <w:t xml:space="preserve">100% </w:t>
                        </w:r>
                      </w:p>
                    </w:tc>
                    <w:tc>
                      <w:tcPr>
                        <w:tcW w:w="851" w:type="dxa"/>
                      </w:tcPr>
                      <w:p>
                        <w:pPr>
                          <w:rPr>
                            <w:szCs w:val="24"/>
                          </w:rPr>
                        </w:pPr>
                        <w:r>
                          <w:rPr>
                            <w:szCs w:val="24"/>
                          </w:rPr>
                          <w:t xml:space="preserve">100% </w:t>
                        </w:r>
                      </w:p>
                    </w:tc>
                    <w:tc>
                      <w:tcPr>
                        <w:tcW w:w="850" w:type="dxa"/>
                      </w:tcPr>
                      <w:p>
                        <w:pPr>
                          <w:rPr>
                            <w:szCs w:val="24"/>
                          </w:rPr>
                        </w:pPr>
                        <w:r>
                          <w:rPr>
                            <w:szCs w:val="24"/>
                          </w:rPr>
                          <w:t xml:space="preserve">100% </w:t>
                        </w:r>
                      </w:p>
                    </w:tc>
                    <w:tc>
                      <w:tcPr>
                        <w:tcW w:w="992" w:type="dxa"/>
                        <w:vMerge/>
                      </w:tcPr>
                      <w:p>
                        <w:pPr>
                          <w:rPr>
                            <w:color w:val="000000"/>
                            <w:szCs w:val="24"/>
                          </w:rPr>
                        </w:pPr>
                      </w:p>
                    </w:tc>
                    <w:tc>
                      <w:tcPr>
                        <w:tcW w:w="993" w:type="dxa"/>
                        <w:vMerge/>
                      </w:tcPr>
                      <w:p>
                        <w:pPr>
                          <w:rPr>
                            <w:szCs w:val="24"/>
                          </w:rPr>
                        </w:pPr>
                      </w:p>
                    </w:tc>
                    <w:tc>
                      <w:tcPr>
                        <w:tcW w:w="5386" w:type="dxa"/>
                      </w:tcPr>
                      <w:p>
                        <w:pPr>
                          <w:rPr>
                            <w:szCs w:val="24"/>
                          </w:rPr>
                        </w:pPr>
                        <w:r>
                          <w:rPr>
                            <w:szCs w:val="24"/>
                          </w:rPr>
                          <w:t xml:space="preserve">Varninių šeimos paukščių populiacijos gausos reguliavimas Radviliškio mieste – išardyti 112 vnt. lizdų. </w:t>
                        </w:r>
                        <w:r>
                          <w:rPr>
                            <w:bCs/>
                            <w:szCs w:val="24"/>
                          </w:rPr>
                          <w:t>(Radviliškio miesto seniūnija)</w:t>
                        </w:r>
                      </w:p>
                    </w:tc>
                  </w:tr>
                  <w:tr>
                    <w:trPr>
                      <w:trHeight w:val="365"/>
                    </w:trPr>
                    <w:tc>
                      <w:tcPr>
                        <w:tcW w:w="4253" w:type="dxa"/>
                      </w:tcPr>
                      <w:p>
                        <w:pPr>
                          <w:rPr>
                            <w:szCs w:val="24"/>
                          </w:rPr>
                        </w:pPr>
                        <w:r>
                          <w:rPr>
                            <w:szCs w:val="24"/>
                          </w:rPr>
                          <w:t>22.2.3.4. Tęstinė želdynų ir želdinių apsaugos, tvarkymo, būklės stebėsenos, želdynų kūrimo, želdinių veisimo ir inventorizavimo veikla (SVP 6-1-1-13B)</w:t>
                        </w:r>
                      </w:p>
                      <w:p>
                        <w:pPr>
                          <w:rPr>
                            <w:szCs w:val="24"/>
                          </w:rPr>
                        </w:pPr>
                      </w:p>
                    </w:tc>
                    <w:tc>
                      <w:tcPr>
                        <w:tcW w:w="993" w:type="dxa"/>
                      </w:tcPr>
                      <w:p>
                        <w:pPr>
                          <w:rPr>
                            <w:color w:val="000000"/>
                            <w:szCs w:val="24"/>
                          </w:rPr>
                        </w:pPr>
                        <w:r>
                          <w:rPr>
                            <w:szCs w:val="24"/>
                          </w:rPr>
                          <w:t xml:space="preserve">100% </w:t>
                        </w:r>
                      </w:p>
                    </w:tc>
                    <w:tc>
                      <w:tcPr>
                        <w:tcW w:w="850" w:type="dxa"/>
                      </w:tcPr>
                      <w:p>
                        <w:pPr>
                          <w:rPr>
                            <w:szCs w:val="24"/>
                          </w:rPr>
                        </w:pPr>
                        <w:r>
                          <w:rPr>
                            <w:szCs w:val="24"/>
                          </w:rPr>
                          <w:t xml:space="preserve">100% </w:t>
                        </w:r>
                      </w:p>
                    </w:tc>
                    <w:tc>
                      <w:tcPr>
                        <w:tcW w:w="851" w:type="dxa"/>
                      </w:tcPr>
                      <w:p>
                        <w:pPr>
                          <w:rPr>
                            <w:szCs w:val="24"/>
                          </w:rPr>
                        </w:pPr>
                        <w:r>
                          <w:rPr>
                            <w:szCs w:val="24"/>
                          </w:rPr>
                          <w:t xml:space="preserve">100% </w:t>
                        </w:r>
                      </w:p>
                    </w:tc>
                    <w:tc>
                      <w:tcPr>
                        <w:tcW w:w="850" w:type="dxa"/>
                      </w:tcPr>
                      <w:p>
                        <w:pPr>
                          <w:rPr>
                            <w:szCs w:val="24"/>
                          </w:rPr>
                        </w:pPr>
                        <w:r>
                          <w:rPr>
                            <w:szCs w:val="24"/>
                          </w:rPr>
                          <w:t xml:space="preserve">100% </w:t>
                        </w:r>
                      </w:p>
                    </w:tc>
                    <w:tc>
                      <w:tcPr>
                        <w:tcW w:w="992" w:type="dxa"/>
                        <w:vMerge/>
                      </w:tcPr>
                      <w:p>
                        <w:pPr>
                          <w:rPr>
                            <w:color w:val="000000"/>
                            <w:szCs w:val="24"/>
                          </w:rPr>
                        </w:pPr>
                      </w:p>
                    </w:tc>
                    <w:tc>
                      <w:tcPr>
                        <w:tcW w:w="993" w:type="dxa"/>
                        <w:vMerge/>
                      </w:tcPr>
                      <w:p>
                        <w:pPr>
                          <w:rPr>
                            <w:szCs w:val="24"/>
                          </w:rPr>
                        </w:pPr>
                      </w:p>
                    </w:tc>
                    <w:tc>
                      <w:tcPr>
                        <w:tcW w:w="5386" w:type="dxa"/>
                      </w:tcPr>
                      <w:p>
                        <w:pPr>
                          <w:rPr>
                            <w:szCs w:val="24"/>
                          </w:rPr>
                        </w:pPr>
                        <w:r>
                          <w:rPr>
                            <w:szCs w:val="24"/>
                          </w:rPr>
                          <w:t xml:space="preserve">Atlikti medžių šalinimo darbai: Senosiose miesto kapinės, Maironio g., Radviliškio m. – 23 medžiai; II Pasaulinio karo karių kapinėse, Šiaulių g. – 11 medžių. Šalintis ir genėti pavojų keliantys medžiai Vytenio g., Gamyklos g., Atlikti ąžuolyno genėjimo ir formavimo darbai, R. Marijošiaus g. Nugenėti ir suformuoti 86 medžiai. Tarybos 2025 m. rugsėjo 25 d. sprendimu Nr. T-785 skirta papildomai lėšų. </w:t>
                        </w:r>
                        <w:r>
                          <w:rPr>
                            <w:bCs/>
                            <w:szCs w:val="24"/>
                          </w:rPr>
                          <w:t>(Radviliškio miesto seniūnija)</w:t>
                        </w:r>
                      </w:p>
                    </w:tc>
                  </w:tr>
                  <w:tr>
                    <w:trPr>
                      <w:trHeight w:val="365"/>
                    </w:trPr>
                    <w:tc>
                      <w:tcPr>
                        <w:tcW w:w="4253" w:type="dxa"/>
                      </w:tcPr>
                      <w:p>
                        <w:pPr>
                          <w:rPr>
                            <w:bCs/>
                            <w:iCs/>
                            <w:color w:val="000000"/>
                            <w:szCs w:val="24"/>
                          </w:rPr>
                        </w:pPr>
                        <w:r>
                          <w:rPr>
                            <w:bCs/>
                            <w:iCs/>
                            <w:color w:val="000000"/>
                            <w:szCs w:val="24"/>
                          </w:rPr>
                          <w:t xml:space="preserve">27.2.2.1. Varninių paukščių gausos reguliavimas </w:t>
                        </w:r>
                        <w:r>
                          <w:rPr>
                            <w:bCs/>
                            <w:iCs/>
                            <w:szCs w:val="24"/>
                          </w:rPr>
                          <w:t>(SVP 6-1-</w:t>
                        </w:r>
                        <w:r>
                          <w:rPr>
                            <w:bCs/>
                            <w:iCs/>
                            <w:szCs w:val="24"/>
                            <w:lang w:val="en-US"/>
                          </w:rPr>
                          <w:t>1</w:t>
                        </w:r>
                        <w:r>
                          <w:rPr>
                            <w:bCs/>
                            <w:iCs/>
                            <w:szCs w:val="24"/>
                          </w:rPr>
                          <w:t>-</w:t>
                        </w:r>
                        <w:r>
                          <w:rPr>
                            <w:bCs/>
                            <w:iCs/>
                            <w:szCs w:val="24"/>
                            <w:lang w:val="en-US"/>
                          </w:rPr>
                          <w:t>1</w:t>
                        </w:r>
                        <w:r>
                          <w:rPr>
                            <w:bCs/>
                            <w:iCs/>
                            <w:szCs w:val="24"/>
                          </w:rPr>
                          <w:t>0)</w:t>
                        </w:r>
                      </w:p>
                    </w:tc>
                    <w:tc>
                      <w:tcPr>
                        <w:tcW w:w="993" w:type="dxa"/>
                      </w:tcPr>
                      <w:p>
                        <w:pPr>
                          <w:rPr>
                            <w:color w:val="000000"/>
                            <w:szCs w:val="24"/>
                          </w:rPr>
                        </w:pPr>
                        <w:r>
                          <w:rPr>
                            <w:bCs/>
                            <w:iCs/>
                            <w:color w:val="000000"/>
                            <w:szCs w:val="24"/>
                          </w:rPr>
                          <w:t>100 %</w:t>
                        </w:r>
                      </w:p>
                    </w:tc>
                    <w:tc>
                      <w:tcPr>
                        <w:tcW w:w="850" w:type="dxa"/>
                      </w:tcPr>
                      <w:p>
                        <w:pPr>
                          <w:rPr>
                            <w:szCs w:val="24"/>
                          </w:rPr>
                        </w:pPr>
                        <w:r>
                          <w:rPr>
                            <w:bCs/>
                            <w:iCs/>
                            <w:color w:val="808080"/>
                            <w:szCs w:val="24"/>
                          </w:rPr>
                          <w:t>-</w:t>
                        </w:r>
                      </w:p>
                    </w:tc>
                    <w:tc>
                      <w:tcPr>
                        <w:tcW w:w="851" w:type="dxa"/>
                      </w:tcPr>
                      <w:p>
                        <w:pPr>
                          <w:rPr>
                            <w:szCs w:val="24"/>
                          </w:rPr>
                        </w:pPr>
                        <w:r>
                          <w:rPr>
                            <w:bCs/>
                            <w:iCs/>
                            <w:szCs w:val="24"/>
                          </w:rPr>
                          <w:t>100 %</w:t>
                        </w:r>
                      </w:p>
                    </w:tc>
                    <w:tc>
                      <w:tcPr>
                        <w:tcW w:w="850" w:type="dxa"/>
                      </w:tcPr>
                      <w:p>
                        <w:pPr>
                          <w:rPr>
                            <w:szCs w:val="24"/>
                          </w:rPr>
                        </w:pPr>
                        <w:r>
                          <w:rPr>
                            <w:bCs/>
                            <w:iCs/>
                            <w:szCs w:val="24"/>
                          </w:rPr>
                          <w:t>100 %</w:t>
                        </w:r>
                      </w:p>
                    </w:tc>
                    <w:tc>
                      <w:tcPr>
                        <w:tcW w:w="992" w:type="dxa"/>
                      </w:tcPr>
                      <w:p>
                        <w:pPr>
                          <w:rPr>
                            <w:color w:val="000000"/>
                            <w:szCs w:val="24"/>
                          </w:rPr>
                        </w:pPr>
                        <w:r>
                          <w:rPr>
                            <w:bCs/>
                            <w:iCs/>
                            <w:color w:val="000000"/>
                            <w:szCs w:val="24"/>
                          </w:rPr>
                          <w:t>1,5 SBAA</w:t>
                        </w:r>
                      </w:p>
                    </w:tc>
                    <w:tc>
                      <w:tcPr>
                        <w:tcW w:w="993" w:type="dxa"/>
                      </w:tcPr>
                      <w:p>
                        <w:pPr>
                          <w:rPr>
                            <w:szCs w:val="24"/>
                          </w:rPr>
                        </w:pPr>
                        <w:r>
                          <w:rPr>
                            <w:bCs/>
                            <w:iCs/>
                            <w:szCs w:val="24"/>
                          </w:rPr>
                          <w:t>1,5 SBAA</w:t>
                        </w:r>
                      </w:p>
                    </w:tc>
                    <w:tc>
                      <w:tcPr>
                        <w:tcW w:w="5386" w:type="dxa"/>
                      </w:tcPr>
                      <w:p>
                        <w:pPr>
                          <w:rPr>
                            <w:bCs/>
                            <w:iCs/>
                            <w:szCs w:val="24"/>
                          </w:rPr>
                        </w:pPr>
                        <w:r>
                          <w:rPr>
                            <w:bCs/>
                            <w:iCs/>
                            <w:szCs w:val="24"/>
                          </w:rPr>
                          <w:t>Buvo išardyta 141 varninių paukščių lizdas</w:t>
                        </w:r>
                      </w:p>
                      <w:p>
                        <w:pPr>
                          <w:rPr>
                            <w:szCs w:val="24"/>
                          </w:rPr>
                        </w:pPr>
                        <w:r>
                          <w:rPr>
                            <w:bCs/>
                            <w:iCs/>
                            <w:szCs w:val="24"/>
                          </w:rPr>
                          <w:t>(Šeduvos miesto seniūnija)</w:t>
                        </w:r>
                      </w:p>
                    </w:tc>
                  </w:tr>
                  <w:tr>
                    <w:trPr>
                      <w:trHeight w:val="207"/>
                    </w:trPr>
                    <w:tc>
                      <w:tcPr>
                        <w:tcW w:w="15168" w:type="dxa"/>
                        <w:gridSpan w:val="8"/>
                      </w:tcPr>
                      <w:p>
                        <w:pPr>
                          <w:rPr>
                            <w:color w:val="000000"/>
                            <w:szCs w:val="24"/>
                            <w:highlight w:val="yellow"/>
                          </w:rPr>
                        </w:pPr>
                        <w:r>
                          <w:rPr>
                            <w:color w:val="000000"/>
                            <w:szCs w:val="24"/>
                            <w:shd w:val="clear" w:color="auto" w:fill="FFFFFF"/>
                          </w:rPr>
                          <w:t>1.2 Uždavinys: Išsaugoti natūralų rajono kraštovaizdį gyvūniją ir augaliją</w:t>
                        </w:r>
                        <w:r>
                          <w:rPr>
                            <w:color w:val="000000"/>
                            <w:szCs w:val="24"/>
                          </w:rPr>
                          <w:t>.</w:t>
                        </w:r>
                      </w:p>
                    </w:tc>
                  </w:tr>
                  <w:tr>
                    <w:trPr>
                      <w:trHeight w:val="365"/>
                    </w:trPr>
                    <w:tc>
                      <w:tcPr>
                        <w:tcW w:w="4253" w:type="dxa"/>
                      </w:tcPr>
                      <w:p>
                        <w:pPr>
                          <w:spacing w:line="259" w:lineRule="auto"/>
                          <w:rPr>
                            <w:bCs/>
                            <w:color w:val="000000"/>
                            <w:szCs w:val="24"/>
                          </w:rPr>
                        </w:pPr>
                        <w:r>
                          <w:rPr>
                            <w:szCs w:val="24"/>
                          </w:rPr>
                          <w:t>14.3.1.6.Visuomenės aplinkosauginio švietimo programų / projektų administravimas) (SVP 6-1-2-08)</w:t>
                        </w:r>
                      </w:p>
                    </w:tc>
                    <w:tc>
                      <w:tcPr>
                        <w:tcW w:w="993" w:type="dxa"/>
                      </w:tcPr>
                      <w:p>
                        <w:pPr>
                          <w:rPr>
                            <w:color w:val="000000"/>
                            <w:szCs w:val="24"/>
                          </w:rPr>
                        </w:pPr>
                        <w:r>
                          <w:rPr>
                            <w:szCs w:val="24"/>
                          </w:rPr>
                          <w:t>100 %</w:t>
                        </w:r>
                      </w:p>
                    </w:tc>
                    <w:tc>
                      <w:tcPr>
                        <w:tcW w:w="850" w:type="dxa"/>
                      </w:tcPr>
                      <w:p>
                        <w:pPr>
                          <w:rPr>
                            <w:color w:val="000000"/>
                            <w:szCs w:val="24"/>
                          </w:rPr>
                        </w:pPr>
                        <w:r>
                          <w:rPr>
                            <w:szCs w:val="24"/>
                          </w:rPr>
                          <w:t>100 %</w:t>
                        </w:r>
                      </w:p>
                    </w:tc>
                    <w:tc>
                      <w:tcPr>
                        <w:tcW w:w="851" w:type="dxa"/>
                      </w:tcPr>
                      <w:p>
                        <w:pPr>
                          <w:rPr>
                            <w:color w:val="000000"/>
                            <w:szCs w:val="24"/>
                          </w:rPr>
                        </w:pPr>
                        <w:r>
                          <w:rPr>
                            <w:szCs w:val="24"/>
                          </w:rPr>
                          <w:t>100 %</w:t>
                        </w:r>
                      </w:p>
                    </w:tc>
                    <w:tc>
                      <w:tcPr>
                        <w:tcW w:w="850" w:type="dxa"/>
                      </w:tcPr>
                      <w:p>
                        <w:pPr>
                          <w:rPr>
                            <w:color w:val="000000"/>
                            <w:szCs w:val="24"/>
                          </w:rPr>
                        </w:pPr>
                        <w:r>
                          <w:rPr>
                            <w:szCs w:val="24"/>
                          </w:rPr>
                          <w:t>100 %</w:t>
                        </w:r>
                      </w:p>
                    </w:tc>
                    <w:tc>
                      <w:tcPr>
                        <w:tcW w:w="992" w:type="dxa"/>
                      </w:tcPr>
                      <w:p>
                        <w:pPr>
                          <w:rPr>
                            <w:szCs w:val="24"/>
                          </w:rPr>
                        </w:pPr>
                        <w:r>
                          <w:rPr>
                            <w:szCs w:val="24"/>
                          </w:rPr>
                          <w:t>7,6</w:t>
                        </w:r>
                      </w:p>
                      <w:p>
                        <w:pPr>
                          <w:rPr>
                            <w:color w:val="000000"/>
                            <w:szCs w:val="24"/>
                            <w:highlight w:val="yellow"/>
                          </w:rPr>
                        </w:pPr>
                        <w:r>
                          <w:rPr>
                            <w:szCs w:val="24"/>
                          </w:rPr>
                          <w:t>SBAA</w:t>
                        </w:r>
                      </w:p>
                    </w:tc>
                    <w:tc>
                      <w:tcPr>
                        <w:tcW w:w="993" w:type="dxa"/>
                      </w:tcPr>
                      <w:p>
                        <w:pPr>
                          <w:rPr>
                            <w:szCs w:val="24"/>
                          </w:rPr>
                        </w:pPr>
                        <w:r>
                          <w:rPr>
                            <w:szCs w:val="24"/>
                          </w:rPr>
                          <w:t>6,9</w:t>
                        </w:r>
                      </w:p>
                      <w:p>
                        <w:pPr>
                          <w:rPr>
                            <w:color w:val="000000"/>
                            <w:szCs w:val="24"/>
                            <w:highlight w:val="yellow"/>
                          </w:rPr>
                        </w:pPr>
                        <w:r>
                          <w:rPr>
                            <w:szCs w:val="24"/>
                          </w:rPr>
                          <w:t>SBAA</w:t>
                        </w:r>
                      </w:p>
                    </w:tc>
                    <w:tc>
                      <w:tcPr>
                        <w:tcW w:w="5386" w:type="dxa"/>
                      </w:tcPr>
                      <w:p>
                        <w:pPr>
                          <w:rPr>
                            <w:szCs w:val="24"/>
                          </w:rPr>
                        </w:pPr>
                        <w:r>
                          <w:rPr>
                            <w:szCs w:val="24"/>
                          </w:rPr>
                          <w:t>Gauta 8 projektinės paraiškos. Skirta parama 7 projektams. Detali priemonių vykdymo ataskaita, kiekvienais metais patvirtinta Radviliškio Tarybos sprendimu, teikiama Aplinkos apsaugos ministerijai. (Žemės ūkio skyrius)</w:t>
                        </w:r>
                      </w:p>
                    </w:tc>
                  </w:tr>
                  <w:tr>
                    <w:trPr>
                      <w:trHeight w:val="365"/>
                    </w:trPr>
                    <w:tc>
                      <w:tcPr>
                        <w:tcW w:w="4253" w:type="dxa"/>
                      </w:tcPr>
                      <w:p>
                        <w:pPr>
                          <w:rPr>
                            <w:bCs/>
                            <w:color w:val="000000"/>
                            <w:szCs w:val="24"/>
                          </w:rPr>
                        </w:pPr>
                        <w:r>
                          <w:rPr>
                            <w:szCs w:val="24"/>
                          </w:rPr>
                          <w:t>14.3.1.3.Želdynų ir želdinių kūrimo, želdynų veisimo, apsaugos, tvarkymo priemonių administravimas, kontrolė)(SVP 6-1-2-15)</w:t>
                        </w:r>
                      </w:p>
                    </w:tc>
                    <w:tc>
                      <w:tcPr>
                        <w:tcW w:w="993" w:type="dxa"/>
                      </w:tcPr>
                      <w:p>
                        <w:pPr>
                          <w:rPr>
                            <w:color w:val="000000"/>
                            <w:szCs w:val="24"/>
                          </w:rPr>
                        </w:pPr>
                        <w:r>
                          <w:rPr>
                            <w:szCs w:val="24"/>
                          </w:rPr>
                          <w:t>90 %</w:t>
                        </w:r>
                      </w:p>
                    </w:tc>
                    <w:tc>
                      <w:tcPr>
                        <w:tcW w:w="850" w:type="dxa"/>
                      </w:tcPr>
                      <w:p>
                        <w:pPr>
                          <w:rPr>
                            <w:szCs w:val="24"/>
                          </w:rPr>
                        </w:pPr>
                        <w:r>
                          <w:rPr>
                            <w:szCs w:val="24"/>
                          </w:rPr>
                          <w:t>89</w:t>
                        </w:r>
                      </w:p>
                      <w:p>
                        <w:pPr>
                          <w:rPr>
                            <w:color w:val="000000"/>
                            <w:szCs w:val="24"/>
                          </w:rPr>
                        </w:pPr>
                        <w:r>
                          <w:rPr>
                            <w:szCs w:val="24"/>
                          </w:rPr>
                          <w:t>%</w:t>
                        </w:r>
                      </w:p>
                    </w:tc>
                    <w:tc>
                      <w:tcPr>
                        <w:tcW w:w="851" w:type="dxa"/>
                      </w:tcPr>
                      <w:p>
                        <w:pPr>
                          <w:rPr>
                            <w:szCs w:val="24"/>
                          </w:rPr>
                        </w:pPr>
                        <w:r>
                          <w:rPr>
                            <w:szCs w:val="24"/>
                          </w:rPr>
                          <w:t>94</w:t>
                        </w:r>
                      </w:p>
                      <w:p>
                        <w:pPr>
                          <w:rPr>
                            <w:color w:val="000000"/>
                            <w:szCs w:val="24"/>
                          </w:rPr>
                        </w:pPr>
                        <w:r>
                          <w:rPr>
                            <w:szCs w:val="24"/>
                          </w:rPr>
                          <w:t>%</w:t>
                        </w:r>
                      </w:p>
                    </w:tc>
                    <w:tc>
                      <w:tcPr>
                        <w:tcW w:w="850" w:type="dxa"/>
                      </w:tcPr>
                      <w:p>
                        <w:pPr>
                          <w:rPr>
                            <w:szCs w:val="24"/>
                          </w:rPr>
                        </w:pPr>
                        <w:r>
                          <w:rPr>
                            <w:szCs w:val="24"/>
                          </w:rPr>
                          <w:t>94</w:t>
                        </w:r>
                      </w:p>
                      <w:p>
                        <w:pPr>
                          <w:rPr>
                            <w:color w:val="000000"/>
                            <w:szCs w:val="24"/>
                          </w:rPr>
                        </w:pPr>
                        <w:r>
                          <w:rPr>
                            <w:szCs w:val="24"/>
                          </w:rPr>
                          <w:t>%</w:t>
                        </w:r>
                      </w:p>
                    </w:tc>
                    <w:tc>
                      <w:tcPr>
                        <w:tcW w:w="992" w:type="dxa"/>
                      </w:tcPr>
                      <w:p>
                        <w:pPr>
                          <w:rPr>
                            <w:szCs w:val="24"/>
                          </w:rPr>
                        </w:pPr>
                        <w:r>
                          <w:rPr>
                            <w:szCs w:val="24"/>
                          </w:rPr>
                          <w:t>42,9</w:t>
                        </w:r>
                      </w:p>
                      <w:p>
                        <w:pPr>
                          <w:rPr>
                            <w:color w:val="000000"/>
                            <w:szCs w:val="24"/>
                          </w:rPr>
                        </w:pPr>
                        <w:r>
                          <w:rPr>
                            <w:szCs w:val="24"/>
                          </w:rPr>
                          <w:t>SBAA</w:t>
                        </w:r>
                      </w:p>
                    </w:tc>
                    <w:tc>
                      <w:tcPr>
                        <w:tcW w:w="993" w:type="dxa"/>
                      </w:tcPr>
                      <w:p>
                        <w:pPr>
                          <w:rPr>
                            <w:szCs w:val="24"/>
                          </w:rPr>
                        </w:pPr>
                        <w:r>
                          <w:rPr>
                            <w:szCs w:val="24"/>
                          </w:rPr>
                          <w:t>42,9</w:t>
                        </w:r>
                      </w:p>
                      <w:p>
                        <w:pPr>
                          <w:rPr>
                            <w:color w:val="000000"/>
                            <w:szCs w:val="24"/>
                          </w:rPr>
                        </w:pPr>
                        <w:r>
                          <w:rPr>
                            <w:szCs w:val="24"/>
                          </w:rPr>
                          <w:t>SBAA</w:t>
                        </w:r>
                      </w:p>
                    </w:tc>
                    <w:tc>
                      <w:tcPr>
                        <w:tcW w:w="5386" w:type="dxa"/>
                      </w:tcPr>
                      <w:p>
                        <w:pPr>
                          <w:rPr>
                            <w:szCs w:val="24"/>
                          </w:rPr>
                        </w:pPr>
                        <w:r>
                          <w:rPr>
                            <w:szCs w:val="24"/>
                          </w:rPr>
                          <w:t>Gauta 423 prašymai medžių kirtimui, genėjimui.</w:t>
                        </w:r>
                      </w:p>
                      <w:p>
                        <w:pPr>
                          <w:rPr>
                            <w:szCs w:val="24"/>
                          </w:rPr>
                        </w:pPr>
                        <w:r>
                          <w:rPr>
                            <w:szCs w:val="24"/>
                          </w:rPr>
                          <w:t>Išduoti 398 leidimai medžių kirtimui, genėjimui.</w:t>
                        </w:r>
                      </w:p>
                      <w:p>
                        <w:pPr>
                          <w:rPr>
                            <w:szCs w:val="24"/>
                          </w:rPr>
                        </w:pPr>
                        <w:r>
                          <w:rPr>
                            <w:szCs w:val="24"/>
                          </w:rPr>
                          <w:t>Surašyta 35 Želdynų ir želdinių apsaugos ir priežiūros komisijos posėdžių protokolai.(Žemės ūkio skyrius)</w:t>
                        </w:r>
                      </w:p>
                    </w:tc>
                  </w:tr>
                  <w:tr>
                    <w:trPr>
                      <w:trHeight w:val="365"/>
                    </w:trPr>
                    <w:tc>
                      <w:tcPr>
                        <w:tcW w:w="4253" w:type="dxa"/>
                      </w:tcPr>
                      <w:p>
                        <w:pPr>
                          <w:rPr>
                            <w:bCs/>
                            <w:color w:val="000000"/>
                            <w:szCs w:val="24"/>
                          </w:rPr>
                        </w:pPr>
                        <w:r>
                          <w:rPr>
                            <w:szCs w:val="24"/>
                          </w:rPr>
                          <w:t>14.3.1.4. Želdynų ir želdinių būklės stebėsenos programos vykdymo administravimas, kontrolė</w:t>
                        </w:r>
                      </w:p>
                    </w:tc>
                    <w:tc>
                      <w:tcPr>
                        <w:tcW w:w="993" w:type="dxa"/>
                      </w:tcPr>
                      <w:p>
                        <w:pPr>
                          <w:rPr>
                            <w:color w:val="000000"/>
                            <w:szCs w:val="24"/>
                          </w:rPr>
                        </w:pPr>
                        <w:r>
                          <w:rPr>
                            <w:szCs w:val="24"/>
                          </w:rPr>
                          <w:t>1 vnt.</w:t>
                        </w:r>
                      </w:p>
                    </w:tc>
                    <w:tc>
                      <w:tcPr>
                        <w:tcW w:w="850" w:type="dxa"/>
                      </w:tcPr>
                      <w:p>
                        <w:pPr>
                          <w:rPr>
                            <w:color w:val="000000"/>
                            <w:szCs w:val="24"/>
                          </w:rPr>
                        </w:pPr>
                        <w:r>
                          <w:rPr>
                            <w:szCs w:val="24"/>
                          </w:rPr>
                          <w:t>1 vnt.</w:t>
                        </w:r>
                      </w:p>
                    </w:tc>
                    <w:tc>
                      <w:tcPr>
                        <w:tcW w:w="851" w:type="dxa"/>
                      </w:tcPr>
                      <w:p>
                        <w:pPr>
                          <w:rPr>
                            <w:color w:val="000000"/>
                            <w:szCs w:val="24"/>
                          </w:rPr>
                        </w:pPr>
                        <w:r>
                          <w:rPr>
                            <w:szCs w:val="24"/>
                          </w:rPr>
                          <w:t>1 vnt.</w:t>
                        </w:r>
                      </w:p>
                    </w:tc>
                    <w:tc>
                      <w:tcPr>
                        <w:tcW w:w="850" w:type="dxa"/>
                      </w:tcPr>
                      <w:p>
                        <w:pPr>
                          <w:rPr>
                            <w:color w:val="000000"/>
                            <w:szCs w:val="24"/>
                          </w:rPr>
                        </w:pPr>
                        <w:r>
                          <w:rPr>
                            <w:szCs w:val="24"/>
                          </w:rPr>
                          <w:t>1 vnt.</w:t>
                        </w:r>
                      </w:p>
                    </w:tc>
                    <w:tc>
                      <w:tcPr>
                        <w:tcW w:w="992" w:type="dxa"/>
                      </w:tcPr>
                      <w:p>
                        <w:pPr>
                          <w:rPr>
                            <w:szCs w:val="24"/>
                          </w:rPr>
                        </w:pPr>
                        <w:r>
                          <w:rPr>
                            <w:szCs w:val="24"/>
                          </w:rPr>
                          <w:t>4,2</w:t>
                        </w:r>
                      </w:p>
                      <w:p>
                        <w:pPr>
                          <w:rPr>
                            <w:color w:val="000000"/>
                            <w:szCs w:val="24"/>
                          </w:rPr>
                        </w:pPr>
                        <w:r>
                          <w:rPr>
                            <w:szCs w:val="24"/>
                          </w:rPr>
                          <w:t>SBAA</w:t>
                        </w:r>
                      </w:p>
                    </w:tc>
                    <w:tc>
                      <w:tcPr>
                        <w:tcW w:w="993" w:type="dxa"/>
                      </w:tcPr>
                      <w:p>
                        <w:pPr>
                          <w:rPr>
                            <w:szCs w:val="24"/>
                          </w:rPr>
                        </w:pPr>
                        <w:r>
                          <w:rPr>
                            <w:szCs w:val="24"/>
                          </w:rPr>
                          <w:t>4,2</w:t>
                        </w:r>
                      </w:p>
                      <w:p>
                        <w:pPr>
                          <w:rPr>
                            <w:color w:val="000000"/>
                            <w:szCs w:val="24"/>
                          </w:rPr>
                        </w:pPr>
                        <w:r>
                          <w:rPr>
                            <w:szCs w:val="24"/>
                          </w:rPr>
                          <w:t>SBAA</w:t>
                        </w:r>
                      </w:p>
                    </w:tc>
                    <w:tc>
                      <w:tcPr>
                        <w:tcW w:w="5386" w:type="dxa"/>
                      </w:tcPr>
                      <w:p>
                        <w:pPr>
                          <w:rPr>
                            <w:szCs w:val="24"/>
                          </w:rPr>
                        </w:pPr>
                        <w:r>
                          <w:rPr>
                            <w:szCs w:val="24"/>
                          </w:rPr>
                          <w:t>Ataskaita tvirtinama Tarybos sprendimu, teikiama Aplinkos apsaugos ministerijai. (Žemės ūkio skyrius)</w:t>
                        </w:r>
                      </w:p>
                    </w:tc>
                  </w:tr>
                  <w:tr>
                    <w:trPr>
                      <w:trHeight w:val="365"/>
                    </w:trPr>
                    <w:tc>
                      <w:tcPr>
                        <w:tcW w:w="4253" w:type="dxa"/>
                      </w:tcPr>
                      <w:p>
                        <w:pPr>
                          <w:rPr>
                            <w:bCs/>
                            <w:color w:val="000000"/>
                            <w:szCs w:val="24"/>
                          </w:rPr>
                        </w:pPr>
                        <w:r>
                          <w:rPr>
                            <w:szCs w:val="24"/>
                          </w:rPr>
                          <w:t>14.3.1.5. Želdynų ir želdinių inventorizavimo priemonės administravimas, kontrolė</w:t>
                        </w:r>
                      </w:p>
                    </w:tc>
                    <w:tc>
                      <w:tcPr>
                        <w:tcW w:w="993" w:type="dxa"/>
                      </w:tcPr>
                      <w:p>
                        <w:pPr>
                          <w:rPr>
                            <w:color w:val="000000"/>
                            <w:szCs w:val="24"/>
                          </w:rPr>
                        </w:pPr>
                        <w:r>
                          <w:rPr>
                            <w:szCs w:val="24"/>
                          </w:rPr>
                          <w:t>1 vnt.</w:t>
                        </w:r>
                      </w:p>
                    </w:tc>
                    <w:tc>
                      <w:tcPr>
                        <w:tcW w:w="850" w:type="dxa"/>
                      </w:tcPr>
                      <w:p>
                        <w:pPr>
                          <w:rPr>
                            <w:color w:val="000000"/>
                            <w:szCs w:val="24"/>
                          </w:rPr>
                        </w:pPr>
                        <w:r>
                          <w:rPr>
                            <w:szCs w:val="24"/>
                          </w:rPr>
                          <w:t>1 vnt.</w:t>
                        </w:r>
                      </w:p>
                    </w:tc>
                    <w:tc>
                      <w:tcPr>
                        <w:tcW w:w="851" w:type="dxa"/>
                      </w:tcPr>
                      <w:p>
                        <w:pPr>
                          <w:rPr>
                            <w:color w:val="000000"/>
                            <w:szCs w:val="24"/>
                          </w:rPr>
                        </w:pPr>
                        <w:r>
                          <w:rPr>
                            <w:szCs w:val="24"/>
                          </w:rPr>
                          <w:t>1 vnt.</w:t>
                        </w:r>
                      </w:p>
                    </w:tc>
                    <w:tc>
                      <w:tcPr>
                        <w:tcW w:w="850" w:type="dxa"/>
                      </w:tcPr>
                      <w:p>
                        <w:pPr>
                          <w:rPr>
                            <w:color w:val="000000"/>
                            <w:szCs w:val="24"/>
                          </w:rPr>
                        </w:pPr>
                        <w:r>
                          <w:rPr>
                            <w:szCs w:val="24"/>
                          </w:rPr>
                          <w:t>1 vnt.</w:t>
                        </w:r>
                      </w:p>
                    </w:tc>
                    <w:tc>
                      <w:tcPr>
                        <w:tcW w:w="992" w:type="dxa"/>
                      </w:tcPr>
                      <w:p>
                        <w:pPr>
                          <w:rPr>
                            <w:szCs w:val="24"/>
                          </w:rPr>
                        </w:pPr>
                        <w:r>
                          <w:rPr>
                            <w:szCs w:val="24"/>
                          </w:rPr>
                          <w:t>18,2</w:t>
                        </w:r>
                      </w:p>
                      <w:p>
                        <w:pPr>
                          <w:rPr>
                            <w:color w:val="000000"/>
                            <w:szCs w:val="24"/>
                          </w:rPr>
                        </w:pPr>
                        <w:r>
                          <w:rPr>
                            <w:szCs w:val="24"/>
                          </w:rPr>
                          <w:t>(SBAA)</w:t>
                        </w:r>
                      </w:p>
                    </w:tc>
                    <w:tc>
                      <w:tcPr>
                        <w:tcW w:w="993" w:type="dxa"/>
                      </w:tcPr>
                      <w:p>
                        <w:pPr>
                          <w:rPr>
                            <w:szCs w:val="24"/>
                          </w:rPr>
                        </w:pPr>
                        <w:r>
                          <w:rPr>
                            <w:szCs w:val="24"/>
                          </w:rPr>
                          <w:t>18,1</w:t>
                        </w:r>
                      </w:p>
                      <w:p>
                        <w:pPr>
                          <w:rPr>
                            <w:color w:val="000000"/>
                            <w:szCs w:val="24"/>
                          </w:rPr>
                        </w:pPr>
                        <w:r>
                          <w:rPr>
                            <w:szCs w:val="24"/>
                          </w:rPr>
                          <w:t>(SBAA)</w:t>
                        </w:r>
                      </w:p>
                    </w:tc>
                    <w:tc>
                      <w:tcPr>
                        <w:tcW w:w="5386" w:type="dxa"/>
                      </w:tcPr>
                      <w:p>
                        <w:pPr>
                          <w:rPr>
                            <w:color w:val="000000"/>
                            <w:szCs w:val="24"/>
                          </w:rPr>
                        </w:pPr>
                        <w:r>
                          <w:rPr>
                            <w:szCs w:val="24"/>
                          </w:rPr>
                          <w:t>Ataskaita kiekvienais metais patvirtinta Radviliškio Tarybos sprendimu, teikiama Aplinkos apsaugos ministerijai (Žemės ūkio skyrius)</w:t>
                        </w:r>
                      </w:p>
                    </w:tc>
                  </w:tr>
                  <w:tr>
                    <w:trPr>
                      <w:trHeight w:val="365"/>
                    </w:trPr>
                    <w:tc>
                      <w:tcPr>
                        <w:tcW w:w="4253" w:type="dxa"/>
                      </w:tcPr>
                      <w:p>
                        <w:pPr>
                          <w:rPr>
                            <w:rFonts w:eastAsia="Calibri"/>
                            <w:i/>
                            <w:szCs w:val="24"/>
                          </w:rPr>
                        </w:pPr>
                        <w:r>
                          <w:rPr>
                            <w:rFonts w:eastAsia="Calibri"/>
                            <w:szCs w:val="24"/>
                          </w:rPr>
                          <w:t xml:space="preserve">19.2.2.1. Viešose teritorijose esančių medžių, krūmų genėjimas, avarinių medžių šalinimas, želdinių sodinimas ir priežiura. </w:t>
                        </w:r>
                        <w:r>
                          <w:rPr>
                            <w:rFonts w:eastAsia="Calibri"/>
                            <w:i/>
                            <w:szCs w:val="24"/>
                          </w:rPr>
                          <w:t>Procentais, pagal išduotus leidimus ir projektus.</w:t>
                        </w:r>
                        <w:r>
                          <w:rPr>
                            <w:i/>
                            <w:szCs w:val="24"/>
                          </w:rPr>
                          <w:t>(SVP 6-1-2-13B)</w:t>
                        </w:r>
                      </w:p>
                    </w:tc>
                    <w:tc>
                      <w:tcPr>
                        <w:tcW w:w="993" w:type="dxa"/>
                      </w:tcPr>
                      <w:p>
                        <w:pPr>
                          <w:rPr>
                            <w:rFonts w:eastAsia="Calibri"/>
                            <w:szCs w:val="24"/>
                            <w:lang w:val="en-US"/>
                          </w:rPr>
                        </w:pPr>
                        <w:r>
                          <w:rPr>
                            <w:rFonts w:eastAsia="Calibri"/>
                            <w:szCs w:val="24"/>
                          </w:rPr>
                          <w:t xml:space="preserve">100 </w:t>
                        </w:r>
                        <w:r>
                          <w:rPr>
                            <w:rFonts w:eastAsia="Calibri"/>
                            <w:szCs w:val="24"/>
                            <w:lang w:val="en-US"/>
                          </w:rPr>
                          <w:t>%</w:t>
                        </w:r>
                      </w:p>
                      <w:p>
                        <w:pPr>
                          <w:rPr>
                            <w:rFonts w:eastAsia="Calibri"/>
                            <w:szCs w:val="24"/>
                            <w:lang w:val="en-US"/>
                          </w:rPr>
                        </w:pPr>
                      </w:p>
                      <w:p>
                        <w:pPr>
                          <w:rPr>
                            <w:rFonts w:eastAsia="Calibri"/>
                            <w:szCs w:val="24"/>
                            <w:lang w:val="en-US"/>
                          </w:rPr>
                        </w:pPr>
                      </w:p>
                      <w:p>
                        <w:pPr>
                          <w:rPr>
                            <w:rFonts w:eastAsia="Calibri"/>
                            <w:szCs w:val="24"/>
                            <w:lang w:val="en-US"/>
                          </w:rPr>
                        </w:pPr>
                      </w:p>
                      <w:p>
                        <w:pPr>
                          <w:rPr>
                            <w:rFonts w:eastAsia="Calibri"/>
                            <w:szCs w:val="24"/>
                            <w:lang w:val="en-US"/>
                          </w:rPr>
                        </w:pPr>
                      </w:p>
                      <w:p>
                        <w:pPr>
                          <w:rPr>
                            <w:szCs w:val="24"/>
                          </w:rPr>
                        </w:pPr>
                      </w:p>
                    </w:tc>
                    <w:tc>
                      <w:tcPr>
                        <w:tcW w:w="850" w:type="dxa"/>
                      </w:tcPr>
                      <w:p>
                        <w:pPr>
                          <w:rPr>
                            <w:rFonts w:eastAsia="Calibri"/>
                            <w:szCs w:val="24"/>
                            <w:lang w:val="en-US"/>
                          </w:rPr>
                        </w:pPr>
                        <w:r>
                          <w:rPr>
                            <w:rFonts w:eastAsia="Calibri"/>
                            <w:szCs w:val="24"/>
                          </w:rPr>
                          <w:t xml:space="preserve">100 </w:t>
                        </w:r>
                        <w:r>
                          <w:rPr>
                            <w:rFonts w:eastAsia="Calibri"/>
                            <w:szCs w:val="24"/>
                            <w:lang w:val="en-US"/>
                          </w:rPr>
                          <w:t>%</w:t>
                        </w:r>
                      </w:p>
                      <w:p>
                        <w:pPr>
                          <w:rPr>
                            <w:rFonts w:eastAsia="Calibri"/>
                            <w:szCs w:val="24"/>
                            <w:lang w:val="en-US"/>
                          </w:rPr>
                        </w:pPr>
                      </w:p>
                      <w:p>
                        <w:pPr>
                          <w:rPr>
                            <w:rFonts w:eastAsia="Calibri"/>
                            <w:szCs w:val="24"/>
                            <w:lang w:val="en-US"/>
                          </w:rPr>
                        </w:pPr>
                      </w:p>
                      <w:p>
                        <w:pPr>
                          <w:rPr>
                            <w:rFonts w:eastAsia="Calibri"/>
                            <w:szCs w:val="24"/>
                            <w:lang w:val="en-US"/>
                          </w:rPr>
                        </w:pPr>
                      </w:p>
                      <w:p>
                        <w:pPr>
                          <w:rPr>
                            <w:rFonts w:eastAsia="Calibri"/>
                            <w:szCs w:val="24"/>
                            <w:lang w:val="en-US"/>
                          </w:rPr>
                        </w:pPr>
                      </w:p>
                      <w:p>
                        <w:pPr>
                          <w:rPr>
                            <w:szCs w:val="24"/>
                          </w:rPr>
                        </w:pPr>
                      </w:p>
                    </w:tc>
                    <w:tc>
                      <w:tcPr>
                        <w:tcW w:w="851" w:type="dxa"/>
                      </w:tcPr>
                      <w:p>
                        <w:pPr>
                          <w:rPr>
                            <w:rFonts w:eastAsia="Calibri"/>
                            <w:szCs w:val="24"/>
                            <w:lang w:val="en-US"/>
                          </w:rPr>
                        </w:pPr>
                        <w:r>
                          <w:rPr>
                            <w:rFonts w:eastAsia="Calibri"/>
                            <w:szCs w:val="24"/>
                          </w:rPr>
                          <w:t xml:space="preserve">100 </w:t>
                        </w:r>
                        <w:r>
                          <w:rPr>
                            <w:rFonts w:eastAsia="Calibri"/>
                            <w:szCs w:val="24"/>
                            <w:lang w:val="en-US"/>
                          </w:rPr>
                          <w:t>%</w:t>
                        </w:r>
                      </w:p>
                      <w:p>
                        <w:pPr>
                          <w:rPr>
                            <w:rFonts w:eastAsia="Calibri"/>
                            <w:szCs w:val="24"/>
                          </w:rPr>
                        </w:pPr>
                      </w:p>
                      <w:p>
                        <w:pPr>
                          <w:rPr>
                            <w:rFonts w:eastAsia="Calibri"/>
                            <w:szCs w:val="24"/>
                          </w:rPr>
                        </w:pPr>
                      </w:p>
                      <w:p>
                        <w:pPr>
                          <w:rPr>
                            <w:rFonts w:eastAsia="Calibri"/>
                            <w:szCs w:val="24"/>
                          </w:rPr>
                        </w:pPr>
                      </w:p>
                      <w:p>
                        <w:pPr>
                          <w:rPr>
                            <w:szCs w:val="24"/>
                          </w:rPr>
                        </w:pPr>
                      </w:p>
                    </w:tc>
                    <w:tc>
                      <w:tcPr>
                        <w:tcW w:w="850" w:type="dxa"/>
                      </w:tcPr>
                      <w:p>
                        <w:pPr>
                          <w:rPr>
                            <w:rFonts w:eastAsia="Calibri"/>
                            <w:szCs w:val="24"/>
                            <w:lang w:val="en-US"/>
                          </w:rPr>
                        </w:pPr>
                        <w:r>
                          <w:rPr>
                            <w:rFonts w:eastAsia="Calibri"/>
                            <w:szCs w:val="24"/>
                          </w:rPr>
                          <w:t xml:space="preserve">100 </w:t>
                        </w:r>
                        <w:r>
                          <w:rPr>
                            <w:rFonts w:eastAsia="Calibri"/>
                            <w:szCs w:val="24"/>
                            <w:lang w:val="en-US"/>
                          </w:rPr>
                          <w:t>%</w:t>
                        </w:r>
                      </w:p>
                      <w:p>
                        <w:pPr>
                          <w:rPr>
                            <w:rFonts w:eastAsia="Calibri"/>
                            <w:szCs w:val="24"/>
                          </w:rPr>
                        </w:pPr>
                      </w:p>
                      <w:p>
                        <w:pPr>
                          <w:rPr>
                            <w:rFonts w:eastAsia="Calibri"/>
                            <w:szCs w:val="24"/>
                          </w:rPr>
                        </w:pPr>
                      </w:p>
                      <w:p>
                        <w:pPr>
                          <w:rPr>
                            <w:szCs w:val="24"/>
                          </w:rPr>
                        </w:pPr>
                      </w:p>
                    </w:tc>
                    <w:tc>
                      <w:tcPr>
                        <w:tcW w:w="992" w:type="dxa"/>
                      </w:tcPr>
                      <w:p>
                        <w:pPr>
                          <w:rPr>
                            <w:rFonts w:eastAsia="Calibri"/>
                            <w:szCs w:val="24"/>
                          </w:rPr>
                        </w:pPr>
                        <w:r>
                          <w:rPr>
                            <w:rFonts w:eastAsia="Calibri"/>
                            <w:szCs w:val="24"/>
                          </w:rPr>
                          <w:t>3</w:t>
                        </w:r>
                      </w:p>
                      <w:p>
                        <w:pPr>
                          <w:rPr>
                            <w:rFonts w:eastAsia="Calibri"/>
                            <w:szCs w:val="24"/>
                          </w:rPr>
                        </w:pPr>
                        <w:r>
                          <w:rPr>
                            <w:rFonts w:eastAsia="Calibri"/>
                            <w:szCs w:val="24"/>
                          </w:rPr>
                          <w:t>SBAA</w:t>
                        </w:r>
                      </w:p>
                      <w:p>
                        <w:pPr>
                          <w:rPr>
                            <w:rFonts w:eastAsia="Calibri"/>
                            <w:szCs w:val="24"/>
                            <w:highlight w:val="yellow"/>
                          </w:rPr>
                        </w:pPr>
                      </w:p>
                      <w:p>
                        <w:pPr>
                          <w:rPr>
                            <w:rFonts w:eastAsia="Calibri"/>
                            <w:szCs w:val="24"/>
                            <w:highlight w:val="yellow"/>
                          </w:rPr>
                        </w:pPr>
                      </w:p>
                      <w:p>
                        <w:pPr>
                          <w:rPr>
                            <w:szCs w:val="24"/>
                          </w:rPr>
                        </w:pPr>
                      </w:p>
                    </w:tc>
                    <w:tc>
                      <w:tcPr>
                        <w:tcW w:w="993" w:type="dxa"/>
                      </w:tcPr>
                      <w:p>
                        <w:pPr>
                          <w:rPr>
                            <w:rFonts w:eastAsia="Calibri"/>
                            <w:szCs w:val="24"/>
                          </w:rPr>
                        </w:pPr>
                        <w:r>
                          <w:rPr>
                            <w:rFonts w:eastAsia="Calibri"/>
                            <w:szCs w:val="24"/>
                          </w:rPr>
                          <w:t>3,18 SBAA</w:t>
                        </w:r>
                      </w:p>
                      <w:p>
                        <w:pPr>
                          <w:rPr>
                            <w:rFonts w:eastAsia="Calibri"/>
                            <w:szCs w:val="24"/>
                            <w:highlight w:val="yellow"/>
                          </w:rPr>
                        </w:pPr>
                      </w:p>
                      <w:p>
                        <w:pPr>
                          <w:rPr>
                            <w:rFonts w:eastAsia="Calibri"/>
                            <w:szCs w:val="24"/>
                            <w:highlight w:val="yellow"/>
                          </w:rPr>
                        </w:pPr>
                      </w:p>
                      <w:p>
                        <w:pPr>
                          <w:rPr>
                            <w:szCs w:val="24"/>
                          </w:rPr>
                        </w:pPr>
                      </w:p>
                    </w:tc>
                    <w:tc>
                      <w:tcPr>
                        <w:tcW w:w="5386" w:type="dxa"/>
                      </w:tcPr>
                      <w:p>
                        <w:pPr>
                          <w:widowControl w:val="0"/>
                          <w:suppressAutoHyphens/>
                          <w:ind w:firstLine="13"/>
                          <w:rPr>
                            <w:szCs w:val="24"/>
                          </w:rPr>
                        </w:pPr>
                        <w:r>
                          <w:rPr>
                            <w:color w:val="000000"/>
                            <w:szCs w:val="24"/>
                          </w:rPr>
                          <w:t>Įsigytos ir sodintos vasarinės gėlės viešosiose erdvėse</w:t>
                        </w:r>
                        <w:r>
                          <w:rPr>
                            <w:szCs w:val="24"/>
                          </w:rPr>
                          <w:t xml:space="preserve">. </w:t>
                        </w:r>
                        <w:r>
                          <w:rPr>
                            <w:rFonts w:eastAsia="Calibri"/>
                            <w:szCs w:val="24"/>
                          </w:rPr>
                          <w:t xml:space="preserve">Baisogalos seniūnijos teritorijoje ir kapinėse pašalinta 14 vnt. pavojų keliančių medžių, sutvarkyti audrų aplaužyti medžiai, </w:t>
                        </w:r>
                        <w:r>
                          <w:rPr>
                            <w:szCs w:val="24"/>
                          </w:rPr>
                          <w:t xml:space="preserve">genėti ir išvežti savaime priaugę krūmai, siekiant užtikrinti saugų eismą. Ataskaitiniu laikotarpiu priemonės įgyvendinimui buvo skirta papildomai lėšų. </w:t>
                        </w:r>
                        <w:r>
                          <w:rPr>
                            <w:color w:val="000000"/>
                            <w:szCs w:val="24"/>
                          </w:rPr>
                          <w:t>(Baisogalos seniūnija)</w:t>
                        </w:r>
                      </w:p>
                    </w:tc>
                  </w:tr>
                  <w:tr>
                    <w:trPr>
                      <w:trHeight w:val="365"/>
                    </w:trPr>
                    <w:tc>
                      <w:tcPr>
                        <w:tcW w:w="4253" w:type="dxa"/>
                      </w:tcPr>
                      <w:p>
                        <w:pPr>
                          <w:rPr>
                            <w:rFonts w:eastAsia="Calibri"/>
                            <w:szCs w:val="24"/>
                          </w:rPr>
                        </w:pPr>
                        <w:r>
                          <w:rPr>
                            <w:rFonts w:eastAsia="Calibri"/>
                            <w:szCs w:val="24"/>
                          </w:rPr>
                          <w:t xml:space="preserve">20.3.1.1. Visuomeninės paskirties želdynų, tvarkymas ir priežiūra. </w:t>
                        </w:r>
                        <w:r>
                          <w:rPr>
                            <w:rFonts w:eastAsia="Calibri"/>
                            <w:iCs/>
                            <w:szCs w:val="24"/>
                          </w:rPr>
                          <w:t>Naujų želdynų įkūrimo, pavojų keliančių medžių ir krūmų šalinimas arba genėjimas procentais, pagal išduotus leidimus ir projektus. (SVP 6.1.2. 13B)</w:t>
                        </w:r>
                      </w:p>
                    </w:tc>
                    <w:tc>
                      <w:tcPr>
                        <w:tcW w:w="993" w:type="dxa"/>
                      </w:tcPr>
                      <w:p>
                        <w:pPr>
                          <w:rPr>
                            <w:szCs w:val="24"/>
                            <w:highlight w:val="yellow"/>
                          </w:rPr>
                        </w:pPr>
                        <w:r>
                          <w:rPr>
                            <w:rFonts w:eastAsia="Calibri"/>
                            <w:szCs w:val="24"/>
                          </w:rPr>
                          <w:t xml:space="preserve">100 </w:t>
                        </w:r>
                        <w:r>
                          <w:rPr>
                            <w:rFonts w:eastAsia="Calibri"/>
                            <w:szCs w:val="24"/>
                            <w:lang w:val="en-US"/>
                          </w:rPr>
                          <w:t>%</w:t>
                        </w:r>
                      </w:p>
                    </w:tc>
                    <w:tc>
                      <w:tcPr>
                        <w:tcW w:w="850" w:type="dxa"/>
                      </w:tcPr>
                      <w:p>
                        <w:pPr>
                          <w:rPr>
                            <w:szCs w:val="24"/>
                            <w:highlight w:val="yellow"/>
                          </w:rPr>
                        </w:pPr>
                        <w:r>
                          <w:rPr>
                            <w:rFonts w:eastAsia="Calibri"/>
                            <w:szCs w:val="24"/>
                          </w:rPr>
                          <w:t>100 %</w:t>
                        </w:r>
                      </w:p>
                    </w:tc>
                    <w:tc>
                      <w:tcPr>
                        <w:tcW w:w="851" w:type="dxa"/>
                      </w:tcPr>
                      <w:p>
                        <w:pPr>
                          <w:rPr>
                            <w:szCs w:val="24"/>
                            <w:highlight w:val="yellow"/>
                          </w:rPr>
                        </w:pPr>
                        <w:r>
                          <w:rPr>
                            <w:rFonts w:eastAsia="Calibri"/>
                            <w:szCs w:val="24"/>
                          </w:rPr>
                          <w:t>100 %</w:t>
                        </w:r>
                      </w:p>
                    </w:tc>
                    <w:tc>
                      <w:tcPr>
                        <w:tcW w:w="850" w:type="dxa"/>
                      </w:tcPr>
                      <w:p>
                        <w:pPr>
                          <w:rPr>
                            <w:szCs w:val="24"/>
                            <w:highlight w:val="yellow"/>
                          </w:rPr>
                        </w:pPr>
                        <w:r>
                          <w:rPr>
                            <w:rFonts w:eastAsia="Calibri"/>
                            <w:szCs w:val="24"/>
                          </w:rPr>
                          <w:t>100 %</w:t>
                        </w:r>
                      </w:p>
                    </w:tc>
                    <w:tc>
                      <w:tcPr>
                        <w:tcW w:w="992" w:type="dxa"/>
                      </w:tcPr>
                      <w:p>
                        <w:pPr>
                          <w:rPr>
                            <w:rFonts w:eastAsia="Calibri"/>
                            <w:szCs w:val="24"/>
                          </w:rPr>
                        </w:pPr>
                        <w:r>
                          <w:rPr>
                            <w:rFonts w:eastAsia="Calibri"/>
                            <w:szCs w:val="24"/>
                          </w:rPr>
                          <w:t>4,5</w:t>
                        </w:r>
                      </w:p>
                      <w:p>
                        <w:pPr>
                          <w:rPr>
                            <w:rFonts w:eastAsia="Calibri"/>
                            <w:szCs w:val="24"/>
                          </w:rPr>
                        </w:pPr>
                      </w:p>
                      <w:p>
                        <w:pPr>
                          <w:rPr>
                            <w:szCs w:val="24"/>
                            <w:highlight w:val="yellow"/>
                          </w:rPr>
                        </w:pPr>
                      </w:p>
                    </w:tc>
                    <w:tc>
                      <w:tcPr>
                        <w:tcW w:w="993" w:type="dxa"/>
                      </w:tcPr>
                      <w:p>
                        <w:pPr>
                          <w:rPr>
                            <w:szCs w:val="24"/>
                            <w:highlight w:val="yellow"/>
                          </w:rPr>
                        </w:pPr>
                        <w:r>
                          <w:rPr>
                            <w:rFonts w:eastAsia="Calibri"/>
                            <w:szCs w:val="24"/>
                          </w:rPr>
                          <w:t xml:space="preserve">4,4 SBAA </w:t>
                        </w:r>
                      </w:p>
                    </w:tc>
                    <w:tc>
                      <w:tcPr>
                        <w:tcW w:w="5386" w:type="dxa"/>
                      </w:tcPr>
                      <w:p>
                        <w:pPr>
                          <w:rPr>
                            <w:rFonts w:eastAsia="Calibri"/>
                            <w:szCs w:val="24"/>
                          </w:rPr>
                        </w:pPr>
                        <w:r>
                          <w:rPr>
                            <w:rFonts w:eastAsia="Calibri"/>
                            <w:szCs w:val="24"/>
                          </w:rPr>
                          <w:t>Buvo nupjauti ir genėti pavojų keliantys medžiai, mechaniniu būdu naikinti Sosnovskio barščiai, atliktas Grinkiškio parko medžių sanitarinis genėjimas.</w:t>
                        </w:r>
                      </w:p>
                      <w:p>
                        <w:pPr>
                          <w:rPr>
                            <w:rFonts w:eastAsia="Calibri"/>
                            <w:szCs w:val="24"/>
                          </w:rPr>
                        </w:pPr>
                        <w:r>
                          <w:rPr>
                            <w:rFonts w:eastAsia="Calibri"/>
                            <w:szCs w:val="24"/>
                          </w:rPr>
                          <w:t>(Grinkiškio seniūnija)</w:t>
                        </w:r>
                      </w:p>
                    </w:tc>
                  </w:tr>
                  <w:tr>
                    <w:trPr>
                      <w:trHeight w:val="365"/>
                    </w:trPr>
                    <w:tc>
                      <w:tcPr>
                        <w:tcW w:w="4253" w:type="dxa"/>
                      </w:tcPr>
                      <w:p>
                        <w:pPr>
                          <w:rPr>
                            <w:rFonts w:eastAsia="Calibri"/>
                            <w:szCs w:val="24"/>
                          </w:rPr>
                        </w:pPr>
                        <w:r>
                          <w:rPr>
                            <w:rFonts w:eastAsia="Calibri"/>
                            <w:szCs w:val="24"/>
                          </w:rPr>
                          <w:t xml:space="preserve">21.2.1.3. Visuomeninės paskirties želdynų, tvarkymas ir priežiūra. </w:t>
                        </w:r>
                        <w:r>
                          <w:rPr>
                            <w:rFonts w:eastAsia="Calibri"/>
                            <w:iCs/>
                            <w:szCs w:val="24"/>
                          </w:rPr>
                          <w:t>Naujų želdynų įkūrimo, pavojų keliančių medžių ir krūmų šalinimas arba genėjimas procentais, pagal išduotus leidimus ir projektus.</w:t>
                        </w:r>
                        <w:r>
                          <w:rPr>
                            <w:rFonts w:eastAsia="Calibri"/>
                            <w:szCs w:val="24"/>
                          </w:rPr>
                          <w:t xml:space="preserve"> </w:t>
                        </w:r>
                        <w:r>
                          <w:rPr>
                            <w:bCs/>
                            <w:iCs/>
                            <w:szCs w:val="24"/>
                          </w:rPr>
                          <w:t>(SVP 6-1-2-13B)</w:t>
                        </w:r>
                      </w:p>
                    </w:tc>
                    <w:tc>
                      <w:tcPr>
                        <w:tcW w:w="993" w:type="dxa"/>
                      </w:tcPr>
                      <w:p>
                        <w:pPr>
                          <w:rPr>
                            <w:szCs w:val="24"/>
                            <w:highlight w:val="yellow"/>
                          </w:rPr>
                        </w:pPr>
                        <w:r>
                          <w:rPr>
                            <w:iCs/>
                            <w:szCs w:val="24"/>
                          </w:rPr>
                          <w:t>100%</w:t>
                        </w:r>
                      </w:p>
                    </w:tc>
                    <w:tc>
                      <w:tcPr>
                        <w:tcW w:w="850" w:type="dxa"/>
                      </w:tcPr>
                      <w:p>
                        <w:pPr>
                          <w:rPr>
                            <w:szCs w:val="24"/>
                            <w:highlight w:val="yellow"/>
                          </w:rPr>
                        </w:pPr>
                        <w:r>
                          <w:rPr>
                            <w:iCs/>
                            <w:szCs w:val="24"/>
                          </w:rPr>
                          <w:t>100%</w:t>
                        </w:r>
                      </w:p>
                    </w:tc>
                    <w:tc>
                      <w:tcPr>
                        <w:tcW w:w="851" w:type="dxa"/>
                      </w:tcPr>
                      <w:p>
                        <w:pPr>
                          <w:rPr>
                            <w:szCs w:val="24"/>
                            <w:highlight w:val="yellow"/>
                          </w:rPr>
                        </w:pPr>
                        <w:r>
                          <w:rPr>
                            <w:iCs/>
                            <w:szCs w:val="24"/>
                          </w:rPr>
                          <w:t>100%</w:t>
                        </w:r>
                      </w:p>
                    </w:tc>
                    <w:tc>
                      <w:tcPr>
                        <w:tcW w:w="850" w:type="dxa"/>
                      </w:tcPr>
                      <w:p>
                        <w:pPr>
                          <w:rPr>
                            <w:szCs w:val="24"/>
                            <w:highlight w:val="yellow"/>
                          </w:rPr>
                        </w:pPr>
                        <w:r>
                          <w:rPr>
                            <w:iCs/>
                            <w:szCs w:val="24"/>
                          </w:rPr>
                          <w:t>100%</w:t>
                        </w:r>
                      </w:p>
                    </w:tc>
                    <w:tc>
                      <w:tcPr>
                        <w:tcW w:w="992" w:type="dxa"/>
                      </w:tcPr>
                      <w:p>
                        <w:pPr>
                          <w:rPr>
                            <w:szCs w:val="24"/>
                            <w:highlight w:val="yellow"/>
                          </w:rPr>
                        </w:pPr>
                        <w:r>
                          <w:rPr>
                            <w:iCs/>
                            <w:szCs w:val="24"/>
                          </w:rPr>
                          <w:t>2,5 SBAA</w:t>
                        </w:r>
                      </w:p>
                    </w:tc>
                    <w:tc>
                      <w:tcPr>
                        <w:tcW w:w="993" w:type="dxa"/>
                      </w:tcPr>
                      <w:p>
                        <w:pPr>
                          <w:rPr>
                            <w:iCs/>
                            <w:szCs w:val="24"/>
                          </w:rPr>
                        </w:pPr>
                        <w:r>
                          <w:rPr>
                            <w:iCs/>
                            <w:szCs w:val="24"/>
                          </w:rPr>
                          <w:t>2,45</w:t>
                        </w:r>
                      </w:p>
                      <w:p>
                        <w:pPr>
                          <w:rPr>
                            <w:szCs w:val="24"/>
                            <w:highlight w:val="yellow"/>
                          </w:rPr>
                        </w:pPr>
                        <w:r>
                          <w:rPr>
                            <w:iCs/>
                            <w:szCs w:val="24"/>
                          </w:rPr>
                          <w:t>SBAA</w:t>
                        </w:r>
                      </w:p>
                    </w:tc>
                    <w:tc>
                      <w:tcPr>
                        <w:tcW w:w="5386" w:type="dxa"/>
                      </w:tcPr>
                      <w:p>
                        <w:pPr>
                          <w:rPr>
                            <w:iCs/>
                            <w:szCs w:val="24"/>
                          </w:rPr>
                        </w:pPr>
                        <w:r>
                          <w:rPr>
                            <w:iCs/>
                            <w:szCs w:val="24"/>
                          </w:rPr>
                          <w:t xml:space="preserve">Atlikti medžių ir krūmų genėjimo ir pavojų keliančių medžių šalinimo darbai. Viešosiose seniūnijos teritorijose pasodinta gluosnis (1 vnt.), dekoratyvinės alyvos (3 vnt.) ir paprastieji klevai (4 vnt.). (Pakalniškių seniūnija) </w:t>
                        </w:r>
                      </w:p>
                    </w:tc>
                  </w:tr>
                  <w:tr>
                    <w:trPr>
                      <w:trHeight w:val="571"/>
                    </w:trPr>
                    <w:tc>
                      <w:tcPr>
                        <w:tcW w:w="4253" w:type="dxa"/>
                      </w:tcPr>
                      <w:p>
                        <w:pPr>
                          <w:rPr>
                            <w:rFonts w:eastAsia="Calibri"/>
                            <w:szCs w:val="24"/>
                          </w:rPr>
                        </w:pPr>
                        <w:r>
                          <w:rPr>
                            <w:szCs w:val="24"/>
                          </w:rPr>
                          <w:t>23.2.2.1.Visuomeninės paskirties želdynų, tvarkymas ir priežiūra. Naujų želdynų įkūrimo, pavojų keliančių medžių ir krūmų šalinimas arba genėjimas procentais, pagal išduotus leidimus ir projektus. (SVP 6-1-2-13B.)</w:t>
                        </w:r>
                      </w:p>
                    </w:tc>
                    <w:tc>
                      <w:tcPr>
                        <w:tcW w:w="993" w:type="dxa"/>
                      </w:tcPr>
                      <w:p>
                        <w:pPr>
                          <w:rPr>
                            <w:rFonts w:eastAsia="Calibri"/>
                            <w:szCs w:val="24"/>
                            <w:lang w:val="en-US"/>
                          </w:rPr>
                        </w:pPr>
                        <w:r>
                          <w:rPr>
                            <w:rFonts w:eastAsia="Calibri"/>
                            <w:szCs w:val="24"/>
                          </w:rPr>
                          <w:t xml:space="preserve">80 </w:t>
                        </w:r>
                        <w:r>
                          <w:rPr>
                            <w:rFonts w:eastAsia="Calibri"/>
                            <w:szCs w:val="24"/>
                            <w:lang w:val="en-US"/>
                          </w:rPr>
                          <w:t>%</w:t>
                        </w:r>
                      </w:p>
                    </w:tc>
                    <w:tc>
                      <w:tcPr>
                        <w:tcW w:w="850" w:type="dxa"/>
                      </w:tcPr>
                      <w:p>
                        <w:pPr>
                          <w:rPr>
                            <w:rFonts w:eastAsia="Calibri"/>
                            <w:szCs w:val="24"/>
                            <w:lang w:val="en-US"/>
                          </w:rPr>
                        </w:pPr>
                        <w:r>
                          <w:rPr>
                            <w:rFonts w:eastAsia="Calibri"/>
                            <w:szCs w:val="24"/>
                          </w:rPr>
                          <w:t xml:space="preserve">80 </w:t>
                        </w:r>
                        <w:r>
                          <w:rPr>
                            <w:rFonts w:eastAsia="Calibri"/>
                            <w:szCs w:val="24"/>
                            <w:lang w:val="en-US"/>
                          </w:rPr>
                          <w:t>%</w:t>
                        </w:r>
                      </w:p>
                    </w:tc>
                    <w:tc>
                      <w:tcPr>
                        <w:tcW w:w="851" w:type="dxa"/>
                      </w:tcPr>
                      <w:p>
                        <w:pPr>
                          <w:rPr>
                            <w:rFonts w:eastAsia="Calibri"/>
                            <w:szCs w:val="24"/>
                          </w:rPr>
                        </w:pPr>
                        <w:r>
                          <w:rPr>
                            <w:rFonts w:eastAsia="Calibri"/>
                            <w:szCs w:val="24"/>
                          </w:rPr>
                          <w:t xml:space="preserve">80 </w:t>
                        </w:r>
                        <w:r>
                          <w:rPr>
                            <w:rFonts w:eastAsia="Calibri"/>
                            <w:szCs w:val="24"/>
                            <w:lang w:val="en-US"/>
                          </w:rPr>
                          <w:t>%</w:t>
                        </w:r>
                      </w:p>
                    </w:tc>
                    <w:tc>
                      <w:tcPr>
                        <w:tcW w:w="850" w:type="dxa"/>
                      </w:tcPr>
                      <w:p>
                        <w:pPr>
                          <w:rPr>
                            <w:rFonts w:eastAsia="Calibri"/>
                            <w:szCs w:val="24"/>
                          </w:rPr>
                        </w:pPr>
                        <w:r>
                          <w:rPr>
                            <w:rFonts w:eastAsia="Calibri"/>
                            <w:szCs w:val="24"/>
                          </w:rPr>
                          <w:t xml:space="preserve">80 </w:t>
                        </w:r>
                        <w:r>
                          <w:rPr>
                            <w:rFonts w:eastAsia="Calibri"/>
                            <w:szCs w:val="24"/>
                            <w:lang w:val="en-US"/>
                          </w:rPr>
                          <w:t>%</w:t>
                        </w:r>
                      </w:p>
                    </w:tc>
                    <w:tc>
                      <w:tcPr>
                        <w:tcW w:w="992" w:type="dxa"/>
                      </w:tcPr>
                      <w:p>
                        <w:pPr>
                          <w:rPr>
                            <w:szCs w:val="24"/>
                          </w:rPr>
                        </w:pPr>
                        <w:r>
                          <w:rPr>
                            <w:szCs w:val="24"/>
                          </w:rPr>
                          <w:t>2,7</w:t>
                        </w:r>
                      </w:p>
                      <w:p>
                        <w:pPr>
                          <w:rPr>
                            <w:rFonts w:eastAsia="Calibri"/>
                            <w:szCs w:val="24"/>
                          </w:rPr>
                        </w:pPr>
                        <w:r>
                          <w:rPr>
                            <w:szCs w:val="24"/>
                          </w:rPr>
                          <w:t>SBAA</w:t>
                        </w:r>
                      </w:p>
                    </w:tc>
                    <w:tc>
                      <w:tcPr>
                        <w:tcW w:w="993" w:type="dxa"/>
                      </w:tcPr>
                      <w:p>
                        <w:pPr>
                          <w:rPr>
                            <w:rFonts w:eastAsia="Calibri"/>
                            <w:szCs w:val="24"/>
                          </w:rPr>
                        </w:pPr>
                        <w:r>
                          <w:rPr>
                            <w:rFonts w:eastAsia="Calibri"/>
                            <w:szCs w:val="24"/>
                          </w:rPr>
                          <w:t>4,2 SBAA</w:t>
                        </w:r>
                      </w:p>
                    </w:tc>
                    <w:tc>
                      <w:tcPr>
                        <w:tcW w:w="5386" w:type="dxa"/>
                      </w:tcPr>
                      <w:p>
                        <w:pPr>
                          <w:widowControl w:val="0"/>
                          <w:suppressAutoHyphens/>
                          <w:ind w:firstLine="13"/>
                          <w:rPr>
                            <w:szCs w:val="24"/>
                          </w:rPr>
                        </w:pPr>
                        <w:r>
                          <w:rPr>
                            <w:rFonts w:eastAsia="Calibri"/>
                            <w:color w:val="000000"/>
                            <w:szCs w:val="24"/>
                          </w:rPr>
                          <w:t>Skirtos papildomos Aplinkos apsaugos rėmimo programos lėšos.</w:t>
                        </w:r>
                        <w:r>
                          <w:rPr>
                            <w:szCs w:val="24"/>
                          </w:rPr>
                          <w:t xml:space="preserve"> Įsigyta ir pasodinta 3 vnt. kalninių pušų ir 30 vnt. tujų. Atlikti medžių pašalinimo ir genėjimo darbai.. </w:t>
                        </w:r>
                        <w:r>
                          <w:rPr>
                            <w:color w:val="000000"/>
                            <w:szCs w:val="24"/>
                          </w:rPr>
                          <w:t>Genėti ir išvežti savaime priaugę krūmai medžių šakos gyvenvietėse ir keliuose, siekiant užtikrinti saugų eismą.</w:t>
                        </w:r>
                        <w:r>
                          <w:rPr>
                            <w:rFonts w:eastAsia="Calibri"/>
                            <w:color w:val="000000"/>
                            <w:szCs w:val="24"/>
                          </w:rPr>
                          <w:t xml:space="preserve"> (Radviliškio seniūnija)</w:t>
                        </w:r>
                      </w:p>
                    </w:tc>
                  </w:tr>
                  <w:tr>
                    <w:trPr>
                      <w:trHeight w:val="365"/>
                    </w:trPr>
                    <w:tc>
                      <w:tcPr>
                        <w:tcW w:w="4253" w:type="dxa"/>
                      </w:tcPr>
                      <w:p>
                        <w:pPr>
                          <w:rPr>
                            <w:rFonts w:eastAsia="Calibri"/>
                            <w:szCs w:val="24"/>
                          </w:rPr>
                        </w:pPr>
                        <w:r>
                          <w:rPr>
                            <w:rFonts w:eastAsia="Calibri"/>
                            <w:szCs w:val="24"/>
                          </w:rPr>
                          <w:t>25.2.2.1. Visuomeninės paskirties želdynų, tvarkymas ir priežiūra.</w:t>
                        </w:r>
                      </w:p>
                      <w:p>
                        <w:pPr>
                          <w:rPr>
                            <w:iCs/>
                            <w:szCs w:val="24"/>
                          </w:rPr>
                        </w:pPr>
                        <w:r>
                          <w:rPr>
                            <w:rFonts w:eastAsia="Calibri"/>
                            <w:iCs/>
                            <w:szCs w:val="24"/>
                          </w:rPr>
                          <w:t>Naujų želdynų įkūrimo, pavojų keliančių medžių ir krūmų šalinimas arba genėjimas procentais, pagal išduotus leidimus ir projektus.</w:t>
                        </w:r>
                      </w:p>
                      <w:p>
                        <w:pPr>
                          <w:ind w:firstLine="62"/>
                          <w:rPr>
                            <w:rFonts w:eastAsia="Calibri"/>
                            <w:i/>
                            <w:szCs w:val="24"/>
                          </w:rPr>
                        </w:pPr>
                        <w:r>
                          <w:rPr>
                            <w:iCs/>
                            <w:szCs w:val="24"/>
                          </w:rPr>
                          <w:t>(SVP 6.1.2.13B)</w:t>
                        </w:r>
                      </w:p>
                    </w:tc>
                    <w:tc>
                      <w:tcPr>
                        <w:tcW w:w="993" w:type="dxa"/>
                      </w:tcPr>
                      <w:p>
                        <w:pPr>
                          <w:rPr>
                            <w:szCs w:val="24"/>
                            <w:highlight w:val="yellow"/>
                          </w:rPr>
                        </w:pPr>
                        <w:r>
                          <w:rPr>
                            <w:rFonts w:eastAsia="Calibri"/>
                            <w:szCs w:val="24"/>
                          </w:rPr>
                          <w:t xml:space="preserve">100 </w:t>
                        </w:r>
                        <w:r>
                          <w:rPr>
                            <w:rFonts w:eastAsia="Calibri"/>
                            <w:szCs w:val="24"/>
                            <w:lang w:val="en-US"/>
                          </w:rPr>
                          <w:t>%</w:t>
                        </w:r>
                      </w:p>
                    </w:tc>
                    <w:tc>
                      <w:tcPr>
                        <w:tcW w:w="850" w:type="dxa"/>
                      </w:tcPr>
                      <w:p>
                        <w:pPr>
                          <w:rPr>
                            <w:szCs w:val="24"/>
                            <w:highlight w:val="yellow"/>
                          </w:rPr>
                        </w:pPr>
                        <w:r>
                          <w:rPr>
                            <w:rFonts w:eastAsia="Calibri"/>
                            <w:szCs w:val="24"/>
                          </w:rPr>
                          <w:t xml:space="preserve">100 </w:t>
                        </w:r>
                        <w:r>
                          <w:rPr>
                            <w:rFonts w:eastAsia="Calibri"/>
                            <w:szCs w:val="24"/>
                            <w:lang w:val="en-US"/>
                          </w:rPr>
                          <w:t>%</w:t>
                        </w:r>
                      </w:p>
                    </w:tc>
                    <w:tc>
                      <w:tcPr>
                        <w:tcW w:w="851" w:type="dxa"/>
                      </w:tcPr>
                      <w:p>
                        <w:pPr>
                          <w:rPr>
                            <w:szCs w:val="24"/>
                            <w:highlight w:val="yellow"/>
                          </w:rPr>
                        </w:pPr>
                        <w:r>
                          <w:rPr>
                            <w:rFonts w:eastAsia="Calibri"/>
                            <w:szCs w:val="24"/>
                          </w:rPr>
                          <w:t xml:space="preserve">80 </w:t>
                        </w:r>
                        <w:r>
                          <w:rPr>
                            <w:rFonts w:eastAsia="Calibri"/>
                            <w:szCs w:val="24"/>
                            <w:lang w:val="en-US"/>
                          </w:rPr>
                          <w:t>%</w:t>
                        </w:r>
                      </w:p>
                    </w:tc>
                    <w:tc>
                      <w:tcPr>
                        <w:tcW w:w="850" w:type="dxa"/>
                      </w:tcPr>
                      <w:p>
                        <w:pPr>
                          <w:rPr>
                            <w:szCs w:val="24"/>
                            <w:highlight w:val="yellow"/>
                          </w:rPr>
                        </w:pPr>
                        <w:r>
                          <w:rPr>
                            <w:rFonts w:eastAsia="Calibri"/>
                            <w:szCs w:val="24"/>
                          </w:rPr>
                          <w:t xml:space="preserve">100 </w:t>
                        </w:r>
                        <w:r>
                          <w:rPr>
                            <w:rFonts w:eastAsia="Calibri"/>
                            <w:szCs w:val="24"/>
                            <w:lang w:val="en-US"/>
                          </w:rPr>
                          <w:t>%</w:t>
                        </w:r>
                      </w:p>
                    </w:tc>
                    <w:tc>
                      <w:tcPr>
                        <w:tcW w:w="992" w:type="dxa"/>
                      </w:tcPr>
                      <w:p>
                        <w:pPr>
                          <w:rPr>
                            <w:szCs w:val="24"/>
                            <w:highlight w:val="yellow"/>
                          </w:rPr>
                        </w:pPr>
                        <w:r>
                          <w:rPr>
                            <w:rFonts w:eastAsia="Calibri"/>
                            <w:szCs w:val="24"/>
                          </w:rPr>
                          <w:t>2 000 SBAA</w:t>
                        </w:r>
                      </w:p>
                    </w:tc>
                    <w:tc>
                      <w:tcPr>
                        <w:tcW w:w="993" w:type="dxa"/>
                      </w:tcPr>
                      <w:p>
                        <w:pPr>
                          <w:rPr>
                            <w:szCs w:val="24"/>
                            <w:highlight w:val="yellow"/>
                          </w:rPr>
                        </w:pPr>
                        <w:r>
                          <w:rPr>
                            <w:rFonts w:eastAsia="Calibri"/>
                            <w:szCs w:val="24"/>
                          </w:rPr>
                          <w:t>2 000 SBAA</w:t>
                        </w:r>
                      </w:p>
                    </w:tc>
                    <w:tc>
                      <w:tcPr>
                        <w:tcW w:w="5386" w:type="dxa"/>
                      </w:tcPr>
                      <w:p>
                        <w:pPr>
                          <w:widowControl w:val="0"/>
                          <w:suppressAutoHyphens/>
                          <w:ind w:firstLine="13"/>
                          <w:rPr>
                            <w:szCs w:val="24"/>
                          </w:rPr>
                        </w:pPr>
                        <w:r>
                          <w:rPr>
                            <w:szCs w:val="24"/>
                          </w:rPr>
                          <w:t>Įsigyta ir pasodinta 8 vnt. medžiai Pociūnėlių miestelio parke. Naikinti Sosnovskio barščiai. Skėmių kapinėse nugenėtas ąžuolas. Siekiant užtikrinti saugų eismą, seniūnijos kaimuose genėti ir išvežti savaime priaugę krūmai. (Skėmių seniūnija)</w:t>
                        </w:r>
                      </w:p>
                    </w:tc>
                  </w:tr>
                  <w:tr>
                    <w:trPr>
                      <w:trHeight w:val="365"/>
                    </w:trPr>
                    <w:tc>
                      <w:tcPr>
                        <w:tcW w:w="4253" w:type="dxa"/>
                      </w:tcPr>
                      <w:p>
                        <w:pPr>
                          <w:rPr>
                            <w:bCs/>
                            <w:i/>
                            <w:iCs/>
                            <w:szCs w:val="24"/>
                          </w:rPr>
                        </w:pPr>
                        <w:r>
                          <w:rPr>
                            <w:bCs/>
                            <w:iCs/>
                            <w:szCs w:val="24"/>
                          </w:rPr>
                          <w:t xml:space="preserve">26.2.1.1. Tęstinė viešojo naudojimo teritorijų priežiūros ir tvarkymo veikla Šaukoto seniūnijoje </w:t>
                        </w:r>
                        <w:r>
                          <w:rPr>
                            <w:iCs/>
                            <w:szCs w:val="24"/>
                          </w:rPr>
                          <w:t>(SVP 6.1.5.13B)</w:t>
                        </w:r>
                      </w:p>
                    </w:tc>
                    <w:tc>
                      <w:tcPr>
                        <w:tcW w:w="993" w:type="dxa"/>
                      </w:tcPr>
                      <w:p>
                        <w:pPr>
                          <w:rPr>
                            <w:szCs w:val="24"/>
                            <w:highlight w:val="yellow"/>
                          </w:rPr>
                        </w:pPr>
                        <w:r>
                          <w:rPr>
                            <w:rFonts w:eastAsia="Calibri"/>
                            <w:szCs w:val="24"/>
                            <w:lang w:val="en-US"/>
                          </w:rPr>
                          <w:t>7</w:t>
                        </w:r>
                      </w:p>
                    </w:tc>
                    <w:tc>
                      <w:tcPr>
                        <w:tcW w:w="850" w:type="dxa"/>
                      </w:tcPr>
                      <w:p>
                        <w:pPr>
                          <w:rPr>
                            <w:szCs w:val="24"/>
                            <w:highlight w:val="yellow"/>
                          </w:rPr>
                        </w:pPr>
                        <w:r>
                          <w:rPr>
                            <w:rFonts w:eastAsia="Calibri"/>
                            <w:szCs w:val="24"/>
                          </w:rPr>
                          <w:t>7</w:t>
                        </w:r>
                      </w:p>
                    </w:tc>
                    <w:tc>
                      <w:tcPr>
                        <w:tcW w:w="851" w:type="dxa"/>
                      </w:tcPr>
                      <w:p>
                        <w:pPr>
                          <w:rPr>
                            <w:szCs w:val="24"/>
                            <w:highlight w:val="yellow"/>
                          </w:rPr>
                        </w:pPr>
                        <w:r>
                          <w:rPr>
                            <w:rFonts w:eastAsia="Calibri"/>
                            <w:szCs w:val="24"/>
                          </w:rPr>
                          <w:t>7</w:t>
                        </w:r>
                      </w:p>
                    </w:tc>
                    <w:tc>
                      <w:tcPr>
                        <w:tcW w:w="850" w:type="dxa"/>
                      </w:tcPr>
                      <w:p>
                        <w:pPr>
                          <w:rPr>
                            <w:szCs w:val="24"/>
                            <w:highlight w:val="yellow"/>
                          </w:rPr>
                        </w:pPr>
                        <w:r>
                          <w:rPr>
                            <w:rFonts w:eastAsia="Calibri"/>
                            <w:szCs w:val="24"/>
                          </w:rPr>
                          <w:t>7</w:t>
                        </w:r>
                      </w:p>
                    </w:tc>
                    <w:tc>
                      <w:tcPr>
                        <w:tcW w:w="992" w:type="dxa"/>
                      </w:tcPr>
                      <w:p>
                        <w:pPr>
                          <w:rPr>
                            <w:szCs w:val="24"/>
                          </w:rPr>
                        </w:pPr>
                        <w:r>
                          <w:rPr>
                            <w:szCs w:val="24"/>
                          </w:rPr>
                          <w:t>3</w:t>
                        </w:r>
                      </w:p>
                      <w:p>
                        <w:pPr>
                          <w:rPr>
                            <w:szCs w:val="24"/>
                          </w:rPr>
                        </w:pPr>
                        <w:r>
                          <w:rPr>
                            <w:szCs w:val="24"/>
                          </w:rPr>
                          <w:t>SBAA</w:t>
                        </w:r>
                      </w:p>
                      <w:p>
                        <w:pPr>
                          <w:rPr>
                            <w:szCs w:val="24"/>
                            <w:highlight w:val="yellow"/>
                          </w:rPr>
                        </w:pPr>
                      </w:p>
                    </w:tc>
                    <w:tc>
                      <w:tcPr>
                        <w:tcW w:w="993" w:type="dxa"/>
                      </w:tcPr>
                      <w:p>
                        <w:pPr>
                          <w:rPr>
                            <w:szCs w:val="24"/>
                          </w:rPr>
                        </w:pPr>
                        <w:r>
                          <w:rPr>
                            <w:szCs w:val="24"/>
                          </w:rPr>
                          <w:t>1,7</w:t>
                        </w:r>
                      </w:p>
                      <w:p>
                        <w:pPr>
                          <w:rPr>
                            <w:szCs w:val="24"/>
                          </w:rPr>
                        </w:pPr>
                        <w:r>
                          <w:rPr>
                            <w:szCs w:val="24"/>
                          </w:rPr>
                          <w:t>SBAA</w:t>
                        </w:r>
                      </w:p>
                      <w:p>
                        <w:pPr>
                          <w:rPr>
                            <w:szCs w:val="24"/>
                            <w:highlight w:val="yellow"/>
                          </w:rPr>
                        </w:pPr>
                      </w:p>
                    </w:tc>
                    <w:tc>
                      <w:tcPr>
                        <w:tcW w:w="5386" w:type="dxa"/>
                      </w:tcPr>
                      <w:p>
                        <w:pPr>
                          <w:widowControl w:val="0"/>
                          <w:suppressAutoHyphens/>
                          <w:ind w:firstLine="13"/>
                          <w:rPr>
                            <w:szCs w:val="24"/>
                          </w:rPr>
                        </w:pPr>
                        <w:r>
                          <w:rPr>
                            <w:szCs w:val="24"/>
                          </w:rPr>
                          <w:t>Pasodintos7 vnt. hortenzijos, prižiūrima ir šienaujama Kalnų parko teritorija (20ha), tvarkomos vėjovartos.</w:t>
                        </w:r>
                      </w:p>
                      <w:p>
                        <w:pPr>
                          <w:widowControl w:val="0"/>
                          <w:suppressAutoHyphens/>
                          <w:ind w:firstLine="13"/>
                          <w:rPr>
                            <w:szCs w:val="24"/>
                          </w:rPr>
                        </w:pPr>
                        <w:r>
                          <w:rPr>
                            <w:szCs w:val="24"/>
                          </w:rPr>
                          <w:t>(Šaukoto seniūnija)</w:t>
                        </w:r>
                      </w:p>
                    </w:tc>
                  </w:tr>
                  <w:tr>
                    <w:trPr>
                      <w:trHeight w:val="365"/>
                    </w:trPr>
                    <w:tc>
                      <w:tcPr>
                        <w:tcW w:w="4253" w:type="dxa"/>
                      </w:tcPr>
                      <w:p>
                        <w:pPr>
                          <w:rPr>
                            <w:bCs/>
                            <w:iCs/>
                            <w:szCs w:val="24"/>
                          </w:rPr>
                        </w:pPr>
                        <w:r>
                          <w:rPr>
                            <w:bCs/>
                            <w:iCs/>
                            <w:szCs w:val="24"/>
                          </w:rPr>
                          <w:t>27.2.3.1 Visuomeninės paskirties želdinių, skverų ir parkų priežiūros Šeduvos miesto seniūnijoje užtikrinimas</w:t>
                        </w:r>
                      </w:p>
                      <w:p>
                        <w:pPr>
                          <w:rPr>
                            <w:bCs/>
                            <w:iCs/>
                            <w:szCs w:val="24"/>
                          </w:rPr>
                        </w:pPr>
                        <w:r>
                          <w:rPr>
                            <w:bCs/>
                            <w:iCs/>
                            <w:szCs w:val="24"/>
                          </w:rPr>
                          <w:t>(SVP 6-1-</w:t>
                        </w:r>
                        <w:r>
                          <w:rPr>
                            <w:bCs/>
                            <w:iCs/>
                            <w:szCs w:val="24"/>
                            <w:lang w:val="en-US"/>
                          </w:rPr>
                          <w:t>1</w:t>
                        </w:r>
                        <w:r>
                          <w:rPr>
                            <w:bCs/>
                            <w:iCs/>
                            <w:szCs w:val="24"/>
                          </w:rPr>
                          <w:t>-</w:t>
                        </w:r>
                        <w:r>
                          <w:rPr>
                            <w:bCs/>
                            <w:iCs/>
                            <w:szCs w:val="24"/>
                            <w:lang w:val="en-US"/>
                          </w:rPr>
                          <w:t>13B</w:t>
                        </w:r>
                        <w:r>
                          <w:rPr>
                            <w:bCs/>
                            <w:iCs/>
                            <w:szCs w:val="24"/>
                          </w:rPr>
                          <w:t>)</w:t>
                        </w:r>
                      </w:p>
                    </w:tc>
                    <w:tc>
                      <w:tcPr>
                        <w:tcW w:w="993" w:type="dxa"/>
                      </w:tcPr>
                      <w:p>
                        <w:pPr>
                          <w:rPr>
                            <w:rFonts w:eastAsia="Calibri"/>
                            <w:szCs w:val="24"/>
                            <w:lang w:val="en-US"/>
                          </w:rPr>
                        </w:pPr>
                        <w:r>
                          <w:rPr>
                            <w:bCs/>
                            <w:iCs/>
                            <w:szCs w:val="24"/>
                          </w:rPr>
                          <w:t>100 %</w:t>
                        </w:r>
                      </w:p>
                    </w:tc>
                    <w:tc>
                      <w:tcPr>
                        <w:tcW w:w="850" w:type="dxa"/>
                      </w:tcPr>
                      <w:p>
                        <w:pPr>
                          <w:rPr>
                            <w:rFonts w:eastAsia="Calibri"/>
                            <w:szCs w:val="24"/>
                          </w:rPr>
                        </w:pPr>
                        <w:r>
                          <w:rPr>
                            <w:bCs/>
                            <w:iCs/>
                            <w:szCs w:val="24"/>
                          </w:rPr>
                          <w:t>100</w:t>
                        </w:r>
                      </w:p>
                    </w:tc>
                    <w:tc>
                      <w:tcPr>
                        <w:tcW w:w="851" w:type="dxa"/>
                      </w:tcPr>
                      <w:p>
                        <w:pPr>
                          <w:rPr>
                            <w:rFonts w:eastAsia="Calibri"/>
                            <w:szCs w:val="24"/>
                          </w:rPr>
                        </w:pPr>
                        <w:r>
                          <w:rPr>
                            <w:bCs/>
                            <w:iCs/>
                            <w:szCs w:val="24"/>
                          </w:rPr>
                          <w:t>91</w:t>
                        </w:r>
                      </w:p>
                    </w:tc>
                    <w:tc>
                      <w:tcPr>
                        <w:tcW w:w="850" w:type="dxa"/>
                      </w:tcPr>
                      <w:p>
                        <w:pPr>
                          <w:rPr>
                            <w:rFonts w:eastAsia="Calibri"/>
                            <w:szCs w:val="24"/>
                          </w:rPr>
                        </w:pPr>
                        <w:r>
                          <w:rPr>
                            <w:bCs/>
                            <w:iCs/>
                            <w:szCs w:val="24"/>
                          </w:rPr>
                          <w:t>88</w:t>
                        </w:r>
                      </w:p>
                    </w:tc>
                    <w:tc>
                      <w:tcPr>
                        <w:tcW w:w="992" w:type="dxa"/>
                      </w:tcPr>
                      <w:p>
                        <w:pPr>
                          <w:rPr>
                            <w:szCs w:val="24"/>
                          </w:rPr>
                        </w:pPr>
                        <w:r>
                          <w:rPr>
                            <w:bCs/>
                            <w:iCs/>
                            <w:szCs w:val="24"/>
                          </w:rPr>
                          <w:t>6,0 SBAA</w:t>
                        </w:r>
                      </w:p>
                    </w:tc>
                    <w:tc>
                      <w:tcPr>
                        <w:tcW w:w="993" w:type="dxa"/>
                      </w:tcPr>
                      <w:p>
                        <w:pPr>
                          <w:rPr>
                            <w:szCs w:val="24"/>
                          </w:rPr>
                        </w:pPr>
                        <w:r>
                          <w:rPr>
                            <w:bCs/>
                            <w:iCs/>
                            <w:szCs w:val="24"/>
                          </w:rPr>
                          <w:t>5,27 SBAA</w:t>
                        </w:r>
                      </w:p>
                    </w:tc>
                    <w:tc>
                      <w:tcPr>
                        <w:tcW w:w="5386" w:type="dxa"/>
                      </w:tcPr>
                      <w:p>
                        <w:pPr>
                          <w:rPr>
                            <w:bCs/>
                            <w:iCs/>
                            <w:szCs w:val="24"/>
                          </w:rPr>
                        </w:pPr>
                        <w:r>
                          <w:rPr>
                            <w:bCs/>
                            <w:iCs/>
                            <w:szCs w:val="24"/>
                          </w:rPr>
                          <w:t xml:space="preserve">Buvo prižiūrimos (tvarkomos ir šienaujamos) 2 veikiančios ir 20 neveikiančių kapinių, 3 parkai, 2 paplūdimiai, žaliosios, rekreacinės zonos, pakelės, prižiūrimas Velžių piliakalnis su priešpiliu; šalinti krūmai ir  menkaverčiai bei avariniai medžiai, atliekamas medžių genėjimas Šeduvos mieste (Šeduvos miesto seniūnija)</w:t>
                        </w:r>
                      </w:p>
                    </w:tc>
                  </w:tr>
                  <w:tr>
                    <w:trPr>
                      <w:trHeight w:val="274"/>
                    </w:trPr>
                    <w:tc>
                      <w:tcPr>
                        <w:tcW w:w="4253" w:type="dxa"/>
                      </w:tcPr>
                      <w:p>
                        <w:pPr>
                          <w:rPr>
                            <w:rFonts w:eastAsia="Calibri"/>
                            <w:szCs w:val="24"/>
                          </w:rPr>
                        </w:pPr>
                        <w:r>
                          <w:rPr>
                            <w:rFonts w:eastAsia="Calibri"/>
                            <w:szCs w:val="24"/>
                          </w:rPr>
                          <w:t>28.2.2.1.Visuomeninės paskirties želdynų, tvarkymas ir priežiūra.</w:t>
                        </w:r>
                      </w:p>
                      <w:p>
                        <w:pPr>
                          <w:ind w:firstLine="62"/>
                          <w:rPr>
                            <w:rFonts w:eastAsia="Calibri"/>
                            <w:i/>
                            <w:szCs w:val="24"/>
                          </w:rPr>
                        </w:pPr>
                        <w:r>
                          <w:rPr>
                            <w:i/>
                            <w:szCs w:val="24"/>
                          </w:rPr>
                          <w:t>(SVP 6.1.2.13 B)</w:t>
                        </w:r>
                      </w:p>
                    </w:tc>
                    <w:tc>
                      <w:tcPr>
                        <w:tcW w:w="993" w:type="dxa"/>
                      </w:tcPr>
                      <w:p>
                        <w:pPr>
                          <w:rPr>
                            <w:szCs w:val="24"/>
                            <w:highlight w:val="yellow"/>
                          </w:rPr>
                        </w:pPr>
                        <w:r>
                          <w:rPr>
                            <w:rFonts w:eastAsia="Calibri"/>
                            <w:szCs w:val="24"/>
                          </w:rPr>
                          <w:t xml:space="preserve">100 </w:t>
                        </w:r>
                        <w:r>
                          <w:rPr>
                            <w:rFonts w:eastAsia="Calibri"/>
                            <w:szCs w:val="24"/>
                            <w:lang w:val="en-US"/>
                          </w:rPr>
                          <w:t>%</w:t>
                        </w:r>
                      </w:p>
                    </w:tc>
                    <w:tc>
                      <w:tcPr>
                        <w:tcW w:w="850" w:type="dxa"/>
                      </w:tcPr>
                      <w:p>
                        <w:pPr>
                          <w:rPr>
                            <w:szCs w:val="24"/>
                            <w:highlight w:val="yellow"/>
                          </w:rPr>
                        </w:pPr>
                        <w:r>
                          <w:rPr>
                            <w:iCs/>
                            <w:szCs w:val="24"/>
                          </w:rPr>
                          <w:t>100</w:t>
                        </w:r>
                        <w:r>
                          <w:rPr>
                            <w:iCs/>
                            <w:szCs w:val="24"/>
                            <w:lang w:val="en-US"/>
                          </w:rPr>
                          <w:t>%</w:t>
                        </w:r>
                      </w:p>
                    </w:tc>
                    <w:tc>
                      <w:tcPr>
                        <w:tcW w:w="851" w:type="dxa"/>
                      </w:tcPr>
                      <w:p>
                        <w:pPr>
                          <w:rPr>
                            <w:szCs w:val="24"/>
                            <w:highlight w:val="yellow"/>
                          </w:rPr>
                        </w:pPr>
                        <w:r>
                          <w:rPr>
                            <w:rFonts w:eastAsia="Calibri"/>
                            <w:szCs w:val="24"/>
                          </w:rPr>
                          <w:t>80 %</w:t>
                        </w:r>
                      </w:p>
                    </w:tc>
                    <w:tc>
                      <w:tcPr>
                        <w:tcW w:w="850" w:type="dxa"/>
                      </w:tcPr>
                      <w:p>
                        <w:pPr>
                          <w:rPr>
                            <w:szCs w:val="24"/>
                            <w:highlight w:val="yellow"/>
                          </w:rPr>
                        </w:pPr>
                        <w:r>
                          <w:rPr>
                            <w:rFonts w:eastAsia="Calibri"/>
                            <w:szCs w:val="24"/>
                          </w:rPr>
                          <w:t>100 %</w:t>
                        </w:r>
                      </w:p>
                    </w:tc>
                    <w:tc>
                      <w:tcPr>
                        <w:tcW w:w="992" w:type="dxa"/>
                      </w:tcPr>
                      <w:p>
                        <w:pPr>
                          <w:rPr>
                            <w:rFonts w:eastAsia="Calibri"/>
                            <w:szCs w:val="24"/>
                          </w:rPr>
                        </w:pPr>
                        <w:r>
                          <w:rPr>
                            <w:szCs w:val="24"/>
                          </w:rPr>
                          <w:t>1,5 SBAA</w:t>
                        </w:r>
                      </w:p>
                      <w:p>
                        <w:pPr>
                          <w:rPr>
                            <w:szCs w:val="24"/>
                            <w:highlight w:val="yellow"/>
                          </w:rPr>
                        </w:pPr>
                      </w:p>
                    </w:tc>
                    <w:tc>
                      <w:tcPr>
                        <w:tcW w:w="993" w:type="dxa"/>
                      </w:tcPr>
                      <w:p>
                        <w:pPr>
                          <w:rPr>
                            <w:szCs w:val="24"/>
                          </w:rPr>
                        </w:pPr>
                        <w:r>
                          <w:rPr>
                            <w:szCs w:val="24"/>
                          </w:rPr>
                          <w:t xml:space="preserve">1,5 SBAA </w:t>
                        </w:r>
                      </w:p>
                      <w:p>
                        <w:pPr>
                          <w:rPr>
                            <w:szCs w:val="24"/>
                            <w:highlight w:val="yellow"/>
                          </w:rPr>
                        </w:pPr>
                      </w:p>
                    </w:tc>
                    <w:tc>
                      <w:tcPr>
                        <w:tcW w:w="5386" w:type="dxa"/>
                      </w:tcPr>
                      <w:p>
                        <w:pPr>
                          <w:widowControl w:val="0"/>
                          <w:suppressAutoHyphens/>
                          <w:ind w:firstLine="13"/>
                          <w:rPr>
                            <w:szCs w:val="24"/>
                          </w:rPr>
                        </w:pPr>
                        <w:r>
                          <w:rPr>
                            <w:szCs w:val="24"/>
                          </w:rPr>
                          <w:t>Pašalinti avariniai medžiai. (Šiaulėnų seniūnija)</w:t>
                        </w:r>
                      </w:p>
                    </w:tc>
                  </w:tr>
                  <w:tr>
                    <w:trPr>
                      <w:trHeight w:val="365"/>
                    </w:trPr>
                    <w:tc>
                      <w:tcPr>
                        <w:tcW w:w="4253"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 xml:space="preserve">29.2.1.1. Tęstinė visuomeninės paskirties želdinių, skverų ir parkų priežiūra. </w:t>
                        </w:r>
                        <w:r>
                          <w:rPr>
                            <w:szCs w:val="24"/>
                            <w:lang w:eastAsia="lt-LT"/>
                          </w:rPr>
                          <w:t>(STV 6-1-5-13B)</w:t>
                        </w:r>
                      </w:p>
                    </w:tc>
                    <w:tc>
                      <w:tcPr>
                        <w:tcW w:w="993"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color w:val="000000"/>
                            <w:szCs w:val="24"/>
                          </w:rPr>
                          <w:t xml:space="preserve">100 </w:t>
                        </w:r>
                        <w:r>
                          <w:rPr>
                            <w:rFonts w:eastAsia="Calibri"/>
                            <w:color w:val="000000"/>
                            <w:szCs w:val="24"/>
                            <w:lang w:val="en-US"/>
                          </w:rPr>
                          <w:t>%</w:t>
                        </w:r>
                      </w:p>
                    </w:tc>
                    <w:tc>
                      <w:tcPr>
                        <w:tcW w:w="850" w:type="dxa"/>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100 </w:t>
                        </w:r>
                        <w:r>
                          <w:rPr>
                            <w:rFonts w:eastAsia="Calibri"/>
                            <w:szCs w:val="24"/>
                            <w:lang w:val="en-US"/>
                          </w:rPr>
                          <w:t>%</w:t>
                        </w:r>
                      </w:p>
                    </w:tc>
                    <w:tc>
                      <w:tcPr>
                        <w:tcW w:w="851" w:type="dxa"/>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100 </w:t>
                        </w:r>
                        <w:r>
                          <w:rPr>
                            <w:rFonts w:eastAsia="Calibri"/>
                            <w:szCs w:val="24"/>
                            <w:lang w:val="en-US"/>
                          </w:rPr>
                          <w:t>%</w:t>
                        </w:r>
                      </w:p>
                    </w:tc>
                    <w:tc>
                      <w:tcPr>
                        <w:tcW w:w="850" w:type="dxa"/>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100 </w:t>
                        </w:r>
                        <w:r>
                          <w:rPr>
                            <w:rFonts w:eastAsia="Calibri"/>
                            <w:szCs w:val="24"/>
                            <w:lang w:val="en-US"/>
                          </w:rPr>
                          <w:t>%</w:t>
                        </w:r>
                      </w:p>
                    </w:tc>
                    <w:tc>
                      <w:tcPr>
                        <w:tcW w:w="992" w:type="dxa"/>
                        <w:tcBorders>
                          <w:top w:val="single" w:sz="4" w:space="0" w:color="auto"/>
                          <w:left w:val="single" w:sz="4" w:space="0" w:color="auto"/>
                          <w:bottom w:val="single" w:sz="4" w:space="0" w:color="auto"/>
                          <w:right w:val="single" w:sz="4" w:space="0" w:color="auto"/>
                        </w:tcBorders>
                      </w:tcPr>
                      <w:p>
                        <w:pPr>
                          <w:ind w:firstLine="62"/>
                          <w:textAlignment w:val="baseline"/>
                          <w:rPr>
                            <w:szCs w:val="24"/>
                            <w:lang w:eastAsia="lt-LT"/>
                          </w:rPr>
                        </w:pPr>
                        <w:r>
                          <w:rPr>
                            <w:szCs w:val="24"/>
                            <w:lang w:eastAsia="lt-LT"/>
                          </w:rPr>
                          <w:t>2,0</w:t>
                        </w:r>
                      </w:p>
                      <w:p>
                        <w:pPr>
                          <w:rPr>
                            <w:color w:val="000000"/>
                            <w:szCs w:val="24"/>
                          </w:rPr>
                        </w:pPr>
                        <w:r>
                          <w:rPr>
                            <w:color w:val="000000"/>
                            <w:szCs w:val="24"/>
                            <w:lang w:eastAsia="lt-LT"/>
                          </w:rPr>
                          <w:t>SBAA</w:t>
                        </w:r>
                      </w:p>
                    </w:tc>
                    <w:tc>
                      <w:tcPr>
                        <w:tcW w:w="993" w:type="dxa"/>
                        <w:tcBorders>
                          <w:top w:val="single" w:sz="4" w:space="0" w:color="auto"/>
                          <w:left w:val="single" w:sz="4" w:space="0" w:color="auto"/>
                          <w:bottom w:val="single" w:sz="4" w:space="0" w:color="auto"/>
                          <w:right w:val="single" w:sz="4" w:space="0" w:color="auto"/>
                        </w:tcBorders>
                      </w:tcPr>
                      <w:p>
                        <w:pPr>
                          <w:ind w:firstLine="62"/>
                          <w:textAlignment w:val="baseline"/>
                          <w:rPr>
                            <w:szCs w:val="24"/>
                            <w:lang w:eastAsia="lt-LT"/>
                          </w:rPr>
                        </w:pPr>
                        <w:r>
                          <w:rPr>
                            <w:szCs w:val="24"/>
                            <w:lang w:eastAsia="lt-LT"/>
                          </w:rPr>
                          <w:t xml:space="preserve">1,7 SB </w:t>
                        </w:r>
                      </w:p>
                      <w:p>
                        <w:pPr>
                          <w:rPr>
                            <w:szCs w:val="24"/>
                          </w:rPr>
                        </w:pPr>
                        <w:r>
                          <w:rPr>
                            <w:szCs w:val="24"/>
                            <w:lang w:eastAsia="lt-LT"/>
                          </w:rPr>
                          <w:t>3,5 SAARS</w:t>
                        </w:r>
                      </w:p>
                    </w:tc>
                    <w:tc>
                      <w:tcPr>
                        <w:tcW w:w="5386" w:type="dxa"/>
                        <w:tcBorders>
                          <w:top w:val="single" w:sz="4" w:space="0" w:color="auto"/>
                          <w:left w:val="single" w:sz="4" w:space="0" w:color="auto"/>
                          <w:bottom w:val="single" w:sz="4" w:space="0" w:color="auto"/>
                          <w:right w:val="single" w:sz="4" w:space="0" w:color="auto"/>
                        </w:tcBorders>
                      </w:tcPr>
                      <w:p>
                        <w:pPr>
                          <w:textAlignment w:val="baseline"/>
                          <w:rPr>
                            <w:rFonts w:eastAsia="Calibri"/>
                            <w:szCs w:val="24"/>
                          </w:rPr>
                        </w:pPr>
                        <w:r>
                          <w:rPr>
                            <w:rFonts w:eastAsia="Calibri"/>
                            <w:szCs w:val="24"/>
                          </w:rPr>
                          <w:t xml:space="preserve">Avarinių medžių pjovimas Polekėlės parke pagal inventorizacijos planą. </w:t>
                        </w:r>
                        <w:r>
                          <w:rPr>
                            <w:rFonts w:eastAsia="Calibri"/>
                            <w:szCs w:val="24"/>
                            <w:lang w:eastAsia="lt-LT"/>
                          </w:rPr>
                          <w:t>Ataskaitinio laikotarpio pabaigoje priemonės įgyvendinimui buvo skirta papildomų lėšų. (Tyrulių seniūnija)</w:t>
                        </w:r>
                      </w:p>
                    </w:tc>
                  </w:tr>
                  <w:tr>
                    <w:trPr>
                      <w:trHeight w:val="365"/>
                    </w:trPr>
                    <w:tc>
                      <w:tcPr>
                        <w:tcW w:w="15168" w:type="dxa"/>
                        <w:gridSpan w:val="8"/>
                      </w:tcPr>
                      <w:p>
                        <w:pPr>
                          <w:rPr>
                            <w:color w:val="000000"/>
                            <w:szCs w:val="24"/>
                          </w:rPr>
                        </w:pPr>
                        <w:r>
                          <w:rPr>
                            <w:color w:val="000000"/>
                            <w:szCs w:val="24"/>
                          </w:rPr>
                          <w:t>1.3. Vykdyti kryptingą visuomenės sveikatinimo veiklą.</w:t>
                        </w:r>
                      </w:p>
                    </w:tc>
                  </w:tr>
                  <w:tr>
                    <w:trPr>
                      <w:trHeight w:val="365"/>
                    </w:trPr>
                    <w:tc>
                      <w:tcPr>
                        <w:tcW w:w="4253" w:type="dxa"/>
                      </w:tcPr>
                      <w:p>
                        <w:pPr>
                          <w:rPr>
                            <w:bCs/>
                            <w:color w:val="808080"/>
                            <w:szCs w:val="24"/>
                          </w:rPr>
                        </w:pPr>
                        <w:r>
                          <w:rPr>
                            <w:bCs/>
                            <w:szCs w:val="24"/>
                          </w:rPr>
                          <w:t xml:space="preserve">15.1.1.1. Visuomenės sveikatos rėmimo specialiosios programos koordinavimas. </w:t>
                        </w:r>
                      </w:p>
                      <w:p>
                        <w:pPr>
                          <w:spacing w:line="259" w:lineRule="auto"/>
                          <w:rPr>
                            <w:bCs/>
                            <w:color w:val="000000"/>
                            <w:szCs w:val="24"/>
                          </w:rPr>
                        </w:pPr>
                        <w:r>
                          <w:rPr>
                            <w:szCs w:val="24"/>
                          </w:rPr>
                          <w:t xml:space="preserve">Pažangos priemonės „Vaikų sveikatingumą skatinanti programa“ (SVP 6-1-3). </w:t>
                        </w:r>
                      </w:p>
                    </w:tc>
                    <w:tc>
                      <w:tcPr>
                        <w:tcW w:w="993"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color w:val="000000"/>
                            <w:szCs w:val="24"/>
                          </w:rPr>
                          <w:t xml:space="preserve">100 % </w:t>
                        </w:r>
                      </w:p>
                      <w:p>
                        <w:pPr>
                          <w:rPr>
                            <w:color w:val="000000"/>
                            <w:szCs w:val="24"/>
                          </w:rPr>
                        </w:pPr>
                      </w:p>
                    </w:tc>
                    <w:tc>
                      <w:tcPr>
                        <w:tcW w:w="851"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color w:val="000000"/>
                            <w:szCs w:val="24"/>
                          </w:rPr>
                          <w:t xml:space="preserve">100 % </w:t>
                        </w:r>
                      </w:p>
                      <w:p>
                        <w:pPr>
                          <w:rPr>
                            <w:color w:val="000000"/>
                            <w:szCs w:val="24"/>
                          </w:rPr>
                        </w:pPr>
                      </w:p>
                    </w:tc>
                    <w:tc>
                      <w:tcPr>
                        <w:tcW w:w="992" w:type="dxa"/>
                      </w:tcPr>
                      <w:p>
                        <w:pPr>
                          <w:rPr>
                            <w:color w:val="000000"/>
                            <w:szCs w:val="24"/>
                          </w:rPr>
                        </w:pPr>
                        <w:r>
                          <w:rPr>
                            <w:szCs w:val="24"/>
                          </w:rPr>
                          <w:t xml:space="preserve">7,694  SB; AA</w:t>
                        </w:r>
                      </w:p>
                    </w:tc>
                    <w:tc>
                      <w:tcPr>
                        <w:tcW w:w="993" w:type="dxa"/>
                      </w:tcPr>
                      <w:p>
                        <w:pPr>
                          <w:rPr>
                            <w:szCs w:val="24"/>
                          </w:rPr>
                        </w:pPr>
                        <w:r>
                          <w:rPr>
                            <w:szCs w:val="24"/>
                          </w:rPr>
                          <w:t xml:space="preserve">7,694  SB; AA</w:t>
                        </w:r>
                      </w:p>
                      <w:p>
                        <w:pPr>
                          <w:rPr>
                            <w:color w:val="000000"/>
                            <w:szCs w:val="24"/>
                          </w:rPr>
                        </w:pPr>
                      </w:p>
                    </w:tc>
                    <w:tc>
                      <w:tcPr>
                        <w:tcW w:w="5386" w:type="dxa"/>
                        <w:vMerge w:val="restart"/>
                      </w:tcPr>
                      <w:p>
                        <w:pPr>
                          <w:rPr>
                            <w:bCs/>
                            <w:szCs w:val="24"/>
                          </w:rPr>
                        </w:pPr>
                        <w:r>
                          <w:rPr>
                            <w:bCs/>
                            <w:szCs w:val="24"/>
                          </w:rPr>
                          <w:t xml:space="preserve">Visuomenės sveikatos specialiosios rėmimo programos ataskaita kiekvienais metais tvirtinama Radviliškio rajono savivaldybės tarybos posėdyje ir pateikiama Higienos institutui. </w:t>
                        </w:r>
                      </w:p>
                      <w:p>
                        <w:pPr>
                          <w:rPr>
                            <w:iCs/>
                            <w:szCs w:val="24"/>
                          </w:rPr>
                        </w:pPr>
                        <w:r>
                          <w:rPr>
                            <w:bCs/>
                            <w:szCs w:val="24"/>
                          </w:rPr>
                          <w:t>(</w:t>
                        </w:r>
                        <w:r>
                          <w:rPr>
                            <w:szCs w:val="24"/>
                          </w:rPr>
                          <w:t>Sveikatos reikalų koordinatorė)</w:t>
                        </w:r>
                      </w:p>
                    </w:tc>
                  </w:tr>
                  <w:tr>
                    <w:trPr>
                      <w:trHeight w:val="365"/>
                    </w:trPr>
                    <w:tc>
                      <w:tcPr>
                        <w:tcW w:w="4253" w:type="dxa"/>
                      </w:tcPr>
                      <w:p>
                        <w:pPr>
                          <w:rPr>
                            <w:color w:val="000000"/>
                            <w:szCs w:val="24"/>
                          </w:rPr>
                        </w:pPr>
                        <w:r>
                          <w:rPr>
                            <w:color w:val="000000"/>
                            <w:szCs w:val="24"/>
                          </w:rPr>
                          <w:t>15.1.1.2. Visuomenės sveikatos rėmimo specialiosios programos koordinavimas. Pažangos priemonė „Ligų profilaktikos ir kontrolės programa“. (SVP 6-1-3).</w:t>
                        </w:r>
                      </w:p>
                    </w:tc>
                    <w:tc>
                      <w:tcPr>
                        <w:tcW w:w="993"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szCs w:val="24"/>
                          </w:rPr>
                          <w:t>80 %</w:t>
                        </w:r>
                      </w:p>
                    </w:tc>
                    <w:tc>
                      <w:tcPr>
                        <w:tcW w:w="851" w:type="dxa"/>
                      </w:tcPr>
                      <w:p>
                        <w:pPr>
                          <w:rPr>
                            <w:color w:val="000000"/>
                            <w:szCs w:val="24"/>
                          </w:rPr>
                        </w:pPr>
                        <w:r>
                          <w:rPr>
                            <w:szCs w:val="24"/>
                          </w:rPr>
                          <w:t>75 %</w:t>
                        </w:r>
                      </w:p>
                    </w:tc>
                    <w:tc>
                      <w:tcPr>
                        <w:tcW w:w="850" w:type="dxa"/>
                      </w:tcPr>
                      <w:p>
                        <w:pPr>
                          <w:rPr>
                            <w:color w:val="000000"/>
                            <w:szCs w:val="24"/>
                          </w:rPr>
                        </w:pPr>
                        <w:r>
                          <w:rPr>
                            <w:szCs w:val="24"/>
                          </w:rPr>
                          <w:t>67,8%</w:t>
                        </w:r>
                      </w:p>
                    </w:tc>
                    <w:tc>
                      <w:tcPr>
                        <w:tcW w:w="992" w:type="dxa"/>
                      </w:tcPr>
                      <w:p>
                        <w:pPr>
                          <w:rPr>
                            <w:color w:val="000000"/>
                            <w:szCs w:val="24"/>
                          </w:rPr>
                        </w:pPr>
                        <w:r>
                          <w:rPr>
                            <w:szCs w:val="24"/>
                          </w:rPr>
                          <w:t>19,75 SB; AA</w:t>
                        </w:r>
                      </w:p>
                    </w:tc>
                    <w:tc>
                      <w:tcPr>
                        <w:tcW w:w="993" w:type="dxa"/>
                      </w:tcPr>
                      <w:p>
                        <w:pPr>
                          <w:rPr>
                            <w:color w:val="000000"/>
                            <w:szCs w:val="24"/>
                          </w:rPr>
                        </w:pPr>
                        <w:r>
                          <w:rPr>
                            <w:szCs w:val="24"/>
                          </w:rPr>
                          <w:t>13,39 SB; AA</w:t>
                        </w:r>
                      </w:p>
                    </w:tc>
                    <w:tc>
                      <w:tcPr>
                        <w:tcW w:w="5386" w:type="dxa"/>
                        <w:vMerge/>
                      </w:tcPr>
                      <w:p>
                        <w:pPr>
                          <w:rPr>
                            <w:iCs/>
                            <w:szCs w:val="24"/>
                          </w:rPr>
                        </w:pPr>
                      </w:p>
                    </w:tc>
                  </w:tr>
                  <w:tr>
                    <w:trPr>
                      <w:trHeight w:val="365"/>
                    </w:trPr>
                    <w:tc>
                      <w:tcPr>
                        <w:tcW w:w="4253" w:type="dxa"/>
                      </w:tcPr>
                      <w:p>
                        <w:pPr>
                          <w:spacing w:line="259" w:lineRule="auto"/>
                          <w:rPr>
                            <w:bCs/>
                            <w:color w:val="000000"/>
                            <w:szCs w:val="24"/>
                          </w:rPr>
                        </w:pPr>
                        <w:r>
                          <w:rPr>
                            <w:szCs w:val="24"/>
                          </w:rPr>
                          <w:t xml:space="preserve">15.1.1.3. Visuomenės sveikatos rėmimo specialiosios programos koordinavimas. Pažangos priemonė „Visuomeninių organizacijų, vaikų ugdymo ir kultūros įstaigų sveikatinimo programa“ (SVP 6-1-3-10). </w:t>
                        </w:r>
                      </w:p>
                    </w:tc>
                    <w:tc>
                      <w:tcPr>
                        <w:tcW w:w="993"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color w:val="000000"/>
                            <w:szCs w:val="24"/>
                          </w:rPr>
                          <w:t xml:space="preserve">100 % </w:t>
                        </w:r>
                      </w:p>
                      <w:p>
                        <w:pPr>
                          <w:rPr>
                            <w:color w:val="000000"/>
                            <w:szCs w:val="24"/>
                          </w:rPr>
                        </w:pPr>
                      </w:p>
                    </w:tc>
                    <w:tc>
                      <w:tcPr>
                        <w:tcW w:w="851"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color w:val="000000"/>
                            <w:szCs w:val="24"/>
                          </w:rPr>
                          <w:t xml:space="preserve">100 % </w:t>
                        </w:r>
                      </w:p>
                      <w:p>
                        <w:pPr>
                          <w:rPr>
                            <w:color w:val="000000"/>
                            <w:szCs w:val="24"/>
                          </w:rPr>
                        </w:pPr>
                      </w:p>
                    </w:tc>
                    <w:tc>
                      <w:tcPr>
                        <w:tcW w:w="992" w:type="dxa"/>
                      </w:tcPr>
                      <w:p>
                        <w:pPr>
                          <w:rPr>
                            <w:color w:val="000000"/>
                            <w:szCs w:val="24"/>
                          </w:rPr>
                        </w:pPr>
                        <w:r>
                          <w:rPr>
                            <w:bCs/>
                            <w:szCs w:val="24"/>
                          </w:rPr>
                          <w:t xml:space="preserve">16,876 </w:t>
                        </w:r>
                        <w:r>
                          <w:rPr>
                            <w:szCs w:val="24"/>
                          </w:rPr>
                          <w:t>SB; AA</w:t>
                        </w:r>
                      </w:p>
                    </w:tc>
                    <w:tc>
                      <w:tcPr>
                        <w:tcW w:w="993" w:type="dxa"/>
                      </w:tcPr>
                      <w:p>
                        <w:pPr>
                          <w:rPr>
                            <w:color w:val="000000"/>
                            <w:szCs w:val="24"/>
                          </w:rPr>
                        </w:pPr>
                        <w:r>
                          <w:rPr>
                            <w:bCs/>
                            <w:szCs w:val="24"/>
                          </w:rPr>
                          <w:t xml:space="preserve">16,876 </w:t>
                        </w:r>
                        <w:r>
                          <w:rPr>
                            <w:szCs w:val="24"/>
                          </w:rPr>
                          <w:t>SB; AA</w:t>
                        </w:r>
                      </w:p>
                    </w:tc>
                    <w:tc>
                      <w:tcPr>
                        <w:tcW w:w="5386" w:type="dxa"/>
                        <w:vMerge/>
                      </w:tcPr>
                      <w:p>
                        <w:pPr>
                          <w:rPr>
                            <w:iCs/>
                            <w:szCs w:val="24"/>
                          </w:rPr>
                        </w:pPr>
                      </w:p>
                    </w:tc>
                  </w:tr>
                  <w:tr>
                    <w:trPr>
                      <w:trHeight w:val="365"/>
                    </w:trPr>
                    <w:tc>
                      <w:tcPr>
                        <w:tcW w:w="4253" w:type="dxa"/>
                      </w:tcPr>
                      <w:p>
                        <w:pPr>
                          <w:spacing w:line="259" w:lineRule="auto"/>
                          <w:rPr>
                            <w:szCs w:val="24"/>
                          </w:rPr>
                        </w:pPr>
                        <w:r>
                          <w:rPr>
                            <w:szCs w:val="24"/>
                          </w:rPr>
                          <w:t xml:space="preserve">15.1.1.4. Visuomenės sveikatos rėmimo specialiosios programos koordinavimas. Pažangos priemonė „Aplinkos teršimo poveikio nustatymo programa“ (SVP 6-1-3-12). </w:t>
                        </w:r>
                      </w:p>
                    </w:tc>
                    <w:tc>
                      <w:tcPr>
                        <w:tcW w:w="993"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color w:val="000000"/>
                            <w:szCs w:val="24"/>
                          </w:rPr>
                          <w:t xml:space="preserve">100 % </w:t>
                        </w:r>
                      </w:p>
                      <w:p>
                        <w:pPr>
                          <w:rPr>
                            <w:color w:val="000000"/>
                            <w:szCs w:val="24"/>
                          </w:rPr>
                        </w:pPr>
                      </w:p>
                    </w:tc>
                    <w:tc>
                      <w:tcPr>
                        <w:tcW w:w="851" w:type="dxa"/>
                      </w:tcPr>
                      <w:p>
                        <w:pPr>
                          <w:rPr>
                            <w:color w:val="000000"/>
                            <w:szCs w:val="24"/>
                          </w:rPr>
                        </w:pPr>
                        <w:r>
                          <w:rPr>
                            <w:color w:val="000000"/>
                            <w:szCs w:val="24"/>
                          </w:rPr>
                          <w:t xml:space="preserve">100 % </w:t>
                        </w:r>
                      </w:p>
                      <w:p>
                        <w:pPr>
                          <w:rPr>
                            <w:color w:val="000000"/>
                            <w:szCs w:val="24"/>
                          </w:rPr>
                        </w:pPr>
                      </w:p>
                    </w:tc>
                    <w:tc>
                      <w:tcPr>
                        <w:tcW w:w="850" w:type="dxa"/>
                      </w:tcPr>
                      <w:p>
                        <w:pPr>
                          <w:rPr>
                            <w:color w:val="000000"/>
                            <w:szCs w:val="24"/>
                          </w:rPr>
                        </w:pPr>
                        <w:r>
                          <w:rPr>
                            <w:color w:val="000000"/>
                            <w:szCs w:val="24"/>
                          </w:rPr>
                          <w:t xml:space="preserve">100 % </w:t>
                        </w:r>
                      </w:p>
                      <w:p>
                        <w:pPr>
                          <w:rPr>
                            <w:color w:val="000000"/>
                            <w:szCs w:val="24"/>
                          </w:rPr>
                        </w:pPr>
                      </w:p>
                    </w:tc>
                    <w:tc>
                      <w:tcPr>
                        <w:tcW w:w="992" w:type="dxa"/>
                      </w:tcPr>
                      <w:p>
                        <w:pPr>
                          <w:rPr>
                            <w:bCs/>
                            <w:szCs w:val="24"/>
                          </w:rPr>
                        </w:pPr>
                        <w:r>
                          <w:rPr>
                            <w:szCs w:val="24"/>
                          </w:rPr>
                          <w:t>7,0 SB; AA</w:t>
                        </w:r>
                      </w:p>
                    </w:tc>
                    <w:tc>
                      <w:tcPr>
                        <w:tcW w:w="993" w:type="dxa"/>
                      </w:tcPr>
                      <w:p>
                        <w:pPr>
                          <w:rPr>
                            <w:bCs/>
                            <w:szCs w:val="24"/>
                          </w:rPr>
                        </w:pPr>
                        <w:r>
                          <w:rPr>
                            <w:szCs w:val="24"/>
                          </w:rPr>
                          <w:t>7,0 SB; AA</w:t>
                        </w:r>
                      </w:p>
                    </w:tc>
                    <w:tc>
                      <w:tcPr>
                        <w:tcW w:w="5386" w:type="dxa"/>
                        <w:vMerge/>
                      </w:tcPr>
                      <w:p>
                        <w:pPr>
                          <w:rPr>
                            <w:iCs/>
                            <w:szCs w:val="24"/>
                          </w:rPr>
                        </w:pPr>
                      </w:p>
                    </w:tc>
                  </w:tr>
                  <w:tr>
                    <w:trPr>
                      <w:trHeight w:val="365"/>
                    </w:trPr>
                    <w:tc>
                      <w:tcPr>
                        <w:tcW w:w="4253" w:type="dxa"/>
                      </w:tcPr>
                      <w:p>
                        <w:pPr>
                          <w:rPr>
                            <w:bCs/>
                            <w:szCs w:val="24"/>
                          </w:rPr>
                        </w:pPr>
                        <w:r>
                          <w:rPr>
                            <w:bCs/>
                            <w:szCs w:val="24"/>
                          </w:rPr>
                          <w:t>15.1.1.6 Priemonių, skatinančių sveikatos priežiūros specialistų pritraukimą, skaičius.</w:t>
                        </w:r>
                      </w:p>
                      <w:p>
                        <w:pPr>
                          <w:rPr>
                            <w:color w:val="000000"/>
                            <w:szCs w:val="24"/>
                          </w:rPr>
                        </w:pPr>
                        <w:r>
                          <w:rPr>
                            <w:color w:val="000000"/>
                            <w:szCs w:val="24"/>
                          </w:rPr>
                          <w:t xml:space="preserve">(SVP 6-1-3). </w:t>
                        </w:r>
                      </w:p>
                    </w:tc>
                    <w:tc>
                      <w:tcPr>
                        <w:tcW w:w="993" w:type="dxa"/>
                      </w:tcPr>
                      <w:p>
                        <w:pPr>
                          <w:rPr>
                            <w:szCs w:val="24"/>
                          </w:rPr>
                        </w:pPr>
                        <w:r>
                          <w:rPr>
                            <w:szCs w:val="24"/>
                          </w:rPr>
                          <w:t>1 vnt.</w:t>
                        </w:r>
                      </w:p>
                    </w:tc>
                    <w:tc>
                      <w:tcPr>
                        <w:tcW w:w="850" w:type="dxa"/>
                      </w:tcPr>
                      <w:p>
                        <w:pPr>
                          <w:rPr>
                            <w:szCs w:val="24"/>
                          </w:rPr>
                        </w:pPr>
                        <w:r>
                          <w:rPr>
                            <w:szCs w:val="24"/>
                          </w:rPr>
                          <w:t>-</w:t>
                        </w:r>
                      </w:p>
                    </w:tc>
                    <w:tc>
                      <w:tcPr>
                        <w:tcW w:w="851" w:type="dxa"/>
                      </w:tcPr>
                      <w:p>
                        <w:pPr>
                          <w:rPr>
                            <w:szCs w:val="24"/>
                          </w:rPr>
                        </w:pPr>
                        <w:r>
                          <w:rPr>
                            <w:szCs w:val="24"/>
                          </w:rPr>
                          <w:t>1</w:t>
                        </w:r>
                      </w:p>
                    </w:tc>
                    <w:tc>
                      <w:tcPr>
                        <w:tcW w:w="850" w:type="dxa"/>
                      </w:tcPr>
                      <w:p>
                        <w:pPr>
                          <w:rPr>
                            <w:szCs w:val="24"/>
                          </w:rPr>
                        </w:pPr>
                        <w:r>
                          <w:rPr>
                            <w:szCs w:val="24"/>
                          </w:rPr>
                          <w:t>1</w:t>
                        </w:r>
                      </w:p>
                    </w:tc>
                    <w:tc>
                      <w:tcPr>
                        <w:tcW w:w="992" w:type="dxa"/>
                      </w:tcPr>
                      <w:p>
                        <w:pPr>
                          <w:rPr>
                            <w:szCs w:val="24"/>
                          </w:rPr>
                        </w:pPr>
                        <w:r>
                          <w:rPr>
                            <w:szCs w:val="24"/>
                          </w:rPr>
                          <w:t>-</w:t>
                        </w:r>
                      </w:p>
                    </w:tc>
                    <w:tc>
                      <w:tcPr>
                        <w:tcW w:w="993" w:type="dxa"/>
                      </w:tcPr>
                      <w:p>
                        <w:pPr>
                          <w:rPr>
                            <w:szCs w:val="24"/>
                          </w:rPr>
                        </w:pPr>
                        <w:r>
                          <w:rPr>
                            <w:szCs w:val="24"/>
                          </w:rPr>
                          <w:t>-</w:t>
                        </w:r>
                      </w:p>
                    </w:tc>
                    <w:tc>
                      <w:tcPr>
                        <w:tcW w:w="5386" w:type="dxa"/>
                      </w:tcPr>
                      <w:p>
                        <w:pPr>
                          <w:rPr>
                            <w:iCs/>
                            <w:szCs w:val="24"/>
                          </w:rPr>
                        </w:pPr>
                        <w:r>
                          <w:rPr>
                            <w:bCs/>
                            <w:szCs w:val="24"/>
                          </w:rPr>
                          <w:t>Parengtas ir 2025 m. rugpjūčio 28 d. Radviliškio rajono savivaldybės taryboje patvirtintas sprendimas Nr. T-744. 9 slaugos studijų studentės pasirašė sutartis dėl 250 eurų mėnesinės stipendijos ir įsipareigojimo 3 metus dirbti po studijų baigimo. (</w:t>
                        </w:r>
                        <w:r>
                          <w:rPr>
                            <w:szCs w:val="24"/>
                          </w:rPr>
                          <w:t>Sveikatos reikalų koordinatorė)</w:t>
                        </w:r>
                      </w:p>
                    </w:tc>
                  </w:tr>
                  <w:tr>
                    <w:trPr>
                      <w:trHeight w:val="365"/>
                    </w:trPr>
                    <w:tc>
                      <w:tcPr>
                        <w:tcW w:w="15168" w:type="dxa"/>
                        <w:gridSpan w:val="8"/>
                      </w:tcPr>
                      <w:p>
                        <w:pPr>
                          <w:rPr>
                            <w:color w:val="000000"/>
                            <w:szCs w:val="24"/>
                          </w:rPr>
                        </w:pPr>
                        <w:r>
                          <w:rPr>
                            <w:color w:val="000000"/>
                            <w:szCs w:val="24"/>
                          </w:rPr>
                          <w:t>1.4. Didinti asmens sveikatos priežiūros paslaugų prieinamumą ir gerinti kokybę</w:t>
                        </w:r>
                      </w:p>
                    </w:tc>
                  </w:tr>
                  <w:tr>
                    <w:trPr>
                      <w:trHeight w:val="1145"/>
                    </w:trPr>
                    <w:tc>
                      <w:tcPr>
                        <w:tcW w:w="4253" w:type="dxa"/>
                      </w:tcPr>
                      <w:p>
                        <w:pPr>
                          <w:rPr>
                            <w:bCs/>
                            <w:color w:val="000000"/>
                            <w:szCs w:val="24"/>
                          </w:rPr>
                        </w:pPr>
                        <w:r>
                          <w:rPr>
                            <w:bCs/>
                            <w:szCs w:val="24"/>
                          </w:rPr>
                          <w:t>Rodiklis: P-06-01-04-02 Kompensacijas, įsirengusiems vandens išgavimo ir gerinimo įrenginius, gavusių gyventojų skaičius</w:t>
                        </w:r>
                      </w:p>
                    </w:tc>
                    <w:tc>
                      <w:tcPr>
                        <w:tcW w:w="993" w:type="dxa"/>
                      </w:tcPr>
                      <w:p>
                        <w:pPr>
                          <w:rPr>
                            <w:color w:val="000000"/>
                            <w:szCs w:val="24"/>
                          </w:rPr>
                        </w:pPr>
                        <w:r>
                          <w:rPr>
                            <w:color w:val="000000"/>
                            <w:szCs w:val="24"/>
                          </w:rPr>
                          <w:t xml:space="preserve">50 vnt. </w:t>
                        </w:r>
                      </w:p>
                      <w:p>
                        <w:pPr>
                          <w:rPr>
                            <w:color w:val="000000"/>
                            <w:szCs w:val="24"/>
                          </w:rPr>
                        </w:pPr>
                      </w:p>
                    </w:tc>
                    <w:tc>
                      <w:tcPr>
                        <w:tcW w:w="850" w:type="dxa"/>
                      </w:tcPr>
                      <w:p>
                        <w:pPr>
                          <w:rPr>
                            <w:color w:val="000000"/>
                            <w:szCs w:val="24"/>
                          </w:rPr>
                        </w:pPr>
                        <w:r>
                          <w:rPr>
                            <w:iCs/>
                            <w:szCs w:val="24"/>
                          </w:rPr>
                          <w:t>2</w:t>
                        </w:r>
                      </w:p>
                    </w:tc>
                    <w:tc>
                      <w:tcPr>
                        <w:tcW w:w="851" w:type="dxa"/>
                      </w:tcPr>
                      <w:p>
                        <w:pPr>
                          <w:rPr>
                            <w:color w:val="000000"/>
                            <w:szCs w:val="24"/>
                          </w:rPr>
                        </w:pPr>
                        <w:r>
                          <w:rPr>
                            <w:iCs/>
                            <w:szCs w:val="24"/>
                          </w:rPr>
                          <w:t>2</w:t>
                        </w:r>
                      </w:p>
                    </w:tc>
                    <w:tc>
                      <w:tcPr>
                        <w:tcW w:w="850" w:type="dxa"/>
                      </w:tcPr>
                      <w:p>
                        <w:pPr>
                          <w:rPr>
                            <w:color w:val="000000"/>
                            <w:szCs w:val="24"/>
                          </w:rPr>
                        </w:pPr>
                        <w:r>
                          <w:rPr>
                            <w:szCs w:val="24"/>
                          </w:rPr>
                          <w:t>35</w:t>
                        </w:r>
                      </w:p>
                    </w:tc>
                    <w:tc>
                      <w:tcPr>
                        <w:tcW w:w="992" w:type="dxa"/>
                      </w:tcPr>
                      <w:p>
                        <w:pPr>
                          <w:rPr>
                            <w:color w:val="000000"/>
                            <w:szCs w:val="24"/>
                          </w:rPr>
                        </w:pPr>
                        <w:r>
                          <w:rPr>
                            <w:szCs w:val="24"/>
                          </w:rPr>
                          <w:t>50 SB</w:t>
                        </w:r>
                      </w:p>
                    </w:tc>
                    <w:tc>
                      <w:tcPr>
                        <w:tcW w:w="993" w:type="dxa"/>
                      </w:tcPr>
                      <w:p>
                        <w:pPr>
                          <w:rPr>
                            <w:color w:val="000000"/>
                            <w:szCs w:val="24"/>
                          </w:rPr>
                        </w:pPr>
                        <w:r>
                          <w:rPr>
                            <w:iCs/>
                            <w:szCs w:val="24"/>
                          </w:rPr>
                          <w:t>33,727 SB</w:t>
                        </w:r>
                      </w:p>
                    </w:tc>
                    <w:tc>
                      <w:tcPr>
                        <w:tcW w:w="5386" w:type="dxa"/>
                      </w:tcPr>
                      <w:p>
                        <w:pPr>
                          <w:rPr>
                            <w:color w:val="000000"/>
                            <w:szCs w:val="24"/>
                          </w:rPr>
                        </w:pPr>
                        <w:r>
                          <w:rPr>
                            <w:color w:val="000000"/>
                            <w:szCs w:val="24"/>
                          </w:rPr>
                          <w:t>Vykdyta pažangos finansavimo kompensuojant gyventojams, įsirengusiems vandens išgavimo ir gerinimo įrenginius, veikla</w:t>
                        </w:r>
                      </w:p>
                      <w:p>
                        <w:pPr>
                          <w:rPr>
                            <w:color w:val="000000"/>
                            <w:szCs w:val="24"/>
                          </w:rPr>
                        </w:pPr>
                        <w:r>
                          <w:rPr>
                            <w:color w:val="000000"/>
                            <w:szCs w:val="24"/>
                          </w:rPr>
                          <w:t>(Investicijų ir turto valdymo skyrius)</w:t>
                        </w:r>
                      </w:p>
                    </w:tc>
                  </w:tr>
                  <w:tr>
                    <w:trPr>
                      <w:trHeight w:val="365"/>
                    </w:trPr>
                    <w:tc>
                      <w:tcPr>
                        <w:tcW w:w="15168" w:type="dxa"/>
                        <w:gridSpan w:val="8"/>
                      </w:tcPr>
                      <w:p>
                        <w:pPr>
                          <w:rPr>
                            <w:color w:val="000000"/>
                            <w:szCs w:val="24"/>
                          </w:rPr>
                        </w:pPr>
                        <w:r>
                          <w:rPr>
                            <w:color w:val="000000"/>
                            <w:szCs w:val="24"/>
                          </w:rPr>
                          <w:t>1.5. Uždavinys: Prižiūrėti rajono infrastruktūros objektus ir užtikrinti nepertraukiamą komunalinių paslaugų teikimą.</w:t>
                        </w:r>
                      </w:p>
                    </w:tc>
                  </w:tr>
                  <w:tr>
                    <w:trPr>
                      <w:trHeight w:val="365"/>
                    </w:trPr>
                    <w:tc>
                      <w:tcPr>
                        <w:tcW w:w="4253" w:type="dxa"/>
                      </w:tcPr>
                      <w:p>
                        <w:pPr>
                          <w:rPr>
                            <w:bCs/>
                            <w:szCs w:val="24"/>
                          </w:rPr>
                        </w:pPr>
                        <w:r>
                          <w:rPr>
                            <w:bCs/>
                            <w:szCs w:val="24"/>
                          </w:rPr>
                          <w:t>Rodiklis: P-06-01-05-17A Pasinaudojusių viešųjų pirčių paslaugomis gyventojų skaičius</w:t>
                        </w:r>
                      </w:p>
                    </w:tc>
                    <w:tc>
                      <w:tcPr>
                        <w:tcW w:w="993" w:type="dxa"/>
                      </w:tcPr>
                      <w:p>
                        <w:pPr>
                          <w:rPr>
                            <w:color w:val="000000"/>
                            <w:szCs w:val="24"/>
                          </w:rPr>
                        </w:pPr>
                        <w:r>
                          <w:rPr>
                            <w:iCs/>
                            <w:szCs w:val="24"/>
                          </w:rPr>
                          <w:t>800 vnt.</w:t>
                        </w:r>
                      </w:p>
                    </w:tc>
                    <w:tc>
                      <w:tcPr>
                        <w:tcW w:w="850" w:type="dxa"/>
                      </w:tcPr>
                      <w:p>
                        <w:pPr>
                          <w:rPr>
                            <w:color w:val="000000"/>
                            <w:szCs w:val="24"/>
                          </w:rPr>
                        </w:pPr>
                        <w:r>
                          <w:rPr>
                            <w:iCs/>
                            <w:szCs w:val="24"/>
                          </w:rPr>
                          <w:t>678</w:t>
                        </w:r>
                      </w:p>
                    </w:tc>
                    <w:tc>
                      <w:tcPr>
                        <w:tcW w:w="851" w:type="dxa"/>
                      </w:tcPr>
                      <w:p>
                        <w:pPr>
                          <w:rPr>
                            <w:color w:val="000000"/>
                            <w:szCs w:val="24"/>
                          </w:rPr>
                        </w:pPr>
                        <w:r>
                          <w:rPr>
                            <w:iCs/>
                            <w:szCs w:val="24"/>
                          </w:rPr>
                          <w:t>890</w:t>
                        </w:r>
                      </w:p>
                    </w:tc>
                    <w:tc>
                      <w:tcPr>
                        <w:tcW w:w="850" w:type="dxa"/>
                      </w:tcPr>
                      <w:p>
                        <w:pPr>
                          <w:rPr>
                            <w:color w:val="000000"/>
                            <w:szCs w:val="24"/>
                          </w:rPr>
                        </w:pPr>
                        <w:r>
                          <w:rPr>
                            <w:iCs/>
                            <w:szCs w:val="24"/>
                          </w:rPr>
                          <w:t>815</w:t>
                        </w:r>
                      </w:p>
                    </w:tc>
                    <w:tc>
                      <w:tcPr>
                        <w:tcW w:w="992" w:type="dxa"/>
                        <w:vMerge w:val="restart"/>
                      </w:tcPr>
                      <w:p>
                        <w:pPr>
                          <w:rPr>
                            <w:szCs w:val="24"/>
                          </w:rPr>
                        </w:pPr>
                        <w:r>
                          <w:rPr>
                            <w:szCs w:val="24"/>
                          </w:rPr>
                          <w:t xml:space="preserve">598,3 SB </w:t>
                        </w:r>
                      </w:p>
                    </w:tc>
                    <w:tc>
                      <w:tcPr>
                        <w:tcW w:w="993" w:type="dxa"/>
                        <w:vMerge w:val="restart"/>
                      </w:tcPr>
                      <w:p>
                        <w:pPr>
                          <w:rPr>
                            <w:szCs w:val="24"/>
                          </w:rPr>
                        </w:pPr>
                        <w:r>
                          <w:rPr>
                            <w:iCs/>
                            <w:szCs w:val="24"/>
                          </w:rPr>
                          <w:t>620,301 SB</w:t>
                        </w:r>
                      </w:p>
                    </w:tc>
                    <w:tc>
                      <w:tcPr>
                        <w:tcW w:w="5386" w:type="dxa"/>
                      </w:tcPr>
                      <w:p>
                        <w:pPr>
                          <w:rPr>
                            <w:szCs w:val="24"/>
                          </w:rPr>
                        </w:pPr>
                        <w:r>
                          <w:rPr>
                            <w:szCs w:val="24"/>
                          </w:rPr>
                          <w:t>Vykdyta tęstinė viešųjų pirčių paslaugų kompensavimo veikla</w:t>
                        </w:r>
                      </w:p>
                      <w:p>
                        <w:pPr>
                          <w:rPr>
                            <w:szCs w:val="24"/>
                          </w:rPr>
                        </w:pPr>
                        <w:r>
                          <w:rPr>
                            <w:szCs w:val="24"/>
                          </w:rPr>
                          <w:t>(Investicijų ir turto valdymo skyrius)</w:t>
                        </w:r>
                      </w:p>
                    </w:tc>
                  </w:tr>
                  <w:tr>
                    <w:trPr>
                      <w:trHeight w:val="365"/>
                    </w:trPr>
                    <w:tc>
                      <w:tcPr>
                        <w:tcW w:w="4253" w:type="dxa"/>
                      </w:tcPr>
                      <w:p>
                        <w:pPr>
                          <w:rPr>
                            <w:szCs w:val="24"/>
                          </w:rPr>
                        </w:pPr>
                        <w:r>
                          <w:rPr>
                            <w:iCs/>
                            <w:szCs w:val="24"/>
                          </w:rPr>
                          <w:t>Rodiklis: P-06-01-05-19 Gavusiųjų geriamojo vandens</w:t>
                        </w:r>
                        <w:r>
                          <w:rPr>
                            <w:szCs w:val="24"/>
                          </w:rPr>
                          <w:t xml:space="preserve"> kainų skirtumo kompensacijas skaičius</w:t>
                        </w:r>
                      </w:p>
                    </w:tc>
                    <w:tc>
                      <w:tcPr>
                        <w:tcW w:w="993" w:type="dxa"/>
                      </w:tcPr>
                      <w:p>
                        <w:pPr>
                          <w:rPr>
                            <w:color w:val="000000"/>
                            <w:szCs w:val="24"/>
                          </w:rPr>
                        </w:pPr>
                        <w:r>
                          <w:rPr>
                            <w:szCs w:val="24"/>
                          </w:rPr>
                          <w:t xml:space="preserve">5 vnt. </w:t>
                        </w:r>
                      </w:p>
                    </w:tc>
                    <w:tc>
                      <w:tcPr>
                        <w:tcW w:w="850" w:type="dxa"/>
                      </w:tcPr>
                      <w:p>
                        <w:pPr>
                          <w:rPr>
                            <w:iCs/>
                            <w:szCs w:val="24"/>
                          </w:rPr>
                        </w:pPr>
                        <w:r>
                          <w:rPr>
                            <w:iCs/>
                            <w:szCs w:val="24"/>
                          </w:rPr>
                          <w:t>5</w:t>
                        </w:r>
                      </w:p>
                    </w:tc>
                    <w:tc>
                      <w:tcPr>
                        <w:tcW w:w="851" w:type="dxa"/>
                      </w:tcPr>
                      <w:p>
                        <w:pPr>
                          <w:rPr>
                            <w:color w:val="000000"/>
                            <w:szCs w:val="24"/>
                          </w:rPr>
                        </w:pPr>
                        <w:r>
                          <w:rPr>
                            <w:iCs/>
                            <w:szCs w:val="24"/>
                          </w:rPr>
                          <w:t>5</w:t>
                        </w:r>
                      </w:p>
                    </w:tc>
                    <w:tc>
                      <w:tcPr>
                        <w:tcW w:w="850" w:type="dxa"/>
                      </w:tcPr>
                      <w:p>
                        <w:pPr>
                          <w:rPr>
                            <w:color w:val="000000"/>
                            <w:szCs w:val="24"/>
                          </w:rPr>
                        </w:pPr>
                        <w:r>
                          <w:rPr>
                            <w:iCs/>
                            <w:szCs w:val="24"/>
                          </w:rPr>
                          <w:t>5</w:t>
                        </w:r>
                      </w:p>
                    </w:tc>
                    <w:tc>
                      <w:tcPr>
                        <w:tcW w:w="992" w:type="dxa"/>
                        <w:vMerge/>
                      </w:tcPr>
                      <w:p>
                        <w:pPr>
                          <w:rPr>
                            <w:iCs/>
                            <w:szCs w:val="24"/>
                          </w:rPr>
                        </w:pPr>
                      </w:p>
                    </w:tc>
                    <w:tc>
                      <w:tcPr>
                        <w:tcW w:w="993" w:type="dxa"/>
                        <w:vMerge/>
                      </w:tcPr>
                      <w:p>
                        <w:pPr>
                          <w:rPr>
                            <w:iCs/>
                            <w:szCs w:val="24"/>
                          </w:rPr>
                        </w:pPr>
                      </w:p>
                    </w:tc>
                    <w:tc>
                      <w:tcPr>
                        <w:tcW w:w="5386" w:type="dxa"/>
                      </w:tcPr>
                      <w:p>
                        <w:pPr>
                          <w:rPr>
                            <w:szCs w:val="24"/>
                          </w:rPr>
                        </w:pPr>
                        <w:r>
                          <w:rPr>
                            <w:szCs w:val="24"/>
                          </w:rPr>
                          <w:t>Vykdyta tęstinė geriamojo vandens kainų skirtumo kompensavimo veikla. (Investicijų ir turto valdymo skyrius)</w:t>
                        </w:r>
                      </w:p>
                    </w:tc>
                  </w:tr>
                  <w:tr>
                    <w:trPr>
                      <w:trHeight w:val="878"/>
                    </w:trPr>
                    <w:tc>
                      <w:tcPr>
                        <w:tcW w:w="4253" w:type="dxa"/>
                      </w:tcPr>
                      <w:p>
                        <w:pPr>
                          <w:rPr>
                            <w:bCs/>
                            <w:iCs/>
                            <w:szCs w:val="24"/>
                          </w:rPr>
                        </w:pPr>
                        <w:r>
                          <w:rPr>
                            <w:iCs/>
                            <w:szCs w:val="24"/>
                          </w:rPr>
                          <w:t>Rodiklis: P-06-01-05-22 Paruošta daugiabučių namų modernizavimo investicinių ir energetinių projektų</w:t>
                        </w:r>
                      </w:p>
                    </w:tc>
                    <w:tc>
                      <w:tcPr>
                        <w:tcW w:w="993" w:type="dxa"/>
                      </w:tcPr>
                      <w:tbl>
                        <w:tblPr>
                          <w:tblW w:w="0" w:type="auto"/>
                          <w:tblBorders>
                            <w:top w:val="nil"/>
                            <w:left w:val="nil"/>
                            <w:bottom w:val="nil"/>
                            <w:right w:val="nil"/>
                          </w:tblBorders>
                          <w:tblLayout w:type="fixed"/>
                          <w:tblLook w:val="0000" w:firstRow="0" w:lastRow="0" w:firstColumn="0" w:lastColumn="0" w:noHBand="0" w:noVBand="0"/>
                        </w:tblPr>
                        <w:tblGrid>
                          <w:gridCol w:w="601"/>
                        </w:tblGrid>
                        <w:tr>
                          <w:trPr>
                            <w:trHeight w:val="109"/>
                          </w:trPr>
                          <w:tc>
                            <w:tcPr>
                              <w:tcW w:w="601" w:type="dxa"/>
                            </w:tcPr>
                            <w:p>
                              <w:pPr>
                                <w:ind w:right="-249"/>
                                <w:rPr>
                                  <w:color w:val="000000"/>
                                  <w:szCs w:val="24"/>
                                </w:rPr>
                              </w:pPr>
                              <w:r>
                                <w:rPr>
                                  <w:color w:val="000000"/>
                                  <w:szCs w:val="24"/>
                                </w:rPr>
                                <w:t xml:space="preserve">20 vnt. </w:t>
                              </w:r>
                            </w:p>
                          </w:tc>
                        </w:tr>
                      </w:tbl>
                      <w:p>
                        <w:pPr>
                          <w:ind w:firstLine="62"/>
                          <w:rPr>
                            <w:color w:val="000000"/>
                            <w:szCs w:val="24"/>
                          </w:rPr>
                        </w:pPr>
                      </w:p>
                    </w:tc>
                    <w:tc>
                      <w:tcPr>
                        <w:tcW w:w="850" w:type="dxa"/>
                      </w:tcPr>
                      <w:p>
                        <w:pPr>
                          <w:rPr>
                            <w:iCs/>
                            <w:szCs w:val="24"/>
                          </w:rPr>
                        </w:pPr>
                        <w:r>
                          <w:rPr>
                            <w:iCs/>
                            <w:szCs w:val="24"/>
                          </w:rPr>
                          <w:t>6</w:t>
                        </w:r>
                      </w:p>
                    </w:tc>
                    <w:tc>
                      <w:tcPr>
                        <w:tcW w:w="851" w:type="dxa"/>
                      </w:tcPr>
                      <w:p>
                        <w:pPr>
                          <w:rPr>
                            <w:color w:val="000000"/>
                            <w:szCs w:val="24"/>
                          </w:rPr>
                        </w:pPr>
                        <w:r>
                          <w:rPr>
                            <w:iCs/>
                            <w:szCs w:val="24"/>
                          </w:rPr>
                          <w:t>0</w:t>
                        </w:r>
                      </w:p>
                    </w:tc>
                    <w:tc>
                      <w:tcPr>
                        <w:tcW w:w="850" w:type="dxa"/>
                      </w:tcPr>
                      <w:p>
                        <w:pPr>
                          <w:rPr>
                            <w:color w:val="000000"/>
                            <w:szCs w:val="24"/>
                          </w:rPr>
                        </w:pPr>
                        <w:r>
                          <w:rPr>
                            <w:iCs/>
                            <w:szCs w:val="24"/>
                          </w:rPr>
                          <w:t>7</w:t>
                        </w:r>
                      </w:p>
                    </w:tc>
                    <w:tc>
                      <w:tcPr>
                        <w:tcW w:w="992" w:type="dxa"/>
                        <w:vMerge/>
                      </w:tcPr>
                      <w:p>
                        <w:pPr>
                          <w:rPr>
                            <w:iCs/>
                            <w:szCs w:val="24"/>
                          </w:rPr>
                        </w:pPr>
                      </w:p>
                    </w:tc>
                    <w:tc>
                      <w:tcPr>
                        <w:tcW w:w="993" w:type="dxa"/>
                        <w:vMerge/>
                      </w:tcPr>
                      <w:p>
                        <w:pPr>
                          <w:rPr>
                            <w:iCs/>
                            <w:szCs w:val="24"/>
                          </w:rPr>
                        </w:pPr>
                      </w:p>
                    </w:tc>
                    <w:tc>
                      <w:tcPr>
                        <w:tcW w:w="5386" w:type="dxa"/>
                      </w:tcPr>
                      <w:p>
                        <w:pPr>
                          <w:rPr>
                            <w:iCs/>
                            <w:szCs w:val="24"/>
                          </w:rPr>
                        </w:pPr>
                        <w:r>
                          <w:rPr>
                            <w:iCs/>
                            <w:szCs w:val="24"/>
                          </w:rPr>
                          <w:t>Vykdyta tęstinė daugiabučių namų modernizavimo, siekiant didinti energijos vartojimo efektyvumą, veikla(Investicijų ir turto valdymo skyrius)</w:t>
                        </w:r>
                      </w:p>
                    </w:tc>
                  </w:tr>
                  <w:tr>
                    <w:trPr>
                      <w:trHeight w:val="365"/>
                    </w:trPr>
                    <w:tc>
                      <w:tcPr>
                        <w:tcW w:w="4253" w:type="dxa"/>
                      </w:tcPr>
                      <w:p>
                        <w:pPr>
                          <w:rPr>
                            <w:bCs/>
                            <w:szCs w:val="24"/>
                          </w:rPr>
                        </w:pPr>
                        <w:r>
                          <w:rPr>
                            <w:iCs/>
                            <w:szCs w:val="24"/>
                          </w:rPr>
                          <w:t xml:space="preserve">Rodiklis: P-06-01-05-25 </w:t>
                        </w:r>
                        <w:r>
                          <w:rPr>
                            <w:bCs/>
                            <w:szCs w:val="24"/>
                          </w:rPr>
                          <w:t>Nutiestų vandentiekio tinklų ilgis</w:t>
                        </w:r>
                      </w:p>
                    </w:tc>
                    <w:tc>
                      <w:tcPr>
                        <w:tcW w:w="99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1,0 km </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iCs/>
                            <w:szCs w:val="24"/>
                          </w:rPr>
                        </w:pPr>
                        <w:r>
                          <w:rPr>
                            <w:szCs w:val="24"/>
                          </w:rPr>
                          <w:t>1,121</w:t>
                        </w:r>
                      </w:p>
                    </w:tc>
                    <w:tc>
                      <w:tcPr>
                        <w:tcW w:w="851" w:type="dxa"/>
                        <w:tcBorders>
                          <w:top w:val="single" w:sz="4" w:space="0" w:color="auto"/>
                          <w:left w:val="single" w:sz="4" w:space="0" w:color="auto"/>
                          <w:bottom w:val="single" w:sz="4" w:space="0" w:color="auto"/>
                          <w:right w:val="single" w:sz="4" w:space="0" w:color="auto"/>
                        </w:tcBorders>
                      </w:tcPr>
                      <w:p>
                        <w:pPr>
                          <w:rPr>
                            <w:color w:val="000000"/>
                            <w:szCs w:val="24"/>
                          </w:rPr>
                        </w:pPr>
                        <w:r>
                          <w:rPr>
                            <w:szCs w:val="24"/>
                          </w:rPr>
                          <w:t>1,458</w:t>
                        </w:r>
                      </w:p>
                    </w:tc>
                    <w:tc>
                      <w:tcPr>
                        <w:tcW w:w="850" w:type="dxa"/>
                        <w:tcBorders>
                          <w:top w:val="single" w:sz="4" w:space="0" w:color="auto"/>
                          <w:left w:val="single" w:sz="4" w:space="0" w:color="auto"/>
                          <w:bottom w:val="single" w:sz="4" w:space="0" w:color="auto"/>
                          <w:right w:val="single" w:sz="4" w:space="0" w:color="auto"/>
                        </w:tcBorders>
                      </w:tcPr>
                      <w:p>
                        <w:pPr>
                          <w:rPr>
                            <w:color w:val="000000"/>
                            <w:szCs w:val="24"/>
                          </w:rPr>
                        </w:pPr>
                        <w:r>
                          <w:rPr>
                            <w:iCs/>
                            <w:color w:val="000000"/>
                            <w:szCs w:val="24"/>
                          </w:rPr>
                          <w:t>0,342</w:t>
                        </w:r>
                      </w:p>
                    </w:tc>
                    <w:tc>
                      <w:tcPr>
                        <w:tcW w:w="992" w:type="dxa"/>
                        <w:vMerge/>
                      </w:tcPr>
                      <w:p>
                        <w:pPr>
                          <w:rPr>
                            <w:iCs/>
                            <w:szCs w:val="24"/>
                          </w:rPr>
                        </w:pPr>
                      </w:p>
                    </w:tc>
                    <w:tc>
                      <w:tcPr>
                        <w:tcW w:w="993" w:type="dxa"/>
                        <w:vMerge/>
                      </w:tcPr>
                      <w:p>
                        <w:pPr>
                          <w:rPr>
                            <w:iCs/>
                            <w:szCs w:val="24"/>
                          </w:rPr>
                        </w:pPr>
                      </w:p>
                    </w:tc>
                    <w:tc>
                      <w:tcPr>
                        <w:tcW w:w="5386" w:type="dxa"/>
                        <w:vMerge w:val="restart"/>
                      </w:tcPr>
                      <w:p>
                        <w:pPr>
                          <w:rPr>
                            <w:szCs w:val="24"/>
                          </w:rPr>
                        </w:pPr>
                        <w:r>
                          <w:rPr>
                            <w:szCs w:val="24"/>
                          </w:rPr>
                          <w:t>Vykdyta tęstinė veikla dotuojant UAB „Radviliškio vanduo“ teikiamas paslaugas (geriamojo vandens tiekimo ir nuotekų tvarkymo paslaugų prieinamumo ir efektyvumo didinimas Radviliškio rajono savivaldybėje, modernizuojant ir išplečiant paslaugų teikimui būtiną infrastruktūrą). (Investicijų ir turto valdymo skyrius)</w:t>
                        </w:r>
                      </w:p>
                    </w:tc>
                  </w:tr>
                  <w:tr>
                    <w:trPr>
                      <w:trHeight w:val="365"/>
                    </w:trPr>
                    <w:tc>
                      <w:tcPr>
                        <w:tcW w:w="4253" w:type="dxa"/>
                      </w:tcPr>
                      <w:p>
                        <w:pPr>
                          <w:rPr>
                            <w:bCs/>
                            <w:szCs w:val="24"/>
                          </w:rPr>
                        </w:pPr>
                        <w:r>
                          <w:rPr>
                            <w:bCs/>
                            <w:szCs w:val="24"/>
                          </w:rPr>
                          <w:t>Rodiklis: P-06-01-05-25 Nutiestų nuotekų tinklų ilgis</w:t>
                        </w:r>
                      </w:p>
                    </w:tc>
                    <w:tc>
                      <w:tcPr>
                        <w:tcW w:w="99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1,0 km </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iCs/>
                            <w:szCs w:val="24"/>
                          </w:rPr>
                        </w:pPr>
                        <w:r>
                          <w:rPr>
                            <w:szCs w:val="24"/>
                          </w:rPr>
                          <w:t>0,292</w:t>
                        </w:r>
                      </w:p>
                    </w:tc>
                    <w:tc>
                      <w:tcPr>
                        <w:tcW w:w="851" w:type="dxa"/>
                        <w:tcBorders>
                          <w:top w:val="single" w:sz="4" w:space="0" w:color="auto"/>
                          <w:left w:val="single" w:sz="4" w:space="0" w:color="auto"/>
                          <w:bottom w:val="single" w:sz="4" w:space="0" w:color="auto"/>
                          <w:right w:val="single" w:sz="4" w:space="0" w:color="auto"/>
                        </w:tcBorders>
                      </w:tcPr>
                      <w:p>
                        <w:pPr>
                          <w:rPr>
                            <w:color w:val="000000"/>
                            <w:szCs w:val="24"/>
                          </w:rPr>
                        </w:pPr>
                        <w:r>
                          <w:rPr>
                            <w:szCs w:val="24"/>
                          </w:rPr>
                          <w:t>1,989</w:t>
                        </w:r>
                      </w:p>
                    </w:tc>
                    <w:tc>
                      <w:tcPr>
                        <w:tcW w:w="850" w:type="dxa"/>
                        <w:tcBorders>
                          <w:top w:val="single" w:sz="4" w:space="0" w:color="auto"/>
                          <w:left w:val="single" w:sz="4" w:space="0" w:color="auto"/>
                          <w:bottom w:val="single" w:sz="4" w:space="0" w:color="auto"/>
                          <w:right w:val="single" w:sz="4" w:space="0" w:color="auto"/>
                        </w:tcBorders>
                      </w:tcPr>
                      <w:p>
                        <w:pPr>
                          <w:rPr>
                            <w:color w:val="000000"/>
                            <w:szCs w:val="24"/>
                          </w:rPr>
                        </w:pPr>
                        <w:r>
                          <w:rPr>
                            <w:iCs/>
                            <w:color w:val="000000"/>
                            <w:szCs w:val="24"/>
                          </w:rPr>
                          <w:t>0,905</w:t>
                        </w:r>
                      </w:p>
                    </w:tc>
                    <w:tc>
                      <w:tcPr>
                        <w:tcW w:w="992" w:type="dxa"/>
                        <w:vMerge/>
                      </w:tcPr>
                      <w:p>
                        <w:pPr>
                          <w:rPr>
                            <w:iCs/>
                            <w:szCs w:val="24"/>
                          </w:rPr>
                        </w:pPr>
                      </w:p>
                    </w:tc>
                    <w:tc>
                      <w:tcPr>
                        <w:tcW w:w="993" w:type="dxa"/>
                        <w:vMerge/>
                      </w:tcPr>
                      <w:p>
                        <w:pPr>
                          <w:rPr>
                            <w:iCs/>
                            <w:szCs w:val="24"/>
                          </w:rPr>
                        </w:pPr>
                      </w:p>
                    </w:tc>
                    <w:tc>
                      <w:tcPr>
                        <w:tcW w:w="5386" w:type="dxa"/>
                        <w:vMerge/>
                      </w:tcPr>
                      <w:p>
                        <w:pPr>
                          <w:rPr>
                            <w:color w:val="000000"/>
                            <w:szCs w:val="24"/>
                          </w:rPr>
                        </w:pPr>
                      </w:p>
                    </w:tc>
                  </w:tr>
                  <w:tr>
                    <w:trPr>
                      <w:trHeight w:val="365"/>
                    </w:trPr>
                    <w:tc>
                      <w:tcPr>
                        <w:tcW w:w="4253" w:type="dxa"/>
                      </w:tcPr>
                      <w:p>
                        <w:pPr>
                          <w:rPr>
                            <w:bCs/>
                            <w:iCs/>
                            <w:szCs w:val="24"/>
                          </w:rPr>
                        </w:pPr>
                        <w:r>
                          <w:rPr>
                            <w:bCs/>
                            <w:szCs w:val="24"/>
                          </w:rPr>
                          <w:t>Rodiklis: P-06-01-05-25 Rekonstruotų nuotekų tinklų ilgis</w:t>
                        </w:r>
                      </w:p>
                    </w:tc>
                    <w:tc>
                      <w:tcPr>
                        <w:tcW w:w="99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0,04 km </w:t>
                        </w:r>
                      </w:p>
                    </w:tc>
                    <w:tc>
                      <w:tcPr>
                        <w:tcW w:w="850" w:type="dxa"/>
                        <w:tcBorders>
                          <w:top w:val="single" w:sz="4" w:space="0" w:color="auto"/>
                          <w:left w:val="single" w:sz="4" w:space="0" w:color="auto"/>
                          <w:bottom w:val="single" w:sz="4" w:space="0" w:color="auto"/>
                          <w:right w:val="single" w:sz="4" w:space="0" w:color="auto"/>
                        </w:tcBorders>
                        <w:shd w:val="clear" w:color="auto" w:fill="FFFFFF"/>
                      </w:tcPr>
                      <w:p>
                        <w:pPr>
                          <w:rPr>
                            <w:iCs/>
                            <w:szCs w:val="24"/>
                          </w:rPr>
                        </w:pPr>
                        <w:r>
                          <w:rPr>
                            <w:szCs w:val="24"/>
                          </w:rPr>
                          <w:t>0,045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pPr>
                          <w:rPr>
                            <w:color w:val="000000"/>
                            <w:szCs w:val="24"/>
                          </w:rPr>
                        </w:pPr>
                        <w:r>
                          <w:rPr>
                            <w:szCs w:val="24"/>
                          </w:rPr>
                          <w:t>0,039</w:t>
                        </w:r>
                      </w:p>
                    </w:tc>
                    <w:tc>
                      <w:tcPr>
                        <w:tcW w:w="850" w:type="dxa"/>
                        <w:tcBorders>
                          <w:top w:val="single" w:sz="4" w:space="0" w:color="auto"/>
                          <w:left w:val="single" w:sz="4" w:space="0" w:color="auto"/>
                          <w:bottom w:val="single" w:sz="4" w:space="0" w:color="auto"/>
                          <w:right w:val="single" w:sz="4" w:space="0" w:color="auto"/>
                        </w:tcBorders>
                        <w:shd w:val="clear" w:color="auto" w:fill="FFFFFF"/>
                      </w:tcPr>
                      <w:p>
                        <w:pPr>
                          <w:rPr>
                            <w:color w:val="000000"/>
                            <w:szCs w:val="24"/>
                          </w:rPr>
                        </w:pPr>
                        <w:r>
                          <w:rPr>
                            <w:iCs/>
                            <w:color w:val="000000"/>
                            <w:szCs w:val="24"/>
                          </w:rPr>
                          <w:t>0,400</w:t>
                        </w:r>
                      </w:p>
                    </w:tc>
                    <w:tc>
                      <w:tcPr>
                        <w:tcW w:w="992" w:type="dxa"/>
                        <w:vMerge/>
                      </w:tcPr>
                      <w:p>
                        <w:pPr>
                          <w:rPr>
                            <w:iCs/>
                            <w:szCs w:val="24"/>
                          </w:rPr>
                        </w:pPr>
                      </w:p>
                    </w:tc>
                    <w:tc>
                      <w:tcPr>
                        <w:tcW w:w="993" w:type="dxa"/>
                        <w:vMerge/>
                      </w:tcPr>
                      <w:p>
                        <w:pPr>
                          <w:rPr>
                            <w:iCs/>
                            <w:szCs w:val="24"/>
                          </w:rPr>
                        </w:pPr>
                      </w:p>
                    </w:tc>
                    <w:tc>
                      <w:tcPr>
                        <w:tcW w:w="5386" w:type="dxa"/>
                        <w:vMerge/>
                      </w:tcPr>
                      <w:p>
                        <w:pPr>
                          <w:rPr>
                            <w:color w:val="000000"/>
                            <w:szCs w:val="24"/>
                          </w:rPr>
                        </w:pPr>
                      </w:p>
                    </w:tc>
                  </w:tr>
                  <w:tr>
                    <w:trPr>
                      <w:trHeight w:val="365"/>
                    </w:trPr>
                    <w:tc>
                      <w:tcPr>
                        <w:tcW w:w="4253" w:type="dxa"/>
                      </w:tcPr>
                      <w:p>
                        <w:pPr>
                          <w:rPr>
                            <w:szCs w:val="24"/>
                          </w:rPr>
                        </w:pPr>
                        <w:r>
                          <w:rPr>
                            <w:szCs w:val="24"/>
                          </w:rPr>
                          <w:t>10.2.2.1. Tęstinė atsiskaitymo už komunalinių atliekų tvarkymą iš vietinės rinkliavos veikla VšĮ Šiaulių regiono atliekų tvarkymo centrui. (SVP 6-1-5-18)</w:t>
                        </w:r>
                      </w:p>
                    </w:tc>
                    <w:tc>
                      <w:tcPr>
                        <w:tcW w:w="993" w:type="dxa"/>
                      </w:tcPr>
                      <w:p>
                        <w:pPr>
                          <w:rPr>
                            <w:color w:val="000000"/>
                            <w:szCs w:val="24"/>
                          </w:rPr>
                        </w:pPr>
                        <w:r>
                          <w:rPr>
                            <w:szCs w:val="24"/>
                          </w:rPr>
                          <w:t>100%</w:t>
                        </w:r>
                      </w:p>
                    </w:tc>
                    <w:tc>
                      <w:tcPr>
                        <w:tcW w:w="850" w:type="dxa"/>
                      </w:tcPr>
                      <w:p>
                        <w:pPr>
                          <w:rPr>
                            <w:iCs/>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tcPr>
                      <w:p>
                        <w:pPr>
                          <w:rPr>
                            <w:iCs/>
                            <w:szCs w:val="24"/>
                          </w:rPr>
                        </w:pPr>
                        <w:r>
                          <w:rPr>
                            <w:szCs w:val="24"/>
                          </w:rPr>
                          <w:t>1 870 SB</w:t>
                        </w:r>
                      </w:p>
                    </w:tc>
                    <w:tc>
                      <w:tcPr>
                        <w:tcW w:w="993" w:type="dxa"/>
                      </w:tcPr>
                      <w:p>
                        <w:pPr>
                          <w:rPr>
                            <w:iCs/>
                            <w:szCs w:val="24"/>
                          </w:rPr>
                        </w:pPr>
                        <w:r>
                          <w:rPr>
                            <w:szCs w:val="24"/>
                          </w:rPr>
                          <w:t>1 870 SB</w:t>
                        </w:r>
                      </w:p>
                    </w:tc>
                    <w:tc>
                      <w:tcPr>
                        <w:tcW w:w="5386" w:type="dxa"/>
                      </w:tcPr>
                      <w:p>
                        <w:pPr>
                          <w:rPr>
                            <w:color w:val="000000"/>
                            <w:szCs w:val="24"/>
                          </w:rPr>
                        </w:pPr>
                        <w:r>
                          <w:rPr>
                            <w:szCs w:val="24"/>
                          </w:rPr>
                          <w:t>(Statybos ir viešosios tvarkos skyrius)</w:t>
                        </w:r>
                      </w:p>
                    </w:tc>
                  </w:tr>
                  <w:tr>
                    <w:trPr>
                      <w:trHeight w:val="365"/>
                    </w:trPr>
                    <w:tc>
                      <w:tcPr>
                        <w:tcW w:w="4253" w:type="dxa"/>
                      </w:tcPr>
                      <w:p>
                        <w:pPr>
                          <w:rPr>
                            <w:szCs w:val="24"/>
                          </w:rPr>
                        </w:pPr>
                        <w:r>
                          <w:rPr>
                            <w:szCs w:val="24"/>
                          </w:rPr>
                          <w:t>10.2.2.2. Tęstinė DNSB kūrimosi ir jungtinės veiklos sutarčių sudarymo skatinimo veikla. (SVP 6-1-5-23)</w:t>
                        </w:r>
                      </w:p>
                    </w:tc>
                    <w:tc>
                      <w:tcPr>
                        <w:tcW w:w="993" w:type="dxa"/>
                      </w:tcPr>
                      <w:p>
                        <w:pPr>
                          <w:rPr>
                            <w:color w:val="000000"/>
                            <w:szCs w:val="24"/>
                          </w:rPr>
                        </w:pPr>
                        <w:r>
                          <w:rPr>
                            <w:szCs w:val="24"/>
                          </w:rPr>
                          <w:t>100%</w:t>
                        </w:r>
                      </w:p>
                    </w:tc>
                    <w:tc>
                      <w:tcPr>
                        <w:tcW w:w="850" w:type="dxa"/>
                      </w:tcPr>
                      <w:p>
                        <w:pPr>
                          <w:rPr>
                            <w:iCs/>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tcPr>
                      <w:p>
                        <w:pPr>
                          <w:rPr>
                            <w:iCs/>
                            <w:szCs w:val="24"/>
                          </w:rPr>
                        </w:pPr>
                        <w:r>
                          <w:rPr>
                            <w:szCs w:val="24"/>
                          </w:rPr>
                          <w:t>7 (SB)</w:t>
                        </w:r>
                      </w:p>
                    </w:tc>
                    <w:tc>
                      <w:tcPr>
                        <w:tcW w:w="993" w:type="dxa"/>
                      </w:tcPr>
                      <w:p>
                        <w:pPr>
                          <w:rPr>
                            <w:iCs/>
                            <w:szCs w:val="24"/>
                          </w:rPr>
                        </w:pPr>
                        <w:r>
                          <w:rPr>
                            <w:szCs w:val="24"/>
                          </w:rPr>
                          <w:t>7 (SB)</w:t>
                        </w:r>
                      </w:p>
                    </w:tc>
                    <w:tc>
                      <w:tcPr>
                        <w:tcW w:w="5386" w:type="dxa"/>
                      </w:tcPr>
                      <w:p>
                        <w:pPr>
                          <w:rPr>
                            <w:szCs w:val="24"/>
                          </w:rPr>
                        </w:pPr>
                        <w:r>
                          <w:rPr>
                            <w:szCs w:val="24"/>
                          </w:rPr>
                          <w:t>Pateikta 13 paraiškų, kurias įvertinus buvo skirtas finansavimas.</w:t>
                        </w:r>
                      </w:p>
                      <w:p>
                        <w:pPr>
                          <w:rPr>
                            <w:color w:val="000000"/>
                            <w:szCs w:val="24"/>
                          </w:rPr>
                        </w:pPr>
                        <w:r>
                          <w:rPr>
                            <w:szCs w:val="24"/>
                          </w:rPr>
                          <w:t>(Statybos ir viešosios tvarkos skyrius)</w:t>
                        </w:r>
                      </w:p>
                    </w:tc>
                  </w:tr>
                  <w:tr>
                    <w:trPr>
                      <w:trHeight w:val="365"/>
                    </w:trPr>
                    <w:tc>
                      <w:tcPr>
                        <w:tcW w:w="4253" w:type="dxa"/>
                      </w:tcPr>
                      <w:p>
                        <w:pPr>
                          <w:rPr>
                            <w:szCs w:val="24"/>
                          </w:rPr>
                        </w:pPr>
                        <w:r>
                          <w:rPr>
                            <w:szCs w:val="24"/>
                          </w:rPr>
                          <w:t>10.2.2.3. Tęstinė bešeimininkio ir nereikalingo savivaldybei turto likvidavimo tvarka. Nustatytų bešeimininkių ar nereikalingų objektų likvidavimas. (SVP 6-1-5-24)</w:t>
                        </w:r>
                      </w:p>
                    </w:tc>
                    <w:tc>
                      <w:tcPr>
                        <w:tcW w:w="993" w:type="dxa"/>
                      </w:tcPr>
                      <w:p>
                        <w:pPr>
                          <w:rPr>
                            <w:color w:val="000000"/>
                            <w:szCs w:val="24"/>
                          </w:rPr>
                        </w:pPr>
                        <w:r>
                          <w:rPr>
                            <w:szCs w:val="24"/>
                          </w:rPr>
                          <w:t>100%</w:t>
                        </w:r>
                      </w:p>
                    </w:tc>
                    <w:tc>
                      <w:tcPr>
                        <w:tcW w:w="850" w:type="dxa"/>
                      </w:tcPr>
                      <w:p>
                        <w:pPr>
                          <w:rPr>
                            <w:iCs/>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tcPr>
                      <w:p>
                        <w:pPr>
                          <w:rPr>
                            <w:iCs/>
                            <w:szCs w:val="24"/>
                          </w:rPr>
                        </w:pPr>
                        <w:r>
                          <w:rPr>
                            <w:szCs w:val="24"/>
                          </w:rPr>
                          <w:t>50 SB</w:t>
                        </w:r>
                      </w:p>
                    </w:tc>
                    <w:tc>
                      <w:tcPr>
                        <w:tcW w:w="993" w:type="dxa"/>
                      </w:tcPr>
                      <w:p>
                        <w:pPr>
                          <w:rPr>
                            <w:iCs/>
                            <w:szCs w:val="24"/>
                          </w:rPr>
                        </w:pPr>
                        <w:r>
                          <w:rPr>
                            <w:szCs w:val="24"/>
                          </w:rPr>
                          <w:t>37,4 SB</w:t>
                        </w:r>
                      </w:p>
                    </w:tc>
                    <w:tc>
                      <w:tcPr>
                        <w:tcW w:w="5386" w:type="dxa"/>
                      </w:tcPr>
                      <w:p>
                        <w:pPr>
                          <w:rPr>
                            <w:szCs w:val="24"/>
                          </w:rPr>
                        </w:pPr>
                        <w:r>
                          <w:rPr>
                            <w:szCs w:val="24"/>
                          </w:rPr>
                          <w:t>Nugriauti avarinės būklės daugiabutis Daugėlaičių kaime ir bešeimininkiu turtu pripažintas administracinės paskirties pastatas, kuris kėlė grėsmę aplinkai, Pociūnėlių miestelyje. (Statybos ir viešosios tvarkos skyrius)</w:t>
                        </w:r>
                      </w:p>
                    </w:tc>
                  </w:tr>
                  <w:tr>
                    <w:trPr>
                      <w:trHeight w:val="365"/>
                    </w:trPr>
                    <w:tc>
                      <w:tcPr>
                        <w:tcW w:w="4253" w:type="dxa"/>
                      </w:tcPr>
                      <w:p>
                        <w:pPr>
                          <w:rPr>
                            <w:bCs/>
                            <w:iCs/>
                            <w:szCs w:val="24"/>
                          </w:rPr>
                        </w:pPr>
                        <w:r>
                          <w:rPr>
                            <w:szCs w:val="24"/>
                          </w:rPr>
                          <w:t>10.2.2.4. Dalyvaujamojo biudžeto patvirtintų projektų vykdymas. (SVP 6-1-5-28)</w:t>
                        </w:r>
                      </w:p>
                    </w:tc>
                    <w:tc>
                      <w:tcPr>
                        <w:tcW w:w="993" w:type="dxa"/>
                      </w:tcPr>
                      <w:p>
                        <w:pPr>
                          <w:rPr>
                            <w:color w:val="000000"/>
                            <w:szCs w:val="24"/>
                          </w:rPr>
                        </w:pPr>
                        <w:r>
                          <w:rPr>
                            <w:szCs w:val="24"/>
                          </w:rPr>
                          <w:t>100%</w:t>
                        </w:r>
                      </w:p>
                    </w:tc>
                    <w:tc>
                      <w:tcPr>
                        <w:tcW w:w="850" w:type="dxa"/>
                      </w:tcPr>
                      <w:p>
                        <w:pPr>
                          <w:rPr>
                            <w:iCs/>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tcPr>
                      <w:p>
                        <w:pPr>
                          <w:rPr>
                            <w:iCs/>
                            <w:szCs w:val="24"/>
                          </w:rPr>
                        </w:pPr>
                        <w:r>
                          <w:rPr>
                            <w:szCs w:val="24"/>
                          </w:rPr>
                          <w:t>50 SB</w:t>
                        </w:r>
                      </w:p>
                    </w:tc>
                    <w:tc>
                      <w:tcPr>
                        <w:tcW w:w="993" w:type="dxa"/>
                      </w:tcPr>
                      <w:p>
                        <w:pPr>
                          <w:rPr>
                            <w:iCs/>
                            <w:szCs w:val="24"/>
                          </w:rPr>
                        </w:pPr>
                        <w:r>
                          <w:rPr>
                            <w:szCs w:val="24"/>
                          </w:rPr>
                          <w:t>79,4 SB</w:t>
                        </w:r>
                      </w:p>
                    </w:tc>
                    <w:tc>
                      <w:tcPr>
                        <w:tcW w:w="5386" w:type="dxa"/>
                      </w:tcPr>
                      <w:p>
                        <w:pPr>
                          <w:rPr>
                            <w:szCs w:val="24"/>
                          </w:rPr>
                        </w:pPr>
                        <w:r>
                          <w:rPr>
                            <w:szCs w:val="24"/>
                          </w:rPr>
                          <w:t>Ataskaitiniu laikotarpiu lėšų buvo skirta papildomai.</w:t>
                        </w:r>
                      </w:p>
                      <w:p>
                        <w:pPr>
                          <w:rPr>
                            <w:szCs w:val="24"/>
                          </w:rPr>
                        </w:pPr>
                        <w:r>
                          <w:rPr>
                            <w:szCs w:val="24"/>
                          </w:rPr>
                          <w:t>Įgyvendinti trys 2025 metų dalyvaujamojo biudžeto projektai: Žaidimų aikštelės ir sporto įrenginių įrengimas Pašušvio sporto aikštyne; „Diskgolfo“ trasos Šeduvos miesto parke įrengimas; Poilsio ir laisvalaikio zonos kūrimas prie Vadaktų tvenkinio. (Statybos ir viešosios tvarkos skyrius)</w:t>
                        </w:r>
                      </w:p>
                    </w:tc>
                  </w:tr>
                  <w:tr>
                    <w:trPr>
                      <w:trHeight w:val="365"/>
                    </w:trPr>
                    <w:tc>
                      <w:tcPr>
                        <w:tcW w:w="4253" w:type="dxa"/>
                      </w:tcPr>
                      <w:p>
                        <w:pPr>
                          <w:rPr>
                            <w:szCs w:val="24"/>
                          </w:rPr>
                        </w:pPr>
                        <w:r>
                          <w:rPr>
                            <w:szCs w:val="24"/>
                          </w:rPr>
                          <w:t>10.2.2.5. Panevėžio g. 19, Šeduva (karšykla) aplinkos sutvarkymas.</w:t>
                        </w:r>
                      </w:p>
                      <w:p>
                        <w:pPr>
                          <w:ind w:firstLine="62"/>
                          <w:rPr>
                            <w:bCs/>
                            <w:iCs/>
                            <w:szCs w:val="24"/>
                          </w:rPr>
                        </w:pPr>
                        <w:r>
                          <w:rPr>
                            <w:szCs w:val="24"/>
                          </w:rPr>
                          <w:t>(SVP 6-1-5-33)</w:t>
                        </w:r>
                      </w:p>
                    </w:tc>
                    <w:tc>
                      <w:tcPr>
                        <w:tcW w:w="993" w:type="dxa"/>
                      </w:tcPr>
                      <w:p>
                        <w:pPr>
                          <w:rPr>
                            <w:color w:val="000000"/>
                            <w:szCs w:val="24"/>
                          </w:rPr>
                        </w:pPr>
                        <w:r>
                          <w:rPr>
                            <w:szCs w:val="24"/>
                          </w:rPr>
                          <w:t>100%</w:t>
                        </w:r>
                      </w:p>
                    </w:tc>
                    <w:tc>
                      <w:tcPr>
                        <w:tcW w:w="850" w:type="dxa"/>
                      </w:tcPr>
                      <w:p>
                        <w:pPr>
                          <w:rPr>
                            <w:iCs/>
                            <w:szCs w:val="24"/>
                          </w:rPr>
                        </w:pPr>
                        <w:r>
                          <w:rPr>
                            <w:szCs w:val="24"/>
                          </w:rPr>
                          <w:t>-</w:t>
                        </w:r>
                      </w:p>
                    </w:tc>
                    <w:tc>
                      <w:tcPr>
                        <w:tcW w:w="851" w:type="dxa"/>
                      </w:tcPr>
                      <w:p>
                        <w:pPr>
                          <w:rPr>
                            <w:color w:val="000000"/>
                            <w:szCs w:val="24"/>
                          </w:rPr>
                        </w:pPr>
                        <w:r>
                          <w:rPr>
                            <w:szCs w:val="24"/>
                          </w:rPr>
                          <w:t>-</w:t>
                        </w:r>
                      </w:p>
                    </w:tc>
                    <w:tc>
                      <w:tcPr>
                        <w:tcW w:w="850" w:type="dxa"/>
                      </w:tcPr>
                      <w:p>
                        <w:pPr>
                          <w:rPr>
                            <w:color w:val="000000"/>
                            <w:szCs w:val="24"/>
                          </w:rPr>
                        </w:pPr>
                        <w:r>
                          <w:rPr>
                            <w:szCs w:val="24"/>
                          </w:rPr>
                          <w:t>100%</w:t>
                        </w:r>
                      </w:p>
                    </w:tc>
                    <w:tc>
                      <w:tcPr>
                        <w:tcW w:w="992" w:type="dxa"/>
                      </w:tcPr>
                      <w:p>
                        <w:pPr>
                          <w:rPr>
                            <w:iCs/>
                            <w:szCs w:val="24"/>
                          </w:rPr>
                        </w:pPr>
                        <w:r>
                          <w:rPr>
                            <w:szCs w:val="24"/>
                          </w:rPr>
                          <w:t>40 SB</w:t>
                        </w:r>
                      </w:p>
                    </w:tc>
                    <w:tc>
                      <w:tcPr>
                        <w:tcW w:w="993" w:type="dxa"/>
                      </w:tcPr>
                      <w:p>
                        <w:pPr>
                          <w:rPr>
                            <w:iCs/>
                            <w:szCs w:val="24"/>
                          </w:rPr>
                        </w:pPr>
                        <w:r>
                          <w:rPr>
                            <w:szCs w:val="24"/>
                          </w:rPr>
                          <w:t>35,2 SB</w:t>
                        </w:r>
                      </w:p>
                    </w:tc>
                    <w:tc>
                      <w:tcPr>
                        <w:tcW w:w="5386" w:type="dxa"/>
                      </w:tcPr>
                      <w:p>
                        <w:pPr>
                          <w:rPr>
                            <w:szCs w:val="24"/>
                          </w:rPr>
                        </w:pPr>
                        <w:r>
                          <w:rPr>
                            <w:szCs w:val="24"/>
                          </w:rPr>
                          <w:t>Nupirktas ir karšyklos sklype pastatytas konteinerio tipo WC, kuriam įrengta pastatymo vieta. Sutvarkyta aplinka, įrengtas takas iki WC ir automobilių stovėjimo aikštelė. (Statybos ir viešosios tvarkos skyrius)</w:t>
                        </w:r>
                      </w:p>
                    </w:tc>
                  </w:tr>
                  <w:tr>
                    <w:trPr>
                      <w:trHeight w:val="365"/>
                    </w:trPr>
                    <w:tc>
                      <w:tcPr>
                        <w:tcW w:w="4253" w:type="dxa"/>
                      </w:tcPr>
                      <w:p>
                        <w:pPr>
                          <w:rPr>
                            <w:szCs w:val="24"/>
                          </w:rPr>
                        </w:pPr>
                        <w:r>
                          <w:rPr>
                            <w:szCs w:val="24"/>
                          </w:rPr>
                          <w:t xml:space="preserve">10.2.2.6. Kapinių skaitmenizavimas seniūnijose, duomenų sukėlimas į CEMETY sistemą. Radviliškio, Šeduvos, Baisogalos, Grinkiškio, Pašušvio ir Šiaulėnų kapinių skaitmenizavimas. </w:t>
                        </w:r>
                      </w:p>
                      <w:p>
                        <w:pPr>
                          <w:rPr>
                            <w:bCs/>
                            <w:iCs/>
                            <w:szCs w:val="24"/>
                          </w:rPr>
                        </w:pPr>
                        <w:r>
                          <w:rPr>
                            <w:szCs w:val="24"/>
                          </w:rPr>
                          <w:t>(SVP 6-1-5-36)</w:t>
                        </w:r>
                      </w:p>
                    </w:tc>
                    <w:tc>
                      <w:tcPr>
                        <w:tcW w:w="993" w:type="dxa"/>
                      </w:tcPr>
                      <w:p>
                        <w:pPr>
                          <w:rPr>
                            <w:color w:val="000000"/>
                            <w:szCs w:val="24"/>
                          </w:rPr>
                        </w:pPr>
                        <w:r>
                          <w:rPr>
                            <w:szCs w:val="24"/>
                          </w:rPr>
                          <w:t>100%</w:t>
                        </w:r>
                      </w:p>
                    </w:tc>
                    <w:tc>
                      <w:tcPr>
                        <w:tcW w:w="850" w:type="dxa"/>
                      </w:tcPr>
                      <w:p>
                        <w:pPr>
                          <w:rPr>
                            <w:iCs/>
                            <w:szCs w:val="24"/>
                          </w:rPr>
                        </w:pPr>
                        <w:r>
                          <w:rPr>
                            <w:szCs w:val="24"/>
                          </w:rPr>
                          <w:t>-</w:t>
                        </w:r>
                      </w:p>
                    </w:tc>
                    <w:tc>
                      <w:tcPr>
                        <w:tcW w:w="851" w:type="dxa"/>
                      </w:tcPr>
                      <w:p>
                        <w:pPr>
                          <w:rPr>
                            <w:color w:val="000000"/>
                            <w:szCs w:val="24"/>
                          </w:rPr>
                        </w:pPr>
                        <w:r>
                          <w:rPr>
                            <w:szCs w:val="24"/>
                          </w:rPr>
                          <w:t>-</w:t>
                        </w:r>
                      </w:p>
                    </w:tc>
                    <w:tc>
                      <w:tcPr>
                        <w:tcW w:w="850" w:type="dxa"/>
                      </w:tcPr>
                      <w:p>
                        <w:pPr>
                          <w:rPr>
                            <w:color w:val="000000"/>
                            <w:szCs w:val="24"/>
                          </w:rPr>
                        </w:pPr>
                        <w:r>
                          <w:rPr>
                            <w:szCs w:val="24"/>
                          </w:rPr>
                          <w:t>0%</w:t>
                        </w:r>
                      </w:p>
                    </w:tc>
                    <w:tc>
                      <w:tcPr>
                        <w:tcW w:w="992" w:type="dxa"/>
                      </w:tcPr>
                      <w:p>
                        <w:pPr>
                          <w:rPr>
                            <w:iCs/>
                            <w:szCs w:val="24"/>
                          </w:rPr>
                        </w:pPr>
                        <w:r>
                          <w:rPr>
                            <w:szCs w:val="24"/>
                          </w:rPr>
                          <w:t>16 SB</w:t>
                        </w:r>
                      </w:p>
                    </w:tc>
                    <w:tc>
                      <w:tcPr>
                        <w:tcW w:w="993" w:type="dxa"/>
                      </w:tcPr>
                      <w:p>
                        <w:pPr>
                          <w:rPr>
                            <w:iCs/>
                            <w:szCs w:val="24"/>
                          </w:rPr>
                        </w:pPr>
                        <w:r>
                          <w:rPr>
                            <w:szCs w:val="24"/>
                          </w:rPr>
                          <w:t>-</w:t>
                        </w:r>
                      </w:p>
                    </w:tc>
                    <w:tc>
                      <w:tcPr>
                        <w:tcW w:w="5386" w:type="dxa"/>
                      </w:tcPr>
                      <w:p>
                        <w:pPr>
                          <w:rPr>
                            <w:szCs w:val="24"/>
                          </w:rPr>
                        </w:pPr>
                        <w:r>
                          <w:rPr>
                            <w:szCs w:val="24"/>
                          </w:rPr>
                          <w:t>Skaitmenizavimo sutartis su rangovu sudaryta tačiau darbai bus atliekami 2026 metais.</w:t>
                        </w:r>
                      </w:p>
                      <w:p>
                        <w:pPr>
                          <w:rPr>
                            <w:color w:val="000000"/>
                            <w:szCs w:val="24"/>
                          </w:rPr>
                        </w:pPr>
                        <w:r>
                          <w:rPr>
                            <w:szCs w:val="24"/>
                          </w:rPr>
                          <w:t>(Statybos ir viešosios tvarkos skyrius)</w:t>
                        </w:r>
                      </w:p>
                    </w:tc>
                  </w:tr>
                  <w:tr>
                    <w:trPr>
                      <w:trHeight w:val="365"/>
                    </w:trPr>
                    <w:tc>
                      <w:tcPr>
                        <w:tcW w:w="4253" w:type="dxa"/>
                      </w:tcPr>
                      <w:p>
                        <w:pPr>
                          <w:rPr>
                            <w:szCs w:val="24"/>
                          </w:rPr>
                        </w:pPr>
                        <w:r>
                          <w:rPr>
                            <w:bCs/>
                            <w:szCs w:val="24"/>
                          </w:rPr>
                          <w:t>10.2.2.7. Visiems atliekų turėtojams teikiama viešoji komunalinių atliekų tvarkymo paslauga, atitinkanti minimalius kokybės reikalavimus, kuriuos nustato Aplinkos ministerija.</w:t>
                        </w:r>
                        <w:r>
                          <w:rPr>
                            <w:szCs w:val="24"/>
                          </w:rPr>
                          <w:t xml:space="preserve"> </w:t>
                        </w:r>
                      </w:p>
                      <w:p>
                        <w:pPr>
                          <w:rPr>
                            <w:bCs/>
                            <w:iCs/>
                            <w:szCs w:val="24"/>
                          </w:rPr>
                        </w:pPr>
                        <w:r>
                          <w:rPr>
                            <w:szCs w:val="24"/>
                          </w:rPr>
                          <w:t>(SVP 06-01-05)</w:t>
                        </w:r>
                      </w:p>
                    </w:tc>
                    <w:tc>
                      <w:tcPr>
                        <w:tcW w:w="993" w:type="dxa"/>
                      </w:tcPr>
                      <w:p>
                        <w:pPr>
                          <w:rPr>
                            <w:color w:val="000000"/>
                            <w:szCs w:val="24"/>
                          </w:rPr>
                        </w:pPr>
                        <w:r>
                          <w:rPr>
                            <w:szCs w:val="24"/>
                          </w:rPr>
                          <w:t>100</w:t>
                        </w:r>
                        <w:r>
                          <w:rPr>
                            <w:szCs w:val="24"/>
                            <w:lang w:val="en-US"/>
                          </w:rPr>
                          <w:t>%</w:t>
                        </w:r>
                      </w:p>
                    </w:tc>
                    <w:tc>
                      <w:tcPr>
                        <w:tcW w:w="850" w:type="dxa"/>
                      </w:tcPr>
                      <w:p>
                        <w:pPr>
                          <w:rPr>
                            <w:iCs/>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tcPr>
                      <w:p>
                        <w:pPr>
                          <w:rPr>
                            <w:szCs w:val="24"/>
                          </w:rPr>
                        </w:pPr>
                        <w:r>
                          <w:rPr>
                            <w:szCs w:val="24"/>
                          </w:rPr>
                          <w:t>-</w:t>
                        </w:r>
                      </w:p>
                      <w:p>
                        <w:pPr>
                          <w:rPr>
                            <w:iCs/>
                            <w:szCs w:val="24"/>
                          </w:rPr>
                        </w:pPr>
                      </w:p>
                    </w:tc>
                    <w:tc>
                      <w:tcPr>
                        <w:tcW w:w="993" w:type="dxa"/>
                      </w:tcPr>
                      <w:p>
                        <w:pPr>
                          <w:rPr>
                            <w:iCs/>
                            <w:szCs w:val="24"/>
                          </w:rPr>
                        </w:pPr>
                        <w:r>
                          <w:rPr>
                            <w:szCs w:val="24"/>
                          </w:rPr>
                          <w:t>-</w:t>
                        </w:r>
                      </w:p>
                    </w:tc>
                    <w:tc>
                      <w:tcPr>
                        <w:tcW w:w="5386" w:type="dxa"/>
                      </w:tcPr>
                      <w:p>
                        <w:pPr>
                          <w:rPr>
                            <w:szCs w:val="24"/>
                          </w:rPr>
                        </w:pPr>
                        <w:r>
                          <w:rPr>
                            <w:szCs w:val="24"/>
                          </w:rPr>
                          <w:t>Nebuvo gauta pranešimų apie asmenis, kuriems būtų neteikiama komunalinių atliekų tvarkymo paslauga</w:t>
                        </w:r>
                      </w:p>
                      <w:p>
                        <w:pPr>
                          <w:rPr>
                            <w:color w:val="000000"/>
                            <w:szCs w:val="24"/>
                          </w:rPr>
                        </w:pPr>
                        <w:r>
                          <w:rPr>
                            <w:szCs w:val="24"/>
                          </w:rPr>
                          <w:t>(Statybos ir viešosios tvarkos skyrius)</w:t>
                        </w:r>
                      </w:p>
                    </w:tc>
                  </w:tr>
                  <w:tr>
                    <w:trPr>
                      <w:trHeight w:val="365"/>
                    </w:trPr>
                    <w:tc>
                      <w:tcPr>
                        <w:tcW w:w="4253" w:type="dxa"/>
                      </w:tcPr>
                      <w:p>
                        <w:pPr>
                          <w:rPr>
                            <w:szCs w:val="24"/>
                          </w:rPr>
                        </w:pPr>
                        <w:r>
                          <w:rPr>
                            <w:bCs/>
                            <w:szCs w:val="24"/>
                          </w:rPr>
                          <w:t>10.2.2.8. Į ŠRATC mišrių biologinių atliekų įrenginius priimamų komunalinių atliekų sudėties kontrolė. Patikrinimų skaičius.</w:t>
                        </w:r>
                        <w:r>
                          <w:rPr>
                            <w:szCs w:val="24"/>
                          </w:rPr>
                          <w:t xml:space="preserve"> </w:t>
                        </w:r>
                        <w:r>
                          <w:rPr>
                            <w:bCs/>
                            <w:szCs w:val="24"/>
                          </w:rPr>
                          <w:t>(SVP 06-01-05)</w:t>
                        </w:r>
                      </w:p>
                    </w:tc>
                    <w:tc>
                      <w:tcPr>
                        <w:tcW w:w="993" w:type="dxa"/>
                      </w:tcPr>
                      <w:p>
                        <w:pPr>
                          <w:rPr>
                            <w:color w:val="000000"/>
                            <w:szCs w:val="24"/>
                          </w:rPr>
                        </w:pPr>
                        <w:r>
                          <w:rPr>
                            <w:color w:val="000000"/>
                            <w:szCs w:val="24"/>
                          </w:rPr>
                          <w:t>4 vnt.</w:t>
                        </w:r>
                      </w:p>
                    </w:tc>
                    <w:tc>
                      <w:tcPr>
                        <w:tcW w:w="850" w:type="dxa"/>
                      </w:tcPr>
                      <w:p>
                        <w:pPr>
                          <w:rPr>
                            <w:iCs/>
                            <w:szCs w:val="24"/>
                          </w:rPr>
                        </w:pPr>
                        <w:r>
                          <w:rPr>
                            <w:szCs w:val="24"/>
                          </w:rPr>
                          <w:t>-</w:t>
                        </w:r>
                      </w:p>
                    </w:tc>
                    <w:tc>
                      <w:tcPr>
                        <w:tcW w:w="851" w:type="dxa"/>
                      </w:tcPr>
                      <w:p>
                        <w:pPr>
                          <w:rPr>
                            <w:color w:val="000000"/>
                            <w:szCs w:val="24"/>
                          </w:rPr>
                        </w:pPr>
                        <w:r>
                          <w:rPr>
                            <w:szCs w:val="24"/>
                          </w:rPr>
                          <w:t>-</w:t>
                        </w:r>
                      </w:p>
                    </w:tc>
                    <w:tc>
                      <w:tcPr>
                        <w:tcW w:w="850" w:type="dxa"/>
                      </w:tcPr>
                      <w:p>
                        <w:pPr>
                          <w:rPr>
                            <w:color w:val="000000"/>
                            <w:szCs w:val="24"/>
                          </w:rPr>
                        </w:pPr>
                        <w:r>
                          <w:rPr>
                            <w:szCs w:val="24"/>
                          </w:rPr>
                          <w:t>4 vnt.</w:t>
                        </w:r>
                      </w:p>
                    </w:tc>
                    <w:tc>
                      <w:tcPr>
                        <w:tcW w:w="992" w:type="dxa"/>
                      </w:tcPr>
                      <w:p>
                        <w:pPr>
                          <w:rPr>
                            <w:iCs/>
                            <w:szCs w:val="24"/>
                          </w:rPr>
                        </w:pPr>
                      </w:p>
                    </w:tc>
                    <w:tc>
                      <w:tcPr>
                        <w:tcW w:w="993" w:type="dxa"/>
                      </w:tcPr>
                      <w:p>
                        <w:pPr>
                          <w:rPr>
                            <w:iCs/>
                            <w:szCs w:val="24"/>
                          </w:rPr>
                        </w:pPr>
                      </w:p>
                    </w:tc>
                    <w:tc>
                      <w:tcPr>
                        <w:tcW w:w="5386" w:type="dxa"/>
                      </w:tcPr>
                      <w:p>
                        <w:pPr>
                          <w:rPr>
                            <w:szCs w:val="24"/>
                          </w:rPr>
                        </w:pPr>
                      </w:p>
                      <w:p>
                        <w:pPr>
                          <w:rPr>
                            <w:color w:val="000000"/>
                            <w:szCs w:val="24"/>
                          </w:rPr>
                        </w:pPr>
                        <w:r>
                          <w:rPr>
                            <w:szCs w:val="24"/>
                          </w:rPr>
                          <w:t>(Statybos ir viešosios tvarkos skyrius)</w:t>
                        </w:r>
                      </w:p>
                    </w:tc>
                  </w:tr>
                  <w:tr>
                    <w:trPr>
                      <w:trHeight w:val="365"/>
                    </w:trPr>
                    <w:tc>
                      <w:tcPr>
                        <w:tcW w:w="4253" w:type="dxa"/>
                      </w:tcPr>
                      <w:p>
                        <w:pPr>
                          <w:rPr>
                            <w:szCs w:val="24"/>
                          </w:rPr>
                        </w:pPr>
                        <w:r>
                          <w:rPr>
                            <w:bCs/>
                            <w:szCs w:val="24"/>
                          </w:rPr>
                          <w:t>10.2.2.9. Komunalinių atliekų konteinerių aikštelių aplinkos tvarkymo kontrolė. Patikrinimų skaičius.</w:t>
                        </w:r>
                        <w:r>
                          <w:rPr>
                            <w:szCs w:val="24"/>
                          </w:rPr>
                          <w:t xml:space="preserve"> </w:t>
                        </w:r>
                        <w:r>
                          <w:rPr>
                            <w:bCs/>
                            <w:szCs w:val="24"/>
                          </w:rPr>
                          <w:t>(SVP 06-01-05)</w:t>
                        </w:r>
                      </w:p>
                    </w:tc>
                    <w:tc>
                      <w:tcPr>
                        <w:tcW w:w="993" w:type="dxa"/>
                      </w:tcPr>
                      <w:p>
                        <w:pPr>
                          <w:rPr>
                            <w:color w:val="000000"/>
                            <w:szCs w:val="24"/>
                          </w:rPr>
                        </w:pPr>
                        <w:r>
                          <w:rPr>
                            <w:color w:val="000000"/>
                            <w:szCs w:val="24"/>
                          </w:rPr>
                          <w:t>4 vnt.</w:t>
                        </w:r>
                      </w:p>
                    </w:tc>
                    <w:tc>
                      <w:tcPr>
                        <w:tcW w:w="850" w:type="dxa"/>
                      </w:tcPr>
                      <w:p>
                        <w:pPr>
                          <w:rPr>
                            <w:iCs/>
                            <w:szCs w:val="24"/>
                          </w:rPr>
                        </w:pPr>
                        <w:r>
                          <w:rPr>
                            <w:szCs w:val="24"/>
                          </w:rPr>
                          <w:t>-</w:t>
                        </w:r>
                      </w:p>
                    </w:tc>
                    <w:tc>
                      <w:tcPr>
                        <w:tcW w:w="851" w:type="dxa"/>
                      </w:tcPr>
                      <w:p>
                        <w:pPr>
                          <w:rPr>
                            <w:color w:val="000000"/>
                            <w:szCs w:val="24"/>
                          </w:rPr>
                        </w:pPr>
                        <w:r>
                          <w:rPr>
                            <w:szCs w:val="24"/>
                          </w:rPr>
                          <w:t>-</w:t>
                        </w:r>
                      </w:p>
                    </w:tc>
                    <w:tc>
                      <w:tcPr>
                        <w:tcW w:w="850" w:type="dxa"/>
                      </w:tcPr>
                      <w:p>
                        <w:pPr>
                          <w:rPr>
                            <w:color w:val="000000"/>
                            <w:szCs w:val="24"/>
                          </w:rPr>
                        </w:pPr>
                        <w:r>
                          <w:rPr>
                            <w:szCs w:val="24"/>
                          </w:rPr>
                          <w:t>28 vnt.</w:t>
                        </w:r>
                      </w:p>
                    </w:tc>
                    <w:tc>
                      <w:tcPr>
                        <w:tcW w:w="992" w:type="dxa"/>
                      </w:tcPr>
                      <w:p>
                        <w:pPr>
                          <w:rPr>
                            <w:iCs/>
                            <w:szCs w:val="24"/>
                          </w:rPr>
                        </w:pPr>
                      </w:p>
                    </w:tc>
                    <w:tc>
                      <w:tcPr>
                        <w:tcW w:w="993" w:type="dxa"/>
                      </w:tcPr>
                      <w:p>
                        <w:pPr>
                          <w:rPr>
                            <w:iCs/>
                            <w:szCs w:val="24"/>
                          </w:rPr>
                        </w:pPr>
                      </w:p>
                    </w:tc>
                    <w:tc>
                      <w:tcPr>
                        <w:tcW w:w="5386" w:type="dxa"/>
                      </w:tcPr>
                      <w:p>
                        <w:pPr>
                          <w:rPr>
                            <w:szCs w:val="24"/>
                          </w:rPr>
                        </w:pPr>
                        <w:r>
                          <w:rPr>
                            <w:szCs w:val="24"/>
                          </w:rPr>
                          <w:t>Nuolatos vykdoma komunalinių atliekų konteinerių aikštelių aplinkos tvarkymo kontrolė</w:t>
                        </w:r>
                      </w:p>
                      <w:p>
                        <w:pPr>
                          <w:rPr>
                            <w:color w:val="000000"/>
                            <w:szCs w:val="24"/>
                          </w:rPr>
                        </w:pPr>
                        <w:r>
                          <w:rPr>
                            <w:szCs w:val="24"/>
                          </w:rPr>
                          <w:t>(Statybos ir viešosios tvarkos skyrius)</w:t>
                        </w:r>
                      </w:p>
                    </w:tc>
                  </w:tr>
                  <w:tr>
                    <w:trPr>
                      <w:trHeight w:val="572"/>
                    </w:trPr>
                    <w:tc>
                      <w:tcPr>
                        <w:tcW w:w="4253" w:type="dxa"/>
                      </w:tcPr>
                      <w:p>
                        <w:pPr>
                          <w:rPr>
                            <w:bCs/>
                            <w:iCs/>
                            <w:szCs w:val="24"/>
                          </w:rPr>
                        </w:pPr>
                        <w:r>
                          <w:rPr>
                            <w:szCs w:val="24"/>
                          </w:rPr>
                          <w:t>14.2.1.1. Kompleksiškai suremontuotų griovių ilgis (SVP 6-1-5-21)</w:t>
                        </w:r>
                      </w:p>
                    </w:tc>
                    <w:tc>
                      <w:tcPr>
                        <w:tcW w:w="993" w:type="dxa"/>
                      </w:tcPr>
                      <w:p>
                        <w:pPr>
                          <w:rPr>
                            <w:color w:val="000000"/>
                            <w:szCs w:val="24"/>
                          </w:rPr>
                        </w:pPr>
                        <w:r>
                          <w:rPr>
                            <w:szCs w:val="24"/>
                          </w:rPr>
                          <w:t>30 km</w:t>
                        </w:r>
                      </w:p>
                    </w:tc>
                    <w:tc>
                      <w:tcPr>
                        <w:tcW w:w="850" w:type="dxa"/>
                      </w:tcPr>
                      <w:p>
                        <w:pPr>
                          <w:rPr>
                            <w:szCs w:val="24"/>
                          </w:rPr>
                        </w:pPr>
                        <w:r>
                          <w:rPr>
                            <w:szCs w:val="24"/>
                          </w:rPr>
                          <w:t>28,205 km</w:t>
                        </w:r>
                      </w:p>
                    </w:tc>
                    <w:tc>
                      <w:tcPr>
                        <w:tcW w:w="851" w:type="dxa"/>
                      </w:tcPr>
                      <w:p>
                        <w:pPr>
                          <w:rPr>
                            <w:color w:val="000000"/>
                            <w:szCs w:val="24"/>
                          </w:rPr>
                        </w:pPr>
                        <w:r>
                          <w:rPr>
                            <w:szCs w:val="24"/>
                          </w:rPr>
                          <w:t>42,622 km</w:t>
                        </w:r>
                      </w:p>
                    </w:tc>
                    <w:tc>
                      <w:tcPr>
                        <w:tcW w:w="850" w:type="dxa"/>
                      </w:tcPr>
                      <w:p>
                        <w:pPr>
                          <w:rPr>
                            <w:color w:val="000000"/>
                            <w:szCs w:val="24"/>
                          </w:rPr>
                        </w:pPr>
                        <w:r>
                          <w:rPr>
                            <w:szCs w:val="24"/>
                          </w:rPr>
                          <w:t>26,728 km</w:t>
                        </w:r>
                      </w:p>
                    </w:tc>
                    <w:tc>
                      <w:tcPr>
                        <w:tcW w:w="992" w:type="dxa"/>
                        <w:vMerge w:val="restart"/>
                      </w:tcPr>
                      <w:p>
                        <w:pPr>
                          <w:rPr>
                            <w:szCs w:val="24"/>
                          </w:rPr>
                        </w:pPr>
                        <w:r>
                          <w:rPr>
                            <w:szCs w:val="24"/>
                          </w:rPr>
                          <w:t>352,2 VB</w:t>
                        </w:r>
                      </w:p>
                      <w:p>
                        <w:pPr>
                          <w:rPr>
                            <w:szCs w:val="24"/>
                          </w:rPr>
                        </w:pPr>
                        <w:r>
                          <w:rPr>
                            <w:szCs w:val="24"/>
                          </w:rPr>
                          <w:t>100,0</w:t>
                        </w:r>
                      </w:p>
                      <w:p>
                        <w:pPr>
                          <w:rPr>
                            <w:iCs/>
                            <w:szCs w:val="24"/>
                          </w:rPr>
                        </w:pPr>
                        <w:r>
                          <w:rPr>
                            <w:szCs w:val="24"/>
                          </w:rPr>
                          <w:t>S</w:t>
                        </w:r>
                      </w:p>
                    </w:tc>
                    <w:tc>
                      <w:tcPr>
                        <w:tcW w:w="993" w:type="dxa"/>
                        <w:vMerge w:val="restart"/>
                      </w:tcPr>
                      <w:p>
                        <w:pPr>
                          <w:rPr>
                            <w:szCs w:val="24"/>
                          </w:rPr>
                        </w:pPr>
                        <w:r>
                          <w:rPr>
                            <w:szCs w:val="24"/>
                          </w:rPr>
                          <w:t>352,2 VB</w:t>
                        </w:r>
                      </w:p>
                      <w:p>
                        <w:pPr>
                          <w:rPr>
                            <w:iCs/>
                            <w:szCs w:val="24"/>
                          </w:rPr>
                        </w:pPr>
                        <w:r>
                          <w:rPr>
                            <w:szCs w:val="24"/>
                          </w:rPr>
                          <w:t>100,0 SB</w:t>
                        </w:r>
                      </w:p>
                    </w:tc>
                    <w:tc>
                      <w:tcPr>
                        <w:tcW w:w="5386" w:type="dxa"/>
                      </w:tcPr>
                      <w:p>
                        <w:pPr>
                          <w:rPr>
                            <w:color w:val="000000"/>
                            <w:szCs w:val="24"/>
                          </w:rPr>
                        </w:pPr>
                        <w:r>
                          <w:rPr>
                            <w:szCs w:val="24"/>
                          </w:rPr>
                          <w:t>(Žemės ūkio skyrius)</w:t>
                        </w:r>
                      </w:p>
                    </w:tc>
                  </w:tr>
                  <w:tr>
                    <w:trPr>
                      <w:trHeight w:val="365"/>
                    </w:trPr>
                    <w:tc>
                      <w:tcPr>
                        <w:tcW w:w="4253" w:type="dxa"/>
                      </w:tcPr>
                      <w:p>
                        <w:pPr>
                          <w:rPr>
                            <w:bCs/>
                            <w:iCs/>
                            <w:szCs w:val="24"/>
                          </w:rPr>
                        </w:pPr>
                        <w:r>
                          <w:rPr>
                            <w:szCs w:val="24"/>
                          </w:rPr>
                          <w:t>14.2.1.2. Suremontuota sausinimo sistemų (SVP 6-1-5-21)</w:t>
                        </w:r>
                      </w:p>
                    </w:tc>
                    <w:tc>
                      <w:tcPr>
                        <w:tcW w:w="993" w:type="dxa"/>
                      </w:tcPr>
                      <w:p>
                        <w:pPr>
                          <w:rPr>
                            <w:color w:val="000000"/>
                            <w:szCs w:val="24"/>
                          </w:rPr>
                        </w:pPr>
                        <w:r>
                          <w:rPr>
                            <w:szCs w:val="24"/>
                          </w:rPr>
                          <w:t>50 ha</w:t>
                        </w:r>
                      </w:p>
                    </w:tc>
                    <w:tc>
                      <w:tcPr>
                        <w:tcW w:w="850" w:type="dxa"/>
                      </w:tcPr>
                      <w:p>
                        <w:pPr>
                          <w:rPr>
                            <w:iCs/>
                            <w:szCs w:val="24"/>
                          </w:rPr>
                        </w:pPr>
                        <w:r>
                          <w:rPr>
                            <w:szCs w:val="24"/>
                          </w:rPr>
                          <w:t>57ha</w:t>
                        </w:r>
                      </w:p>
                    </w:tc>
                    <w:tc>
                      <w:tcPr>
                        <w:tcW w:w="851" w:type="dxa"/>
                      </w:tcPr>
                      <w:p>
                        <w:pPr>
                          <w:rPr>
                            <w:color w:val="000000"/>
                            <w:szCs w:val="24"/>
                          </w:rPr>
                        </w:pPr>
                        <w:r>
                          <w:rPr>
                            <w:szCs w:val="24"/>
                          </w:rPr>
                          <w:t>37.06 ha</w:t>
                        </w:r>
                      </w:p>
                    </w:tc>
                    <w:tc>
                      <w:tcPr>
                        <w:tcW w:w="850" w:type="dxa"/>
                      </w:tcPr>
                      <w:p>
                        <w:pPr>
                          <w:rPr>
                            <w:color w:val="000000"/>
                            <w:szCs w:val="24"/>
                          </w:rPr>
                        </w:pPr>
                        <w:r>
                          <w:rPr>
                            <w:szCs w:val="24"/>
                          </w:rPr>
                          <w:t>37,77 ha</w:t>
                        </w:r>
                      </w:p>
                    </w:tc>
                    <w:tc>
                      <w:tcPr>
                        <w:tcW w:w="992" w:type="dxa"/>
                        <w:vMerge/>
                      </w:tcPr>
                      <w:p>
                        <w:pPr>
                          <w:rPr>
                            <w:iCs/>
                            <w:szCs w:val="24"/>
                          </w:rPr>
                        </w:pPr>
                      </w:p>
                    </w:tc>
                    <w:tc>
                      <w:tcPr>
                        <w:tcW w:w="993" w:type="dxa"/>
                        <w:vMerge/>
                      </w:tcPr>
                      <w:p>
                        <w:pPr>
                          <w:rPr>
                            <w:iCs/>
                            <w:szCs w:val="24"/>
                          </w:rPr>
                        </w:pPr>
                      </w:p>
                    </w:tc>
                    <w:tc>
                      <w:tcPr>
                        <w:tcW w:w="5386" w:type="dxa"/>
                      </w:tcPr>
                      <w:p>
                        <w:pPr>
                          <w:rPr>
                            <w:color w:val="000000"/>
                            <w:szCs w:val="24"/>
                          </w:rPr>
                        </w:pPr>
                        <w:r>
                          <w:rPr>
                            <w:szCs w:val="24"/>
                          </w:rPr>
                          <w:t>(Žemės ūkio skyrius)</w:t>
                        </w:r>
                      </w:p>
                    </w:tc>
                  </w:tr>
                  <w:tr>
                    <w:trPr>
                      <w:trHeight w:val="365"/>
                    </w:trPr>
                    <w:tc>
                      <w:tcPr>
                        <w:tcW w:w="4253" w:type="dxa"/>
                      </w:tcPr>
                      <w:p>
                        <w:pPr>
                          <w:rPr>
                            <w:bCs/>
                            <w:iCs/>
                            <w:szCs w:val="24"/>
                          </w:rPr>
                        </w:pPr>
                        <w:r>
                          <w:rPr>
                            <w:szCs w:val="24"/>
                          </w:rPr>
                          <w:t>14.2.1.3. Suremontuota drenažo linijų (SVP 6-1-5-21)</w:t>
                        </w:r>
                      </w:p>
                    </w:tc>
                    <w:tc>
                      <w:tcPr>
                        <w:tcW w:w="993" w:type="dxa"/>
                      </w:tcPr>
                      <w:p>
                        <w:pPr>
                          <w:rPr>
                            <w:szCs w:val="24"/>
                          </w:rPr>
                        </w:pPr>
                        <w:r>
                          <w:rPr>
                            <w:szCs w:val="24"/>
                          </w:rPr>
                          <w:t>0,20</w:t>
                        </w:r>
                      </w:p>
                      <w:p>
                        <w:pPr>
                          <w:rPr>
                            <w:color w:val="000000"/>
                            <w:szCs w:val="24"/>
                          </w:rPr>
                        </w:pPr>
                        <w:r>
                          <w:rPr>
                            <w:szCs w:val="24"/>
                          </w:rPr>
                          <w:t>km</w:t>
                        </w:r>
                      </w:p>
                    </w:tc>
                    <w:tc>
                      <w:tcPr>
                        <w:tcW w:w="850" w:type="dxa"/>
                      </w:tcPr>
                      <w:p>
                        <w:pPr>
                          <w:rPr>
                            <w:iCs/>
                            <w:szCs w:val="24"/>
                          </w:rPr>
                        </w:pPr>
                        <w:r>
                          <w:rPr>
                            <w:szCs w:val="24"/>
                          </w:rPr>
                          <w:t>0,68 km</w:t>
                        </w:r>
                      </w:p>
                    </w:tc>
                    <w:tc>
                      <w:tcPr>
                        <w:tcW w:w="851" w:type="dxa"/>
                      </w:tcPr>
                      <w:p>
                        <w:pPr>
                          <w:rPr>
                            <w:color w:val="000000"/>
                            <w:szCs w:val="24"/>
                          </w:rPr>
                        </w:pPr>
                        <w:r>
                          <w:rPr>
                            <w:szCs w:val="24"/>
                          </w:rPr>
                          <w:t>0,366 km</w:t>
                        </w:r>
                      </w:p>
                    </w:tc>
                    <w:tc>
                      <w:tcPr>
                        <w:tcW w:w="850" w:type="dxa"/>
                      </w:tcPr>
                      <w:p>
                        <w:pPr>
                          <w:rPr>
                            <w:color w:val="000000"/>
                            <w:szCs w:val="24"/>
                          </w:rPr>
                        </w:pPr>
                        <w:r>
                          <w:rPr>
                            <w:szCs w:val="24"/>
                          </w:rPr>
                          <w:t>0,413 km</w:t>
                        </w:r>
                      </w:p>
                    </w:tc>
                    <w:tc>
                      <w:tcPr>
                        <w:tcW w:w="992" w:type="dxa"/>
                        <w:vMerge/>
                      </w:tcPr>
                      <w:p>
                        <w:pPr>
                          <w:rPr>
                            <w:iCs/>
                            <w:szCs w:val="24"/>
                          </w:rPr>
                        </w:pPr>
                      </w:p>
                    </w:tc>
                    <w:tc>
                      <w:tcPr>
                        <w:tcW w:w="993" w:type="dxa"/>
                        <w:vMerge/>
                      </w:tcPr>
                      <w:p>
                        <w:pPr>
                          <w:rPr>
                            <w:iCs/>
                            <w:szCs w:val="24"/>
                          </w:rPr>
                        </w:pPr>
                      </w:p>
                    </w:tc>
                    <w:tc>
                      <w:tcPr>
                        <w:tcW w:w="5386" w:type="dxa"/>
                      </w:tcPr>
                      <w:p>
                        <w:pPr>
                          <w:rPr>
                            <w:color w:val="000000"/>
                            <w:szCs w:val="24"/>
                          </w:rPr>
                        </w:pPr>
                        <w:r>
                          <w:rPr>
                            <w:szCs w:val="24"/>
                          </w:rPr>
                          <w:t>(Žemės ūkio skyrius)</w:t>
                        </w:r>
                      </w:p>
                    </w:tc>
                  </w:tr>
                  <w:tr>
                    <w:trPr>
                      <w:trHeight w:val="365"/>
                    </w:trPr>
                    <w:tc>
                      <w:tcPr>
                        <w:tcW w:w="4253" w:type="dxa"/>
                      </w:tcPr>
                      <w:p>
                        <w:pPr>
                          <w:rPr>
                            <w:szCs w:val="24"/>
                          </w:rPr>
                        </w:pPr>
                        <w:r>
                          <w:rPr>
                            <w:szCs w:val="24"/>
                          </w:rPr>
                          <w:t xml:space="preserve">14.2.1.4. Suremontuota pralaidų </w:t>
                        </w:r>
                      </w:p>
                      <w:p>
                        <w:pPr>
                          <w:rPr>
                            <w:szCs w:val="24"/>
                          </w:rPr>
                        </w:pPr>
                        <w:r>
                          <w:rPr>
                            <w:szCs w:val="24"/>
                          </w:rPr>
                          <w:t>(SVP 6-1-5-21)</w:t>
                        </w:r>
                      </w:p>
                    </w:tc>
                    <w:tc>
                      <w:tcPr>
                        <w:tcW w:w="993" w:type="dxa"/>
                      </w:tcPr>
                      <w:p>
                        <w:pPr>
                          <w:rPr>
                            <w:color w:val="000000"/>
                            <w:szCs w:val="24"/>
                          </w:rPr>
                        </w:pPr>
                        <w:r>
                          <w:rPr>
                            <w:szCs w:val="24"/>
                          </w:rPr>
                          <w:t>35 vnt.</w:t>
                        </w:r>
                      </w:p>
                    </w:tc>
                    <w:tc>
                      <w:tcPr>
                        <w:tcW w:w="850" w:type="dxa"/>
                      </w:tcPr>
                      <w:p>
                        <w:pPr>
                          <w:rPr>
                            <w:iCs/>
                            <w:szCs w:val="24"/>
                          </w:rPr>
                        </w:pPr>
                        <w:r>
                          <w:rPr>
                            <w:szCs w:val="24"/>
                          </w:rPr>
                          <w:t>25vnt.</w:t>
                        </w:r>
                      </w:p>
                    </w:tc>
                    <w:tc>
                      <w:tcPr>
                        <w:tcW w:w="851" w:type="dxa"/>
                      </w:tcPr>
                      <w:p>
                        <w:pPr>
                          <w:rPr>
                            <w:color w:val="000000"/>
                            <w:szCs w:val="24"/>
                          </w:rPr>
                        </w:pPr>
                        <w:r>
                          <w:rPr>
                            <w:szCs w:val="24"/>
                          </w:rPr>
                          <w:t>50 vnt.</w:t>
                        </w:r>
                      </w:p>
                    </w:tc>
                    <w:tc>
                      <w:tcPr>
                        <w:tcW w:w="850" w:type="dxa"/>
                      </w:tcPr>
                      <w:p>
                        <w:pPr>
                          <w:rPr>
                            <w:color w:val="000000"/>
                            <w:szCs w:val="24"/>
                          </w:rPr>
                        </w:pPr>
                        <w:r>
                          <w:rPr>
                            <w:szCs w:val="24"/>
                          </w:rPr>
                          <w:t>32 vnt.</w:t>
                        </w:r>
                      </w:p>
                    </w:tc>
                    <w:tc>
                      <w:tcPr>
                        <w:tcW w:w="992" w:type="dxa"/>
                        <w:vMerge/>
                      </w:tcPr>
                      <w:p>
                        <w:pPr>
                          <w:rPr>
                            <w:iCs/>
                            <w:szCs w:val="24"/>
                          </w:rPr>
                        </w:pPr>
                      </w:p>
                    </w:tc>
                    <w:tc>
                      <w:tcPr>
                        <w:tcW w:w="993" w:type="dxa"/>
                        <w:vMerge/>
                      </w:tcPr>
                      <w:p>
                        <w:pPr>
                          <w:rPr>
                            <w:iCs/>
                            <w:szCs w:val="24"/>
                          </w:rPr>
                        </w:pPr>
                      </w:p>
                    </w:tc>
                    <w:tc>
                      <w:tcPr>
                        <w:tcW w:w="5386" w:type="dxa"/>
                      </w:tcPr>
                      <w:p>
                        <w:pPr>
                          <w:rPr>
                            <w:color w:val="000000"/>
                            <w:szCs w:val="24"/>
                          </w:rPr>
                        </w:pPr>
                        <w:r>
                          <w:rPr>
                            <w:szCs w:val="24"/>
                          </w:rPr>
                          <w:t>(Žemės ūkio skyrius)</w:t>
                        </w:r>
                      </w:p>
                    </w:tc>
                  </w:tr>
                  <w:tr>
                    <w:trPr>
                      <w:trHeight w:val="365"/>
                    </w:trPr>
                    <w:tc>
                      <w:tcPr>
                        <w:tcW w:w="4253" w:type="dxa"/>
                      </w:tcPr>
                      <w:p>
                        <w:pPr>
                          <w:rPr>
                            <w:bCs/>
                            <w:szCs w:val="24"/>
                          </w:rPr>
                        </w:pPr>
                        <w:r>
                          <w:rPr>
                            <w:bCs/>
                            <w:szCs w:val="24"/>
                          </w:rPr>
                          <w:t xml:space="preserve">18.2.2.1. </w:t>
                        </w:r>
                        <w:r>
                          <w:rPr>
                            <w:bCs/>
                            <w:iCs/>
                            <w:szCs w:val="24"/>
                          </w:rPr>
                          <w:t xml:space="preserve">Tęstinė </w:t>
                        </w:r>
                        <w:r>
                          <w:rPr>
                            <w:bCs/>
                            <w:szCs w:val="24"/>
                          </w:rPr>
                          <w:t xml:space="preserve">viešojo naudojimo teritorijų priežiūros ir tvarkymo veikla Aukštelkų seniūnijoje.Gatvių apšvietimo priežiūra ir atnaujinimas. </w:t>
                        </w:r>
                        <w:r>
                          <w:rPr>
                            <w:bCs/>
                            <w:i/>
                            <w:iCs/>
                            <w:szCs w:val="24"/>
                          </w:rPr>
                          <w:t>Gyvenamųjų vietovių skaičius, kur atnaujintas gatvių apšvietimas.</w:t>
                        </w:r>
                        <w:r>
                          <w:rPr>
                            <w:bCs/>
                            <w:szCs w:val="24"/>
                          </w:rPr>
                          <w:t>(SVP 6-1-5-01, 6-1-5-30).</w:t>
                        </w:r>
                        <w:r>
                          <w:rPr>
                            <w:bCs/>
                            <w:iCs/>
                            <w:szCs w:val="24"/>
                          </w:rPr>
                          <w:t xml:space="preserve"> </w:t>
                        </w:r>
                      </w:p>
                    </w:tc>
                    <w:tc>
                      <w:tcPr>
                        <w:tcW w:w="993" w:type="dxa"/>
                      </w:tcPr>
                      <w:p>
                        <w:pPr>
                          <w:rPr>
                            <w:iCs/>
                            <w:color w:val="000000"/>
                            <w:szCs w:val="24"/>
                          </w:rPr>
                        </w:pPr>
                        <w:r>
                          <w:rPr>
                            <w:bCs/>
                            <w:iCs/>
                            <w:szCs w:val="24"/>
                          </w:rPr>
                          <w:t>1</w:t>
                        </w:r>
                      </w:p>
                    </w:tc>
                    <w:tc>
                      <w:tcPr>
                        <w:tcW w:w="850" w:type="dxa"/>
                      </w:tcPr>
                      <w:p>
                        <w:pPr>
                          <w:rPr>
                            <w:iCs/>
                            <w:szCs w:val="24"/>
                          </w:rPr>
                        </w:pPr>
                        <w:r>
                          <w:rPr>
                            <w:bCs/>
                            <w:iCs/>
                            <w:szCs w:val="24"/>
                          </w:rPr>
                          <w:t>5</w:t>
                        </w:r>
                      </w:p>
                    </w:tc>
                    <w:tc>
                      <w:tcPr>
                        <w:tcW w:w="851" w:type="dxa"/>
                      </w:tcPr>
                      <w:p>
                        <w:pPr>
                          <w:rPr>
                            <w:iCs/>
                            <w:color w:val="000000"/>
                            <w:szCs w:val="24"/>
                          </w:rPr>
                        </w:pPr>
                        <w:r>
                          <w:rPr>
                            <w:bCs/>
                            <w:iCs/>
                            <w:szCs w:val="24"/>
                          </w:rPr>
                          <w:t>2</w:t>
                        </w:r>
                      </w:p>
                    </w:tc>
                    <w:tc>
                      <w:tcPr>
                        <w:tcW w:w="850" w:type="dxa"/>
                      </w:tcPr>
                      <w:p>
                        <w:pPr>
                          <w:rPr>
                            <w:iCs/>
                            <w:color w:val="000000"/>
                            <w:szCs w:val="24"/>
                          </w:rPr>
                        </w:pPr>
                        <w:r>
                          <w:rPr>
                            <w:bCs/>
                            <w:iCs/>
                            <w:szCs w:val="24"/>
                          </w:rPr>
                          <w:t>2</w:t>
                        </w:r>
                      </w:p>
                    </w:tc>
                    <w:tc>
                      <w:tcPr>
                        <w:tcW w:w="992" w:type="dxa"/>
                      </w:tcPr>
                      <w:p>
                        <w:pPr>
                          <w:rPr>
                            <w:bCs/>
                            <w:iCs/>
                            <w:szCs w:val="24"/>
                          </w:rPr>
                        </w:pPr>
                        <w:r>
                          <w:rPr>
                            <w:bCs/>
                            <w:iCs/>
                            <w:szCs w:val="24"/>
                          </w:rPr>
                          <w:t>23,70</w:t>
                        </w:r>
                      </w:p>
                      <w:p>
                        <w:pPr>
                          <w:rPr>
                            <w:bCs/>
                            <w:iCs/>
                            <w:szCs w:val="24"/>
                          </w:rPr>
                        </w:pPr>
                        <w:r>
                          <w:rPr>
                            <w:bCs/>
                            <w:iCs/>
                            <w:szCs w:val="24"/>
                          </w:rPr>
                          <w:t>SB</w:t>
                        </w:r>
                      </w:p>
                      <w:p>
                        <w:pPr>
                          <w:rPr>
                            <w:bCs/>
                            <w:iCs/>
                            <w:szCs w:val="24"/>
                          </w:rPr>
                        </w:pPr>
                      </w:p>
                      <w:p>
                        <w:pPr>
                          <w:rPr>
                            <w:bCs/>
                            <w:iCs/>
                            <w:szCs w:val="24"/>
                          </w:rPr>
                        </w:pPr>
                      </w:p>
                      <w:p>
                        <w:pPr>
                          <w:rPr>
                            <w:iCs/>
                            <w:szCs w:val="24"/>
                          </w:rPr>
                        </w:pPr>
                      </w:p>
                    </w:tc>
                    <w:tc>
                      <w:tcPr>
                        <w:tcW w:w="993" w:type="dxa"/>
                      </w:tcPr>
                      <w:p>
                        <w:pPr>
                          <w:rPr>
                            <w:bCs/>
                            <w:iCs/>
                            <w:szCs w:val="24"/>
                          </w:rPr>
                        </w:pPr>
                        <w:r>
                          <w:rPr>
                            <w:bCs/>
                            <w:iCs/>
                            <w:szCs w:val="24"/>
                          </w:rPr>
                          <w:t>21,80</w:t>
                        </w:r>
                      </w:p>
                      <w:p>
                        <w:pPr>
                          <w:rPr>
                            <w:bCs/>
                            <w:iCs/>
                            <w:szCs w:val="24"/>
                          </w:rPr>
                        </w:pPr>
                        <w:r>
                          <w:rPr>
                            <w:bCs/>
                            <w:iCs/>
                            <w:szCs w:val="24"/>
                          </w:rPr>
                          <w:t>SB</w:t>
                        </w:r>
                      </w:p>
                      <w:p>
                        <w:pPr>
                          <w:rPr>
                            <w:bCs/>
                            <w:iCs/>
                            <w:szCs w:val="24"/>
                          </w:rPr>
                        </w:pPr>
                      </w:p>
                      <w:p>
                        <w:pPr>
                          <w:rPr>
                            <w:bCs/>
                            <w:iCs/>
                            <w:szCs w:val="24"/>
                          </w:rPr>
                        </w:pPr>
                      </w:p>
                      <w:p>
                        <w:pPr>
                          <w:rPr>
                            <w:bCs/>
                            <w:iCs/>
                            <w:szCs w:val="24"/>
                          </w:rPr>
                        </w:pPr>
                      </w:p>
                      <w:p>
                        <w:pPr>
                          <w:rPr>
                            <w:iCs/>
                            <w:szCs w:val="24"/>
                          </w:rPr>
                        </w:pPr>
                      </w:p>
                    </w:tc>
                    <w:tc>
                      <w:tcPr>
                        <w:tcW w:w="5386" w:type="dxa"/>
                      </w:tcPr>
                      <w:p>
                        <w:pPr>
                          <w:tabs>
                            <w:tab w:val="left" w:pos="281"/>
                          </w:tabs>
                          <w:rPr>
                            <w:bCs/>
                            <w:szCs w:val="24"/>
                          </w:rPr>
                        </w:pPr>
                        <w:r>
                          <w:rPr>
                            <w:bCs/>
                            <w:szCs w:val="24"/>
                          </w:rPr>
                          <w:t xml:space="preserve">Atnaujintas gatvių apšvietimas LED šviestuvais: </w:t>
                        </w:r>
                      </w:p>
                      <w:p>
                        <w:pPr>
                          <w:rPr>
                            <w:bCs/>
                            <w:szCs w:val="24"/>
                          </w:rPr>
                        </w:pPr>
                        <w:r>
                          <w:rPr>
                            <w:bCs/>
                            <w:szCs w:val="24"/>
                          </w:rPr>
                          <w:t>Kalnelio Gražionių k. – 8 vnt.</w:t>
                        </w:r>
                      </w:p>
                      <w:p>
                        <w:pPr>
                          <w:tabs>
                            <w:tab w:val="left" w:pos="284"/>
                          </w:tabs>
                          <w:rPr>
                            <w:bCs/>
                            <w:szCs w:val="24"/>
                          </w:rPr>
                        </w:pPr>
                        <w:r>
                          <w:rPr>
                            <w:bCs/>
                            <w:szCs w:val="24"/>
                          </w:rPr>
                          <w:t>Aukštelkų k. – 4 vnt.</w:t>
                        </w:r>
                      </w:p>
                      <w:p>
                        <w:pPr>
                          <w:rPr>
                            <w:color w:val="000000"/>
                            <w:szCs w:val="24"/>
                          </w:rPr>
                        </w:pPr>
                        <w:r>
                          <w:rPr>
                            <w:bCs/>
                            <w:szCs w:val="24"/>
                          </w:rPr>
                          <w:t>(Aukštelkų seniūnija).</w:t>
                        </w:r>
                      </w:p>
                    </w:tc>
                  </w:tr>
                  <w:tr>
                    <w:trPr>
                      <w:trHeight w:val="365"/>
                    </w:trPr>
                    <w:tc>
                      <w:tcPr>
                        <w:tcW w:w="4253" w:type="dxa"/>
                      </w:tcPr>
                      <w:p>
                        <w:pPr>
                          <w:rPr>
                            <w:bCs/>
                            <w:szCs w:val="24"/>
                          </w:rPr>
                        </w:pPr>
                        <w:r>
                          <w:rPr>
                            <w:bCs/>
                            <w:szCs w:val="24"/>
                          </w:rPr>
                          <w:t>18.2.2.2. Komunalinis ūkis, viešojo naudojimo teritorijų priežiūra ir tvarkymas (gyvenamųjų vietovių viešojo ūkio paslaugos ir prekės, komunalinės paslaugos ir prekės).</w:t>
                        </w:r>
                      </w:p>
                      <w:p>
                        <w:pPr>
                          <w:rPr>
                            <w:bCs/>
                            <w:szCs w:val="24"/>
                          </w:rPr>
                        </w:pPr>
                        <w:r>
                          <w:rPr>
                            <w:bCs/>
                            <w:szCs w:val="24"/>
                          </w:rPr>
                          <w:t>Viešojo naudojimo teritorijų priežiūra ir tvarkymas pagal poreikį procentais.</w:t>
                        </w:r>
                      </w:p>
                      <w:p>
                        <w:pPr>
                          <w:rPr>
                            <w:bCs/>
                            <w:szCs w:val="24"/>
                          </w:rPr>
                        </w:pPr>
                        <w:r>
                          <w:rPr>
                            <w:bCs/>
                            <w:szCs w:val="24"/>
                          </w:rPr>
                          <w:t xml:space="preserve">(SVP 6-1-5-01, 6-1-5-30). </w:t>
                        </w:r>
                      </w:p>
                    </w:tc>
                    <w:tc>
                      <w:tcPr>
                        <w:tcW w:w="993" w:type="dxa"/>
                      </w:tcPr>
                      <w:p>
                        <w:pPr>
                          <w:rPr>
                            <w:color w:val="000000"/>
                            <w:szCs w:val="24"/>
                          </w:rPr>
                        </w:pPr>
                        <w:r>
                          <w:rPr>
                            <w:bCs/>
                            <w:szCs w:val="24"/>
                          </w:rPr>
                          <w:t>100 %</w:t>
                        </w:r>
                      </w:p>
                    </w:tc>
                    <w:tc>
                      <w:tcPr>
                        <w:tcW w:w="850" w:type="dxa"/>
                      </w:tcPr>
                      <w:p>
                        <w:pPr>
                          <w:rPr>
                            <w:szCs w:val="24"/>
                          </w:rPr>
                        </w:pPr>
                        <w:r>
                          <w:rPr>
                            <w:bCs/>
                            <w:szCs w:val="24"/>
                          </w:rPr>
                          <w:t>100 %</w:t>
                        </w:r>
                      </w:p>
                    </w:tc>
                    <w:tc>
                      <w:tcPr>
                        <w:tcW w:w="851" w:type="dxa"/>
                      </w:tcPr>
                      <w:p>
                        <w:pPr>
                          <w:rPr>
                            <w:color w:val="000000"/>
                            <w:szCs w:val="24"/>
                          </w:rPr>
                        </w:pPr>
                        <w:r>
                          <w:rPr>
                            <w:bCs/>
                            <w:szCs w:val="24"/>
                          </w:rPr>
                          <w:t>100 %</w:t>
                        </w:r>
                      </w:p>
                    </w:tc>
                    <w:tc>
                      <w:tcPr>
                        <w:tcW w:w="850" w:type="dxa"/>
                      </w:tcPr>
                      <w:p>
                        <w:pPr>
                          <w:rPr>
                            <w:color w:val="000000"/>
                            <w:szCs w:val="24"/>
                          </w:rPr>
                        </w:pPr>
                        <w:r>
                          <w:rPr>
                            <w:bCs/>
                            <w:szCs w:val="24"/>
                          </w:rPr>
                          <w:t xml:space="preserve">100 </w:t>
                        </w:r>
                        <w:r>
                          <w:rPr>
                            <w:bCs/>
                            <w:szCs w:val="24"/>
                            <w:lang w:val="en-US"/>
                          </w:rPr>
                          <w:t>%</w:t>
                        </w:r>
                      </w:p>
                    </w:tc>
                    <w:tc>
                      <w:tcPr>
                        <w:tcW w:w="992" w:type="dxa"/>
                      </w:tcPr>
                      <w:p>
                        <w:pPr>
                          <w:rPr>
                            <w:iCs/>
                            <w:szCs w:val="24"/>
                          </w:rPr>
                        </w:pPr>
                      </w:p>
                    </w:tc>
                    <w:tc>
                      <w:tcPr>
                        <w:tcW w:w="993" w:type="dxa"/>
                      </w:tcPr>
                      <w:p>
                        <w:pPr>
                          <w:rPr>
                            <w:iCs/>
                            <w:szCs w:val="24"/>
                          </w:rPr>
                        </w:pPr>
                      </w:p>
                    </w:tc>
                    <w:tc>
                      <w:tcPr>
                        <w:tcW w:w="5386" w:type="dxa"/>
                      </w:tcPr>
                      <w:p>
                        <w:pPr>
                          <w:tabs>
                            <w:tab w:val="left" w:pos="240"/>
                          </w:tabs>
                          <w:ind w:left="29"/>
                          <w:rPr>
                            <w:bCs/>
                            <w:szCs w:val="24"/>
                          </w:rPr>
                        </w:pPr>
                        <w:r>
                          <w:rPr>
                            <w:bCs/>
                            <w:iCs/>
                            <w:szCs w:val="24"/>
                          </w:rPr>
                          <w:t>Nuolat prižiūrimos</w:t>
                        </w:r>
                        <w:r>
                          <w:rPr>
                            <w:bCs/>
                            <w:szCs w:val="24"/>
                          </w:rPr>
                          <w:t xml:space="preserve"> veikiančios ir neveikiančios senosios kapinės, kurių bendras plotas – 1,12 ha. Tvarkytos bendrojo naudojimo teritorijos – apie 14 ha. Įsigyti reikalingi įrengimai bei priemonės aplinkos tvarkymo, technikos priežiūros bei remonto darbams. Atlikti traktoriaus remonto darbai. Pašalinta pavojų keliantys, audrų nulaužti medžiai – 7 (Aukštelkų seniūnija).</w:t>
                        </w:r>
                      </w:p>
                    </w:tc>
                  </w:tr>
                  <w:tr>
                    <w:trPr>
                      <w:trHeight w:val="365"/>
                    </w:trPr>
                    <w:tc>
                      <w:tcPr>
                        <w:tcW w:w="4253" w:type="dxa"/>
                      </w:tcPr>
                      <w:p>
                        <w:pPr>
                          <w:rPr>
                            <w:bCs/>
                            <w:szCs w:val="24"/>
                          </w:rPr>
                        </w:pPr>
                        <w:r>
                          <w:rPr>
                            <w:bCs/>
                            <w:szCs w:val="24"/>
                          </w:rPr>
                          <w:t xml:space="preserve">18.2.2.3. Aukštelkų seniūnijos viešųjų erdvių sutvarkymas (materialiojo turto, įrenginių įsigijimas, paprastasis remontas). </w:t>
                        </w:r>
                        <w:r>
                          <w:rPr>
                            <w:bCs/>
                            <w:i/>
                            <w:iCs/>
                            <w:szCs w:val="24"/>
                          </w:rPr>
                          <w:t>Sutvarkytų viešųjų erdvių.</w:t>
                        </w:r>
                        <w:r>
                          <w:rPr>
                            <w:bCs/>
                            <w:iCs/>
                            <w:szCs w:val="24"/>
                          </w:rPr>
                          <w:t xml:space="preserve"> </w:t>
                        </w:r>
                      </w:p>
                      <w:p>
                        <w:pPr>
                          <w:rPr>
                            <w:bCs/>
                            <w:iCs/>
                            <w:szCs w:val="24"/>
                          </w:rPr>
                        </w:pPr>
                        <w:r>
                          <w:rPr>
                            <w:bCs/>
                            <w:szCs w:val="24"/>
                          </w:rPr>
                          <w:t>(SVP 6-1-5-01, 6-1-5-30).</w:t>
                        </w:r>
                        <w:r>
                          <w:rPr>
                            <w:bCs/>
                            <w:iCs/>
                            <w:szCs w:val="24"/>
                          </w:rPr>
                          <w:t xml:space="preserve"> </w:t>
                        </w:r>
                      </w:p>
                    </w:tc>
                    <w:tc>
                      <w:tcPr>
                        <w:tcW w:w="993" w:type="dxa"/>
                      </w:tcPr>
                      <w:p>
                        <w:pPr>
                          <w:rPr>
                            <w:iCs/>
                            <w:color w:val="000000"/>
                            <w:szCs w:val="24"/>
                          </w:rPr>
                        </w:pPr>
                        <w:r>
                          <w:rPr>
                            <w:bCs/>
                            <w:iCs/>
                            <w:szCs w:val="24"/>
                          </w:rPr>
                          <w:t>2</w:t>
                        </w:r>
                      </w:p>
                    </w:tc>
                    <w:tc>
                      <w:tcPr>
                        <w:tcW w:w="850" w:type="dxa"/>
                      </w:tcPr>
                      <w:p>
                        <w:pPr>
                          <w:rPr>
                            <w:iCs/>
                            <w:szCs w:val="24"/>
                          </w:rPr>
                        </w:pPr>
                        <w:r>
                          <w:rPr>
                            <w:bCs/>
                            <w:iCs/>
                            <w:szCs w:val="24"/>
                          </w:rPr>
                          <w:t>-</w:t>
                        </w:r>
                      </w:p>
                    </w:tc>
                    <w:tc>
                      <w:tcPr>
                        <w:tcW w:w="851" w:type="dxa"/>
                      </w:tcPr>
                      <w:p>
                        <w:pPr>
                          <w:rPr>
                            <w:iCs/>
                            <w:color w:val="000000"/>
                            <w:szCs w:val="24"/>
                          </w:rPr>
                        </w:pPr>
                        <w:r>
                          <w:rPr>
                            <w:bCs/>
                            <w:iCs/>
                            <w:szCs w:val="24"/>
                          </w:rPr>
                          <w:t>1</w:t>
                        </w:r>
                      </w:p>
                    </w:tc>
                    <w:tc>
                      <w:tcPr>
                        <w:tcW w:w="850" w:type="dxa"/>
                      </w:tcPr>
                      <w:p>
                        <w:pPr>
                          <w:rPr>
                            <w:iCs/>
                            <w:color w:val="000000"/>
                            <w:szCs w:val="24"/>
                          </w:rPr>
                        </w:pPr>
                        <w:r>
                          <w:rPr>
                            <w:bCs/>
                            <w:iCs/>
                            <w:szCs w:val="24"/>
                          </w:rPr>
                          <w:t>2</w:t>
                        </w:r>
                      </w:p>
                    </w:tc>
                    <w:tc>
                      <w:tcPr>
                        <w:tcW w:w="992" w:type="dxa"/>
                      </w:tcPr>
                      <w:p>
                        <w:pPr>
                          <w:rPr>
                            <w:bCs/>
                            <w:iCs/>
                            <w:szCs w:val="24"/>
                          </w:rPr>
                        </w:pPr>
                        <w:r>
                          <w:rPr>
                            <w:bCs/>
                            <w:iCs/>
                            <w:szCs w:val="24"/>
                          </w:rPr>
                          <w:t>35,00</w:t>
                        </w:r>
                      </w:p>
                      <w:p>
                        <w:pPr>
                          <w:rPr>
                            <w:bCs/>
                            <w:iCs/>
                            <w:szCs w:val="24"/>
                          </w:rPr>
                        </w:pPr>
                        <w:r>
                          <w:rPr>
                            <w:bCs/>
                            <w:iCs/>
                            <w:szCs w:val="24"/>
                          </w:rPr>
                          <w:t>SB</w:t>
                        </w:r>
                      </w:p>
                      <w:p>
                        <w:pPr>
                          <w:rPr>
                            <w:bCs/>
                            <w:iCs/>
                            <w:szCs w:val="24"/>
                          </w:rPr>
                        </w:pPr>
                      </w:p>
                      <w:p>
                        <w:pPr>
                          <w:rPr>
                            <w:iCs/>
                            <w:szCs w:val="24"/>
                          </w:rPr>
                        </w:pPr>
                      </w:p>
                    </w:tc>
                    <w:tc>
                      <w:tcPr>
                        <w:tcW w:w="993" w:type="dxa"/>
                      </w:tcPr>
                      <w:p>
                        <w:pPr>
                          <w:rPr>
                            <w:bCs/>
                            <w:iCs/>
                            <w:szCs w:val="24"/>
                          </w:rPr>
                        </w:pPr>
                        <w:r>
                          <w:rPr>
                            <w:bCs/>
                            <w:iCs/>
                            <w:szCs w:val="24"/>
                          </w:rPr>
                          <w:t>33,78</w:t>
                        </w:r>
                      </w:p>
                      <w:p>
                        <w:pPr>
                          <w:rPr>
                            <w:bCs/>
                            <w:iCs/>
                            <w:szCs w:val="24"/>
                          </w:rPr>
                        </w:pPr>
                        <w:r>
                          <w:rPr>
                            <w:bCs/>
                            <w:iCs/>
                            <w:szCs w:val="24"/>
                          </w:rPr>
                          <w:t>SB</w:t>
                        </w:r>
                      </w:p>
                      <w:p>
                        <w:pPr>
                          <w:rPr>
                            <w:bCs/>
                            <w:iCs/>
                            <w:szCs w:val="24"/>
                          </w:rPr>
                        </w:pPr>
                      </w:p>
                      <w:p>
                        <w:pPr>
                          <w:rPr>
                            <w:bCs/>
                            <w:iCs/>
                            <w:szCs w:val="24"/>
                          </w:rPr>
                        </w:pPr>
                      </w:p>
                      <w:p>
                        <w:pPr>
                          <w:rPr>
                            <w:iCs/>
                            <w:szCs w:val="24"/>
                          </w:rPr>
                        </w:pPr>
                      </w:p>
                    </w:tc>
                    <w:tc>
                      <w:tcPr>
                        <w:tcW w:w="5386" w:type="dxa"/>
                      </w:tcPr>
                      <w:p>
                        <w:pPr>
                          <w:tabs>
                            <w:tab w:val="left" w:pos="84"/>
                            <w:tab w:val="left" w:pos="396"/>
                          </w:tabs>
                          <w:rPr>
                            <w:bCs/>
                            <w:szCs w:val="24"/>
                          </w:rPr>
                        </w:pPr>
                        <w:r>
                          <w:rPr>
                            <w:bCs/>
                            <w:szCs w:val="24"/>
                          </w:rPr>
                          <w:t>Aukštelkų k. parko aikštelės dalies dangos atnaujinimo darbai. Aukštelkų pirties pastato išorės sienų atnaujinimo darbai. Įsigytas dviejų dalių buldozeris (Aukštelkų seniūnija).</w:t>
                        </w:r>
                      </w:p>
                    </w:tc>
                  </w:tr>
                  <w:tr>
                    <w:trPr>
                      <w:trHeight w:val="365"/>
                    </w:trPr>
                    <w:tc>
                      <w:tcPr>
                        <w:tcW w:w="4253" w:type="dxa"/>
                      </w:tcPr>
                      <w:p>
                        <w:pPr>
                          <w:rPr>
                            <w:bCs/>
                            <w:szCs w:val="24"/>
                          </w:rPr>
                        </w:pPr>
                        <w:r>
                          <w:rPr>
                            <w:bCs/>
                            <w:szCs w:val="24"/>
                          </w:rPr>
                          <w:t>18.2.2.4. Tęstinė viešųjų pirčių veikla Aukštelkų seniūnijoje. Surinkta planuotų pajamų procentais, Eur (SVP6-1-5-17B.)</w:t>
                        </w:r>
                      </w:p>
                    </w:tc>
                    <w:tc>
                      <w:tcPr>
                        <w:tcW w:w="993" w:type="dxa"/>
                      </w:tcPr>
                      <w:p>
                        <w:pPr>
                          <w:rPr>
                            <w:iCs/>
                            <w:color w:val="000000"/>
                            <w:szCs w:val="24"/>
                          </w:rPr>
                        </w:pPr>
                        <w:r>
                          <w:rPr>
                            <w:bCs/>
                            <w:iCs/>
                            <w:szCs w:val="24"/>
                          </w:rPr>
                          <w:t>80 %</w:t>
                        </w:r>
                      </w:p>
                    </w:tc>
                    <w:tc>
                      <w:tcPr>
                        <w:tcW w:w="850" w:type="dxa"/>
                      </w:tcPr>
                      <w:p>
                        <w:pPr>
                          <w:rPr>
                            <w:iCs/>
                            <w:szCs w:val="24"/>
                          </w:rPr>
                        </w:pPr>
                        <w:r>
                          <w:rPr>
                            <w:bCs/>
                            <w:iCs/>
                            <w:szCs w:val="24"/>
                          </w:rPr>
                          <w:t>4000 Eur</w:t>
                        </w:r>
                      </w:p>
                    </w:tc>
                    <w:tc>
                      <w:tcPr>
                        <w:tcW w:w="851" w:type="dxa"/>
                      </w:tcPr>
                      <w:p>
                        <w:pPr>
                          <w:rPr>
                            <w:iCs/>
                            <w:color w:val="000000"/>
                            <w:szCs w:val="24"/>
                          </w:rPr>
                        </w:pPr>
                        <w:r>
                          <w:rPr>
                            <w:bCs/>
                            <w:iCs/>
                            <w:szCs w:val="24"/>
                          </w:rPr>
                          <w:t>4596 Eur</w:t>
                        </w:r>
                      </w:p>
                    </w:tc>
                    <w:tc>
                      <w:tcPr>
                        <w:tcW w:w="850" w:type="dxa"/>
                      </w:tcPr>
                      <w:p>
                        <w:pPr>
                          <w:rPr>
                            <w:iCs/>
                            <w:color w:val="000000"/>
                            <w:szCs w:val="24"/>
                          </w:rPr>
                        </w:pPr>
                        <w:r>
                          <w:rPr>
                            <w:bCs/>
                            <w:iCs/>
                            <w:szCs w:val="24"/>
                          </w:rPr>
                          <w:t>83,68 %</w:t>
                        </w:r>
                      </w:p>
                    </w:tc>
                    <w:tc>
                      <w:tcPr>
                        <w:tcW w:w="992" w:type="dxa"/>
                      </w:tcPr>
                      <w:p>
                        <w:pPr>
                          <w:rPr>
                            <w:bCs/>
                            <w:iCs/>
                            <w:szCs w:val="24"/>
                          </w:rPr>
                        </w:pPr>
                        <w:r>
                          <w:rPr>
                            <w:bCs/>
                            <w:iCs/>
                            <w:szCs w:val="24"/>
                          </w:rPr>
                          <w:t>5,0</w:t>
                        </w:r>
                      </w:p>
                      <w:p>
                        <w:pPr>
                          <w:rPr>
                            <w:iCs/>
                            <w:szCs w:val="24"/>
                          </w:rPr>
                        </w:pPr>
                        <w:r>
                          <w:rPr>
                            <w:bCs/>
                            <w:iCs/>
                            <w:szCs w:val="24"/>
                          </w:rPr>
                          <w:t>SB SPEC</w:t>
                        </w:r>
                      </w:p>
                    </w:tc>
                    <w:tc>
                      <w:tcPr>
                        <w:tcW w:w="993" w:type="dxa"/>
                      </w:tcPr>
                      <w:p>
                        <w:pPr>
                          <w:rPr>
                            <w:bCs/>
                            <w:iCs/>
                            <w:szCs w:val="24"/>
                          </w:rPr>
                        </w:pPr>
                        <w:r>
                          <w:rPr>
                            <w:bCs/>
                            <w:iCs/>
                            <w:szCs w:val="24"/>
                          </w:rPr>
                          <w:t>4,18</w:t>
                        </w:r>
                      </w:p>
                      <w:p>
                        <w:pPr>
                          <w:rPr>
                            <w:iCs/>
                            <w:szCs w:val="24"/>
                          </w:rPr>
                        </w:pPr>
                        <w:r>
                          <w:rPr>
                            <w:bCs/>
                            <w:iCs/>
                            <w:szCs w:val="24"/>
                          </w:rPr>
                          <w:t>SB SPEC</w:t>
                        </w:r>
                      </w:p>
                    </w:tc>
                    <w:tc>
                      <w:tcPr>
                        <w:tcW w:w="5386" w:type="dxa"/>
                      </w:tcPr>
                      <w:p>
                        <w:pPr>
                          <w:rPr>
                            <w:color w:val="000000"/>
                            <w:szCs w:val="24"/>
                          </w:rPr>
                        </w:pPr>
                        <w:r>
                          <w:rPr>
                            <w:bCs/>
                            <w:szCs w:val="24"/>
                          </w:rPr>
                          <w:t>Atlikti pirties patalpų remonto darbai: pirties pečiaus remontas (Aukštelkų seniūnija).</w:t>
                        </w:r>
                      </w:p>
                    </w:tc>
                  </w:tr>
                  <w:tr>
                    <w:trPr>
                      <w:trHeight w:val="365"/>
                    </w:trPr>
                    <w:tc>
                      <w:tcPr>
                        <w:tcW w:w="4253" w:type="dxa"/>
                      </w:tcPr>
                      <w:p>
                        <w:pPr>
                          <w:rPr>
                            <w:bCs/>
                            <w:iCs/>
                            <w:szCs w:val="24"/>
                          </w:rPr>
                        </w:pPr>
                        <w:r>
                          <w:rPr>
                            <w:rFonts w:eastAsia="Calibri"/>
                            <w:color w:val="000000"/>
                            <w:szCs w:val="24"/>
                          </w:rPr>
                          <w:t xml:space="preserve">19.2.1.1.Gatvių apšvietimo įrengimas, atnaujinimas ir priežiūra. Gyvenviečių, kuriose įrengtas naujas apšvietimas, skaičius </w:t>
                        </w:r>
                        <w:r>
                          <w:rPr>
                            <w:rFonts w:eastAsia="Calibri"/>
                            <w:iCs/>
                            <w:szCs w:val="24"/>
                          </w:rPr>
                          <w:t>(SVP 6-1-5-2</w:t>
                        </w:r>
                        <w:r>
                          <w:rPr>
                            <w:rFonts w:eastAsia="Calibri"/>
                            <w:i/>
                            <w:szCs w:val="24"/>
                          </w:rPr>
                          <w:t xml:space="preserve">; </w:t>
                        </w:r>
                        <w:r>
                          <w:rPr>
                            <w:rFonts w:eastAsia="Calibri"/>
                            <w:iCs/>
                            <w:szCs w:val="24"/>
                          </w:rPr>
                          <w:t>6-1-5-30)</w:t>
                        </w:r>
                      </w:p>
                    </w:tc>
                    <w:tc>
                      <w:tcPr>
                        <w:tcW w:w="993"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lang w:val="en-US"/>
                          </w:rPr>
                          <w:t>1 vnt.</w:t>
                        </w:r>
                      </w:p>
                    </w:tc>
                    <w:tc>
                      <w:tcPr>
                        <w:tcW w:w="850" w:type="dxa"/>
                        <w:tcBorders>
                          <w:top w:val="single" w:sz="4" w:space="0" w:color="auto"/>
                          <w:left w:val="single" w:sz="4" w:space="0" w:color="auto"/>
                          <w:bottom w:val="single" w:sz="4" w:space="0" w:color="auto"/>
                          <w:right w:val="single" w:sz="4" w:space="0" w:color="auto"/>
                        </w:tcBorders>
                      </w:tcPr>
                      <w:p>
                        <w:pPr>
                          <w:rPr>
                            <w:iCs/>
                            <w:szCs w:val="24"/>
                          </w:rPr>
                        </w:pPr>
                        <w:r>
                          <w:rPr>
                            <w:rFonts w:eastAsia="Calibri"/>
                            <w:szCs w:val="24"/>
                          </w:rPr>
                          <w:t>55</w:t>
                        </w:r>
                      </w:p>
                    </w:tc>
                    <w:tc>
                      <w:tcPr>
                        <w:tcW w:w="851"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50</w:t>
                        </w:r>
                      </w:p>
                    </w:tc>
                    <w:tc>
                      <w:tcPr>
                        <w:tcW w:w="850"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1 vnt.</w:t>
                        </w:r>
                      </w:p>
                    </w:tc>
                    <w:tc>
                      <w:tcPr>
                        <w:tcW w:w="992" w:type="dxa"/>
                        <w:vMerge w:val="restart"/>
                      </w:tcPr>
                      <w:p>
                        <w:pPr>
                          <w:rPr>
                            <w:rFonts w:eastAsia="Calibri"/>
                            <w:szCs w:val="24"/>
                            <w:highlight w:val="yellow"/>
                          </w:rPr>
                        </w:pPr>
                      </w:p>
                      <w:p>
                        <w:pPr>
                          <w:rPr>
                            <w:rFonts w:eastAsia="Calibri"/>
                            <w:szCs w:val="24"/>
                          </w:rPr>
                        </w:pPr>
                        <w:r>
                          <w:rPr>
                            <w:rFonts w:eastAsia="Calibri"/>
                            <w:szCs w:val="24"/>
                          </w:rPr>
                          <w:t>168,34</w:t>
                        </w:r>
                      </w:p>
                      <w:p>
                        <w:pPr>
                          <w:rPr>
                            <w:szCs w:val="24"/>
                          </w:rPr>
                        </w:pPr>
                        <w:r>
                          <w:rPr>
                            <w:szCs w:val="24"/>
                          </w:rPr>
                          <w:t>SB</w:t>
                        </w:r>
                      </w:p>
                    </w:tc>
                    <w:tc>
                      <w:tcPr>
                        <w:tcW w:w="993" w:type="dxa"/>
                        <w:vMerge w:val="restart"/>
                      </w:tcPr>
                      <w:p>
                        <w:pPr>
                          <w:rPr>
                            <w:szCs w:val="24"/>
                            <w:highlight w:val="yellow"/>
                          </w:rPr>
                        </w:pPr>
                      </w:p>
                      <w:p>
                        <w:pPr>
                          <w:rPr>
                            <w:szCs w:val="24"/>
                          </w:rPr>
                        </w:pPr>
                        <w:r>
                          <w:rPr>
                            <w:szCs w:val="24"/>
                          </w:rPr>
                          <w:t>144,7</w:t>
                        </w:r>
                      </w:p>
                      <w:p>
                        <w:pPr>
                          <w:rPr>
                            <w:szCs w:val="24"/>
                          </w:rPr>
                        </w:pPr>
                        <w:r>
                          <w:rPr>
                            <w:szCs w:val="24"/>
                          </w:rPr>
                          <w:t>SB</w:t>
                        </w:r>
                      </w:p>
                      <w:p>
                        <w:pPr>
                          <w:rPr>
                            <w:iCs/>
                            <w:szCs w:val="24"/>
                          </w:rPr>
                        </w:pPr>
                      </w:p>
                    </w:tc>
                    <w:tc>
                      <w:tcPr>
                        <w:tcW w:w="5386" w:type="dxa"/>
                      </w:tcPr>
                      <w:p>
                        <w:pPr>
                          <w:rPr>
                            <w:bCs/>
                            <w:szCs w:val="24"/>
                          </w:rPr>
                        </w:pPr>
                        <w:r>
                          <w:rPr>
                            <w:bCs/>
                            <w:szCs w:val="24"/>
                          </w:rPr>
                          <w:t xml:space="preserve">Atnaujintas gatvių apšvietimas LED šviestuvais(60 vnt.) Palonų mstl., Baisogalos mstl., Augmėnų k., Bučiūnų k. Įrengtas naujas Kablių k. gatvės apšvietimas </w:t>
                        </w:r>
                        <w:r>
                          <w:rPr>
                            <w:szCs w:val="24"/>
                          </w:rPr>
                          <w:t>(Baisogalos seniūnija)</w:t>
                        </w:r>
                      </w:p>
                    </w:tc>
                  </w:tr>
                  <w:tr>
                    <w:trPr>
                      <w:trHeight w:val="365"/>
                    </w:trPr>
                    <w:tc>
                      <w:tcPr>
                        <w:tcW w:w="4253" w:type="dxa"/>
                      </w:tcPr>
                      <w:p>
                        <w:pPr>
                          <w:rPr>
                            <w:bCs/>
                            <w:iCs/>
                            <w:szCs w:val="24"/>
                            <w:highlight w:val="yellow"/>
                          </w:rPr>
                        </w:pPr>
                        <w:r>
                          <w:rPr>
                            <w:rFonts w:eastAsia="Calibri"/>
                            <w:color w:val="000000"/>
                            <w:szCs w:val="24"/>
                          </w:rPr>
                          <w:t>19.2.1.2. Atliekų surinkimas iš viešojo naudojimo teritorijų, nelegalių šiukšlinių šalinimas. (SVP 6-1-1-11)</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iCs/>
                            <w:szCs w:val="24"/>
                          </w:rPr>
                        </w:pPr>
                      </w:p>
                    </w:tc>
                    <w:tc>
                      <w:tcPr>
                        <w:tcW w:w="851"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992" w:type="dxa"/>
                        <w:vMerge/>
                      </w:tcPr>
                      <w:p>
                        <w:pPr>
                          <w:rPr>
                            <w:iCs/>
                            <w:szCs w:val="24"/>
                          </w:rPr>
                        </w:pPr>
                      </w:p>
                    </w:tc>
                    <w:tc>
                      <w:tcPr>
                        <w:tcW w:w="993" w:type="dxa"/>
                        <w:vMerge/>
                      </w:tcPr>
                      <w:p>
                        <w:pPr>
                          <w:rPr>
                            <w:iCs/>
                            <w:szCs w:val="24"/>
                          </w:rPr>
                        </w:pPr>
                      </w:p>
                    </w:tc>
                    <w:tc>
                      <w:tcPr>
                        <w:tcW w:w="5386" w:type="dxa"/>
                      </w:tcPr>
                      <w:p>
                        <w:pPr>
                          <w:rPr>
                            <w:bCs/>
                            <w:szCs w:val="24"/>
                          </w:rPr>
                        </w:pPr>
                        <w:r>
                          <w:rPr>
                            <w:bCs/>
                            <w:szCs w:val="24"/>
                          </w:rPr>
                          <w:t xml:space="preserve">Pradėtas likviduoti ir tvarkyti nelegalus šiukšlynas Jadvimpolio k. </w:t>
                        </w:r>
                        <w:r>
                          <w:rPr>
                            <w:szCs w:val="24"/>
                          </w:rPr>
                          <w:t>(Baisogalos seniūnija).</w:t>
                        </w:r>
                      </w:p>
                      <w:p>
                        <w:pPr>
                          <w:rPr>
                            <w:color w:val="000000"/>
                            <w:szCs w:val="24"/>
                          </w:rPr>
                        </w:pPr>
                      </w:p>
                    </w:tc>
                  </w:tr>
                  <w:tr>
                    <w:trPr>
                      <w:trHeight w:val="365"/>
                    </w:trPr>
                    <w:tc>
                      <w:tcPr>
                        <w:tcW w:w="4253" w:type="dxa"/>
                      </w:tcPr>
                      <w:p>
                        <w:pPr>
                          <w:rPr>
                            <w:bCs/>
                            <w:iCs/>
                            <w:szCs w:val="24"/>
                            <w:highlight w:val="yellow"/>
                          </w:rPr>
                        </w:pPr>
                        <w:r>
                          <w:rPr>
                            <w:rFonts w:eastAsia="Calibri"/>
                            <w:color w:val="000000"/>
                            <w:szCs w:val="24"/>
                          </w:rPr>
                          <w:t>19.2.1.3. Kapinių tvarkymas ir priežiūra (</w:t>
                        </w:r>
                        <w:r>
                          <w:rPr>
                            <w:rFonts w:eastAsia="Calibri"/>
                            <w:iCs/>
                            <w:szCs w:val="24"/>
                          </w:rPr>
                          <w:t>SVP 6-1-5-2)</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iCs/>
                            <w:szCs w:val="24"/>
                          </w:rPr>
                        </w:pPr>
                      </w:p>
                    </w:tc>
                    <w:tc>
                      <w:tcPr>
                        <w:tcW w:w="851"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ind w:left="720" w:hanging="360"/>
                          <w:rPr>
                            <w:rFonts w:eastAsia="Calibri"/>
                            <w:sz w:val="22"/>
                            <w:szCs w:val="24"/>
                            <w:lang w:val="en-US"/>
                          </w:rPr>
                        </w:pPr>
                        <w:r>
                          <w:rPr>
                            <w:rFonts w:eastAsia="Calibri"/>
                            <w:szCs w:val="24"/>
                            <w:lang w:val="en-US"/>
                          </w:rPr>
                          <w:t>100</w:t>
                          <w:tab/>
                        </w:r>
                        <w:r>
                          <w:rPr>
                            <w:rFonts w:eastAsia="Calibri"/>
                            <w:sz w:val="22"/>
                            <w:szCs w:val="24"/>
                            <w:lang w:val="en-US"/>
                          </w:rPr>
                          <w:t>%</w:t>
                        </w:r>
                      </w:p>
                      <w:p>
                        <w:pPr>
                          <w:rPr>
                            <w:color w:val="000000"/>
                            <w:szCs w:val="24"/>
                          </w:rPr>
                        </w:pPr>
                      </w:p>
                    </w:tc>
                    <w:tc>
                      <w:tcPr>
                        <w:tcW w:w="992" w:type="dxa"/>
                        <w:vMerge/>
                      </w:tcPr>
                      <w:p>
                        <w:pPr>
                          <w:rPr>
                            <w:iCs/>
                            <w:szCs w:val="24"/>
                          </w:rPr>
                        </w:pPr>
                      </w:p>
                    </w:tc>
                    <w:tc>
                      <w:tcPr>
                        <w:tcW w:w="993" w:type="dxa"/>
                        <w:vMerge/>
                      </w:tcPr>
                      <w:p>
                        <w:pPr>
                          <w:rPr>
                            <w:iCs/>
                            <w:szCs w:val="24"/>
                          </w:rPr>
                        </w:pPr>
                      </w:p>
                    </w:tc>
                    <w:tc>
                      <w:tcPr>
                        <w:tcW w:w="5386" w:type="dxa"/>
                      </w:tcPr>
                      <w:p>
                        <w:pPr>
                          <w:rPr>
                            <w:szCs w:val="24"/>
                          </w:rPr>
                        </w:pPr>
                        <w:r>
                          <w:rPr>
                            <w:rFonts w:eastAsia="Calibri"/>
                            <w:szCs w:val="24"/>
                          </w:rPr>
                          <w:t xml:space="preserve">Įrengta kapinių tvora Palonų mstl. </w:t>
                        </w:r>
                        <w:r>
                          <w:rPr>
                            <w:szCs w:val="24"/>
                          </w:rPr>
                          <w:t>(Baisogalos seniūnija)</w:t>
                        </w:r>
                      </w:p>
                    </w:tc>
                  </w:tr>
                  <w:tr>
                    <w:trPr>
                      <w:trHeight w:val="1205"/>
                    </w:trPr>
                    <w:tc>
                      <w:tcPr>
                        <w:tcW w:w="4253" w:type="dxa"/>
                      </w:tcPr>
                      <w:p>
                        <w:pPr>
                          <w:spacing w:line="259" w:lineRule="auto"/>
                          <w:rPr>
                            <w:rFonts w:eastAsia="Calibri"/>
                            <w:iCs/>
                            <w:color w:val="000000"/>
                            <w:szCs w:val="24"/>
                          </w:rPr>
                        </w:pPr>
                        <w:r>
                          <w:rPr>
                            <w:rFonts w:eastAsia="Calibri"/>
                            <w:color w:val="000000"/>
                            <w:szCs w:val="24"/>
                          </w:rPr>
                          <w:t>19.2.1.4. Infrastruktūros objektų priežiūra, inspektavimas (vaikų žaidimo aikštelės), naujų objektų įrengimas.</w:t>
                        </w:r>
                        <w:r>
                          <w:rPr>
                            <w:rFonts w:eastAsia="Calibri"/>
                            <w:i/>
                            <w:szCs w:val="24"/>
                          </w:rPr>
                          <w:t xml:space="preserve"> </w:t>
                        </w:r>
                        <w:r>
                          <w:rPr>
                            <w:rFonts w:eastAsia="Calibri"/>
                            <w:iCs/>
                            <w:szCs w:val="24"/>
                          </w:rPr>
                          <w:t>(SVP 6-1-5-2</w:t>
                        </w:r>
                        <w:r>
                          <w:rPr>
                            <w:rFonts w:eastAsia="Calibri"/>
                            <w:i/>
                            <w:szCs w:val="24"/>
                          </w:rPr>
                          <w:t xml:space="preserve">; </w:t>
                        </w:r>
                        <w:r>
                          <w:rPr>
                            <w:rFonts w:eastAsia="Calibri"/>
                            <w:iCs/>
                            <w:szCs w:val="24"/>
                          </w:rPr>
                          <w:t>6-1-5-30)</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iCs/>
                            <w:szCs w:val="24"/>
                          </w:rPr>
                        </w:pPr>
                      </w:p>
                    </w:tc>
                    <w:tc>
                      <w:tcPr>
                        <w:tcW w:w="851"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992" w:type="dxa"/>
                        <w:vMerge/>
                      </w:tcPr>
                      <w:p>
                        <w:pPr>
                          <w:rPr>
                            <w:iCs/>
                            <w:szCs w:val="24"/>
                          </w:rPr>
                        </w:pPr>
                      </w:p>
                    </w:tc>
                    <w:tc>
                      <w:tcPr>
                        <w:tcW w:w="993" w:type="dxa"/>
                        <w:vMerge/>
                      </w:tcPr>
                      <w:p>
                        <w:pPr>
                          <w:rPr>
                            <w:iCs/>
                            <w:szCs w:val="24"/>
                          </w:rPr>
                        </w:pPr>
                      </w:p>
                    </w:tc>
                    <w:tc>
                      <w:tcPr>
                        <w:tcW w:w="5386" w:type="dxa"/>
                      </w:tcPr>
                      <w:p>
                        <w:pPr>
                          <w:rPr>
                            <w:color w:val="000000"/>
                            <w:szCs w:val="24"/>
                          </w:rPr>
                        </w:pPr>
                        <w:r>
                          <w:rPr>
                            <w:rFonts w:eastAsia="Lucida Sans Unicode"/>
                            <w:szCs w:val="24"/>
                          </w:rPr>
                          <w:t>Baisogalos mstl. atlikti paminklo žuvusiems už Lietuvos laisvę ir šalia esančių trinkelių nuplovimo darbai; viešųjų erdvių puošimas švenčių progomis; vaikų žaidimų aikštelių priežiūra ir kontrolė, įrengta nauja aikštelė Mokyklos g, Palonų mstl.</w:t>
                        </w:r>
                        <w:r>
                          <w:rPr>
                            <w:szCs w:val="24"/>
                          </w:rPr>
                          <w:t xml:space="preserve"> (Baisogalos seniūnija).</w:t>
                        </w:r>
                      </w:p>
                    </w:tc>
                  </w:tr>
                  <w:tr>
                    <w:trPr>
                      <w:trHeight w:val="365"/>
                    </w:trPr>
                    <w:tc>
                      <w:tcPr>
                        <w:tcW w:w="4253" w:type="dxa"/>
                      </w:tcPr>
                      <w:p>
                        <w:pPr>
                          <w:rPr>
                            <w:bCs/>
                            <w:iCs/>
                            <w:szCs w:val="24"/>
                            <w:highlight w:val="yellow"/>
                          </w:rPr>
                        </w:pPr>
                        <w:r>
                          <w:rPr>
                            <w:rFonts w:eastAsia="Calibri"/>
                            <w:color w:val="000000"/>
                            <w:szCs w:val="24"/>
                          </w:rPr>
                          <w:t>19.2.1.5.Pakelių, pėsčiųjų takų priežiūra, kelio ženklų priežiūra ir atnaujinimas.</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iCs/>
                            <w:szCs w:val="24"/>
                          </w:rPr>
                        </w:pPr>
                      </w:p>
                    </w:tc>
                    <w:tc>
                      <w:tcPr>
                        <w:tcW w:w="851"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850" w:type="dxa"/>
                        <w:tcBorders>
                          <w:top w:val="single" w:sz="4" w:space="0" w:color="auto"/>
                          <w:left w:val="single" w:sz="4" w:space="0" w:color="auto"/>
                          <w:bottom w:val="single" w:sz="4" w:space="0" w:color="auto"/>
                          <w:right w:val="single" w:sz="4" w:space="0" w:color="auto"/>
                        </w:tcBorders>
                      </w:tcPr>
                      <w:p>
                        <w:pPr>
                          <w:rPr>
                            <w:rFonts w:eastAsia="Calibri"/>
                            <w:szCs w:val="24"/>
                            <w:lang w:val="en-US"/>
                          </w:rPr>
                        </w:pPr>
                        <w:r>
                          <w:rPr>
                            <w:rFonts w:eastAsia="Calibri"/>
                            <w:szCs w:val="24"/>
                          </w:rPr>
                          <w:t xml:space="preserve">100 </w:t>
                        </w:r>
                        <w:r>
                          <w:rPr>
                            <w:rFonts w:eastAsia="Calibri"/>
                            <w:szCs w:val="24"/>
                            <w:lang w:val="en-US"/>
                          </w:rPr>
                          <w:t>%</w:t>
                        </w:r>
                      </w:p>
                      <w:p>
                        <w:pPr>
                          <w:rPr>
                            <w:color w:val="000000"/>
                            <w:szCs w:val="24"/>
                          </w:rPr>
                        </w:pPr>
                      </w:p>
                    </w:tc>
                    <w:tc>
                      <w:tcPr>
                        <w:tcW w:w="992" w:type="dxa"/>
                        <w:vMerge/>
                        <w:tcBorders>
                          <w:bottom w:val="nil"/>
                        </w:tcBorders>
                      </w:tcPr>
                      <w:p>
                        <w:pPr>
                          <w:rPr>
                            <w:iCs/>
                            <w:szCs w:val="24"/>
                          </w:rPr>
                        </w:pPr>
                      </w:p>
                    </w:tc>
                    <w:tc>
                      <w:tcPr>
                        <w:tcW w:w="993" w:type="dxa"/>
                        <w:vMerge/>
                        <w:tcBorders>
                          <w:bottom w:val="nil"/>
                        </w:tcBorders>
                      </w:tcPr>
                      <w:p>
                        <w:pPr>
                          <w:rPr>
                            <w:iCs/>
                            <w:szCs w:val="24"/>
                          </w:rPr>
                        </w:pPr>
                      </w:p>
                    </w:tc>
                    <w:tc>
                      <w:tcPr>
                        <w:tcW w:w="5386" w:type="dxa"/>
                      </w:tcPr>
                      <w:p>
                        <w:pPr>
                          <w:rPr>
                            <w:color w:val="000000"/>
                            <w:szCs w:val="24"/>
                          </w:rPr>
                        </w:pPr>
                        <w:r>
                          <w:rPr>
                            <w:szCs w:val="24"/>
                          </w:rPr>
                          <w:t>(Baisogalos seniūnija)</w:t>
                        </w:r>
                      </w:p>
                    </w:tc>
                  </w:tr>
                  <w:tr>
                    <w:trPr>
                      <w:trHeight w:val="1558"/>
                    </w:trPr>
                    <w:tc>
                      <w:tcPr>
                        <w:tcW w:w="4253" w:type="dxa"/>
                      </w:tcPr>
                      <w:p>
                        <w:pPr>
                          <w:rPr>
                            <w:bCs/>
                            <w:iCs/>
                            <w:szCs w:val="24"/>
                          </w:rPr>
                        </w:pPr>
                        <w:r>
                          <w:rPr>
                            <w:bCs/>
                            <w:iCs/>
                            <w:szCs w:val="24"/>
                          </w:rPr>
                          <w:t xml:space="preserve">20.2.1.1. Seniūnijos apskaitoje esančių objektų ir viešojo naudojimo teritorijų priežiūros ir tvarkymo užtikrinimas. Priemonių, užtikrinančių bendrojo naudojimo teritorijų ir objektų priežiūrą ir tvarkymą, skaičius. </w:t>
                        </w:r>
                        <w:r>
                          <w:rPr>
                            <w:rFonts w:eastAsia="Calibri"/>
                            <w:iCs/>
                            <w:szCs w:val="24"/>
                          </w:rPr>
                          <w:t>(SVP 6.1.5.03;6.1.5.30)</w:t>
                        </w:r>
                      </w:p>
                    </w:tc>
                    <w:tc>
                      <w:tcPr>
                        <w:tcW w:w="993" w:type="dxa"/>
                      </w:tcPr>
                      <w:p>
                        <w:pPr>
                          <w:rPr>
                            <w:color w:val="000000"/>
                            <w:szCs w:val="24"/>
                          </w:rPr>
                        </w:pPr>
                        <w:r>
                          <w:rPr>
                            <w:rFonts w:eastAsia="Calibri"/>
                            <w:szCs w:val="24"/>
                            <w:lang w:val="en-US"/>
                          </w:rPr>
                          <w:t>7</w:t>
                        </w:r>
                      </w:p>
                    </w:tc>
                    <w:tc>
                      <w:tcPr>
                        <w:tcW w:w="850" w:type="dxa"/>
                      </w:tcPr>
                      <w:p>
                        <w:pPr>
                          <w:rPr>
                            <w:iCs/>
                            <w:szCs w:val="24"/>
                          </w:rPr>
                        </w:pPr>
                        <w:r>
                          <w:rPr>
                            <w:rFonts w:eastAsia="Calibri"/>
                            <w:szCs w:val="24"/>
                          </w:rPr>
                          <w:t>7</w:t>
                        </w:r>
                      </w:p>
                    </w:tc>
                    <w:tc>
                      <w:tcPr>
                        <w:tcW w:w="851" w:type="dxa"/>
                      </w:tcPr>
                      <w:p>
                        <w:pPr>
                          <w:rPr>
                            <w:color w:val="000000"/>
                            <w:szCs w:val="24"/>
                          </w:rPr>
                        </w:pPr>
                        <w:r>
                          <w:rPr>
                            <w:rFonts w:eastAsia="Calibri"/>
                            <w:szCs w:val="24"/>
                          </w:rPr>
                          <w:t>7</w:t>
                        </w:r>
                      </w:p>
                    </w:tc>
                    <w:tc>
                      <w:tcPr>
                        <w:tcW w:w="850" w:type="dxa"/>
                      </w:tcPr>
                      <w:p>
                        <w:pPr>
                          <w:rPr>
                            <w:color w:val="000000"/>
                            <w:szCs w:val="24"/>
                          </w:rPr>
                        </w:pPr>
                        <w:r>
                          <w:rPr>
                            <w:rFonts w:eastAsia="Calibri"/>
                            <w:szCs w:val="24"/>
                          </w:rPr>
                          <w:t>7</w:t>
                        </w:r>
                      </w:p>
                    </w:tc>
                    <w:tc>
                      <w:tcPr>
                        <w:tcW w:w="992" w:type="dxa"/>
                        <w:vMerge w:val="restart"/>
                      </w:tcPr>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iCs/>
                            <w:szCs w:val="24"/>
                          </w:rPr>
                        </w:pPr>
                        <w:r>
                          <w:rPr>
                            <w:rFonts w:eastAsia="Calibri"/>
                            <w:szCs w:val="24"/>
                          </w:rPr>
                          <w:t>94,2 SB</w:t>
                        </w:r>
                      </w:p>
                    </w:tc>
                    <w:tc>
                      <w:tcPr>
                        <w:tcW w:w="993" w:type="dxa"/>
                      </w:tcPr>
                      <w:p>
                        <w:pPr>
                          <w:rPr>
                            <w:rFonts w:eastAsia="Calibri"/>
                            <w:szCs w:val="24"/>
                          </w:rPr>
                        </w:pPr>
                        <w:r>
                          <w:rPr>
                            <w:rFonts w:eastAsia="Calibri"/>
                            <w:szCs w:val="24"/>
                          </w:rPr>
                          <w:t xml:space="preserve">72,3 SB </w:t>
                        </w:r>
                      </w:p>
                      <w:p>
                        <w:pPr>
                          <w:rPr>
                            <w:iCs/>
                            <w:szCs w:val="24"/>
                          </w:rPr>
                        </w:pPr>
                      </w:p>
                    </w:tc>
                    <w:tc>
                      <w:tcPr>
                        <w:tcW w:w="5386" w:type="dxa"/>
                      </w:tcPr>
                      <w:p>
                        <w:pPr>
                          <w:rPr>
                            <w:bCs/>
                            <w:szCs w:val="24"/>
                          </w:rPr>
                        </w:pPr>
                        <w:r>
                          <w:rPr>
                            <w:bCs/>
                            <w:szCs w:val="24"/>
                          </w:rPr>
                          <w:t xml:space="preserve">Įsigyta 2 biotualetai, įsigytas ir sumontuotas Vaitiekūnų k.  pontoninis tiltas už 3398,93 Eur; atlikti Parko ir Tilto g. šaligatvio dangos remonto darbai už 18389,22 Eur; atliktas seniūnijos administracinio pastato stogo remontas už 11319,96 Eur, prižiūrėtos viešosios teritorijos (Grinkiškio seniūnija)</w:t>
                        </w:r>
                      </w:p>
                    </w:tc>
                  </w:tr>
                  <w:tr>
                    <w:trPr>
                      <w:trHeight w:val="365"/>
                    </w:trPr>
                    <w:tc>
                      <w:tcPr>
                        <w:tcW w:w="4253" w:type="dxa"/>
                      </w:tcPr>
                      <w:p>
                        <w:pPr>
                          <w:rPr>
                            <w:rFonts w:eastAsia="Calibri"/>
                            <w:szCs w:val="24"/>
                          </w:rPr>
                        </w:pPr>
                        <w:r>
                          <w:rPr>
                            <w:rFonts w:eastAsia="Calibri"/>
                            <w:szCs w:val="24"/>
                          </w:rPr>
                          <w:t>20.2.1.2. Gatvių apšvietimo priežiūra ir atnaujinimas.</w:t>
                        </w:r>
                        <w:r>
                          <w:rPr>
                            <w:rFonts w:eastAsia="Calibri"/>
                            <w:i/>
                            <w:szCs w:val="24"/>
                          </w:rPr>
                          <w:t>Gyvenviečių skaičius, kuriose naujai įrengtas arba atnaujintas gatvių apšvietimas</w:t>
                        </w:r>
                        <w:r>
                          <w:rPr>
                            <w:rFonts w:eastAsia="Calibri"/>
                            <w:szCs w:val="24"/>
                          </w:rPr>
                          <w:t xml:space="preserve"> </w:t>
                        </w:r>
                        <w:r>
                          <w:rPr>
                            <w:rFonts w:eastAsia="Calibri"/>
                            <w:iCs/>
                            <w:szCs w:val="24"/>
                          </w:rPr>
                          <w:t>(SVP 6.1.5.03; 6.1.5.30)</w:t>
                        </w:r>
                      </w:p>
                    </w:tc>
                    <w:tc>
                      <w:tcPr>
                        <w:tcW w:w="993" w:type="dxa"/>
                      </w:tcPr>
                      <w:p>
                        <w:pPr>
                          <w:rPr>
                            <w:color w:val="000000"/>
                            <w:szCs w:val="24"/>
                          </w:rPr>
                        </w:pPr>
                        <w:r>
                          <w:rPr>
                            <w:rFonts w:eastAsia="Calibri"/>
                            <w:szCs w:val="24"/>
                          </w:rPr>
                          <w:t>1</w:t>
                        </w:r>
                      </w:p>
                    </w:tc>
                    <w:tc>
                      <w:tcPr>
                        <w:tcW w:w="850" w:type="dxa"/>
                      </w:tcPr>
                      <w:p>
                        <w:pPr>
                          <w:rPr>
                            <w:iCs/>
                            <w:szCs w:val="24"/>
                          </w:rPr>
                        </w:pPr>
                        <w:r>
                          <w:rPr>
                            <w:rFonts w:eastAsia="Calibri"/>
                            <w:szCs w:val="24"/>
                          </w:rPr>
                          <w:t>1</w:t>
                        </w:r>
                      </w:p>
                    </w:tc>
                    <w:tc>
                      <w:tcPr>
                        <w:tcW w:w="851" w:type="dxa"/>
                      </w:tcPr>
                      <w:p>
                        <w:pPr>
                          <w:rPr>
                            <w:color w:val="000000"/>
                            <w:szCs w:val="24"/>
                          </w:rPr>
                        </w:pPr>
                        <w:r>
                          <w:rPr>
                            <w:rFonts w:eastAsia="Calibri"/>
                            <w:szCs w:val="24"/>
                          </w:rPr>
                          <w:t>2</w:t>
                        </w:r>
                      </w:p>
                    </w:tc>
                    <w:tc>
                      <w:tcPr>
                        <w:tcW w:w="850" w:type="dxa"/>
                      </w:tcPr>
                      <w:p>
                        <w:pPr>
                          <w:rPr>
                            <w:color w:val="000000"/>
                            <w:szCs w:val="24"/>
                          </w:rPr>
                        </w:pPr>
                        <w:r>
                          <w:rPr>
                            <w:rFonts w:eastAsia="Calibri"/>
                            <w:szCs w:val="24"/>
                          </w:rPr>
                          <w:t>1</w:t>
                        </w:r>
                      </w:p>
                    </w:tc>
                    <w:tc>
                      <w:tcPr>
                        <w:tcW w:w="992" w:type="dxa"/>
                        <w:vMerge/>
                      </w:tcPr>
                      <w:p>
                        <w:pPr>
                          <w:rPr>
                            <w:iCs/>
                            <w:szCs w:val="24"/>
                          </w:rPr>
                        </w:pPr>
                      </w:p>
                    </w:tc>
                    <w:tc>
                      <w:tcPr>
                        <w:tcW w:w="993" w:type="dxa"/>
                      </w:tcPr>
                      <w:p>
                        <w:pPr>
                          <w:rPr>
                            <w:rFonts w:eastAsia="Calibri"/>
                            <w:szCs w:val="24"/>
                          </w:rPr>
                        </w:pPr>
                        <w:r>
                          <w:rPr>
                            <w:rFonts w:eastAsia="Calibri"/>
                            <w:szCs w:val="24"/>
                          </w:rPr>
                          <w:t xml:space="preserve">9,3 SB </w:t>
                        </w:r>
                      </w:p>
                      <w:p>
                        <w:pPr>
                          <w:rPr>
                            <w:iCs/>
                            <w:szCs w:val="24"/>
                          </w:rPr>
                        </w:pPr>
                      </w:p>
                    </w:tc>
                    <w:tc>
                      <w:tcPr>
                        <w:tcW w:w="5386" w:type="dxa"/>
                      </w:tcPr>
                      <w:p>
                        <w:pPr>
                          <w:rPr>
                            <w:rFonts w:eastAsia="Calibri"/>
                            <w:szCs w:val="24"/>
                          </w:rPr>
                        </w:pPr>
                        <w:r>
                          <w:rPr>
                            <w:rFonts w:eastAsia="Calibri"/>
                            <w:szCs w:val="24"/>
                          </w:rPr>
                          <w:t>Grinkiškio miestelio aikštės parko ir pėsčiųjų tako prie Grinkiškio kultūros namų šviestuvų atnaujinimas, įsigyta elektros prekių ar paslaugų. (Grinkiškio seniūnija)</w:t>
                        </w:r>
                      </w:p>
                    </w:tc>
                  </w:tr>
                  <w:tr>
                    <w:trPr>
                      <w:trHeight w:val="365"/>
                    </w:trPr>
                    <w:tc>
                      <w:tcPr>
                        <w:tcW w:w="4253" w:type="dxa"/>
                      </w:tcPr>
                      <w:p>
                        <w:pPr>
                          <w:rPr>
                            <w:rFonts w:eastAsia="Calibri"/>
                            <w:szCs w:val="24"/>
                          </w:rPr>
                        </w:pPr>
                        <w:r>
                          <w:rPr>
                            <w:rFonts w:eastAsia="Calibri"/>
                            <w:szCs w:val="24"/>
                          </w:rPr>
                          <w:t>20.2.1.3. Atliekų tvarkymas viešojo naudojimo teritorijose, kapinių priežiūra.</w:t>
                        </w:r>
                      </w:p>
                      <w:p>
                        <w:pPr>
                          <w:rPr>
                            <w:rFonts w:eastAsia="Calibri"/>
                            <w:i/>
                            <w:szCs w:val="24"/>
                          </w:rPr>
                        </w:pPr>
                        <w:r>
                          <w:rPr>
                            <w:rFonts w:eastAsia="Calibri"/>
                            <w:i/>
                            <w:szCs w:val="24"/>
                          </w:rPr>
                          <w:t>Naujai įrengtų atliekų konteinerių skaičius gyvenvietėse.</w:t>
                        </w:r>
                        <w:r>
                          <w:rPr>
                            <w:rFonts w:eastAsia="Calibri"/>
                            <w:iCs/>
                            <w:szCs w:val="24"/>
                          </w:rPr>
                          <w:t>(SVP 6.1.5.03</w:t>
                        </w:r>
                        <w:r>
                          <w:rPr>
                            <w:rFonts w:eastAsia="Calibri"/>
                            <w:i/>
                            <w:szCs w:val="24"/>
                          </w:rPr>
                          <w:t xml:space="preserve">; </w:t>
                        </w:r>
                        <w:r>
                          <w:rPr>
                            <w:rFonts w:eastAsia="Calibri"/>
                            <w:iCs/>
                            <w:szCs w:val="24"/>
                          </w:rPr>
                          <w:t>6.1.5.30)</w:t>
                        </w:r>
                      </w:p>
                    </w:tc>
                    <w:tc>
                      <w:tcPr>
                        <w:tcW w:w="993" w:type="dxa"/>
                      </w:tcPr>
                      <w:p>
                        <w:pPr>
                          <w:rPr>
                            <w:color w:val="000000"/>
                            <w:szCs w:val="24"/>
                          </w:rPr>
                        </w:pPr>
                        <w:r>
                          <w:rPr>
                            <w:rFonts w:eastAsia="Calibri"/>
                            <w:szCs w:val="24"/>
                          </w:rPr>
                          <w:t>1</w:t>
                        </w:r>
                      </w:p>
                    </w:tc>
                    <w:tc>
                      <w:tcPr>
                        <w:tcW w:w="850" w:type="dxa"/>
                      </w:tcPr>
                      <w:p>
                        <w:pPr>
                          <w:rPr>
                            <w:iCs/>
                            <w:szCs w:val="24"/>
                          </w:rPr>
                        </w:pPr>
                        <w:r>
                          <w:rPr>
                            <w:rFonts w:eastAsia="Calibri"/>
                            <w:szCs w:val="24"/>
                          </w:rPr>
                          <w:t>-</w:t>
                        </w:r>
                      </w:p>
                    </w:tc>
                    <w:tc>
                      <w:tcPr>
                        <w:tcW w:w="851" w:type="dxa"/>
                      </w:tcPr>
                      <w:p>
                        <w:pPr>
                          <w:rPr>
                            <w:color w:val="000000"/>
                            <w:szCs w:val="24"/>
                          </w:rPr>
                        </w:pPr>
                        <w:r>
                          <w:rPr>
                            <w:rFonts w:eastAsia="Calibri"/>
                            <w:szCs w:val="24"/>
                          </w:rPr>
                          <w:t>2</w:t>
                        </w:r>
                      </w:p>
                    </w:tc>
                    <w:tc>
                      <w:tcPr>
                        <w:tcW w:w="850" w:type="dxa"/>
                      </w:tcPr>
                      <w:p>
                        <w:pPr>
                          <w:rPr>
                            <w:color w:val="000000"/>
                            <w:szCs w:val="24"/>
                          </w:rPr>
                        </w:pPr>
                        <w:r>
                          <w:rPr>
                            <w:rFonts w:eastAsia="Calibri"/>
                            <w:szCs w:val="24"/>
                          </w:rPr>
                          <w:t>1</w:t>
                        </w:r>
                      </w:p>
                    </w:tc>
                    <w:tc>
                      <w:tcPr>
                        <w:tcW w:w="992" w:type="dxa"/>
                        <w:vMerge/>
                      </w:tcPr>
                      <w:p>
                        <w:pPr>
                          <w:rPr>
                            <w:iCs/>
                            <w:szCs w:val="24"/>
                          </w:rPr>
                        </w:pPr>
                      </w:p>
                    </w:tc>
                    <w:tc>
                      <w:tcPr>
                        <w:tcW w:w="993" w:type="dxa"/>
                      </w:tcPr>
                      <w:p>
                        <w:pPr>
                          <w:rPr>
                            <w:rFonts w:eastAsia="Calibri"/>
                            <w:szCs w:val="24"/>
                          </w:rPr>
                        </w:pPr>
                        <w:r>
                          <w:rPr>
                            <w:rFonts w:eastAsia="Calibri"/>
                            <w:szCs w:val="24"/>
                          </w:rPr>
                          <w:t xml:space="preserve">12,6 SB </w:t>
                        </w:r>
                      </w:p>
                      <w:p>
                        <w:pPr>
                          <w:rPr>
                            <w:rFonts w:eastAsia="Calibri"/>
                            <w:szCs w:val="24"/>
                          </w:rPr>
                        </w:pPr>
                      </w:p>
                      <w:p>
                        <w:pPr>
                          <w:rPr>
                            <w:rFonts w:eastAsia="Calibri"/>
                            <w:szCs w:val="24"/>
                          </w:rPr>
                        </w:pPr>
                      </w:p>
                      <w:p>
                        <w:pPr>
                          <w:rPr>
                            <w:rFonts w:eastAsia="Calibri"/>
                            <w:szCs w:val="24"/>
                          </w:rPr>
                        </w:pPr>
                      </w:p>
                      <w:p>
                        <w:pPr>
                          <w:rPr>
                            <w:iCs/>
                            <w:szCs w:val="24"/>
                          </w:rPr>
                        </w:pPr>
                      </w:p>
                    </w:tc>
                    <w:tc>
                      <w:tcPr>
                        <w:tcW w:w="5386" w:type="dxa"/>
                      </w:tcPr>
                      <w:p>
                        <w:pPr>
                          <w:rPr>
                            <w:rFonts w:eastAsia="Calibri"/>
                            <w:szCs w:val="24"/>
                          </w:rPr>
                        </w:pPr>
                        <w:r>
                          <w:rPr>
                            <w:rFonts w:eastAsia="Calibri"/>
                            <w:szCs w:val="24"/>
                          </w:rPr>
                          <w:t xml:space="preserve">Atliekų tvarkymas ir išvežimas iš viešojo naudojimo teritorijų ir  kapinių. Šiais metais seniūnijos gyventojai džiaugiasi galėdami naudotis seniūnijos teritorijoje pastatytu konteineriu tekstilei, kas leido aktyviai  prisidėti ir tvarios aplinkos užtikrinimo. (Grinkiškio seniūnija)</w:t>
                        </w:r>
                      </w:p>
                    </w:tc>
                  </w:tr>
                  <w:tr>
                    <w:trPr>
                      <w:trHeight w:val="365"/>
                    </w:trPr>
                    <w:tc>
                      <w:tcPr>
                        <w:tcW w:w="4253" w:type="dxa"/>
                      </w:tcPr>
                      <w:p>
                        <w:pPr>
                          <w:rPr>
                            <w:bCs/>
                            <w:i/>
                            <w:iCs/>
                            <w:szCs w:val="24"/>
                          </w:rPr>
                        </w:pPr>
                        <w:r>
                          <w:rPr>
                            <w:bCs/>
                            <w:iCs/>
                            <w:szCs w:val="24"/>
                          </w:rPr>
                          <w:t xml:space="preserve">21.2.1.1. Seniūnijos apskaitoje esančių objektų ir viešojo naudojimo teritorijų priežiūros ir tvarkymo užtikrinimas. </w:t>
                        </w:r>
                        <w:r>
                          <w:rPr>
                            <w:bCs/>
                            <w:i/>
                            <w:iCs/>
                            <w:szCs w:val="24"/>
                          </w:rPr>
                          <w:t>Priemonių užtikrinančių bendrojo naudojimo teritorijų ir objektų priežiūrą ir tvarkymą skaičius.</w:t>
                        </w:r>
                      </w:p>
                      <w:p>
                        <w:pPr>
                          <w:rPr>
                            <w:bCs/>
                            <w:iCs/>
                            <w:szCs w:val="24"/>
                            <w:highlight w:val="yellow"/>
                          </w:rPr>
                        </w:pPr>
                        <w:r>
                          <w:rPr>
                            <w:bCs/>
                            <w:szCs w:val="24"/>
                          </w:rPr>
                          <w:t>(SVP 6-1-5-04)</w:t>
                        </w:r>
                      </w:p>
                    </w:tc>
                    <w:tc>
                      <w:tcPr>
                        <w:tcW w:w="993" w:type="dxa"/>
                      </w:tcPr>
                      <w:p>
                        <w:pPr>
                          <w:rPr>
                            <w:color w:val="000000"/>
                            <w:szCs w:val="24"/>
                          </w:rPr>
                        </w:pPr>
                        <w:r>
                          <w:rPr>
                            <w:iCs/>
                            <w:szCs w:val="24"/>
                          </w:rPr>
                          <w:t>4</w:t>
                        </w:r>
                      </w:p>
                    </w:tc>
                    <w:tc>
                      <w:tcPr>
                        <w:tcW w:w="850" w:type="dxa"/>
                      </w:tcPr>
                      <w:p>
                        <w:pPr>
                          <w:rPr>
                            <w:iCs/>
                            <w:szCs w:val="24"/>
                          </w:rPr>
                        </w:pPr>
                        <w:r>
                          <w:rPr>
                            <w:iCs/>
                            <w:szCs w:val="24"/>
                          </w:rPr>
                          <w:t>4</w:t>
                        </w:r>
                      </w:p>
                    </w:tc>
                    <w:tc>
                      <w:tcPr>
                        <w:tcW w:w="851" w:type="dxa"/>
                      </w:tcPr>
                      <w:p>
                        <w:pPr>
                          <w:rPr>
                            <w:color w:val="000000"/>
                            <w:szCs w:val="24"/>
                          </w:rPr>
                        </w:pPr>
                        <w:r>
                          <w:rPr>
                            <w:iCs/>
                            <w:szCs w:val="24"/>
                          </w:rPr>
                          <w:t>4</w:t>
                        </w:r>
                      </w:p>
                    </w:tc>
                    <w:tc>
                      <w:tcPr>
                        <w:tcW w:w="850" w:type="dxa"/>
                      </w:tcPr>
                      <w:p>
                        <w:pPr>
                          <w:rPr>
                            <w:color w:val="000000"/>
                            <w:szCs w:val="24"/>
                          </w:rPr>
                        </w:pPr>
                        <w:r>
                          <w:rPr>
                            <w:iCs/>
                            <w:szCs w:val="24"/>
                          </w:rPr>
                          <w:t>4</w:t>
                        </w:r>
                      </w:p>
                    </w:tc>
                    <w:tc>
                      <w:tcPr>
                        <w:tcW w:w="992" w:type="dxa"/>
                      </w:tcPr>
                      <w:p>
                        <w:pPr>
                          <w:rPr>
                            <w:iCs/>
                            <w:color w:val="808080"/>
                            <w:szCs w:val="24"/>
                          </w:rPr>
                        </w:pPr>
                        <w:r>
                          <w:rPr>
                            <w:iCs/>
                            <w:szCs w:val="24"/>
                          </w:rPr>
                          <w:t>96,5 SB</w:t>
                        </w:r>
                      </w:p>
                      <w:p>
                        <w:pPr>
                          <w:rPr>
                            <w:iCs/>
                            <w:szCs w:val="24"/>
                          </w:rPr>
                        </w:pPr>
                      </w:p>
                    </w:tc>
                    <w:tc>
                      <w:tcPr>
                        <w:tcW w:w="993" w:type="dxa"/>
                      </w:tcPr>
                      <w:p>
                        <w:pPr>
                          <w:rPr>
                            <w:iCs/>
                            <w:szCs w:val="24"/>
                          </w:rPr>
                        </w:pPr>
                        <w:r>
                          <w:rPr>
                            <w:iCs/>
                            <w:szCs w:val="24"/>
                          </w:rPr>
                          <w:t>82 SB</w:t>
                        </w:r>
                      </w:p>
                    </w:tc>
                    <w:tc>
                      <w:tcPr>
                        <w:tcW w:w="5386" w:type="dxa"/>
                      </w:tcPr>
                      <w:p>
                        <w:pPr>
                          <w:rPr>
                            <w:bCs/>
                            <w:iCs/>
                            <w:szCs w:val="24"/>
                          </w:rPr>
                        </w:pPr>
                        <w:r>
                          <w:rPr>
                            <w:bCs/>
                            <w:iCs/>
                            <w:szCs w:val="24"/>
                          </w:rPr>
                          <w:t xml:space="preserve">Nuolat prižiūrimos Alksniupių, Raudondvario, Pakalniškių ir Pociūnų gyvenviečių viešosios erdvės, atnaujintas paplūdimys šalia Pociūnų gyvenvietės, Pakalniškių kaime įrengta treniruoklių aikštelė, atnaujinta šaligatvio danga Pakalniškių k. Sodų gatvėje. Sutvarkytas buvęs karjeras šalia Pociūnų kaimo ir įrengtas paplūdimys bendruomenės poreikiams. Periodiškai šienaujamos ir prižiūrimos neveikiančios kapinės. Neveikiančiose Kibildžių kaimo kapinėse atstatyti 2 paminkliniai kryžiai. Atliktas Pakalniškių seniūnijos administracinio pastato arkinio tilto remontas, įsigyta savaeigė šlavimo mašina. </w:t>
                        </w:r>
                      </w:p>
                      <w:p>
                        <w:pPr>
                          <w:rPr>
                            <w:color w:val="000000"/>
                            <w:szCs w:val="24"/>
                          </w:rPr>
                        </w:pPr>
                        <w:r>
                          <w:rPr>
                            <w:iCs/>
                            <w:szCs w:val="24"/>
                          </w:rPr>
                          <w:t>(Pakalniškių seniūnija)</w:t>
                        </w:r>
                      </w:p>
                    </w:tc>
                  </w:tr>
                  <w:tr>
                    <w:trPr>
                      <w:trHeight w:val="365"/>
                    </w:trPr>
                    <w:tc>
                      <w:tcPr>
                        <w:tcW w:w="4253" w:type="dxa"/>
                      </w:tcPr>
                      <w:p>
                        <w:pPr>
                          <w:rPr>
                            <w:rFonts w:eastAsia="Calibri"/>
                            <w:szCs w:val="24"/>
                          </w:rPr>
                        </w:pPr>
                        <w:r>
                          <w:rPr>
                            <w:rFonts w:eastAsia="Calibri"/>
                            <w:szCs w:val="24"/>
                          </w:rPr>
                          <w:t>21.2.1.2. Gatvių apšvietimo priežiūra ir atnaujinimas.</w:t>
                        </w:r>
                      </w:p>
                      <w:p>
                        <w:pPr>
                          <w:rPr>
                            <w:rFonts w:eastAsia="Calibri"/>
                            <w:i/>
                            <w:szCs w:val="24"/>
                          </w:rPr>
                        </w:pPr>
                        <w:r>
                          <w:rPr>
                            <w:rFonts w:eastAsia="Calibri"/>
                            <w:i/>
                            <w:szCs w:val="24"/>
                          </w:rPr>
                          <w:t>Gyvenviečių skaičius, kuriose naujai įrengtas arba atnaujintas gatvių apšvietimas</w:t>
                        </w:r>
                      </w:p>
                      <w:p>
                        <w:pPr>
                          <w:rPr>
                            <w:bCs/>
                            <w:iCs/>
                            <w:szCs w:val="24"/>
                            <w:highlight w:val="yellow"/>
                          </w:rPr>
                        </w:pPr>
                        <w:r>
                          <w:rPr>
                            <w:bCs/>
                            <w:i/>
                            <w:iCs/>
                            <w:szCs w:val="24"/>
                          </w:rPr>
                          <w:t>(SVP 6-1-5-30)</w:t>
                        </w:r>
                      </w:p>
                    </w:tc>
                    <w:tc>
                      <w:tcPr>
                        <w:tcW w:w="993" w:type="dxa"/>
                      </w:tcPr>
                      <w:p>
                        <w:pPr>
                          <w:rPr>
                            <w:color w:val="000000"/>
                            <w:szCs w:val="24"/>
                          </w:rPr>
                        </w:pPr>
                        <w:r>
                          <w:rPr>
                            <w:iCs/>
                            <w:szCs w:val="24"/>
                          </w:rPr>
                          <w:t>2</w:t>
                        </w:r>
                      </w:p>
                    </w:tc>
                    <w:tc>
                      <w:tcPr>
                        <w:tcW w:w="850" w:type="dxa"/>
                      </w:tcPr>
                      <w:p>
                        <w:pPr>
                          <w:rPr>
                            <w:iCs/>
                            <w:szCs w:val="24"/>
                          </w:rPr>
                        </w:pPr>
                        <w:r>
                          <w:rPr>
                            <w:iCs/>
                            <w:szCs w:val="24"/>
                          </w:rPr>
                          <w:t>6</w:t>
                        </w:r>
                      </w:p>
                    </w:tc>
                    <w:tc>
                      <w:tcPr>
                        <w:tcW w:w="851" w:type="dxa"/>
                      </w:tcPr>
                      <w:p>
                        <w:pPr>
                          <w:rPr>
                            <w:color w:val="000000"/>
                            <w:szCs w:val="24"/>
                          </w:rPr>
                        </w:pPr>
                        <w:r>
                          <w:rPr>
                            <w:iCs/>
                            <w:szCs w:val="24"/>
                          </w:rPr>
                          <w:t>6</w:t>
                        </w:r>
                      </w:p>
                    </w:tc>
                    <w:tc>
                      <w:tcPr>
                        <w:tcW w:w="850" w:type="dxa"/>
                      </w:tcPr>
                      <w:p>
                        <w:pPr>
                          <w:rPr>
                            <w:color w:val="000000"/>
                            <w:szCs w:val="24"/>
                          </w:rPr>
                        </w:pPr>
                        <w:r>
                          <w:rPr>
                            <w:iCs/>
                            <w:szCs w:val="24"/>
                          </w:rPr>
                          <w:t>7</w:t>
                        </w:r>
                      </w:p>
                    </w:tc>
                    <w:tc>
                      <w:tcPr>
                        <w:tcW w:w="992" w:type="dxa"/>
                      </w:tcPr>
                      <w:p>
                        <w:pPr>
                          <w:rPr>
                            <w:iCs/>
                            <w:szCs w:val="24"/>
                          </w:rPr>
                        </w:pPr>
                      </w:p>
                    </w:tc>
                    <w:tc>
                      <w:tcPr>
                        <w:tcW w:w="993" w:type="dxa"/>
                      </w:tcPr>
                      <w:p>
                        <w:pPr>
                          <w:rPr>
                            <w:iCs/>
                            <w:szCs w:val="24"/>
                          </w:rPr>
                        </w:pPr>
                        <w:r>
                          <w:rPr>
                            <w:iCs/>
                            <w:szCs w:val="24"/>
                          </w:rPr>
                          <w:t>14 SB</w:t>
                        </w:r>
                      </w:p>
                    </w:tc>
                    <w:tc>
                      <w:tcPr>
                        <w:tcW w:w="5386" w:type="dxa"/>
                      </w:tcPr>
                      <w:p>
                        <w:pPr>
                          <w:rPr>
                            <w:iCs/>
                            <w:szCs w:val="24"/>
                          </w:rPr>
                        </w:pPr>
                        <w:r>
                          <w:rPr>
                            <w:iCs/>
                            <w:szCs w:val="24"/>
                          </w:rPr>
                          <w:t xml:space="preserve">Įrengti nauji gatvės apšvietimo stulpai Veliakiemių kaime, Pakalniškių kaime (Vingio g., Sodų g. ir Kaštonų g.) bei Raudondvario kaime (Ežero g. ir Lauko g.). Radvilonių k., Alksniupių k., Niauduvos k., Raudondvario k., Pakalniškių k. ir Pociūnų k. sumontuota 15 vnt. naujų astronominių laikrodžių. </w:t>
                        </w:r>
                      </w:p>
                      <w:p>
                        <w:pPr>
                          <w:rPr>
                            <w:color w:val="000000"/>
                            <w:szCs w:val="24"/>
                          </w:rPr>
                        </w:pPr>
                        <w:r>
                          <w:rPr>
                            <w:iCs/>
                            <w:szCs w:val="24"/>
                          </w:rPr>
                          <w:t>(Pakalniškių seniūnija)</w:t>
                        </w:r>
                      </w:p>
                    </w:tc>
                  </w:tr>
                  <w:tr>
                    <w:trPr>
                      <w:trHeight w:val="365"/>
                    </w:trPr>
                    <w:tc>
                      <w:tcPr>
                        <w:tcW w:w="4253" w:type="dxa"/>
                        <w:tcBorders>
                          <w:bottom w:val="single" w:sz="4" w:space="0" w:color="auto"/>
                        </w:tcBorders>
                      </w:tcPr>
                      <w:p>
                        <w:pPr>
                          <w:rPr>
                            <w:bCs/>
                            <w:szCs w:val="24"/>
                            <w:highlight w:val="yellow"/>
                          </w:rPr>
                        </w:pPr>
                        <w:r>
                          <w:rPr>
                            <w:szCs w:val="24"/>
                          </w:rPr>
                          <w:t xml:space="preserve">22.2.1.1. Tęstinė viešojo naudojimo teritorijų priežiūros ir tvarkymo veikla Radviliškio m. sen. (komunalinis ūkis) </w:t>
                        </w:r>
                        <w:r>
                          <w:rPr>
                            <w:bCs/>
                            <w:szCs w:val="24"/>
                          </w:rPr>
                          <w:t>(SVP 6-1-5-05)</w:t>
                        </w:r>
                      </w:p>
                    </w:tc>
                    <w:tc>
                      <w:tcPr>
                        <w:tcW w:w="993" w:type="dxa"/>
                      </w:tcPr>
                      <w:p>
                        <w:pPr>
                          <w:rPr>
                            <w:color w:val="000000"/>
                            <w:szCs w:val="24"/>
                          </w:rPr>
                        </w:pPr>
                        <w:r>
                          <w:rPr>
                            <w:szCs w:val="24"/>
                          </w:rPr>
                          <w:t>100%</w:t>
                        </w:r>
                      </w:p>
                    </w:tc>
                    <w:tc>
                      <w:tcPr>
                        <w:tcW w:w="850" w:type="dxa"/>
                      </w:tcPr>
                      <w:p>
                        <w:pPr>
                          <w:rPr>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vMerge w:val="restart"/>
                      </w:tcPr>
                      <w:p>
                        <w:pPr>
                          <w:rPr>
                            <w:szCs w:val="24"/>
                          </w:rPr>
                        </w:pPr>
                        <w:r>
                          <w:rPr>
                            <w:szCs w:val="24"/>
                          </w:rPr>
                          <w:t>493,5 SB</w:t>
                        </w:r>
                      </w:p>
                    </w:tc>
                    <w:tc>
                      <w:tcPr>
                        <w:tcW w:w="993" w:type="dxa"/>
                        <w:vMerge w:val="restart"/>
                      </w:tcPr>
                      <w:p>
                        <w:pPr>
                          <w:rPr>
                            <w:szCs w:val="24"/>
                          </w:rPr>
                        </w:pPr>
                        <w:r>
                          <w:rPr>
                            <w:szCs w:val="24"/>
                          </w:rPr>
                          <w:t>543,3</w:t>
                        </w:r>
                      </w:p>
                      <w:p>
                        <w:pPr>
                          <w:rPr>
                            <w:szCs w:val="24"/>
                          </w:rPr>
                        </w:pPr>
                        <w:r>
                          <w:rPr>
                            <w:szCs w:val="24"/>
                          </w:rPr>
                          <w:t>SB</w:t>
                        </w:r>
                      </w:p>
                    </w:tc>
                    <w:tc>
                      <w:tcPr>
                        <w:tcW w:w="5386" w:type="dxa"/>
                        <w:vMerge w:val="restart"/>
                      </w:tcPr>
                      <w:p>
                        <w:pPr>
                          <w:rPr>
                            <w:szCs w:val="24"/>
                          </w:rPr>
                        </w:pPr>
                        <w:r>
                          <w:rPr>
                            <w:szCs w:val="24"/>
                          </w:rPr>
                          <w:t xml:space="preserve">Sudarytos visuomenei naudingos veiklos atlikimo sutartys – 198 vnt. Atnaujintas Mobiliosios programėlės „Radviliškiečio kortelė“ dizainas ir atlikta funkcionalumo plėtra. Parengtas Radviliškio miesto Kultūros ir poilsio parko apšvietimo tinklų įrengimo techninis darbo projektas (toliau – Projektas). Įgyvendintas Projekto I etapas, įrengti apšvietimo tinklai – 1030 m., pastatyti nauji parko šviestuvai – 30 vnt. Šiame parke įrengtos aikštelės ir pastatyti nauji lauko suoliukai – 30 vnt., šiukšliadėžės – 20 vnt., atnaujintos pėsčiųjų takų dangos (įrengiant trinkelių dangą). Įsigytos ir pasodintos vienmetės ir daugiametės gėlės, žoliniai augalai, Radviliškio miesto gėlynuose ir gėlinėse – 4500 vnt. Kirsti, kitaip pašalinti iš augimo vietos, intensyviai genėti saugotini želdiniai: atlikti medžių ir krūmų pjovimo darbai: Naujosiose miesto kapinės, Vingėliškio g., Radviliškio m. – 18 medžių; Radviliškio miesto gatvėse avarinių, pavojų keliančių medžių šalinimas – 119 vnt.; atlikti medžių ir krūmų genėjimo darbai – Vytenio g., Tėvo Stanislovo g., Gamyklos g., Maironio g., Radviliškio m.; sutvarkytos menkaverčiais krūmynais apžėlusios teritorijos Šiaulių g., Žironų g., Sodininkų g., Perkūno g., Trakų g., Pušų g., Radviliškio m. </w:t>
                        </w:r>
                      </w:p>
                      <w:p>
                        <w:pPr>
                          <w:rPr>
                            <w:szCs w:val="24"/>
                          </w:rPr>
                        </w:pPr>
                        <w:r>
                          <w:rPr>
                            <w:szCs w:val="24"/>
                          </w:rPr>
                          <w:t>Atlikti Kultūros ir poilsio parko, Eibariškių parko, žaliųjų zonų ir erdvių pakelių šienavimo ir priežiūros darbai.</w:t>
                        </w:r>
                      </w:p>
                      <w:p>
                        <w:pPr>
                          <w:rPr>
                            <w:szCs w:val="24"/>
                          </w:rPr>
                        </w:pPr>
                        <w:r>
                          <w:rPr>
                            <w:szCs w:val="24"/>
                          </w:rPr>
                          <w:t xml:space="preserve">Parengta Radviliškio miesto civilinių kapinių centrinių vartų ir tvoros vizualizacija ir techninis aprašymas. </w:t>
                        </w:r>
                      </w:p>
                      <w:p>
                        <w:pPr>
                          <w:rPr>
                            <w:szCs w:val="24"/>
                          </w:rPr>
                        </w:pPr>
                        <w:r>
                          <w:rPr>
                            <w:szCs w:val="24"/>
                          </w:rPr>
                          <w:t xml:space="preserve">Įrengta segmentinė tvora, Senosios rusų kapinėse, Maironio g., Radviliškio m. – 55 m.  </w:t>
                        </w:r>
                      </w:p>
                      <w:p>
                        <w:pPr>
                          <w:rPr>
                            <w:szCs w:val="24"/>
                          </w:rPr>
                        </w:pPr>
                        <w:r>
                          <w:rPr>
                            <w:szCs w:val="24"/>
                          </w:rPr>
                          <w:t>Atlikti Senųjų miesto kapinių akmeninės tvoros remonto darbai.</w:t>
                        </w:r>
                      </w:p>
                      <w:p>
                        <w:pPr>
                          <w:rPr>
                            <w:szCs w:val="24"/>
                          </w:rPr>
                        </w:pPr>
                        <w:r>
                          <w:rPr>
                            <w:szCs w:val="24"/>
                          </w:rPr>
                          <w:t xml:space="preserve">Įrengtos vandens kolonėlės, Radviliškio miesto civilinėse kapinėse, Vingėliškio g., Radviliškio m. – 19 vnt. </w:t>
                        </w:r>
                      </w:p>
                      <w:p>
                        <w:pPr>
                          <w:rPr>
                            <w:szCs w:val="24"/>
                          </w:rPr>
                        </w:pPr>
                        <w:r>
                          <w:rPr>
                            <w:szCs w:val="24"/>
                          </w:rPr>
                          <w:t xml:space="preserve">Įrengtas drenažas, Šviesos g., Radviliškio m. Atlikti pėsčiųjų takų dangos remonto darbai – Žalgirio g.,  Dariaus ir Girėno g., Malūno a., Kaštonų g., Radviliškio m. Atlikti Automobilių stovėjimo aikštelės dangos remonto darbai A. Povyliaus g., Radviliškio m. Bešeimininkių kačių populiacijos mažinimas Radviliškio mieste. Sterilizuota / kastruota – 23 vnt. kačių / katinų.</w:t>
                        </w:r>
                      </w:p>
                      <w:p>
                        <w:pPr>
                          <w:rPr>
                            <w:szCs w:val="24"/>
                          </w:rPr>
                        </w:pPr>
                        <w:r>
                          <w:rPr>
                            <w:szCs w:val="24"/>
                          </w:rPr>
                          <w:t>Atlikti kelmų frezavimo darbai Radviliškio miesto gatvėse, viešosiose erdvėse ir bendrojo naudojimo teritorijose. Panaikinti – 157 kelmai. Atlikti mažosios architektūros elementų, skulptūrų, suoliukų ir kt. atnaujinimo, remonto darbai:</w:t>
                        </w:r>
                      </w:p>
                      <w:p>
                        <w:pPr>
                          <w:rPr>
                            <w:szCs w:val="24"/>
                          </w:rPr>
                        </w:pPr>
                        <w:r>
                          <w:rPr>
                            <w:szCs w:val="24"/>
                          </w:rPr>
                          <w:t xml:space="preserve">* Suoliukai (Serpantino), Kultūros ir poilsio parke, Radvilų g., Radviliškio m. </w:t>
                        </w:r>
                      </w:p>
                      <w:p>
                        <w:pPr>
                          <w:rPr>
                            <w:szCs w:val="24"/>
                          </w:rPr>
                        </w:pPr>
                        <w:r>
                          <w:rPr>
                            <w:szCs w:val="24"/>
                          </w:rPr>
                          <w:t>* Medinė pergolė „Arka“, Eibariškių parkas, Radviliškio m.</w:t>
                        </w:r>
                      </w:p>
                      <w:p>
                        <w:pPr>
                          <w:rPr>
                            <w:szCs w:val="24"/>
                          </w:rPr>
                        </w:pPr>
                        <w:r>
                          <w:rPr>
                            <w:szCs w:val="24"/>
                          </w:rPr>
                          <w:t>Atnaujinti (perdažyti) gatvių apšvietimo stulpai Jaunystės g., A. Povyliaus g., Gedimino g., Radviliškio m. - 49 vnt.</w:t>
                        </w:r>
                      </w:p>
                      <w:p>
                        <w:pPr>
                          <w:rPr>
                            <w:szCs w:val="24"/>
                          </w:rPr>
                        </w:pPr>
                        <w:r>
                          <w:rPr>
                            <w:szCs w:val="24"/>
                          </w:rPr>
                          <w:t>Atlikti griovių šienavimo ir tvarkymo darbai: Obelėlės g., Radviliškio m. Organizuota biotualetų nuomos ir priežiūros paslauga Radviliškio mieste. Įrengta vaikų žaidimo aikštelė: Jaunystės g.; Pakeista vaikų žaidimo aikštelės danga (įrengta liejama guminė danga): A. Povyliaus g., Radviliškio m.</w:t>
                        </w:r>
                      </w:p>
                      <w:p>
                        <w:pPr>
                          <w:rPr>
                            <w:szCs w:val="24"/>
                          </w:rPr>
                        </w:pPr>
                        <w:r>
                          <w:rPr>
                            <w:szCs w:val="24"/>
                          </w:rPr>
                          <w:t xml:space="preserve">Organizuota ir atlikta 16 vaikų žaidimo aikštelių metinė kontrolė Radviliškio m.  Atvežtas smėlis Eibariškių parko erdvių, senųjų ir naujųjų miesto kapinių tvarkymui ir priežiūrai – 280 kub. </w:t>
                        </w:r>
                      </w:p>
                      <w:p>
                        <w:pPr>
                          <w:rPr>
                            <w:szCs w:val="24"/>
                          </w:rPr>
                        </w:pPr>
                        <w:r>
                          <w:rPr>
                            <w:szCs w:val="24"/>
                          </w:rPr>
                          <w:t xml:space="preserve">Organizuota ir koordinuota Eibariškių parko apžvalgos bokšto techninės priežiūros paslauga. Atliktas Eibariškių parko apžvalgos bokšto remontas. Atnaujintos Eibariškių parko pėsčiųjų takų dangos (skaldos pagrindu) – 800 m. Sutvarkytas privažiavimas prie Eibariškių parko tvenkinio (spec. tarnyboms) nuo Šviesos g., Radviliškio m. Įsigytas automobilis Citroen Berlingo. Įrengti 8 gultai ir 2 suoliukai, Eibariškių parke, Radviliškio m. Dekoruota siena, Vaižganto g., Radviliškio m. Autorinis Ado Juškos darbas. Atlikti gatvių ir viešųjų erdvių apšvietimo sistemos remonto darbai: Eibariškių parke, Gedimino g., Žemaitės g.- Vaisių g. sankryžoje, pėsčiųjų take, Šiaulių g., Biliūno g. Radviliškio m. Įsigyti 101 gatvės apšvietimo šviestuvai su LED šviesos šaltiniu. Radviliškio miesto gatvėse sumontuotas 91 šviestuvas. </w:t>
                        </w:r>
                        <w:r>
                          <w:rPr>
                            <w:bCs/>
                            <w:szCs w:val="24"/>
                          </w:rPr>
                          <w:t>(Radviliškio miesto seniūnija)</w:t>
                        </w:r>
                      </w:p>
                    </w:tc>
                  </w:tr>
                  <w:tr>
                    <w:trPr>
                      <w:trHeight w:val="365"/>
                    </w:trPr>
                    <w:tc>
                      <w:tcPr>
                        <w:tcW w:w="4253" w:type="dxa"/>
                        <w:tcBorders>
                          <w:bottom w:val="single" w:sz="4" w:space="0" w:color="auto"/>
                        </w:tcBorders>
                      </w:tcPr>
                      <w:p>
                        <w:pPr>
                          <w:rPr>
                            <w:bCs/>
                            <w:szCs w:val="24"/>
                            <w:highlight w:val="yellow"/>
                          </w:rPr>
                        </w:pPr>
                        <w:r>
                          <w:rPr>
                            <w:szCs w:val="24"/>
                          </w:rPr>
                          <w:t xml:space="preserve">22.2.1.2. Tęstinė viešojo naudojimo teritorijų priežiūros ir tvarkymo veikla savivaldybės seniūnijose (gatvių apšvietimas) </w:t>
                        </w:r>
                        <w:r>
                          <w:rPr>
                            <w:bCs/>
                            <w:szCs w:val="24"/>
                          </w:rPr>
                          <w:t>(SVP 6-1-5-05)</w:t>
                        </w:r>
                      </w:p>
                    </w:tc>
                    <w:tc>
                      <w:tcPr>
                        <w:tcW w:w="993" w:type="dxa"/>
                      </w:tcPr>
                      <w:p>
                        <w:pPr>
                          <w:rPr>
                            <w:color w:val="000000"/>
                            <w:szCs w:val="24"/>
                          </w:rPr>
                        </w:pPr>
                        <w:r>
                          <w:rPr>
                            <w:szCs w:val="24"/>
                          </w:rPr>
                          <w:t>100%</w:t>
                        </w:r>
                      </w:p>
                    </w:tc>
                    <w:tc>
                      <w:tcPr>
                        <w:tcW w:w="850" w:type="dxa"/>
                      </w:tcPr>
                      <w:p>
                        <w:pPr>
                          <w:rPr>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vMerge/>
                      </w:tcPr>
                      <w:p>
                        <w:pPr>
                          <w:rPr>
                            <w:iCs/>
                            <w:szCs w:val="24"/>
                          </w:rPr>
                        </w:pPr>
                      </w:p>
                    </w:tc>
                    <w:tc>
                      <w:tcPr>
                        <w:tcW w:w="993" w:type="dxa"/>
                        <w:vMerge/>
                      </w:tcPr>
                      <w:p>
                        <w:pPr>
                          <w:rPr>
                            <w:iCs/>
                            <w:szCs w:val="24"/>
                          </w:rPr>
                        </w:pPr>
                      </w:p>
                    </w:tc>
                    <w:tc>
                      <w:tcPr>
                        <w:tcW w:w="5386" w:type="dxa"/>
                        <w:vMerge/>
                      </w:tcPr>
                      <w:p>
                        <w:pPr>
                          <w:rPr>
                            <w:color w:val="000000"/>
                            <w:szCs w:val="24"/>
                          </w:rPr>
                        </w:pPr>
                      </w:p>
                    </w:tc>
                  </w:tr>
                  <w:tr>
                    <w:trPr>
                      <w:trHeight w:val="365"/>
                    </w:trPr>
                    <w:tc>
                      <w:tcPr>
                        <w:tcW w:w="4253" w:type="dxa"/>
                        <w:tcBorders>
                          <w:bottom w:val="single" w:sz="4" w:space="0" w:color="auto"/>
                        </w:tcBorders>
                      </w:tcPr>
                      <w:p>
                        <w:pPr>
                          <w:rPr>
                            <w:bCs/>
                            <w:szCs w:val="24"/>
                            <w:highlight w:val="yellow"/>
                          </w:rPr>
                        </w:pPr>
                        <w:r>
                          <w:rPr>
                            <w:szCs w:val="24"/>
                          </w:rPr>
                          <w:t xml:space="preserve">22.2.1.3. Tęstinė visuomeninės paskirties želdinių, skverų ir parkų priežiūra Radviliškio m. sen. (atliekų tvarkymas, kapinių priežiūra ir medžių genėjimas) </w:t>
                        </w:r>
                        <w:r>
                          <w:rPr>
                            <w:bCs/>
                            <w:szCs w:val="24"/>
                          </w:rPr>
                          <w:t>(SVP 6-1-5-05)</w:t>
                        </w:r>
                      </w:p>
                    </w:tc>
                    <w:tc>
                      <w:tcPr>
                        <w:tcW w:w="993" w:type="dxa"/>
                      </w:tcPr>
                      <w:p>
                        <w:pPr>
                          <w:rPr>
                            <w:color w:val="000000"/>
                            <w:szCs w:val="24"/>
                          </w:rPr>
                        </w:pPr>
                        <w:r>
                          <w:rPr>
                            <w:szCs w:val="24"/>
                          </w:rPr>
                          <w:t>100%</w:t>
                        </w:r>
                      </w:p>
                    </w:tc>
                    <w:tc>
                      <w:tcPr>
                        <w:tcW w:w="850" w:type="dxa"/>
                      </w:tcPr>
                      <w:p>
                        <w:pPr>
                          <w:rPr>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vMerge/>
                      </w:tcPr>
                      <w:p>
                        <w:pPr>
                          <w:rPr>
                            <w:szCs w:val="24"/>
                          </w:rPr>
                        </w:pPr>
                      </w:p>
                    </w:tc>
                    <w:tc>
                      <w:tcPr>
                        <w:tcW w:w="993" w:type="dxa"/>
                        <w:vMerge/>
                      </w:tcPr>
                      <w:p>
                        <w:pPr>
                          <w:rPr>
                            <w:szCs w:val="24"/>
                          </w:rPr>
                        </w:pPr>
                      </w:p>
                    </w:tc>
                    <w:tc>
                      <w:tcPr>
                        <w:tcW w:w="5386" w:type="dxa"/>
                        <w:vMerge/>
                      </w:tcPr>
                      <w:p>
                        <w:pPr>
                          <w:rPr>
                            <w:color w:val="000000"/>
                            <w:szCs w:val="24"/>
                          </w:rPr>
                        </w:pPr>
                      </w:p>
                    </w:tc>
                  </w:tr>
                  <w:tr>
                    <w:trPr>
                      <w:trHeight w:val="365"/>
                    </w:trPr>
                    <w:tc>
                      <w:tcPr>
                        <w:tcW w:w="4253" w:type="dxa"/>
                      </w:tcPr>
                      <w:p>
                        <w:pPr>
                          <w:rPr>
                            <w:szCs w:val="24"/>
                          </w:rPr>
                        </w:pPr>
                        <w:r>
                          <w:rPr>
                            <w:szCs w:val="24"/>
                          </w:rPr>
                          <w:t xml:space="preserve">22.2.1.4. Pažangos finansavimas tvarkant viešojo naudojimo gatves ir teritorijas savivaldybės seniūnijose: </w:t>
                        </w:r>
                      </w:p>
                      <w:p>
                        <w:pPr>
                          <w:rPr>
                            <w:szCs w:val="24"/>
                          </w:rPr>
                        </w:pPr>
                        <w:r>
                          <w:rPr>
                            <w:szCs w:val="24"/>
                          </w:rPr>
                          <w:t xml:space="preserve">- Naujų objektų įrengimas ir esamų priežiūra Radviliškio m.; </w:t>
                        </w:r>
                      </w:p>
                      <w:p>
                        <w:pPr>
                          <w:rPr>
                            <w:szCs w:val="24"/>
                          </w:rPr>
                        </w:pPr>
                        <w:r>
                          <w:rPr>
                            <w:szCs w:val="24"/>
                          </w:rPr>
                          <w:t xml:space="preserve">- Radviliškio m. gatvių apželdinimas ir naujų erdvių sukūrimas; </w:t>
                        </w:r>
                      </w:p>
                      <w:p>
                        <w:pPr>
                          <w:rPr>
                            <w:szCs w:val="24"/>
                          </w:rPr>
                        </w:pPr>
                        <w:r>
                          <w:rPr>
                            <w:szCs w:val="24"/>
                          </w:rPr>
                          <w:t xml:space="preserve">- Radviliškio m. seniūnijos pastato remontas; </w:t>
                        </w:r>
                      </w:p>
                      <w:p>
                        <w:pPr>
                          <w:rPr>
                            <w:szCs w:val="24"/>
                          </w:rPr>
                        </w:pPr>
                        <w:r>
                          <w:rPr>
                            <w:szCs w:val="24"/>
                          </w:rPr>
                          <w:t xml:space="preserve">- Vaikų žaidimo, krepšinio aikštelių remontas; </w:t>
                        </w:r>
                      </w:p>
                      <w:p>
                        <w:pPr>
                          <w:rPr>
                            <w:bCs/>
                            <w:szCs w:val="24"/>
                            <w:highlight w:val="yellow"/>
                          </w:rPr>
                        </w:pPr>
                        <w:r>
                          <w:rPr>
                            <w:szCs w:val="24"/>
                          </w:rPr>
                          <w:t>- Miesto švenčių organizavimas.</w:t>
                        </w:r>
                      </w:p>
                    </w:tc>
                    <w:tc>
                      <w:tcPr>
                        <w:tcW w:w="993" w:type="dxa"/>
                      </w:tcPr>
                      <w:p>
                        <w:pPr>
                          <w:rPr>
                            <w:color w:val="000000"/>
                            <w:szCs w:val="24"/>
                          </w:rPr>
                        </w:pPr>
                        <w:r>
                          <w:rPr>
                            <w:szCs w:val="24"/>
                          </w:rPr>
                          <w:t>100%</w:t>
                        </w:r>
                      </w:p>
                    </w:tc>
                    <w:tc>
                      <w:tcPr>
                        <w:tcW w:w="850" w:type="dxa"/>
                      </w:tcPr>
                      <w:p>
                        <w:pPr>
                          <w:rPr>
                            <w:szCs w:val="24"/>
                          </w:rPr>
                        </w:pPr>
                        <w:r>
                          <w:rPr>
                            <w:szCs w:val="24"/>
                          </w:rPr>
                          <w:t>100%</w:t>
                        </w:r>
                      </w:p>
                    </w:tc>
                    <w:tc>
                      <w:tcPr>
                        <w:tcW w:w="851" w:type="dxa"/>
                      </w:tcPr>
                      <w:p>
                        <w:pPr>
                          <w:rPr>
                            <w:color w:val="000000"/>
                            <w:szCs w:val="24"/>
                          </w:rPr>
                        </w:pPr>
                        <w:r>
                          <w:rPr>
                            <w:szCs w:val="24"/>
                          </w:rPr>
                          <w:t>100%</w:t>
                        </w:r>
                      </w:p>
                    </w:tc>
                    <w:tc>
                      <w:tcPr>
                        <w:tcW w:w="850" w:type="dxa"/>
                      </w:tcPr>
                      <w:p>
                        <w:pPr>
                          <w:rPr>
                            <w:color w:val="000000"/>
                            <w:szCs w:val="24"/>
                          </w:rPr>
                        </w:pPr>
                        <w:r>
                          <w:rPr>
                            <w:szCs w:val="24"/>
                          </w:rPr>
                          <w:t>100%</w:t>
                        </w:r>
                      </w:p>
                    </w:tc>
                    <w:tc>
                      <w:tcPr>
                        <w:tcW w:w="992" w:type="dxa"/>
                      </w:tcPr>
                      <w:p>
                        <w:pPr>
                          <w:rPr>
                            <w:szCs w:val="24"/>
                          </w:rPr>
                        </w:pPr>
                        <w:r>
                          <w:rPr>
                            <w:szCs w:val="24"/>
                          </w:rPr>
                          <w:t>350,00 (SB)</w:t>
                        </w:r>
                      </w:p>
                    </w:tc>
                    <w:tc>
                      <w:tcPr>
                        <w:tcW w:w="993" w:type="dxa"/>
                      </w:tcPr>
                      <w:p>
                        <w:pPr>
                          <w:rPr>
                            <w:szCs w:val="24"/>
                          </w:rPr>
                        </w:pPr>
                        <w:r>
                          <w:rPr>
                            <w:szCs w:val="24"/>
                          </w:rPr>
                          <w:t>303,6</w:t>
                        </w:r>
                      </w:p>
                      <w:p>
                        <w:pPr>
                          <w:rPr>
                            <w:szCs w:val="24"/>
                          </w:rPr>
                        </w:pPr>
                        <w:r>
                          <w:rPr>
                            <w:szCs w:val="24"/>
                          </w:rPr>
                          <w:t>(SB)</w:t>
                        </w:r>
                      </w:p>
                    </w:tc>
                    <w:tc>
                      <w:tcPr>
                        <w:tcW w:w="5386" w:type="dxa"/>
                        <w:vMerge/>
                      </w:tcPr>
                      <w:p>
                        <w:pPr>
                          <w:rPr>
                            <w:color w:val="000000"/>
                            <w:szCs w:val="24"/>
                          </w:rPr>
                        </w:pPr>
                      </w:p>
                    </w:tc>
                  </w:tr>
                  <w:tr>
                    <w:trPr>
                      <w:trHeight w:val="571"/>
                    </w:trPr>
                    <w:tc>
                      <w:tcPr>
                        <w:tcW w:w="4253" w:type="dxa"/>
                      </w:tcPr>
                      <w:p>
                        <w:pPr>
                          <w:rPr>
                            <w:rFonts w:eastAsia="Calibri"/>
                            <w:szCs w:val="24"/>
                          </w:rPr>
                        </w:pPr>
                        <w:r>
                          <w:rPr>
                            <w:szCs w:val="24"/>
                          </w:rPr>
                          <w:t>23.2.1.1. Seniūnijos apskaitoje esančių objektų ir viešojo naudojimo teritorijų priežiūros ir tvarkymo užtikrinimas. Priemonių užtikrinančių bendrojo naudojimo teritorijų ir objektų priežiūrą ir tvarkymą skaičius (SVP 6-1-5-06)</w:t>
                        </w:r>
                      </w:p>
                    </w:tc>
                    <w:tc>
                      <w:tcPr>
                        <w:tcW w:w="993" w:type="dxa"/>
                      </w:tcPr>
                      <w:p>
                        <w:pPr>
                          <w:rPr>
                            <w:rFonts w:eastAsia="Calibri"/>
                            <w:szCs w:val="24"/>
                            <w:lang w:val="en-US"/>
                          </w:rPr>
                        </w:pPr>
                        <w:r>
                          <w:rPr>
                            <w:rFonts w:eastAsia="Calibri"/>
                            <w:szCs w:val="24"/>
                            <w:lang w:val="en-US"/>
                          </w:rPr>
                          <w:t>7</w:t>
                        </w:r>
                      </w:p>
                    </w:tc>
                    <w:tc>
                      <w:tcPr>
                        <w:tcW w:w="850" w:type="dxa"/>
                      </w:tcPr>
                      <w:p>
                        <w:pPr>
                          <w:rPr>
                            <w:rFonts w:eastAsia="Calibri"/>
                            <w:szCs w:val="24"/>
                            <w:lang w:val="en-US"/>
                          </w:rPr>
                        </w:pPr>
                        <w:r>
                          <w:rPr>
                            <w:rFonts w:eastAsia="Calibri"/>
                            <w:szCs w:val="24"/>
                          </w:rPr>
                          <w:t>7</w:t>
                        </w:r>
                      </w:p>
                    </w:tc>
                    <w:tc>
                      <w:tcPr>
                        <w:tcW w:w="851" w:type="dxa"/>
                      </w:tcPr>
                      <w:p>
                        <w:pPr>
                          <w:rPr>
                            <w:rFonts w:eastAsia="Calibri"/>
                            <w:szCs w:val="24"/>
                          </w:rPr>
                        </w:pPr>
                        <w:r>
                          <w:rPr>
                            <w:rFonts w:eastAsia="Calibri"/>
                            <w:szCs w:val="24"/>
                          </w:rPr>
                          <w:t>7</w:t>
                        </w:r>
                      </w:p>
                    </w:tc>
                    <w:tc>
                      <w:tcPr>
                        <w:tcW w:w="850" w:type="dxa"/>
                      </w:tcPr>
                      <w:p>
                        <w:pPr>
                          <w:rPr>
                            <w:rFonts w:eastAsia="Calibri"/>
                            <w:szCs w:val="24"/>
                          </w:rPr>
                        </w:pPr>
                        <w:r>
                          <w:rPr>
                            <w:rFonts w:eastAsia="Calibri"/>
                            <w:szCs w:val="24"/>
                          </w:rPr>
                          <w:t>7</w:t>
                        </w:r>
                      </w:p>
                    </w:tc>
                    <w:tc>
                      <w:tcPr>
                        <w:tcW w:w="992" w:type="dxa"/>
                        <w:vMerge w:val="restart"/>
                      </w:tcPr>
                      <w:p>
                        <w:pPr>
                          <w:rPr>
                            <w:rFonts w:eastAsia="Calibri"/>
                            <w:szCs w:val="24"/>
                          </w:rPr>
                        </w:pPr>
                        <w:r>
                          <w:rPr>
                            <w:szCs w:val="24"/>
                          </w:rPr>
                          <w:t>146 SB</w:t>
                        </w:r>
                      </w:p>
                    </w:tc>
                    <w:tc>
                      <w:tcPr>
                        <w:tcW w:w="993" w:type="dxa"/>
                      </w:tcPr>
                      <w:p>
                        <w:pPr>
                          <w:rPr>
                            <w:rFonts w:eastAsia="Calibri"/>
                            <w:szCs w:val="24"/>
                          </w:rPr>
                        </w:pPr>
                        <w:r>
                          <w:rPr>
                            <w:rFonts w:eastAsia="Calibri"/>
                            <w:szCs w:val="24"/>
                          </w:rPr>
                          <w:t>137,8 SB</w:t>
                        </w:r>
                      </w:p>
                    </w:tc>
                    <w:tc>
                      <w:tcPr>
                        <w:tcW w:w="5386" w:type="dxa"/>
                      </w:tcPr>
                      <w:p>
                        <w:pPr>
                          <w:rPr>
                            <w:bCs/>
                            <w:iCs/>
                            <w:szCs w:val="24"/>
                          </w:rPr>
                        </w:pPr>
                        <w:r>
                          <w:rPr>
                            <w:bCs/>
                            <w:iCs/>
                            <w:szCs w:val="24"/>
                          </w:rPr>
                          <w:t>Viešųjų erdvių priežiūra. Šienautas istorinės reikšmės Vaidulių kaimo parkas ir šalia esanti vėjo malūno teritorija, 19 neveikiančių kapinių. Prižiūrėta Kutiškių kaimo Bandymų (Radviliškio) tvenkinio aplinka, įrengta maudyklos zona (išvalytas krantas ir dugnas, atvežta smėlio). Tvarkyta Verdulių kaimo tvenkinio aplinka, pasirūpinta savalaikiu atliekų išvežimu iš poilsio teritorijų. Linkaičių kaime sutvarkyta teritorija už sandėliukų (išvežtas šiferis, padangos, didžiagabaritės atliekos). Karčemų, Linkaičių, Kutiškių, Miežaičių ir Liutkiškių kaimuose įrengtos naujos vaikų žaidimų aikštelės su specialiomis dangomis. Verdulių kaime sutvarkytas takas vedantis prie mitologinio „Velnio akmens“, atnaujintas Bebrujų kaimo koplytėlės fasadas. Įrengti nauji suoliukai Kutiškių, Voskonių, Karčemų ir Miežaičių kaimuose. Pastatų priežiūra: Daugėlaičių kaime atnaujintas buvusios mokyklos pastato fasadas, laiptai. Šniūraičių, Daugėlaičių ir Karčemų buvusių mokyklų pastatuose atlikti nedideli sanitarinių mazgų remontai. Karčemų buvusios mokyklos pastate pradėtas rūsio remontas. Užtikrintas gatvių apšvietimas seniūnijos kaimuose tamsiuosiu paros metu. Karčemų kaime buvusios mokyklos pastate sanitariniame mazge, katilinėje ir pagalbinėse patalpose įrengtas naujas apšvietimas. Daugėlaičių k. Pataušės g. gatvių apšvietimo elektros laidai pakeisti į elektros kabelį. (</w:t>
                        </w:r>
                        <w:r>
                          <w:rPr>
                            <w:iCs/>
                            <w:szCs w:val="24"/>
                          </w:rPr>
                          <w:t>Radviliškio seniūnija)</w:t>
                        </w:r>
                      </w:p>
                    </w:tc>
                  </w:tr>
                  <w:tr>
                    <w:trPr>
                      <w:trHeight w:val="571"/>
                    </w:trPr>
                    <w:tc>
                      <w:tcPr>
                        <w:tcW w:w="4253" w:type="dxa"/>
                      </w:tcPr>
                      <w:p>
                        <w:pPr>
                          <w:rPr>
                            <w:szCs w:val="24"/>
                          </w:rPr>
                        </w:pPr>
                        <w:r>
                          <w:rPr>
                            <w:szCs w:val="24"/>
                          </w:rPr>
                          <w:t>23.2.1.2. Gatvių apšvietimo priežiūra ir atnaujinimas. Gyvenviečių skaičius, kuriose naujai įrengtas arba atnaujintas gatvių apšvietimas (SVP 6-1-5-30)</w:t>
                        </w:r>
                      </w:p>
                    </w:tc>
                    <w:tc>
                      <w:tcPr>
                        <w:tcW w:w="993" w:type="dxa"/>
                      </w:tcPr>
                      <w:p>
                        <w:pPr>
                          <w:rPr>
                            <w:rFonts w:eastAsia="Calibri"/>
                            <w:szCs w:val="24"/>
                            <w:lang w:val="en-US"/>
                          </w:rPr>
                        </w:pPr>
                        <w:r>
                          <w:rPr>
                            <w:szCs w:val="24"/>
                          </w:rPr>
                          <w:t>1</w:t>
                        </w:r>
                      </w:p>
                    </w:tc>
                    <w:tc>
                      <w:tcPr>
                        <w:tcW w:w="850" w:type="dxa"/>
                      </w:tcPr>
                      <w:p>
                        <w:pPr>
                          <w:rPr>
                            <w:rFonts w:eastAsia="Calibri"/>
                            <w:szCs w:val="24"/>
                            <w:lang w:val="en-US"/>
                          </w:rPr>
                        </w:pPr>
                        <w:r>
                          <w:rPr>
                            <w:szCs w:val="24"/>
                          </w:rPr>
                          <w:t>1</w:t>
                        </w:r>
                      </w:p>
                    </w:tc>
                    <w:tc>
                      <w:tcPr>
                        <w:tcW w:w="851" w:type="dxa"/>
                      </w:tcPr>
                      <w:p>
                        <w:pPr>
                          <w:rPr>
                            <w:rFonts w:eastAsia="Calibri"/>
                            <w:szCs w:val="24"/>
                          </w:rPr>
                        </w:pPr>
                        <w:r>
                          <w:rPr>
                            <w:szCs w:val="24"/>
                          </w:rPr>
                          <w:t>2</w:t>
                        </w:r>
                      </w:p>
                    </w:tc>
                    <w:tc>
                      <w:tcPr>
                        <w:tcW w:w="850" w:type="dxa"/>
                      </w:tcPr>
                      <w:p>
                        <w:pPr>
                          <w:rPr>
                            <w:rFonts w:eastAsia="Calibri"/>
                            <w:szCs w:val="24"/>
                          </w:rPr>
                        </w:pPr>
                        <w:r>
                          <w:rPr>
                            <w:szCs w:val="24"/>
                          </w:rPr>
                          <w:t>2</w:t>
                        </w:r>
                      </w:p>
                    </w:tc>
                    <w:tc>
                      <w:tcPr>
                        <w:tcW w:w="992" w:type="dxa"/>
                        <w:vMerge/>
                      </w:tcPr>
                      <w:p>
                        <w:pPr>
                          <w:rPr>
                            <w:rFonts w:eastAsia="Calibri"/>
                            <w:szCs w:val="24"/>
                          </w:rPr>
                        </w:pPr>
                      </w:p>
                    </w:tc>
                    <w:tc>
                      <w:tcPr>
                        <w:tcW w:w="993" w:type="dxa"/>
                      </w:tcPr>
                      <w:p>
                        <w:pPr>
                          <w:rPr>
                            <w:szCs w:val="24"/>
                          </w:rPr>
                        </w:pPr>
                        <w:r>
                          <w:rPr>
                            <w:szCs w:val="24"/>
                          </w:rPr>
                          <w:t xml:space="preserve">8 </w:t>
                        </w:r>
                      </w:p>
                      <w:p>
                        <w:pPr>
                          <w:rPr>
                            <w:szCs w:val="24"/>
                          </w:rPr>
                        </w:pPr>
                        <w:r>
                          <w:rPr>
                            <w:szCs w:val="24"/>
                          </w:rPr>
                          <w:t>SB</w:t>
                        </w:r>
                      </w:p>
                      <w:p>
                        <w:pPr>
                          <w:rPr>
                            <w:rFonts w:eastAsia="Calibri"/>
                            <w:szCs w:val="24"/>
                          </w:rPr>
                        </w:pPr>
                      </w:p>
                    </w:tc>
                    <w:tc>
                      <w:tcPr>
                        <w:tcW w:w="5386" w:type="dxa"/>
                      </w:tcPr>
                      <w:p>
                        <w:pPr>
                          <w:rPr>
                            <w:szCs w:val="24"/>
                          </w:rPr>
                        </w:pPr>
                        <w:r>
                          <w:rPr>
                            <w:szCs w:val="24"/>
                          </w:rPr>
                          <w:t>Voskonių ir Liutkiškių kaimuose atliktas gatvių apšvietimo modernizavimas laidus pakeičiant elektrosaugos reikalavimus atitinkančiais kabeliais.</w:t>
                        </w:r>
                      </w:p>
                      <w:p>
                        <w:pPr>
                          <w:rPr>
                            <w:rFonts w:eastAsia="Calibri"/>
                            <w:szCs w:val="24"/>
                          </w:rPr>
                        </w:pPr>
                        <w:r>
                          <w:rPr>
                            <w:szCs w:val="24"/>
                          </w:rPr>
                          <w:t>(Radviliškio seniūnija)</w:t>
                        </w:r>
                      </w:p>
                    </w:tc>
                  </w:tr>
                  <w:tr>
                    <w:trPr>
                      <w:trHeight w:val="571"/>
                    </w:trPr>
                    <w:tc>
                      <w:tcPr>
                        <w:tcW w:w="4253" w:type="dxa"/>
                      </w:tcPr>
                      <w:p>
                        <w:pPr>
                          <w:rPr>
                            <w:rFonts w:eastAsia="Calibri"/>
                            <w:szCs w:val="24"/>
                          </w:rPr>
                        </w:pPr>
                        <w:r>
                          <w:rPr>
                            <w:szCs w:val="24"/>
                          </w:rPr>
                          <w:t>23.2.1.3. Atliekų tvarkymas viešojo naudojimo teritorijose, kapinių priežiūra. Naujai įrengtų atliekų konteinerių skaičius gyvenvietėse (SVP 6-1-5-06)</w:t>
                        </w:r>
                      </w:p>
                    </w:tc>
                    <w:tc>
                      <w:tcPr>
                        <w:tcW w:w="993" w:type="dxa"/>
                      </w:tcPr>
                      <w:p>
                        <w:pPr>
                          <w:rPr>
                            <w:rFonts w:eastAsia="Calibri"/>
                            <w:szCs w:val="24"/>
                            <w:lang w:val="en-US"/>
                          </w:rPr>
                        </w:pPr>
                        <w:r>
                          <w:rPr>
                            <w:rFonts w:eastAsia="Calibri"/>
                            <w:szCs w:val="24"/>
                            <w:lang w:val="en-US"/>
                          </w:rPr>
                          <w:t>10</w:t>
                        </w:r>
                      </w:p>
                    </w:tc>
                    <w:tc>
                      <w:tcPr>
                        <w:tcW w:w="850" w:type="dxa"/>
                      </w:tcPr>
                      <w:p>
                        <w:pPr>
                          <w:rPr>
                            <w:rFonts w:eastAsia="Calibri"/>
                            <w:szCs w:val="24"/>
                            <w:lang w:val="en-US"/>
                          </w:rPr>
                        </w:pPr>
                        <w:r>
                          <w:rPr>
                            <w:rFonts w:eastAsia="Calibri"/>
                            <w:szCs w:val="24"/>
                            <w:lang w:val="en-US"/>
                          </w:rPr>
                          <w:t>-</w:t>
                        </w:r>
                      </w:p>
                    </w:tc>
                    <w:tc>
                      <w:tcPr>
                        <w:tcW w:w="851" w:type="dxa"/>
                      </w:tcPr>
                      <w:p>
                        <w:pPr>
                          <w:rPr>
                            <w:rFonts w:eastAsia="Calibri"/>
                            <w:szCs w:val="24"/>
                          </w:rPr>
                        </w:pPr>
                        <w:r>
                          <w:rPr>
                            <w:rFonts w:eastAsia="Calibri"/>
                            <w:szCs w:val="24"/>
                          </w:rPr>
                          <w:t>10</w:t>
                        </w:r>
                      </w:p>
                      <w:p>
                        <w:pPr>
                          <w:rPr>
                            <w:rFonts w:eastAsia="Calibri"/>
                            <w:szCs w:val="24"/>
                          </w:rPr>
                        </w:pPr>
                      </w:p>
                    </w:tc>
                    <w:tc>
                      <w:tcPr>
                        <w:tcW w:w="850" w:type="dxa"/>
                      </w:tcPr>
                      <w:p>
                        <w:pPr>
                          <w:rPr>
                            <w:rFonts w:eastAsia="Calibri"/>
                            <w:szCs w:val="24"/>
                          </w:rPr>
                        </w:pPr>
                        <w:r>
                          <w:rPr>
                            <w:rFonts w:eastAsia="Calibri"/>
                            <w:szCs w:val="24"/>
                          </w:rPr>
                          <w:t>10</w:t>
                        </w:r>
                      </w:p>
                    </w:tc>
                    <w:tc>
                      <w:tcPr>
                        <w:tcW w:w="992" w:type="dxa"/>
                        <w:vMerge/>
                      </w:tcPr>
                      <w:p>
                        <w:pPr>
                          <w:rPr>
                            <w:rFonts w:eastAsia="Calibri"/>
                            <w:szCs w:val="24"/>
                          </w:rPr>
                        </w:pPr>
                      </w:p>
                    </w:tc>
                    <w:tc>
                      <w:tcPr>
                        <w:tcW w:w="993" w:type="dxa"/>
                      </w:tcPr>
                      <w:p>
                        <w:pPr>
                          <w:rPr>
                            <w:rFonts w:eastAsia="Calibri"/>
                            <w:szCs w:val="24"/>
                          </w:rPr>
                        </w:pPr>
                        <w:r>
                          <w:rPr>
                            <w:rFonts w:eastAsia="Calibri"/>
                            <w:szCs w:val="24"/>
                          </w:rPr>
                          <w:t xml:space="preserve">0,2  SBAA</w:t>
                        </w:r>
                      </w:p>
                      <w:p>
                        <w:pPr>
                          <w:rPr>
                            <w:rFonts w:eastAsia="Calibri"/>
                            <w:szCs w:val="24"/>
                          </w:rPr>
                        </w:pPr>
                      </w:p>
                    </w:tc>
                    <w:tc>
                      <w:tcPr>
                        <w:tcW w:w="5386" w:type="dxa"/>
                      </w:tcPr>
                      <w:p>
                        <w:pPr>
                          <w:rPr>
                            <w:rFonts w:eastAsia="Calibri"/>
                            <w:szCs w:val="24"/>
                          </w:rPr>
                        </w:pPr>
                        <w:r>
                          <w:rPr>
                            <w:rFonts w:eastAsia="Calibri"/>
                            <w:szCs w:val="24"/>
                          </w:rPr>
                          <w:t>Pastatytos naujos šiukšliadėžės Karčemų ir Kutiškių Voskonių ir Miežačių kaimuose. Švarios ir tvarkingos aplinkos užtikrinimas prie Šniūraičių k,. Kurų kapinių – konteinerių priežiūra.</w:t>
                        </w:r>
                        <w:r>
                          <w:rPr>
                            <w:szCs w:val="24"/>
                          </w:rPr>
                          <w:t>(Radviliškio seniūnija)</w:t>
                        </w:r>
                      </w:p>
                    </w:tc>
                  </w:tr>
                  <w:tr>
                    <w:trPr>
                      <w:trHeight w:val="365"/>
                    </w:trPr>
                    <w:tc>
                      <w:tcPr>
                        <w:tcW w:w="4253" w:type="dxa"/>
                      </w:tcPr>
                      <w:p>
                        <w:pPr>
                          <w:rPr>
                            <w:bCs/>
                            <w:color w:val="000000"/>
                            <w:szCs w:val="24"/>
                          </w:rPr>
                        </w:pPr>
                        <w:r>
                          <w:rPr>
                            <w:bCs/>
                            <w:color w:val="000000"/>
                            <w:szCs w:val="24"/>
                          </w:rPr>
                          <w:t>24.2.1.1. Tęstinė viešojo naudojimo teritorijų priežiūros ir tvarkymo veikla Sidabravo seniūnija.</w:t>
                        </w:r>
                      </w:p>
                      <w:p>
                        <w:pPr>
                          <w:rPr>
                            <w:bCs/>
                            <w:iCs/>
                            <w:szCs w:val="24"/>
                            <w:highlight w:val="yellow"/>
                          </w:rPr>
                        </w:pPr>
                        <w:r>
                          <w:rPr>
                            <w:bCs/>
                            <w:color w:val="000000"/>
                            <w:szCs w:val="24"/>
                          </w:rPr>
                          <w:t>(SVP 6-1-5-10)</w:t>
                        </w:r>
                      </w:p>
                    </w:tc>
                    <w:tc>
                      <w:tcPr>
                        <w:tcW w:w="993" w:type="dxa"/>
                      </w:tcPr>
                      <w:p>
                        <w:pPr>
                          <w:rPr>
                            <w:iCs/>
                            <w:color w:val="000000"/>
                            <w:szCs w:val="24"/>
                          </w:rPr>
                        </w:pPr>
                        <w:r>
                          <w:rPr>
                            <w:iCs/>
                            <w:color w:val="000000"/>
                            <w:szCs w:val="24"/>
                          </w:rPr>
                          <w:t>19 kapinių (4,58 ha)</w:t>
                        </w:r>
                      </w:p>
                      <w:p>
                        <w:pPr>
                          <w:rPr>
                            <w:color w:val="000000"/>
                            <w:szCs w:val="24"/>
                          </w:rPr>
                        </w:pPr>
                        <w:r>
                          <w:rPr>
                            <w:iCs/>
                            <w:color w:val="000000"/>
                            <w:szCs w:val="24"/>
                          </w:rPr>
                          <w:t xml:space="preserve">3 parkai  (15,27 ha)</w:t>
                        </w:r>
                      </w:p>
                    </w:tc>
                    <w:tc>
                      <w:tcPr>
                        <w:tcW w:w="850" w:type="dxa"/>
                      </w:tcPr>
                      <w:p>
                        <w:pPr>
                          <w:rPr>
                            <w:iCs/>
                            <w:szCs w:val="24"/>
                          </w:rPr>
                        </w:pPr>
                        <w:r>
                          <w:rPr>
                            <w:iCs/>
                            <w:color w:val="000000"/>
                            <w:szCs w:val="24"/>
                          </w:rPr>
                          <w:t>12</w:t>
                        </w:r>
                      </w:p>
                    </w:tc>
                    <w:tc>
                      <w:tcPr>
                        <w:tcW w:w="851" w:type="dxa"/>
                      </w:tcPr>
                      <w:p>
                        <w:pPr>
                          <w:rPr>
                            <w:color w:val="000000"/>
                            <w:szCs w:val="24"/>
                          </w:rPr>
                        </w:pPr>
                        <w:r>
                          <w:rPr>
                            <w:iCs/>
                            <w:color w:val="000000"/>
                            <w:szCs w:val="24"/>
                          </w:rPr>
                          <w:t>12</w:t>
                        </w:r>
                      </w:p>
                    </w:tc>
                    <w:tc>
                      <w:tcPr>
                        <w:tcW w:w="850" w:type="dxa"/>
                      </w:tcPr>
                      <w:p>
                        <w:pPr>
                          <w:rPr>
                            <w:color w:val="000000"/>
                            <w:szCs w:val="24"/>
                          </w:rPr>
                        </w:pPr>
                        <w:r>
                          <w:rPr>
                            <w:iCs/>
                            <w:color w:val="000000"/>
                            <w:szCs w:val="24"/>
                          </w:rPr>
                          <w:t>14</w:t>
                        </w:r>
                      </w:p>
                    </w:tc>
                    <w:tc>
                      <w:tcPr>
                        <w:tcW w:w="992" w:type="dxa"/>
                        <w:vMerge w:val="restart"/>
                      </w:tcPr>
                      <w:p>
                        <w:pPr>
                          <w:rPr>
                            <w:iCs/>
                            <w:color w:val="000000"/>
                            <w:szCs w:val="24"/>
                          </w:rPr>
                        </w:pPr>
                        <w:r>
                          <w:rPr>
                            <w:iCs/>
                            <w:color w:val="000000"/>
                            <w:szCs w:val="24"/>
                          </w:rPr>
                          <w:t>75,3</w:t>
                        </w:r>
                      </w:p>
                      <w:p>
                        <w:pPr>
                          <w:rPr>
                            <w:iCs/>
                            <w:color w:val="808080"/>
                            <w:szCs w:val="24"/>
                          </w:rPr>
                        </w:pPr>
                        <w:r>
                          <w:rPr>
                            <w:iCs/>
                            <w:color w:val="000000"/>
                            <w:szCs w:val="24"/>
                          </w:rPr>
                          <w:t>SB</w:t>
                        </w:r>
                      </w:p>
                      <w:p>
                        <w:pPr>
                          <w:rPr>
                            <w:iCs/>
                            <w:szCs w:val="24"/>
                          </w:rPr>
                        </w:pPr>
                      </w:p>
                    </w:tc>
                    <w:tc>
                      <w:tcPr>
                        <w:tcW w:w="993" w:type="dxa"/>
                        <w:vMerge w:val="restart"/>
                      </w:tcPr>
                      <w:p>
                        <w:pPr>
                          <w:rPr>
                            <w:iCs/>
                            <w:color w:val="000000"/>
                            <w:szCs w:val="24"/>
                          </w:rPr>
                        </w:pPr>
                        <w:r>
                          <w:rPr>
                            <w:iCs/>
                            <w:color w:val="000000"/>
                            <w:szCs w:val="24"/>
                          </w:rPr>
                          <w:t>70,87</w:t>
                        </w:r>
                      </w:p>
                      <w:p>
                        <w:pPr>
                          <w:rPr>
                            <w:iCs/>
                            <w:szCs w:val="24"/>
                          </w:rPr>
                        </w:pPr>
                        <w:r>
                          <w:rPr>
                            <w:iCs/>
                            <w:color w:val="000000"/>
                            <w:szCs w:val="24"/>
                          </w:rPr>
                          <w:t>SB</w:t>
                        </w:r>
                      </w:p>
                    </w:tc>
                    <w:tc>
                      <w:tcPr>
                        <w:tcW w:w="5386" w:type="dxa"/>
                      </w:tcPr>
                      <w:p>
                        <w:pPr>
                          <w:rPr>
                            <w:iCs/>
                            <w:color w:val="000000"/>
                            <w:szCs w:val="24"/>
                          </w:rPr>
                        </w:pPr>
                        <w:r>
                          <w:rPr>
                            <w:iCs/>
                            <w:color w:val="000000"/>
                            <w:szCs w:val="24"/>
                          </w:rPr>
                          <w:t xml:space="preserve">Nuolat prižiūrimos Sidabravo, Beinoravos, Vadaktų gyvenviečių viešosios erdvės, </w:t>
                        </w:r>
                        <w:r>
                          <w:rPr>
                            <w:iCs/>
                            <w:szCs w:val="24"/>
                          </w:rPr>
                          <w:t>9</w:t>
                        </w:r>
                        <w:r>
                          <w:rPr>
                            <w:iCs/>
                            <w:color w:val="EE0000"/>
                            <w:szCs w:val="24"/>
                          </w:rPr>
                          <w:t xml:space="preserve"> </w:t>
                        </w:r>
                        <w:r>
                          <w:rPr>
                            <w:iCs/>
                            <w:color w:val="000000"/>
                            <w:szCs w:val="24"/>
                          </w:rPr>
                          <w:t xml:space="preserve">biotualetų nuoma, aptvertos Mazgių ir Taukuočių kapinės. Šienaujamos ir prižiūrimos 12 veikiančių ir 7 neveikiančios kapinės. </w:t>
                        </w:r>
                        <w:r>
                          <w:rPr>
                            <w:szCs w:val="24"/>
                          </w:rPr>
                          <w:t>Išvalyta buvusios dvarvietės, esančios Vadaktų mstl., teritorija.</w:t>
                        </w:r>
                        <w:r>
                          <w:rPr>
                            <w:iCs/>
                            <w:color w:val="000000"/>
                            <w:szCs w:val="24"/>
                          </w:rPr>
                          <w:t xml:space="preserve"> </w:t>
                        </w:r>
                        <w:r>
                          <w:rPr>
                            <w:szCs w:val="24"/>
                          </w:rPr>
                          <w:t>Sidabravo miestelyje prie Kiršino upelio esančios pakrantės išvalymas nuo savaime priaugusių krūmų.</w:t>
                        </w:r>
                        <w:r>
                          <w:rPr>
                            <w:iCs/>
                            <w:color w:val="000000"/>
                            <w:szCs w:val="24"/>
                          </w:rPr>
                          <w:t xml:space="preserve"> </w:t>
                        </w:r>
                        <w:r>
                          <w:rPr>
                            <w:szCs w:val="24"/>
                          </w:rPr>
                          <w:t>Pėsčiųjų tiltelio, vedančio per Kiršino upelį, rekonstravimas (turėklų sumontavimas, nuovažų sutvarkymas).</w:t>
                        </w:r>
                        <w:r>
                          <w:rPr>
                            <w:iCs/>
                            <w:color w:val="000000"/>
                            <w:szCs w:val="24"/>
                          </w:rPr>
                          <w:t xml:space="preserve"> </w:t>
                        </w:r>
                        <w:r>
                          <w:rPr>
                            <w:szCs w:val="24"/>
                          </w:rPr>
                          <w:t>Pagaminta 13 suoliukų ir pastatyta seniūnijos viešosiose erdvėse, gyventojų lankomose vietose (Vadaktų, Beinoravos, Sidabravo gyvenvietėse).</w:t>
                        </w:r>
                        <w:r>
                          <w:rPr>
                            <w:iCs/>
                            <w:color w:val="000000"/>
                            <w:szCs w:val="24"/>
                          </w:rPr>
                          <w:t xml:space="preserve"> (Sidabravo seniūnija)</w:t>
                        </w:r>
                      </w:p>
                    </w:tc>
                  </w:tr>
                  <w:tr>
                    <w:trPr>
                      <w:trHeight w:val="365"/>
                    </w:trPr>
                    <w:tc>
                      <w:tcPr>
                        <w:tcW w:w="4253" w:type="dxa"/>
                      </w:tcPr>
                      <w:p>
                        <w:pPr>
                          <w:rPr>
                            <w:bCs/>
                            <w:color w:val="000000"/>
                            <w:szCs w:val="24"/>
                          </w:rPr>
                        </w:pPr>
                        <w:r>
                          <w:rPr>
                            <w:bCs/>
                            <w:color w:val="000000"/>
                            <w:szCs w:val="24"/>
                          </w:rPr>
                          <w:t>24.2.1.2. Gatvių apšvietimo priežiūra ir atnaujinimas (SVP 6-1-5-30)</w:t>
                        </w:r>
                      </w:p>
                    </w:tc>
                    <w:tc>
                      <w:tcPr>
                        <w:tcW w:w="993" w:type="dxa"/>
                      </w:tcPr>
                      <w:p>
                        <w:pPr>
                          <w:rPr>
                            <w:szCs w:val="24"/>
                          </w:rPr>
                        </w:pPr>
                        <w:r>
                          <w:rPr>
                            <w:iCs/>
                            <w:szCs w:val="24"/>
                          </w:rPr>
                          <w:t>9 vnt.</w:t>
                        </w:r>
                      </w:p>
                    </w:tc>
                    <w:tc>
                      <w:tcPr>
                        <w:tcW w:w="850" w:type="dxa"/>
                      </w:tcPr>
                      <w:p>
                        <w:pPr>
                          <w:rPr>
                            <w:iCs/>
                            <w:szCs w:val="24"/>
                          </w:rPr>
                        </w:pPr>
                        <w:r>
                          <w:rPr>
                            <w:iCs/>
                            <w:szCs w:val="24"/>
                          </w:rPr>
                          <w:t xml:space="preserve">2 </w:t>
                        </w:r>
                      </w:p>
                    </w:tc>
                    <w:tc>
                      <w:tcPr>
                        <w:tcW w:w="851" w:type="dxa"/>
                      </w:tcPr>
                      <w:p>
                        <w:pPr>
                          <w:rPr>
                            <w:szCs w:val="24"/>
                          </w:rPr>
                        </w:pPr>
                        <w:r>
                          <w:rPr>
                            <w:iCs/>
                            <w:szCs w:val="24"/>
                          </w:rPr>
                          <w:t xml:space="preserve">3 </w:t>
                        </w:r>
                      </w:p>
                    </w:tc>
                    <w:tc>
                      <w:tcPr>
                        <w:tcW w:w="850" w:type="dxa"/>
                      </w:tcPr>
                      <w:p>
                        <w:pPr>
                          <w:rPr>
                            <w:szCs w:val="24"/>
                          </w:rPr>
                        </w:pPr>
                        <w:r>
                          <w:rPr>
                            <w:iCs/>
                            <w:szCs w:val="24"/>
                          </w:rPr>
                          <w:t>9</w:t>
                        </w:r>
                      </w:p>
                    </w:tc>
                    <w:tc>
                      <w:tcPr>
                        <w:tcW w:w="992" w:type="dxa"/>
                        <w:vMerge/>
                      </w:tcPr>
                      <w:p>
                        <w:pPr>
                          <w:rPr>
                            <w:iCs/>
                            <w:szCs w:val="24"/>
                          </w:rPr>
                        </w:pPr>
                      </w:p>
                    </w:tc>
                    <w:tc>
                      <w:tcPr>
                        <w:tcW w:w="993" w:type="dxa"/>
                        <w:vMerge/>
                      </w:tcPr>
                      <w:p>
                        <w:pPr>
                          <w:rPr>
                            <w:iCs/>
                            <w:szCs w:val="24"/>
                          </w:rPr>
                        </w:pPr>
                      </w:p>
                    </w:tc>
                    <w:tc>
                      <w:tcPr>
                        <w:tcW w:w="5386" w:type="dxa"/>
                      </w:tcPr>
                      <w:p>
                        <w:pPr>
                          <w:rPr>
                            <w:iCs/>
                            <w:color w:val="000000"/>
                            <w:szCs w:val="24"/>
                          </w:rPr>
                        </w:pPr>
                        <w:r>
                          <w:rPr>
                            <w:iCs/>
                            <w:color w:val="000000"/>
                            <w:szCs w:val="24"/>
                          </w:rPr>
                          <w:t>Atnaujintas gatvių apšvietimas LED šviestuvais 9 gyvenvietėse. Sumontuota 167 naujų LED šviestuvų.</w:t>
                        </w:r>
                      </w:p>
                      <w:p>
                        <w:pPr>
                          <w:rPr>
                            <w:color w:val="000000"/>
                            <w:szCs w:val="24"/>
                          </w:rPr>
                        </w:pPr>
                        <w:r>
                          <w:rPr>
                            <w:iCs/>
                            <w:color w:val="000000"/>
                            <w:szCs w:val="24"/>
                          </w:rPr>
                          <w:t>(Sidabravo seniūnija)</w:t>
                        </w:r>
                      </w:p>
                    </w:tc>
                  </w:tr>
                  <w:tr>
                    <w:trPr>
                      <w:trHeight w:val="365"/>
                    </w:trPr>
                    <w:tc>
                      <w:tcPr>
                        <w:tcW w:w="4253" w:type="dxa"/>
                      </w:tcPr>
                      <w:p>
                        <w:pPr>
                          <w:rPr>
                            <w:bCs/>
                            <w:i/>
                            <w:iCs/>
                            <w:szCs w:val="24"/>
                          </w:rPr>
                        </w:pPr>
                        <w:r>
                          <w:rPr>
                            <w:bCs/>
                            <w:iCs/>
                            <w:szCs w:val="24"/>
                          </w:rPr>
                          <w:t xml:space="preserve">25.2.1.1. Seniūnijos apskaitoje esančių objektų ir viešojo naudojimo teritorijų priežiūros ir tvarkymo užtikrinimas. </w:t>
                        </w:r>
                        <w:r>
                          <w:rPr>
                            <w:bCs/>
                            <w:i/>
                            <w:iCs/>
                            <w:szCs w:val="24"/>
                          </w:rPr>
                          <w:t>Priemonių užtikrinančių bendrojo naudojimo teritorijų ir objektų priežiūrą ir tvarkymą skaičius.</w:t>
                        </w:r>
                      </w:p>
                      <w:p>
                        <w:pPr>
                          <w:rPr>
                            <w:iCs/>
                            <w:szCs w:val="24"/>
                          </w:rPr>
                        </w:pPr>
                        <w:r>
                          <w:rPr>
                            <w:iCs/>
                            <w:szCs w:val="24"/>
                          </w:rPr>
                          <w:t>(SVP 6-1-5-11; 6-1-5-30)</w:t>
                        </w:r>
                      </w:p>
                      <w:p>
                        <w:pPr>
                          <w:rPr>
                            <w:bCs/>
                            <w:iCs/>
                            <w:szCs w:val="24"/>
                            <w:highlight w:val="yellow"/>
                          </w:rPr>
                        </w:pPr>
                      </w:p>
                    </w:tc>
                    <w:tc>
                      <w:tcPr>
                        <w:tcW w:w="993" w:type="dxa"/>
                      </w:tcPr>
                      <w:p>
                        <w:pPr>
                          <w:rPr>
                            <w:szCs w:val="24"/>
                          </w:rPr>
                        </w:pPr>
                        <w:r>
                          <w:rPr>
                            <w:rFonts w:eastAsia="Calibri"/>
                            <w:szCs w:val="24"/>
                            <w:lang w:val="en-US"/>
                          </w:rPr>
                          <w:t>7</w:t>
                        </w:r>
                      </w:p>
                    </w:tc>
                    <w:tc>
                      <w:tcPr>
                        <w:tcW w:w="850" w:type="dxa"/>
                      </w:tcPr>
                      <w:p>
                        <w:pPr>
                          <w:rPr>
                            <w:iCs/>
                            <w:szCs w:val="24"/>
                          </w:rPr>
                        </w:pPr>
                        <w:r>
                          <w:rPr>
                            <w:rFonts w:eastAsia="Calibri"/>
                            <w:szCs w:val="24"/>
                          </w:rPr>
                          <w:t>7</w:t>
                        </w:r>
                      </w:p>
                    </w:tc>
                    <w:tc>
                      <w:tcPr>
                        <w:tcW w:w="851" w:type="dxa"/>
                      </w:tcPr>
                      <w:p>
                        <w:pPr>
                          <w:rPr>
                            <w:szCs w:val="24"/>
                          </w:rPr>
                        </w:pPr>
                        <w:r>
                          <w:rPr>
                            <w:rFonts w:eastAsia="Calibri"/>
                            <w:szCs w:val="24"/>
                          </w:rPr>
                          <w:t>7</w:t>
                        </w:r>
                      </w:p>
                    </w:tc>
                    <w:tc>
                      <w:tcPr>
                        <w:tcW w:w="850" w:type="dxa"/>
                      </w:tcPr>
                      <w:p>
                        <w:pPr>
                          <w:rPr>
                            <w:szCs w:val="24"/>
                          </w:rPr>
                        </w:pPr>
                        <w:r>
                          <w:rPr>
                            <w:rFonts w:eastAsia="Calibri"/>
                            <w:szCs w:val="24"/>
                          </w:rPr>
                          <w:t>7</w:t>
                        </w:r>
                      </w:p>
                    </w:tc>
                    <w:tc>
                      <w:tcPr>
                        <w:tcW w:w="992" w:type="dxa"/>
                        <w:vMerge w:val="restart"/>
                      </w:tcPr>
                      <w:p>
                        <w:pPr>
                          <w:rPr>
                            <w:szCs w:val="24"/>
                          </w:rPr>
                        </w:pPr>
                        <w:r>
                          <w:rPr>
                            <w:szCs w:val="24"/>
                          </w:rPr>
                          <w:t xml:space="preserve">69, 03  </w:t>
                        </w:r>
                      </w:p>
                      <w:p>
                        <w:pPr>
                          <w:rPr>
                            <w:color w:val="808080"/>
                            <w:szCs w:val="24"/>
                          </w:rPr>
                        </w:pPr>
                        <w:r>
                          <w:rPr>
                            <w:szCs w:val="24"/>
                          </w:rPr>
                          <w:t>SB</w:t>
                        </w:r>
                      </w:p>
                      <w:p>
                        <w:pPr>
                          <w:rPr>
                            <w:color w:val="808080"/>
                            <w:szCs w:val="24"/>
                          </w:rPr>
                        </w:pPr>
                      </w:p>
                      <w:p>
                        <w:pPr>
                          <w:rPr>
                            <w:rFonts w:eastAsia="Calibri"/>
                            <w:szCs w:val="24"/>
                          </w:rPr>
                        </w:pPr>
                      </w:p>
                      <w:p>
                        <w:pPr>
                          <w:rPr>
                            <w:iCs/>
                            <w:szCs w:val="24"/>
                          </w:rPr>
                        </w:pPr>
                      </w:p>
                    </w:tc>
                    <w:tc>
                      <w:tcPr>
                        <w:tcW w:w="993" w:type="dxa"/>
                        <w:vMerge w:val="restart"/>
                      </w:tcPr>
                      <w:p>
                        <w:pPr>
                          <w:rPr>
                            <w:szCs w:val="24"/>
                          </w:rPr>
                        </w:pPr>
                        <w:r>
                          <w:rPr>
                            <w:szCs w:val="24"/>
                          </w:rPr>
                          <w:t>67,83</w:t>
                        </w:r>
                      </w:p>
                      <w:p>
                        <w:pPr>
                          <w:rPr>
                            <w:color w:val="808080"/>
                            <w:szCs w:val="24"/>
                          </w:rPr>
                        </w:pPr>
                        <w:r>
                          <w:rPr>
                            <w:szCs w:val="24"/>
                          </w:rPr>
                          <w:t>SB</w:t>
                        </w:r>
                      </w:p>
                      <w:p>
                        <w:pPr>
                          <w:rPr>
                            <w:color w:val="808080"/>
                            <w:szCs w:val="24"/>
                          </w:rPr>
                        </w:pPr>
                      </w:p>
                      <w:p>
                        <w:pPr>
                          <w:rPr>
                            <w:color w:val="808080"/>
                            <w:szCs w:val="24"/>
                          </w:rPr>
                        </w:pPr>
                      </w:p>
                      <w:p>
                        <w:pPr>
                          <w:rPr>
                            <w:iCs/>
                            <w:szCs w:val="24"/>
                          </w:rPr>
                        </w:pPr>
                      </w:p>
                    </w:tc>
                    <w:tc>
                      <w:tcPr>
                        <w:tcW w:w="5386" w:type="dxa"/>
                      </w:tcPr>
                      <w:p>
                        <w:pPr>
                          <w:rPr>
                            <w:szCs w:val="24"/>
                          </w:rPr>
                        </w:pPr>
                        <w:r>
                          <w:rPr>
                            <w:bCs/>
                            <w:szCs w:val="24"/>
                          </w:rPr>
                          <w:t xml:space="preserve">Šienautos Panekelpių neveikiančios kapinės. Nuolatos prižiūrimos Pociūnėlių, Užpurvių, Skėmių ir Skomaičių kapinės, Šašėnų ir Pociūnėlių miestelio tvenkinių aplinkos, įrengta vaikų žaidimo erdvė. Pociūnėlių kultūros namuose perdažytos grindys. </w:t>
                        </w:r>
                        <w:r>
                          <w:rPr>
                            <w:szCs w:val="24"/>
                          </w:rPr>
                          <w:t>Prie Skėmių seniūnijos pastato ir Pociūnėlių kultūros namų pastato pastatyti nauji modernūs vėliavų stulpai. Prie Skėmių kultūros namų ir Pociūnėlių miestelio parko aikštelėse paklotos trinkelės. (Skėmių seniūnija)</w:t>
                        </w:r>
                      </w:p>
                    </w:tc>
                  </w:tr>
                  <w:tr>
                    <w:trPr>
                      <w:trHeight w:val="365"/>
                    </w:trPr>
                    <w:tc>
                      <w:tcPr>
                        <w:tcW w:w="4253" w:type="dxa"/>
                      </w:tcPr>
                      <w:p>
                        <w:pPr>
                          <w:rPr>
                            <w:rFonts w:eastAsia="Calibri"/>
                            <w:szCs w:val="24"/>
                          </w:rPr>
                        </w:pPr>
                        <w:r>
                          <w:rPr>
                            <w:rFonts w:eastAsia="Calibri"/>
                            <w:szCs w:val="24"/>
                          </w:rPr>
                          <w:t xml:space="preserve">25.2.1.2. Gatvių apšvietimo priežiūra ir atnaujinimas. </w:t>
                        </w:r>
                        <w:r>
                          <w:rPr>
                            <w:rFonts w:eastAsia="Calibri"/>
                            <w:i/>
                            <w:szCs w:val="24"/>
                          </w:rPr>
                          <w:t xml:space="preserve">Gyvenviečių skaičius, kuriose naujai įrengtas arba atnaujintas gatvių apšvietimas </w:t>
                        </w:r>
                        <w:r>
                          <w:rPr>
                            <w:iCs/>
                            <w:szCs w:val="24"/>
                          </w:rPr>
                          <w:t>(SVP 6-1-5-11;6-1-5-30)</w:t>
                        </w:r>
                      </w:p>
                    </w:tc>
                    <w:tc>
                      <w:tcPr>
                        <w:tcW w:w="993" w:type="dxa"/>
                      </w:tcPr>
                      <w:p>
                        <w:pPr>
                          <w:rPr>
                            <w:color w:val="000000"/>
                            <w:szCs w:val="24"/>
                          </w:rPr>
                        </w:pPr>
                        <w:r>
                          <w:rPr>
                            <w:szCs w:val="24"/>
                          </w:rPr>
                          <w:t>5</w:t>
                        </w:r>
                      </w:p>
                    </w:tc>
                    <w:tc>
                      <w:tcPr>
                        <w:tcW w:w="850" w:type="dxa"/>
                      </w:tcPr>
                      <w:p>
                        <w:pPr>
                          <w:rPr>
                            <w:iCs/>
                            <w:szCs w:val="24"/>
                          </w:rPr>
                        </w:pPr>
                        <w:r>
                          <w:rPr>
                            <w:szCs w:val="24"/>
                          </w:rPr>
                          <w:t>5</w:t>
                        </w:r>
                      </w:p>
                    </w:tc>
                    <w:tc>
                      <w:tcPr>
                        <w:tcW w:w="851" w:type="dxa"/>
                      </w:tcPr>
                      <w:p>
                        <w:pPr>
                          <w:rPr>
                            <w:color w:val="000000"/>
                            <w:szCs w:val="24"/>
                          </w:rPr>
                        </w:pPr>
                        <w:r>
                          <w:rPr>
                            <w:szCs w:val="24"/>
                          </w:rPr>
                          <w:t>5</w:t>
                        </w:r>
                      </w:p>
                    </w:tc>
                    <w:tc>
                      <w:tcPr>
                        <w:tcW w:w="850" w:type="dxa"/>
                      </w:tcPr>
                      <w:p>
                        <w:pPr>
                          <w:rPr>
                            <w:color w:val="000000"/>
                            <w:szCs w:val="24"/>
                          </w:rPr>
                        </w:pPr>
                        <w:r>
                          <w:rPr>
                            <w:szCs w:val="24"/>
                          </w:rPr>
                          <w:t>5</w:t>
                        </w:r>
                      </w:p>
                    </w:tc>
                    <w:tc>
                      <w:tcPr>
                        <w:tcW w:w="992" w:type="dxa"/>
                        <w:vMerge/>
                      </w:tcPr>
                      <w:p>
                        <w:pPr>
                          <w:rPr>
                            <w:iCs/>
                            <w:szCs w:val="24"/>
                          </w:rPr>
                        </w:pPr>
                      </w:p>
                    </w:tc>
                    <w:tc>
                      <w:tcPr>
                        <w:tcW w:w="993" w:type="dxa"/>
                        <w:vMerge/>
                      </w:tcPr>
                      <w:p>
                        <w:pPr>
                          <w:rPr>
                            <w:iCs/>
                            <w:szCs w:val="24"/>
                          </w:rPr>
                        </w:pPr>
                      </w:p>
                    </w:tc>
                    <w:tc>
                      <w:tcPr>
                        <w:tcW w:w="5386" w:type="dxa"/>
                      </w:tcPr>
                      <w:p>
                        <w:pPr>
                          <w:rPr>
                            <w:szCs w:val="24"/>
                          </w:rPr>
                        </w:pPr>
                        <w:r>
                          <w:rPr>
                            <w:szCs w:val="24"/>
                          </w:rPr>
                          <w:t>Pašakių km. pakeisti seni šviestuvai į Led šviestuvus. Pociūnėlių miestelyje ir Skėmių kaime seni gatvės šviestuvai pakeisti į naujus Led šviestuvus. Prie Pociūnėlių kultūros namų įrengtas naujas įvadas. (Skėmių seniūnija)</w:t>
                        </w:r>
                      </w:p>
                    </w:tc>
                  </w:tr>
                  <w:tr>
                    <w:trPr>
                      <w:trHeight w:val="365"/>
                    </w:trPr>
                    <w:tc>
                      <w:tcPr>
                        <w:tcW w:w="4253" w:type="dxa"/>
                      </w:tcPr>
                      <w:p>
                        <w:pPr>
                          <w:rPr>
                            <w:rFonts w:eastAsia="Calibri"/>
                            <w:szCs w:val="24"/>
                          </w:rPr>
                        </w:pPr>
                        <w:r>
                          <w:rPr>
                            <w:rFonts w:eastAsia="Calibri"/>
                            <w:szCs w:val="24"/>
                          </w:rPr>
                          <w:t xml:space="preserve">25.2.1.3. Atliekų tvarkymas viešojo naudojimo teritorijose, kapinių priežiūra. Naujai įrengtų atliekų konteinerių skaičius gyvenvietėse, nuotekų ištraukimas iš biotualetų ir nuotekų šulinių </w:t>
                        </w:r>
                        <w:r>
                          <w:rPr>
                            <w:iCs/>
                            <w:szCs w:val="24"/>
                          </w:rPr>
                          <w:t>(SVP 6-1-5-11;6-1-5-30)</w:t>
                        </w:r>
                      </w:p>
                    </w:tc>
                    <w:tc>
                      <w:tcPr>
                        <w:tcW w:w="993" w:type="dxa"/>
                      </w:tcPr>
                      <w:p>
                        <w:pPr>
                          <w:rPr>
                            <w:color w:val="000000"/>
                            <w:szCs w:val="24"/>
                          </w:rPr>
                        </w:pPr>
                        <w:r>
                          <w:rPr>
                            <w:rFonts w:eastAsia="Calibri"/>
                            <w:szCs w:val="24"/>
                            <w:lang w:val="en-US"/>
                          </w:rPr>
                          <w:t>4</w:t>
                        </w:r>
                      </w:p>
                    </w:tc>
                    <w:tc>
                      <w:tcPr>
                        <w:tcW w:w="850" w:type="dxa"/>
                      </w:tcPr>
                      <w:p>
                        <w:pPr>
                          <w:ind w:firstLine="62"/>
                          <w:rPr>
                            <w:iCs/>
                            <w:szCs w:val="24"/>
                          </w:rPr>
                        </w:pPr>
                        <w:r>
                          <w:rPr>
                            <w:rFonts w:eastAsia="Calibri"/>
                            <w:szCs w:val="24"/>
                            <w:lang w:val="en-US"/>
                          </w:rPr>
                          <w:t xml:space="preserve">4 </w:t>
                        </w:r>
                      </w:p>
                    </w:tc>
                    <w:tc>
                      <w:tcPr>
                        <w:tcW w:w="851" w:type="dxa"/>
                      </w:tcPr>
                      <w:p>
                        <w:pPr>
                          <w:rPr>
                            <w:color w:val="000000"/>
                            <w:szCs w:val="24"/>
                          </w:rPr>
                        </w:pPr>
                        <w:r>
                          <w:rPr>
                            <w:rFonts w:eastAsia="Calibri"/>
                            <w:szCs w:val="24"/>
                          </w:rPr>
                          <w:t>4</w:t>
                        </w:r>
                      </w:p>
                    </w:tc>
                    <w:tc>
                      <w:tcPr>
                        <w:tcW w:w="850" w:type="dxa"/>
                      </w:tcPr>
                      <w:p>
                        <w:pPr>
                          <w:rPr>
                            <w:rFonts w:eastAsia="Calibri"/>
                            <w:szCs w:val="24"/>
                          </w:rPr>
                        </w:pPr>
                        <w:r>
                          <w:rPr>
                            <w:rFonts w:eastAsia="Calibri"/>
                            <w:szCs w:val="24"/>
                          </w:rPr>
                          <w:t>4</w:t>
                        </w:r>
                      </w:p>
                      <w:p>
                        <w:pPr>
                          <w:rPr>
                            <w:color w:val="000000"/>
                            <w:szCs w:val="24"/>
                          </w:rPr>
                        </w:pPr>
                      </w:p>
                    </w:tc>
                    <w:tc>
                      <w:tcPr>
                        <w:tcW w:w="992" w:type="dxa"/>
                        <w:vMerge/>
                      </w:tcPr>
                      <w:p>
                        <w:pPr>
                          <w:rPr>
                            <w:iCs/>
                            <w:szCs w:val="24"/>
                          </w:rPr>
                        </w:pPr>
                      </w:p>
                    </w:tc>
                    <w:tc>
                      <w:tcPr>
                        <w:tcW w:w="993" w:type="dxa"/>
                        <w:vMerge/>
                      </w:tcPr>
                      <w:p>
                        <w:pPr>
                          <w:rPr>
                            <w:iCs/>
                            <w:szCs w:val="24"/>
                          </w:rPr>
                        </w:pPr>
                      </w:p>
                    </w:tc>
                    <w:tc>
                      <w:tcPr>
                        <w:tcW w:w="5386" w:type="dxa"/>
                      </w:tcPr>
                      <w:p>
                        <w:pPr>
                          <w:rPr>
                            <w:rFonts w:eastAsia="Calibri"/>
                            <w:szCs w:val="24"/>
                          </w:rPr>
                        </w:pPr>
                        <w:r>
                          <w:rPr>
                            <w:rFonts w:eastAsia="Calibri"/>
                            <w:szCs w:val="24"/>
                          </w:rPr>
                          <w:t xml:space="preserve">Švarios ir tvarkingos aplinkos užtikrinimas prie Pociūnėlių miestelio ir Šašėnų tvenkinių. Pociūnėlių, Užpurvių , Skėmių ir Skomaičių kapinių esančių šulinių priežiūra. Nuolatos traukiamos nuotekos iš biotualetų ir nuotekų šulinių. </w:t>
                        </w:r>
                        <w:r>
                          <w:rPr>
                            <w:szCs w:val="24"/>
                          </w:rPr>
                          <w:t>(Skėmių seniūnija)</w:t>
                        </w:r>
                      </w:p>
                    </w:tc>
                  </w:tr>
                  <w:tr>
                    <w:trPr>
                      <w:trHeight w:val="365"/>
                    </w:trPr>
                    <w:tc>
                      <w:tcPr>
                        <w:tcW w:w="4253" w:type="dxa"/>
                      </w:tcPr>
                      <w:p>
                        <w:pPr>
                          <w:rPr>
                            <w:rFonts w:eastAsia="Calibri"/>
                            <w:szCs w:val="24"/>
                          </w:rPr>
                        </w:pPr>
                        <w:r>
                          <w:rPr>
                            <w:rFonts w:eastAsia="Calibri"/>
                            <w:szCs w:val="24"/>
                          </w:rPr>
                          <w:t xml:space="preserve">26.2.2.1. Seniūnijos viešųjų erdvių sutvarkymas. Numatytų darbų atlikimas procentais </w:t>
                        </w:r>
                        <w:r>
                          <w:rPr>
                            <w:iCs/>
                            <w:szCs w:val="24"/>
                          </w:rPr>
                          <w:t>(SVP 6-1-5-07)</w:t>
                        </w:r>
                      </w:p>
                    </w:tc>
                    <w:tc>
                      <w:tcPr>
                        <w:tcW w:w="993"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iCs/>
                            <w:szCs w:val="24"/>
                          </w:rPr>
                        </w:pPr>
                        <w:r>
                          <w:rPr>
                            <w:rFonts w:eastAsia="Calibri"/>
                            <w:szCs w:val="24"/>
                          </w:rPr>
                          <w:t xml:space="preserve">100 </w:t>
                        </w:r>
                        <w:r>
                          <w:rPr>
                            <w:rFonts w:eastAsia="Calibri"/>
                            <w:szCs w:val="24"/>
                            <w:lang w:val="en-US"/>
                          </w:rPr>
                          <w:t>%</w:t>
                        </w:r>
                      </w:p>
                    </w:tc>
                    <w:tc>
                      <w:tcPr>
                        <w:tcW w:w="851"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color w:val="000000"/>
                            <w:szCs w:val="24"/>
                          </w:rPr>
                        </w:pPr>
                        <w:r>
                          <w:rPr>
                            <w:rFonts w:eastAsia="Calibri"/>
                            <w:szCs w:val="24"/>
                          </w:rPr>
                          <w:t xml:space="preserve">100 </w:t>
                        </w:r>
                        <w:r>
                          <w:rPr>
                            <w:rFonts w:eastAsia="Calibri"/>
                            <w:szCs w:val="24"/>
                            <w:lang w:val="en-US"/>
                          </w:rPr>
                          <w:t>%</w:t>
                        </w:r>
                      </w:p>
                    </w:tc>
                    <w:tc>
                      <w:tcPr>
                        <w:tcW w:w="992" w:type="dxa"/>
                      </w:tcPr>
                      <w:p>
                        <w:pPr>
                          <w:rPr>
                            <w:iCs/>
                            <w:szCs w:val="24"/>
                          </w:rPr>
                        </w:pPr>
                        <w:r>
                          <w:rPr>
                            <w:rFonts w:eastAsia="Calibri"/>
                            <w:szCs w:val="24"/>
                          </w:rPr>
                          <w:t>40,0 SB</w:t>
                        </w:r>
                      </w:p>
                    </w:tc>
                    <w:tc>
                      <w:tcPr>
                        <w:tcW w:w="993" w:type="dxa"/>
                      </w:tcPr>
                      <w:p>
                        <w:pPr>
                          <w:rPr>
                            <w:iCs/>
                            <w:szCs w:val="24"/>
                          </w:rPr>
                        </w:pPr>
                        <w:r>
                          <w:rPr>
                            <w:rFonts w:eastAsia="Calibri"/>
                            <w:szCs w:val="24"/>
                          </w:rPr>
                          <w:t>29,83 SB</w:t>
                        </w:r>
                      </w:p>
                    </w:tc>
                    <w:tc>
                      <w:tcPr>
                        <w:tcW w:w="5386" w:type="dxa"/>
                        <w:vMerge w:val="restart"/>
                      </w:tcPr>
                      <w:p>
                        <w:pPr>
                          <w:rPr>
                            <w:szCs w:val="24"/>
                          </w:rPr>
                        </w:pPr>
                        <w:r>
                          <w:rPr>
                            <w:szCs w:val="24"/>
                          </w:rPr>
                          <w:t xml:space="preserve">Šaukoto seniūnija įsigijo generatorių. Kunigiškiuose nuo gyvenamų namų atitverta krepšinio aikštele. Šaukoto užtvankos paplūdimiui įsigyti suolai, supynės. Atliktas darbuotojų profesinis rizikos vertinimas. Išvalytas nuo žolių Papušynio ir Šaukoto paplūdimio pakrantės.. Diktariškio (20 gyv.) ir Paltynų (18 gyv.) kaimuose įrengtas naujas LED gatvių apšvietimas. </w:t>
                        </w:r>
                        <w:r>
                          <w:rPr>
                            <w:rFonts w:eastAsia="Calibri"/>
                            <w:szCs w:val="24"/>
                          </w:rPr>
                          <w:t>Įsigyta ir įrengta šiukšliadėžė Šaukoto mstl. Švarios ir tvarkingos aplinkos užtikrinimas prie Šaukoto mstl. veikiančių kapinių, konteinerių priežiūra (Šaukoto seniūnija)</w:t>
                        </w:r>
                      </w:p>
                    </w:tc>
                  </w:tr>
                  <w:tr>
                    <w:trPr>
                      <w:trHeight w:val="365"/>
                    </w:trPr>
                    <w:tc>
                      <w:tcPr>
                        <w:tcW w:w="4253" w:type="dxa"/>
                      </w:tcPr>
                      <w:p>
                        <w:pPr>
                          <w:rPr>
                            <w:bCs/>
                            <w:iCs/>
                            <w:szCs w:val="24"/>
                            <w:highlight w:val="yellow"/>
                          </w:rPr>
                        </w:pPr>
                        <w:r>
                          <w:rPr>
                            <w:rFonts w:eastAsia="Calibri"/>
                            <w:szCs w:val="24"/>
                          </w:rPr>
                          <w:t xml:space="preserve">26.2.2.2.Šaukoto seniūnijos atliekų, viešojo naudojimo teritorijų ir objektų priežiūra </w:t>
                        </w:r>
                        <w:r>
                          <w:rPr>
                            <w:iCs/>
                            <w:szCs w:val="24"/>
                          </w:rPr>
                          <w:t>(SVP 6-1-5-07)</w:t>
                        </w:r>
                      </w:p>
                    </w:tc>
                    <w:tc>
                      <w:tcPr>
                        <w:tcW w:w="993"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iCs/>
                            <w:szCs w:val="24"/>
                          </w:rPr>
                        </w:pPr>
                        <w:r>
                          <w:rPr>
                            <w:rFonts w:eastAsia="Calibri"/>
                            <w:szCs w:val="24"/>
                          </w:rPr>
                          <w:t xml:space="preserve">100 </w:t>
                        </w:r>
                        <w:r>
                          <w:rPr>
                            <w:rFonts w:eastAsia="Calibri"/>
                            <w:szCs w:val="24"/>
                            <w:lang w:val="en-US"/>
                          </w:rPr>
                          <w:t>%</w:t>
                        </w:r>
                      </w:p>
                    </w:tc>
                    <w:tc>
                      <w:tcPr>
                        <w:tcW w:w="851"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color w:val="000000"/>
                            <w:szCs w:val="24"/>
                          </w:rPr>
                        </w:pPr>
                        <w:r>
                          <w:rPr>
                            <w:rFonts w:eastAsia="Calibri"/>
                            <w:szCs w:val="24"/>
                          </w:rPr>
                          <w:t xml:space="preserve">100 </w:t>
                        </w:r>
                        <w:r>
                          <w:rPr>
                            <w:rFonts w:eastAsia="Calibri"/>
                            <w:szCs w:val="24"/>
                            <w:lang w:val="en-US"/>
                          </w:rPr>
                          <w:t>%</w:t>
                        </w:r>
                      </w:p>
                    </w:tc>
                    <w:tc>
                      <w:tcPr>
                        <w:tcW w:w="992" w:type="dxa"/>
                      </w:tcPr>
                      <w:p>
                        <w:pPr>
                          <w:rPr>
                            <w:rFonts w:eastAsia="Calibri"/>
                            <w:szCs w:val="24"/>
                          </w:rPr>
                        </w:pPr>
                        <w:r>
                          <w:rPr>
                            <w:rFonts w:eastAsia="Calibri"/>
                            <w:szCs w:val="24"/>
                          </w:rPr>
                          <w:t>4,0</w:t>
                        </w:r>
                      </w:p>
                      <w:p>
                        <w:pPr>
                          <w:rPr>
                            <w:iCs/>
                            <w:szCs w:val="24"/>
                          </w:rPr>
                        </w:pPr>
                        <w:r>
                          <w:rPr>
                            <w:rFonts w:eastAsia="Calibri"/>
                            <w:szCs w:val="24"/>
                          </w:rPr>
                          <w:t>SB</w:t>
                        </w:r>
                      </w:p>
                    </w:tc>
                    <w:tc>
                      <w:tcPr>
                        <w:tcW w:w="993" w:type="dxa"/>
                      </w:tcPr>
                      <w:p>
                        <w:pPr>
                          <w:rPr>
                            <w:rFonts w:eastAsia="Calibri"/>
                            <w:szCs w:val="24"/>
                          </w:rPr>
                        </w:pPr>
                        <w:r>
                          <w:rPr>
                            <w:rFonts w:eastAsia="Calibri"/>
                            <w:szCs w:val="24"/>
                          </w:rPr>
                          <w:t>5,045</w:t>
                        </w:r>
                      </w:p>
                      <w:p>
                        <w:pPr>
                          <w:rPr>
                            <w:iCs/>
                            <w:szCs w:val="24"/>
                          </w:rPr>
                        </w:pPr>
                        <w:r>
                          <w:rPr>
                            <w:rFonts w:eastAsia="Calibri"/>
                            <w:szCs w:val="24"/>
                          </w:rPr>
                          <w:t>SB</w:t>
                        </w:r>
                      </w:p>
                    </w:tc>
                    <w:tc>
                      <w:tcPr>
                        <w:tcW w:w="5386" w:type="dxa"/>
                        <w:vMerge/>
                      </w:tcPr>
                      <w:p>
                        <w:pPr>
                          <w:rPr>
                            <w:color w:val="000000"/>
                            <w:szCs w:val="24"/>
                          </w:rPr>
                        </w:pPr>
                      </w:p>
                    </w:tc>
                  </w:tr>
                  <w:tr>
                    <w:trPr>
                      <w:trHeight w:val="365"/>
                    </w:trPr>
                    <w:tc>
                      <w:tcPr>
                        <w:tcW w:w="4253" w:type="dxa"/>
                      </w:tcPr>
                      <w:p>
                        <w:pPr>
                          <w:rPr>
                            <w:rFonts w:eastAsia="Calibri"/>
                            <w:szCs w:val="24"/>
                          </w:rPr>
                        </w:pPr>
                        <w:r>
                          <w:rPr>
                            <w:rFonts w:eastAsia="Calibri"/>
                            <w:szCs w:val="24"/>
                          </w:rPr>
                          <w:t xml:space="preserve">26.2.2.3. Gatvių apšvietimo priežiūra ir atnaujinimas </w:t>
                        </w:r>
                        <w:r>
                          <w:rPr>
                            <w:iCs/>
                            <w:szCs w:val="24"/>
                          </w:rPr>
                          <w:t>(SVP 6-1-5-07)</w:t>
                        </w:r>
                      </w:p>
                    </w:tc>
                    <w:tc>
                      <w:tcPr>
                        <w:tcW w:w="993"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iCs/>
                            <w:szCs w:val="24"/>
                          </w:rPr>
                        </w:pPr>
                        <w:r>
                          <w:rPr>
                            <w:rFonts w:eastAsia="Calibri"/>
                            <w:szCs w:val="24"/>
                          </w:rPr>
                          <w:t xml:space="preserve">100 </w:t>
                        </w:r>
                        <w:r>
                          <w:rPr>
                            <w:rFonts w:eastAsia="Calibri"/>
                            <w:szCs w:val="24"/>
                            <w:lang w:val="en-US"/>
                          </w:rPr>
                          <w:t>%</w:t>
                        </w:r>
                      </w:p>
                    </w:tc>
                    <w:tc>
                      <w:tcPr>
                        <w:tcW w:w="851"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color w:val="000000"/>
                            <w:szCs w:val="24"/>
                          </w:rPr>
                        </w:pPr>
                        <w:r>
                          <w:rPr>
                            <w:rFonts w:eastAsia="Calibri"/>
                            <w:szCs w:val="24"/>
                          </w:rPr>
                          <w:t xml:space="preserve">100 </w:t>
                        </w:r>
                        <w:r>
                          <w:rPr>
                            <w:rFonts w:eastAsia="Calibri"/>
                            <w:szCs w:val="24"/>
                            <w:lang w:val="en-US"/>
                          </w:rPr>
                          <w:t>%</w:t>
                        </w:r>
                      </w:p>
                    </w:tc>
                    <w:tc>
                      <w:tcPr>
                        <w:tcW w:w="992" w:type="dxa"/>
                      </w:tcPr>
                      <w:p>
                        <w:pPr>
                          <w:rPr>
                            <w:rFonts w:eastAsia="Calibri"/>
                            <w:szCs w:val="24"/>
                          </w:rPr>
                        </w:pPr>
                        <w:r>
                          <w:rPr>
                            <w:rFonts w:eastAsia="Calibri"/>
                            <w:szCs w:val="24"/>
                          </w:rPr>
                          <w:t>6,0</w:t>
                        </w:r>
                      </w:p>
                      <w:p>
                        <w:pPr>
                          <w:rPr>
                            <w:iCs/>
                            <w:szCs w:val="24"/>
                          </w:rPr>
                        </w:pPr>
                        <w:r>
                          <w:rPr>
                            <w:rFonts w:eastAsia="Calibri"/>
                            <w:szCs w:val="24"/>
                          </w:rPr>
                          <w:t>SB</w:t>
                        </w:r>
                      </w:p>
                    </w:tc>
                    <w:tc>
                      <w:tcPr>
                        <w:tcW w:w="993" w:type="dxa"/>
                      </w:tcPr>
                      <w:p>
                        <w:pPr>
                          <w:rPr>
                            <w:rFonts w:eastAsia="Calibri"/>
                            <w:szCs w:val="24"/>
                          </w:rPr>
                        </w:pPr>
                        <w:r>
                          <w:rPr>
                            <w:rFonts w:eastAsia="Calibri"/>
                            <w:szCs w:val="24"/>
                          </w:rPr>
                          <w:t>3,27</w:t>
                        </w:r>
                      </w:p>
                      <w:p>
                        <w:pPr>
                          <w:rPr>
                            <w:iCs/>
                            <w:szCs w:val="24"/>
                          </w:rPr>
                        </w:pPr>
                        <w:r>
                          <w:rPr>
                            <w:rFonts w:eastAsia="Calibri"/>
                            <w:szCs w:val="24"/>
                          </w:rPr>
                          <w:t>SB</w:t>
                        </w:r>
                      </w:p>
                    </w:tc>
                    <w:tc>
                      <w:tcPr>
                        <w:tcW w:w="5386" w:type="dxa"/>
                        <w:vMerge/>
                      </w:tcPr>
                      <w:p>
                        <w:pPr>
                          <w:rPr>
                            <w:color w:val="000000"/>
                            <w:szCs w:val="24"/>
                          </w:rPr>
                        </w:pPr>
                      </w:p>
                    </w:tc>
                  </w:tr>
                  <w:tr>
                    <w:trPr>
                      <w:trHeight w:val="365"/>
                    </w:trPr>
                    <w:tc>
                      <w:tcPr>
                        <w:tcW w:w="4253" w:type="dxa"/>
                      </w:tcPr>
                      <w:p>
                        <w:pPr>
                          <w:rPr>
                            <w:rFonts w:eastAsia="Calibri"/>
                            <w:szCs w:val="24"/>
                          </w:rPr>
                        </w:pPr>
                        <w:r>
                          <w:rPr>
                            <w:rFonts w:eastAsia="Calibri"/>
                            <w:szCs w:val="24"/>
                          </w:rPr>
                          <w:t>26.2.2.4. Šaukoto seniūnijos komunalinis ūkis, viešojo naudojimo teritorijų priežiūra, tvarkymas.</w:t>
                        </w:r>
                        <w:r>
                          <w:rPr>
                            <w:i/>
                            <w:szCs w:val="24"/>
                          </w:rPr>
                          <w:t xml:space="preserve"> </w:t>
                        </w:r>
                        <w:r>
                          <w:rPr>
                            <w:iCs/>
                            <w:szCs w:val="24"/>
                          </w:rPr>
                          <w:t>(SVP 6-1-5-07)</w:t>
                        </w:r>
                      </w:p>
                    </w:tc>
                    <w:tc>
                      <w:tcPr>
                        <w:tcW w:w="993"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iCs/>
                            <w:szCs w:val="24"/>
                          </w:rPr>
                        </w:pPr>
                        <w:r>
                          <w:rPr>
                            <w:rFonts w:eastAsia="Calibri"/>
                            <w:szCs w:val="24"/>
                          </w:rPr>
                          <w:t xml:space="preserve">100 </w:t>
                        </w:r>
                        <w:r>
                          <w:rPr>
                            <w:rFonts w:eastAsia="Calibri"/>
                            <w:szCs w:val="24"/>
                            <w:lang w:val="en-US"/>
                          </w:rPr>
                          <w:t>%</w:t>
                        </w:r>
                      </w:p>
                    </w:tc>
                    <w:tc>
                      <w:tcPr>
                        <w:tcW w:w="851" w:type="dxa"/>
                      </w:tcPr>
                      <w:p>
                        <w:pPr>
                          <w:rPr>
                            <w:color w:val="000000"/>
                            <w:szCs w:val="24"/>
                          </w:rPr>
                        </w:pPr>
                        <w:r>
                          <w:rPr>
                            <w:rFonts w:eastAsia="Calibri"/>
                            <w:szCs w:val="24"/>
                          </w:rPr>
                          <w:t xml:space="preserve">100 </w:t>
                        </w:r>
                        <w:r>
                          <w:rPr>
                            <w:rFonts w:eastAsia="Calibri"/>
                            <w:szCs w:val="24"/>
                            <w:lang w:val="en-US"/>
                          </w:rPr>
                          <w:t>%</w:t>
                        </w:r>
                      </w:p>
                    </w:tc>
                    <w:tc>
                      <w:tcPr>
                        <w:tcW w:w="850" w:type="dxa"/>
                      </w:tcPr>
                      <w:p>
                        <w:pPr>
                          <w:rPr>
                            <w:color w:val="000000"/>
                            <w:szCs w:val="24"/>
                          </w:rPr>
                        </w:pPr>
                        <w:r>
                          <w:rPr>
                            <w:rFonts w:eastAsia="Calibri"/>
                            <w:szCs w:val="24"/>
                          </w:rPr>
                          <w:t xml:space="preserve">100 </w:t>
                        </w:r>
                        <w:r>
                          <w:rPr>
                            <w:rFonts w:eastAsia="Calibri"/>
                            <w:szCs w:val="24"/>
                            <w:lang w:val="en-US"/>
                          </w:rPr>
                          <w:t>%</w:t>
                        </w:r>
                      </w:p>
                    </w:tc>
                    <w:tc>
                      <w:tcPr>
                        <w:tcW w:w="992" w:type="dxa"/>
                      </w:tcPr>
                      <w:p>
                        <w:pPr>
                          <w:rPr>
                            <w:rFonts w:eastAsia="Calibri"/>
                            <w:szCs w:val="24"/>
                          </w:rPr>
                        </w:pPr>
                        <w:r>
                          <w:rPr>
                            <w:rFonts w:eastAsia="Calibri"/>
                            <w:szCs w:val="24"/>
                          </w:rPr>
                          <w:t>46,2</w:t>
                        </w:r>
                      </w:p>
                      <w:p>
                        <w:pPr>
                          <w:rPr>
                            <w:iCs/>
                            <w:szCs w:val="24"/>
                          </w:rPr>
                        </w:pPr>
                        <w:r>
                          <w:rPr>
                            <w:rFonts w:eastAsia="Calibri"/>
                            <w:szCs w:val="24"/>
                          </w:rPr>
                          <w:t>SB</w:t>
                        </w:r>
                      </w:p>
                    </w:tc>
                    <w:tc>
                      <w:tcPr>
                        <w:tcW w:w="993" w:type="dxa"/>
                      </w:tcPr>
                      <w:p>
                        <w:pPr>
                          <w:rPr>
                            <w:rFonts w:eastAsia="Calibri"/>
                            <w:szCs w:val="24"/>
                          </w:rPr>
                        </w:pPr>
                        <w:r>
                          <w:rPr>
                            <w:rFonts w:eastAsia="Calibri"/>
                            <w:szCs w:val="24"/>
                          </w:rPr>
                          <w:t>29,83</w:t>
                        </w:r>
                      </w:p>
                      <w:p>
                        <w:pPr>
                          <w:rPr>
                            <w:iCs/>
                            <w:szCs w:val="24"/>
                          </w:rPr>
                        </w:pPr>
                        <w:r>
                          <w:rPr>
                            <w:rFonts w:eastAsia="Calibri"/>
                            <w:szCs w:val="24"/>
                          </w:rPr>
                          <w:t>SB</w:t>
                        </w:r>
                      </w:p>
                    </w:tc>
                    <w:tc>
                      <w:tcPr>
                        <w:tcW w:w="5386" w:type="dxa"/>
                        <w:vMerge/>
                      </w:tcPr>
                      <w:p>
                        <w:pPr>
                          <w:rPr>
                            <w:color w:val="000000"/>
                            <w:szCs w:val="24"/>
                          </w:rPr>
                        </w:pPr>
                      </w:p>
                    </w:tc>
                  </w:tr>
                  <w:tr>
                    <w:trPr>
                      <w:trHeight w:val="365"/>
                    </w:trPr>
                    <w:tc>
                      <w:tcPr>
                        <w:tcW w:w="4253" w:type="dxa"/>
                      </w:tcPr>
                      <w:p>
                        <w:pPr>
                          <w:rPr>
                            <w:bCs/>
                            <w:iCs/>
                            <w:szCs w:val="24"/>
                          </w:rPr>
                        </w:pPr>
                        <w:r>
                          <w:rPr>
                            <w:bCs/>
                            <w:iCs/>
                            <w:szCs w:val="24"/>
                          </w:rPr>
                          <w:t>27.2.1.1. Seniūnijos apskaitoje esančių objektų ir viešojo naudojimo teritorijų priežiūros ir tvarkymo veikla Šeduvos miesto seniūnijoje (SVP 6-1-5-08; 6-1-5-30)</w:t>
                        </w:r>
                      </w:p>
                    </w:tc>
                    <w:tc>
                      <w:tcPr>
                        <w:tcW w:w="993" w:type="dxa"/>
                      </w:tcPr>
                      <w:p>
                        <w:pPr>
                          <w:rPr>
                            <w:color w:val="000000"/>
                            <w:szCs w:val="24"/>
                          </w:rPr>
                        </w:pPr>
                        <w:r>
                          <w:rPr>
                            <w:bCs/>
                            <w:iCs/>
                            <w:szCs w:val="24"/>
                          </w:rPr>
                          <w:t>100 %</w:t>
                        </w:r>
                      </w:p>
                    </w:tc>
                    <w:tc>
                      <w:tcPr>
                        <w:tcW w:w="850" w:type="dxa"/>
                      </w:tcPr>
                      <w:p>
                        <w:pPr>
                          <w:rPr>
                            <w:iCs/>
                            <w:szCs w:val="24"/>
                          </w:rPr>
                        </w:pPr>
                        <w:r>
                          <w:rPr>
                            <w:bCs/>
                            <w:iCs/>
                            <w:szCs w:val="24"/>
                          </w:rPr>
                          <w:t>99</w:t>
                        </w:r>
                      </w:p>
                    </w:tc>
                    <w:tc>
                      <w:tcPr>
                        <w:tcW w:w="851" w:type="dxa"/>
                      </w:tcPr>
                      <w:p>
                        <w:pPr>
                          <w:rPr>
                            <w:color w:val="000000"/>
                            <w:szCs w:val="24"/>
                          </w:rPr>
                        </w:pPr>
                        <w:r>
                          <w:rPr>
                            <w:bCs/>
                            <w:iCs/>
                            <w:szCs w:val="24"/>
                          </w:rPr>
                          <w:t>131</w:t>
                        </w:r>
                      </w:p>
                    </w:tc>
                    <w:tc>
                      <w:tcPr>
                        <w:tcW w:w="850" w:type="dxa"/>
                      </w:tcPr>
                      <w:p>
                        <w:pPr>
                          <w:rPr>
                            <w:color w:val="000000"/>
                            <w:szCs w:val="24"/>
                          </w:rPr>
                        </w:pPr>
                        <w:r>
                          <w:rPr>
                            <w:bCs/>
                            <w:iCs/>
                            <w:szCs w:val="24"/>
                          </w:rPr>
                          <w:t>100</w:t>
                        </w:r>
                      </w:p>
                    </w:tc>
                    <w:tc>
                      <w:tcPr>
                        <w:tcW w:w="992" w:type="dxa"/>
                        <w:vMerge w:val="restart"/>
                      </w:tcPr>
                      <w:p>
                        <w:pPr>
                          <w:rPr>
                            <w:iCs/>
                            <w:szCs w:val="24"/>
                          </w:rPr>
                        </w:pPr>
                        <w:r>
                          <w:rPr>
                            <w:bCs/>
                            <w:iCs/>
                            <w:szCs w:val="24"/>
                          </w:rPr>
                          <w:t>178 SB</w:t>
                        </w:r>
                      </w:p>
                    </w:tc>
                    <w:tc>
                      <w:tcPr>
                        <w:tcW w:w="993" w:type="dxa"/>
                        <w:vMerge w:val="restart"/>
                      </w:tcPr>
                      <w:p>
                        <w:pPr>
                          <w:rPr>
                            <w:iCs/>
                            <w:szCs w:val="24"/>
                          </w:rPr>
                        </w:pPr>
                        <w:r>
                          <w:rPr>
                            <w:bCs/>
                            <w:iCs/>
                            <w:szCs w:val="24"/>
                          </w:rPr>
                          <w:t>178 SB</w:t>
                        </w:r>
                      </w:p>
                    </w:tc>
                    <w:tc>
                      <w:tcPr>
                        <w:tcW w:w="5386" w:type="dxa"/>
                      </w:tcPr>
                      <w:p>
                        <w:pPr>
                          <w:rPr>
                            <w:bCs/>
                            <w:iCs/>
                            <w:szCs w:val="24"/>
                          </w:rPr>
                        </w:pPr>
                        <w:r>
                          <w:rPr>
                            <w:bCs/>
                            <w:iCs/>
                            <w:szCs w:val="24"/>
                          </w:rPr>
                          <w:t>Buvo prižiūrimi 127 km žvyro dangos ir 37 km asfalto dangos keliai; surenkamos ir išvežamos šiukšlės iš viešųjų seniūnijos teritorijų ir kt. darbai.</w:t>
                        </w:r>
                      </w:p>
                      <w:p>
                        <w:pPr>
                          <w:rPr>
                            <w:color w:val="000000"/>
                            <w:szCs w:val="24"/>
                          </w:rPr>
                        </w:pPr>
                        <w:r>
                          <w:rPr>
                            <w:bCs/>
                            <w:iCs/>
                            <w:szCs w:val="24"/>
                          </w:rPr>
                          <w:t>(Šeduvos miesto seniūnija)</w:t>
                        </w:r>
                      </w:p>
                    </w:tc>
                  </w:tr>
                  <w:tr>
                    <w:trPr>
                      <w:trHeight w:val="365"/>
                    </w:trPr>
                    <w:tc>
                      <w:tcPr>
                        <w:tcW w:w="4253" w:type="dxa"/>
                      </w:tcPr>
                      <w:p>
                        <w:pPr>
                          <w:rPr>
                            <w:bCs/>
                            <w:iCs/>
                            <w:color w:val="000000"/>
                            <w:szCs w:val="24"/>
                          </w:rPr>
                        </w:pPr>
                        <w:r>
                          <w:rPr>
                            <w:bCs/>
                            <w:iCs/>
                            <w:color w:val="000000"/>
                            <w:szCs w:val="24"/>
                          </w:rPr>
                          <w:t xml:space="preserve">27.2.1.2 Gatvių apšvietimo atnaujinimas ir priežiūra </w:t>
                        </w:r>
                        <w:r>
                          <w:rPr>
                            <w:bCs/>
                            <w:iCs/>
                            <w:szCs w:val="24"/>
                          </w:rPr>
                          <w:t>(SVP 6-1-5-08; 6-1-5-30)</w:t>
                        </w:r>
                      </w:p>
                    </w:tc>
                    <w:tc>
                      <w:tcPr>
                        <w:tcW w:w="993" w:type="dxa"/>
                      </w:tcPr>
                      <w:p>
                        <w:pPr>
                          <w:rPr>
                            <w:color w:val="000000"/>
                            <w:szCs w:val="24"/>
                          </w:rPr>
                        </w:pPr>
                        <w:r>
                          <w:rPr>
                            <w:bCs/>
                            <w:iCs/>
                            <w:szCs w:val="24"/>
                          </w:rPr>
                          <w:t>1</w:t>
                        </w:r>
                      </w:p>
                    </w:tc>
                    <w:tc>
                      <w:tcPr>
                        <w:tcW w:w="850" w:type="dxa"/>
                      </w:tcPr>
                      <w:p>
                        <w:pPr>
                          <w:rPr>
                            <w:iCs/>
                            <w:szCs w:val="24"/>
                          </w:rPr>
                        </w:pPr>
                        <w:r>
                          <w:rPr>
                            <w:bCs/>
                            <w:iCs/>
                            <w:szCs w:val="24"/>
                          </w:rPr>
                          <w:t>-</w:t>
                        </w:r>
                      </w:p>
                    </w:tc>
                    <w:tc>
                      <w:tcPr>
                        <w:tcW w:w="851" w:type="dxa"/>
                      </w:tcPr>
                      <w:p>
                        <w:pPr>
                          <w:rPr>
                            <w:color w:val="000000"/>
                            <w:szCs w:val="24"/>
                          </w:rPr>
                        </w:pPr>
                        <w:r>
                          <w:rPr>
                            <w:bCs/>
                            <w:iCs/>
                            <w:szCs w:val="24"/>
                          </w:rPr>
                          <w:t>-</w:t>
                        </w:r>
                      </w:p>
                    </w:tc>
                    <w:tc>
                      <w:tcPr>
                        <w:tcW w:w="850" w:type="dxa"/>
                      </w:tcPr>
                      <w:p>
                        <w:pPr>
                          <w:rPr>
                            <w:color w:val="000000"/>
                            <w:szCs w:val="24"/>
                          </w:rPr>
                        </w:pPr>
                        <w:r>
                          <w:rPr>
                            <w:bCs/>
                            <w:iCs/>
                            <w:szCs w:val="24"/>
                          </w:rPr>
                          <w:t>1</w:t>
                        </w:r>
                      </w:p>
                    </w:tc>
                    <w:tc>
                      <w:tcPr>
                        <w:tcW w:w="992" w:type="dxa"/>
                        <w:vMerge/>
                      </w:tcPr>
                      <w:p>
                        <w:pPr>
                          <w:rPr>
                            <w:iCs/>
                            <w:szCs w:val="24"/>
                          </w:rPr>
                        </w:pPr>
                      </w:p>
                    </w:tc>
                    <w:tc>
                      <w:tcPr>
                        <w:tcW w:w="993" w:type="dxa"/>
                        <w:vMerge/>
                      </w:tcPr>
                      <w:p>
                        <w:pPr>
                          <w:rPr>
                            <w:iCs/>
                            <w:szCs w:val="24"/>
                          </w:rPr>
                        </w:pPr>
                      </w:p>
                    </w:tc>
                    <w:tc>
                      <w:tcPr>
                        <w:tcW w:w="5386" w:type="dxa"/>
                      </w:tcPr>
                      <w:p>
                        <w:pPr>
                          <w:rPr>
                            <w:bCs/>
                            <w:iCs/>
                            <w:szCs w:val="24"/>
                          </w:rPr>
                        </w:pPr>
                        <w:r>
                          <w:rPr>
                            <w:bCs/>
                            <w:iCs/>
                            <w:szCs w:val="24"/>
                          </w:rPr>
                          <w:t>Buvo įrengtas apšvietimas Užuožerių k.</w:t>
                        </w:r>
                      </w:p>
                      <w:p>
                        <w:pPr>
                          <w:rPr>
                            <w:color w:val="000000"/>
                            <w:szCs w:val="24"/>
                          </w:rPr>
                        </w:pPr>
                        <w:r>
                          <w:rPr>
                            <w:bCs/>
                            <w:iCs/>
                            <w:szCs w:val="24"/>
                          </w:rPr>
                          <w:t>(Šeduvos miesto seniūnija)</w:t>
                        </w:r>
                      </w:p>
                    </w:tc>
                  </w:tr>
                  <w:tr>
                    <w:trPr>
                      <w:trHeight w:val="365"/>
                    </w:trPr>
                    <w:tc>
                      <w:tcPr>
                        <w:tcW w:w="4253" w:type="dxa"/>
                      </w:tcPr>
                      <w:p>
                        <w:pPr>
                          <w:rPr>
                            <w:bCs/>
                            <w:iCs/>
                            <w:color w:val="000000"/>
                            <w:szCs w:val="24"/>
                          </w:rPr>
                        </w:pPr>
                        <w:r>
                          <w:rPr>
                            <w:bCs/>
                            <w:iCs/>
                            <w:color w:val="000000"/>
                            <w:szCs w:val="24"/>
                          </w:rPr>
                          <w:t>27.2.1.3. Papildomi darbai</w:t>
                        </w:r>
                      </w:p>
                      <w:p>
                        <w:pPr>
                          <w:rPr>
                            <w:bCs/>
                            <w:iCs/>
                            <w:color w:val="000000"/>
                            <w:szCs w:val="24"/>
                          </w:rPr>
                        </w:pPr>
                        <w:r>
                          <w:rPr>
                            <w:bCs/>
                            <w:iCs/>
                            <w:szCs w:val="24"/>
                          </w:rPr>
                          <w:t>(SVP 6-1-5-08; 6-1-5-30)</w:t>
                        </w:r>
                      </w:p>
                      <w:p>
                        <w:pPr>
                          <w:rPr>
                            <w:bCs/>
                            <w:iCs/>
                            <w:szCs w:val="24"/>
                            <w:highlight w:val="yellow"/>
                          </w:rPr>
                        </w:pPr>
                      </w:p>
                    </w:tc>
                    <w:tc>
                      <w:tcPr>
                        <w:tcW w:w="993" w:type="dxa"/>
                      </w:tcPr>
                      <w:p>
                        <w:pPr>
                          <w:rPr>
                            <w:bCs/>
                            <w:iCs/>
                            <w:szCs w:val="24"/>
                          </w:rPr>
                        </w:pPr>
                        <w:r>
                          <w:rPr>
                            <w:bCs/>
                            <w:iCs/>
                            <w:szCs w:val="24"/>
                          </w:rPr>
                          <w:t>9</w:t>
                        </w:r>
                      </w:p>
                      <w:p>
                        <w:pPr>
                          <w:rPr>
                            <w:color w:val="000000"/>
                            <w:szCs w:val="24"/>
                          </w:rPr>
                        </w:pPr>
                      </w:p>
                    </w:tc>
                    <w:tc>
                      <w:tcPr>
                        <w:tcW w:w="850" w:type="dxa"/>
                      </w:tcPr>
                      <w:p>
                        <w:pPr>
                          <w:rPr>
                            <w:iCs/>
                            <w:szCs w:val="24"/>
                          </w:rPr>
                        </w:pPr>
                        <w:r>
                          <w:rPr>
                            <w:iCs/>
                            <w:szCs w:val="24"/>
                          </w:rPr>
                          <w:t>-</w:t>
                        </w:r>
                      </w:p>
                    </w:tc>
                    <w:tc>
                      <w:tcPr>
                        <w:tcW w:w="851" w:type="dxa"/>
                      </w:tcPr>
                      <w:p>
                        <w:pPr>
                          <w:rPr>
                            <w:color w:val="000000"/>
                            <w:szCs w:val="24"/>
                          </w:rPr>
                        </w:pPr>
                        <w:r>
                          <w:rPr>
                            <w:color w:val="000000"/>
                            <w:szCs w:val="24"/>
                          </w:rPr>
                          <w:t>-</w:t>
                        </w:r>
                      </w:p>
                    </w:tc>
                    <w:tc>
                      <w:tcPr>
                        <w:tcW w:w="850" w:type="dxa"/>
                      </w:tcPr>
                      <w:p>
                        <w:pPr>
                          <w:rPr>
                            <w:bCs/>
                            <w:iCs/>
                            <w:szCs w:val="24"/>
                          </w:rPr>
                        </w:pPr>
                        <w:r>
                          <w:rPr>
                            <w:bCs/>
                            <w:iCs/>
                            <w:szCs w:val="24"/>
                          </w:rPr>
                          <w:t>8</w:t>
                        </w:r>
                      </w:p>
                      <w:p>
                        <w:pPr>
                          <w:rPr>
                            <w:color w:val="000000"/>
                            <w:szCs w:val="24"/>
                          </w:rPr>
                        </w:pPr>
                      </w:p>
                    </w:tc>
                    <w:tc>
                      <w:tcPr>
                        <w:tcW w:w="992" w:type="dxa"/>
                        <w:vMerge/>
                      </w:tcPr>
                      <w:p>
                        <w:pPr>
                          <w:rPr>
                            <w:iCs/>
                            <w:szCs w:val="24"/>
                          </w:rPr>
                        </w:pPr>
                      </w:p>
                    </w:tc>
                    <w:tc>
                      <w:tcPr>
                        <w:tcW w:w="993" w:type="dxa"/>
                        <w:vMerge/>
                      </w:tcPr>
                      <w:p>
                        <w:pPr>
                          <w:rPr>
                            <w:iCs/>
                            <w:szCs w:val="24"/>
                          </w:rPr>
                        </w:pPr>
                      </w:p>
                    </w:tc>
                    <w:tc>
                      <w:tcPr>
                        <w:tcW w:w="5386" w:type="dxa"/>
                      </w:tcPr>
                      <w:p>
                        <w:pPr>
                          <w:rPr>
                            <w:bCs/>
                            <w:iCs/>
                            <w:color w:val="000000"/>
                            <w:szCs w:val="24"/>
                          </w:rPr>
                        </w:pPr>
                        <w:r>
                          <w:rPr>
                            <w:bCs/>
                            <w:iCs/>
                            <w:color w:val="000000"/>
                            <w:szCs w:val="24"/>
                          </w:rPr>
                          <w:t xml:space="preserve">1. Žaidimų aikštelės Šeduvos miesto parke rekonstrukcija; 2. Parko estrados (Sodų g. 5 A, Šeduva) grindų remontas;3. Persiengimo kabinos (2 vnt.) prie Prastavonių maudyklos; 4. Seniūnijos pastato pirmojo aukšto grindų ir laiptų remontas; 5. Trimerių įsigijimas (2 vnt.); 6. Smėlis Arimaičių ežero paplūdimiui ir Prastavonių maudyklai; 7 . Skelbimo lentos seniūnijos teritorijoje; 8. Suoliukai ir šiukšlių dėžės seniūnijos teritorijoje; neatlikta vienas iš planuotų darbų – nenugriautas  mūrinis sandėlis, esantis Panevėžio g. 3A, Šeduva. </w:t>
                        </w:r>
                        <w:r>
                          <w:rPr>
                            <w:bCs/>
                            <w:iCs/>
                            <w:szCs w:val="24"/>
                          </w:rPr>
                          <w:t>Buvo nupirktas biotualetas neįgaliesiems (prie miesto kapinių) (Šeduvos miesto seniūnija).</w:t>
                        </w:r>
                      </w:p>
                    </w:tc>
                  </w:tr>
                  <w:tr>
                    <w:trPr>
                      <w:trHeight w:val="365"/>
                    </w:trPr>
                    <w:tc>
                      <w:tcPr>
                        <w:tcW w:w="4253" w:type="dxa"/>
                      </w:tcPr>
                      <w:p>
                        <w:pPr>
                          <w:rPr>
                            <w:bCs/>
                            <w:i/>
                            <w:iCs/>
                            <w:szCs w:val="24"/>
                          </w:rPr>
                        </w:pPr>
                        <w:r>
                          <w:rPr>
                            <w:bCs/>
                            <w:iCs/>
                            <w:szCs w:val="24"/>
                          </w:rPr>
                          <w:t xml:space="preserve">28.2.1.1. Seniūnijos apskaitoje esančių objektų ir viešojo naudojimo teritorijų priežiūros ir tvarkymo užtikrinimas. </w:t>
                        </w:r>
                        <w:r>
                          <w:rPr>
                            <w:bCs/>
                            <w:i/>
                            <w:iCs/>
                            <w:szCs w:val="24"/>
                          </w:rPr>
                          <w:t>Priemonių, užtikrinančių bendrojo naudojimo teritorijų ir objektų priežiūrą ir tvarkymą skaičius.</w:t>
                        </w:r>
                      </w:p>
                      <w:p>
                        <w:pPr>
                          <w:rPr>
                            <w:i/>
                            <w:szCs w:val="24"/>
                          </w:rPr>
                        </w:pPr>
                        <w:r>
                          <w:rPr>
                            <w:i/>
                            <w:szCs w:val="24"/>
                          </w:rPr>
                          <w:t>(SVP 6-1-5-09; 6-1-5-30)</w:t>
                        </w:r>
                      </w:p>
                      <w:p>
                        <w:pPr>
                          <w:rPr>
                            <w:bCs/>
                            <w:iCs/>
                            <w:szCs w:val="24"/>
                            <w:highlight w:val="yellow"/>
                          </w:rPr>
                        </w:pPr>
                      </w:p>
                    </w:tc>
                    <w:tc>
                      <w:tcPr>
                        <w:tcW w:w="993" w:type="dxa"/>
                      </w:tcPr>
                      <w:p>
                        <w:pPr>
                          <w:rPr>
                            <w:color w:val="000000"/>
                            <w:szCs w:val="24"/>
                          </w:rPr>
                        </w:pPr>
                        <w:r>
                          <w:rPr>
                            <w:rFonts w:eastAsia="Calibri"/>
                            <w:szCs w:val="24"/>
                            <w:lang w:val="en-US"/>
                          </w:rPr>
                          <w:t>7</w:t>
                        </w:r>
                      </w:p>
                    </w:tc>
                    <w:tc>
                      <w:tcPr>
                        <w:tcW w:w="850" w:type="dxa"/>
                      </w:tcPr>
                      <w:p>
                        <w:pPr>
                          <w:rPr>
                            <w:iCs/>
                            <w:szCs w:val="24"/>
                          </w:rPr>
                        </w:pPr>
                        <w:r>
                          <w:rPr>
                            <w:rFonts w:eastAsia="Calibri"/>
                            <w:szCs w:val="24"/>
                          </w:rPr>
                          <w:t>7</w:t>
                        </w:r>
                      </w:p>
                    </w:tc>
                    <w:tc>
                      <w:tcPr>
                        <w:tcW w:w="851" w:type="dxa"/>
                      </w:tcPr>
                      <w:p>
                        <w:pPr>
                          <w:rPr>
                            <w:color w:val="000000"/>
                            <w:szCs w:val="24"/>
                          </w:rPr>
                        </w:pPr>
                        <w:r>
                          <w:rPr>
                            <w:rFonts w:eastAsia="Calibri"/>
                            <w:szCs w:val="24"/>
                          </w:rPr>
                          <w:t>7</w:t>
                        </w:r>
                      </w:p>
                    </w:tc>
                    <w:tc>
                      <w:tcPr>
                        <w:tcW w:w="850" w:type="dxa"/>
                      </w:tcPr>
                      <w:p>
                        <w:pPr>
                          <w:rPr>
                            <w:color w:val="000000"/>
                            <w:szCs w:val="24"/>
                          </w:rPr>
                        </w:pPr>
                        <w:r>
                          <w:rPr>
                            <w:rFonts w:eastAsia="Calibri"/>
                            <w:szCs w:val="24"/>
                          </w:rPr>
                          <w:t>7</w:t>
                        </w:r>
                      </w:p>
                    </w:tc>
                    <w:tc>
                      <w:tcPr>
                        <w:tcW w:w="992" w:type="dxa"/>
                        <w:vMerge w:val="restart"/>
                      </w:tcPr>
                      <w:p>
                        <w:pPr>
                          <w:rPr>
                            <w:szCs w:val="24"/>
                          </w:rPr>
                        </w:pPr>
                        <w:r>
                          <w:rPr>
                            <w:szCs w:val="24"/>
                          </w:rPr>
                          <w:t xml:space="preserve">84,1 </w:t>
                        </w:r>
                      </w:p>
                      <w:p>
                        <w:pPr>
                          <w:rPr>
                            <w:color w:val="808080"/>
                            <w:szCs w:val="24"/>
                          </w:rPr>
                        </w:pPr>
                        <w:r>
                          <w:rPr>
                            <w:szCs w:val="24"/>
                          </w:rPr>
                          <w:t>SB</w:t>
                        </w:r>
                      </w:p>
                      <w:p>
                        <w:pPr>
                          <w:rPr>
                            <w:color w:val="808080"/>
                            <w:szCs w:val="24"/>
                          </w:rPr>
                        </w:pPr>
                      </w:p>
                      <w:p>
                        <w:pPr>
                          <w:rPr>
                            <w:iCs/>
                            <w:szCs w:val="24"/>
                          </w:rPr>
                        </w:pPr>
                      </w:p>
                    </w:tc>
                    <w:tc>
                      <w:tcPr>
                        <w:tcW w:w="993" w:type="dxa"/>
                        <w:vMerge w:val="restart"/>
                      </w:tcPr>
                      <w:p>
                        <w:pPr>
                          <w:rPr>
                            <w:szCs w:val="24"/>
                          </w:rPr>
                        </w:pPr>
                        <w:r>
                          <w:rPr>
                            <w:szCs w:val="24"/>
                          </w:rPr>
                          <w:t xml:space="preserve">84,1 </w:t>
                        </w:r>
                      </w:p>
                      <w:p>
                        <w:pPr>
                          <w:rPr>
                            <w:color w:val="808080"/>
                            <w:szCs w:val="24"/>
                          </w:rPr>
                        </w:pPr>
                        <w:r>
                          <w:rPr>
                            <w:szCs w:val="24"/>
                          </w:rPr>
                          <w:t xml:space="preserve">SB </w:t>
                        </w:r>
                      </w:p>
                      <w:p>
                        <w:pPr>
                          <w:rPr>
                            <w:color w:val="808080"/>
                            <w:szCs w:val="24"/>
                          </w:rPr>
                        </w:pPr>
                      </w:p>
                      <w:p>
                        <w:pPr>
                          <w:rPr>
                            <w:color w:val="808080"/>
                            <w:szCs w:val="24"/>
                          </w:rPr>
                        </w:pPr>
                      </w:p>
                      <w:p>
                        <w:pPr>
                          <w:rPr>
                            <w:iCs/>
                            <w:szCs w:val="24"/>
                          </w:rPr>
                        </w:pPr>
                      </w:p>
                    </w:tc>
                    <w:tc>
                      <w:tcPr>
                        <w:tcW w:w="5386" w:type="dxa"/>
                      </w:tcPr>
                      <w:p>
                        <w:pPr>
                          <w:rPr>
                            <w:bCs/>
                            <w:szCs w:val="24"/>
                          </w:rPr>
                        </w:pPr>
                        <w:r>
                          <w:rPr>
                            <w:bCs/>
                            <w:szCs w:val="24"/>
                          </w:rPr>
                          <w:t xml:space="preserve">Prižiūrima 12 neveikiančių kapinių. Nuolatos prižiūrimos Šiaulėnų mstl., Žydų, Sidarių ir Aušrėnų kapinės. Prižiūrėtos Šiaulėnų miestelio tvenkinio ir Baublės  tvenkinių aplinka, įrengta vaikų žaidimo erdvė Šiaulėnų mstl. Vl. Tiškaus g. Taip pat nuolat prižiūrimas Kudinų piliakalnis. </w:t>
                        </w:r>
                        <w:r>
                          <w:rPr>
                            <w:szCs w:val="24"/>
                          </w:rPr>
                          <w:t>Šiaulėnų seniūnijos suremontuotas kultūros namų ir bibliotekos pastato stogas.</w:t>
                        </w:r>
                        <w:r>
                          <w:rPr>
                            <w:bCs/>
                            <w:szCs w:val="24"/>
                          </w:rPr>
                          <w:t xml:space="preserve"> </w:t>
                        </w:r>
                        <w:r>
                          <w:rPr>
                            <w:szCs w:val="24"/>
                          </w:rPr>
                          <w:t>Šiaulėnų seniūnija įsigijo naują trimerį (ilgalaikis turtas ).</w:t>
                        </w:r>
                        <w:r>
                          <w:rPr>
                            <w:bCs/>
                            <w:szCs w:val="24"/>
                          </w:rPr>
                          <w:t xml:space="preserve"> </w:t>
                        </w:r>
                        <w:r>
                          <w:rPr>
                            <w:szCs w:val="24"/>
                          </w:rPr>
                          <w:t>Prie Šiaulėnų mst., Vl. Tiškaus g. 2 įrengta vaikų žaidimo aikštelė. Šiaulėnų seniūnija Žeimių bendruomenės pastate, Mokyklos g. 2 atnaujinta šildymo sistema ir pakeistas naujas šildymo katilas. Acokavų k. pakeisti seni gatvės apšvietimo šviestuvai. Šaulėnų mstl. įrengtas naujas apšvietimas Tytuvėnų g. ir Dvaro g. atkarpa. Įsigyta 5 vnt. naujų šiukšliadėžių. Atnaujinti Kudinų piliakalnio laiptai. Atnaujintas Nepriklausomybės paminklas.(Šiaulėnų seniūnija)</w:t>
                        </w:r>
                      </w:p>
                    </w:tc>
                  </w:tr>
                  <w:tr>
                    <w:trPr>
                      <w:trHeight w:val="365"/>
                    </w:trPr>
                    <w:tc>
                      <w:tcPr>
                        <w:tcW w:w="4253" w:type="dxa"/>
                      </w:tcPr>
                      <w:p>
                        <w:pPr>
                          <w:rPr>
                            <w:rFonts w:eastAsia="Calibri"/>
                            <w:szCs w:val="24"/>
                          </w:rPr>
                        </w:pPr>
                        <w:r>
                          <w:rPr>
                            <w:rFonts w:eastAsia="Calibri"/>
                            <w:szCs w:val="24"/>
                          </w:rPr>
                          <w:t xml:space="preserve">28.2.1.2. Gatvių apšvietimo priežiūra ir atnaujinimas. </w:t>
                        </w:r>
                        <w:r>
                          <w:rPr>
                            <w:rFonts w:eastAsia="Calibri"/>
                            <w:i/>
                            <w:szCs w:val="24"/>
                          </w:rPr>
                          <w:t xml:space="preserve">Gyvenviečių skaičius, kuriose naujai įrengtas arba atnaujintas gatvių apšvietimas </w:t>
                        </w:r>
                        <w:r>
                          <w:rPr>
                            <w:iCs/>
                            <w:szCs w:val="24"/>
                          </w:rPr>
                          <w:t xml:space="preserve">(SVP </w:t>
                        </w:r>
                        <w:r>
                          <w:rPr>
                            <w:rFonts w:eastAsia="Calibri"/>
                            <w:iCs/>
                            <w:szCs w:val="24"/>
                          </w:rPr>
                          <w:t>6-1-5-30</w:t>
                        </w:r>
                        <w:r>
                          <w:rPr>
                            <w:iCs/>
                            <w:szCs w:val="24"/>
                          </w:rPr>
                          <w:t>)</w:t>
                        </w:r>
                      </w:p>
                    </w:tc>
                    <w:tc>
                      <w:tcPr>
                        <w:tcW w:w="993" w:type="dxa"/>
                      </w:tcPr>
                      <w:p>
                        <w:pPr>
                          <w:rPr>
                            <w:color w:val="000000"/>
                            <w:szCs w:val="24"/>
                          </w:rPr>
                        </w:pPr>
                        <w:r>
                          <w:rPr>
                            <w:szCs w:val="24"/>
                          </w:rPr>
                          <w:t>2</w:t>
                        </w:r>
                      </w:p>
                    </w:tc>
                    <w:tc>
                      <w:tcPr>
                        <w:tcW w:w="850" w:type="dxa"/>
                      </w:tcPr>
                      <w:p>
                        <w:pPr>
                          <w:rPr>
                            <w:iCs/>
                            <w:szCs w:val="24"/>
                          </w:rPr>
                        </w:pPr>
                        <w:r>
                          <w:rPr>
                            <w:szCs w:val="24"/>
                          </w:rPr>
                          <w:t>2</w:t>
                        </w:r>
                      </w:p>
                    </w:tc>
                    <w:tc>
                      <w:tcPr>
                        <w:tcW w:w="851" w:type="dxa"/>
                      </w:tcPr>
                      <w:p>
                        <w:pPr>
                          <w:rPr>
                            <w:color w:val="000000"/>
                            <w:szCs w:val="24"/>
                          </w:rPr>
                        </w:pPr>
                        <w:r>
                          <w:rPr>
                            <w:szCs w:val="24"/>
                          </w:rPr>
                          <w:t>2</w:t>
                        </w:r>
                      </w:p>
                    </w:tc>
                    <w:tc>
                      <w:tcPr>
                        <w:tcW w:w="850" w:type="dxa"/>
                      </w:tcPr>
                      <w:p>
                        <w:pPr>
                          <w:rPr>
                            <w:color w:val="000000"/>
                            <w:szCs w:val="24"/>
                          </w:rPr>
                        </w:pPr>
                        <w:r>
                          <w:rPr>
                            <w:szCs w:val="24"/>
                          </w:rPr>
                          <w:t>2</w:t>
                        </w:r>
                      </w:p>
                    </w:tc>
                    <w:tc>
                      <w:tcPr>
                        <w:tcW w:w="992" w:type="dxa"/>
                        <w:vMerge/>
                      </w:tcPr>
                      <w:p>
                        <w:pPr>
                          <w:rPr>
                            <w:iCs/>
                            <w:szCs w:val="24"/>
                          </w:rPr>
                        </w:pPr>
                      </w:p>
                    </w:tc>
                    <w:tc>
                      <w:tcPr>
                        <w:tcW w:w="993" w:type="dxa"/>
                        <w:vMerge/>
                      </w:tcPr>
                      <w:p>
                        <w:pPr>
                          <w:rPr>
                            <w:iCs/>
                            <w:szCs w:val="24"/>
                          </w:rPr>
                        </w:pPr>
                      </w:p>
                    </w:tc>
                    <w:tc>
                      <w:tcPr>
                        <w:tcW w:w="5386" w:type="dxa"/>
                      </w:tcPr>
                      <w:p>
                        <w:pPr>
                          <w:rPr>
                            <w:szCs w:val="24"/>
                          </w:rPr>
                        </w:pPr>
                        <w:r>
                          <w:rPr>
                            <w:szCs w:val="24"/>
                          </w:rPr>
                          <w:t xml:space="preserve">Šiaulėnų miestelyje  Tytuvėnų g. ir Dvaro g. įrengtos naujos apšvietimo atkarpos. </w:t>
                        </w:r>
                      </w:p>
                      <w:p>
                        <w:pPr>
                          <w:rPr>
                            <w:szCs w:val="24"/>
                          </w:rPr>
                        </w:pPr>
                      </w:p>
                      <w:p>
                        <w:pPr>
                          <w:rPr>
                            <w:szCs w:val="24"/>
                          </w:rPr>
                        </w:pPr>
                        <w:r>
                          <w:rPr>
                            <w:szCs w:val="24"/>
                          </w:rPr>
                          <w:t>(Šiaulėnų seniūnija)</w:t>
                        </w:r>
                      </w:p>
                    </w:tc>
                  </w:tr>
                  <w:tr>
                    <w:trPr>
                      <w:trHeight w:val="1137"/>
                    </w:trPr>
                    <w:tc>
                      <w:tcPr>
                        <w:tcW w:w="4253" w:type="dxa"/>
                      </w:tcPr>
                      <w:p>
                        <w:pPr>
                          <w:rPr>
                            <w:rFonts w:eastAsia="Calibri"/>
                            <w:color w:val="000000"/>
                            <w:szCs w:val="24"/>
                          </w:rPr>
                        </w:pPr>
                        <w:r>
                          <w:rPr>
                            <w:rFonts w:eastAsia="Calibri"/>
                            <w:color w:val="000000"/>
                            <w:szCs w:val="24"/>
                          </w:rPr>
                          <w:t>28.2.1.3. Atliekų tvarkymas viešojo naudojimo teritorijose, kapinių priežiūra.</w:t>
                        </w:r>
                      </w:p>
                      <w:p>
                        <w:pPr>
                          <w:rPr>
                            <w:rFonts w:eastAsia="Calibri"/>
                            <w:i/>
                            <w:color w:val="000000"/>
                            <w:szCs w:val="24"/>
                          </w:rPr>
                        </w:pPr>
                        <w:r>
                          <w:rPr>
                            <w:rFonts w:eastAsia="Calibri"/>
                            <w:iCs/>
                            <w:color w:val="000000"/>
                            <w:szCs w:val="24"/>
                          </w:rPr>
                          <w:t>Naujai įrengtų atliekų konteinerių skaičius</w:t>
                        </w:r>
                        <w:r>
                          <w:rPr>
                            <w:rFonts w:eastAsia="Calibri"/>
                            <w:i/>
                            <w:color w:val="000000"/>
                            <w:szCs w:val="24"/>
                          </w:rPr>
                          <w:t xml:space="preserve"> </w:t>
                        </w:r>
                        <w:r>
                          <w:rPr>
                            <w:iCs/>
                            <w:color w:val="000000"/>
                            <w:szCs w:val="24"/>
                          </w:rPr>
                          <w:t xml:space="preserve">(SVP </w:t>
                        </w:r>
                        <w:r>
                          <w:rPr>
                            <w:rFonts w:eastAsia="Calibri"/>
                            <w:szCs w:val="24"/>
                          </w:rPr>
                          <w:t>6-1-5-30</w:t>
                        </w:r>
                        <w:r>
                          <w:rPr>
                            <w:iCs/>
                            <w:color w:val="000000"/>
                            <w:szCs w:val="24"/>
                          </w:rPr>
                          <w:t>)</w:t>
                        </w:r>
                      </w:p>
                    </w:tc>
                    <w:tc>
                      <w:tcPr>
                        <w:tcW w:w="993" w:type="dxa"/>
                      </w:tcPr>
                      <w:p>
                        <w:pPr>
                          <w:rPr>
                            <w:rFonts w:eastAsia="Calibri"/>
                            <w:szCs w:val="24"/>
                          </w:rPr>
                        </w:pPr>
                        <w:r>
                          <w:rPr>
                            <w:rFonts w:eastAsia="Calibri"/>
                            <w:szCs w:val="24"/>
                          </w:rPr>
                          <w:t>1</w:t>
                        </w:r>
                      </w:p>
                      <w:p>
                        <w:pPr>
                          <w:rPr>
                            <w:color w:val="000000"/>
                            <w:szCs w:val="24"/>
                          </w:rPr>
                        </w:pPr>
                      </w:p>
                    </w:tc>
                    <w:tc>
                      <w:tcPr>
                        <w:tcW w:w="850" w:type="dxa"/>
                      </w:tcPr>
                      <w:p>
                        <w:pPr>
                          <w:rPr>
                            <w:rFonts w:eastAsia="Calibri"/>
                            <w:szCs w:val="24"/>
                          </w:rPr>
                        </w:pPr>
                        <w:r>
                          <w:rPr>
                            <w:rFonts w:eastAsia="Calibri"/>
                            <w:szCs w:val="24"/>
                          </w:rPr>
                          <w:t>1</w:t>
                        </w:r>
                      </w:p>
                      <w:p>
                        <w:pPr>
                          <w:rPr>
                            <w:iCs/>
                            <w:szCs w:val="24"/>
                          </w:rPr>
                        </w:pPr>
                      </w:p>
                    </w:tc>
                    <w:tc>
                      <w:tcPr>
                        <w:tcW w:w="851" w:type="dxa"/>
                      </w:tcPr>
                      <w:p>
                        <w:pPr>
                          <w:rPr>
                            <w:rFonts w:eastAsia="Calibri"/>
                            <w:szCs w:val="24"/>
                          </w:rPr>
                        </w:pPr>
                        <w:r>
                          <w:rPr>
                            <w:rFonts w:eastAsia="Calibri"/>
                            <w:szCs w:val="24"/>
                          </w:rPr>
                          <w:t>1</w:t>
                        </w:r>
                      </w:p>
                      <w:p>
                        <w:pPr>
                          <w:rPr>
                            <w:color w:val="000000"/>
                            <w:szCs w:val="24"/>
                          </w:rPr>
                        </w:pPr>
                      </w:p>
                    </w:tc>
                    <w:tc>
                      <w:tcPr>
                        <w:tcW w:w="850" w:type="dxa"/>
                      </w:tcPr>
                      <w:p>
                        <w:pPr>
                          <w:rPr>
                            <w:rFonts w:eastAsia="Calibri"/>
                            <w:szCs w:val="24"/>
                          </w:rPr>
                        </w:pPr>
                        <w:r>
                          <w:rPr>
                            <w:rFonts w:eastAsia="Calibri"/>
                            <w:szCs w:val="24"/>
                          </w:rPr>
                          <w:t>1</w:t>
                        </w:r>
                      </w:p>
                      <w:p>
                        <w:pPr>
                          <w:rPr>
                            <w:color w:val="000000"/>
                            <w:szCs w:val="24"/>
                          </w:rPr>
                        </w:pPr>
                      </w:p>
                    </w:tc>
                    <w:tc>
                      <w:tcPr>
                        <w:tcW w:w="992" w:type="dxa"/>
                      </w:tcPr>
                      <w:p>
                        <w:pPr>
                          <w:rPr>
                            <w:iCs/>
                            <w:szCs w:val="24"/>
                          </w:rPr>
                        </w:pPr>
                      </w:p>
                    </w:tc>
                    <w:tc>
                      <w:tcPr>
                        <w:tcW w:w="993" w:type="dxa"/>
                      </w:tcPr>
                      <w:p>
                        <w:pPr>
                          <w:rPr>
                            <w:iCs/>
                            <w:szCs w:val="24"/>
                          </w:rPr>
                        </w:pPr>
                      </w:p>
                    </w:tc>
                    <w:tc>
                      <w:tcPr>
                        <w:tcW w:w="5386" w:type="dxa"/>
                      </w:tcPr>
                      <w:p>
                        <w:pPr>
                          <w:rPr>
                            <w:rFonts w:eastAsia="Calibri"/>
                            <w:szCs w:val="24"/>
                          </w:rPr>
                        </w:pPr>
                        <w:r>
                          <w:rPr>
                            <w:rFonts w:eastAsia="Calibri"/>
                            <w:szCs w:val="24"/>
                          </w:rPr>
                          <w:t xml:space="preserve">Švarios ir tvarkingos aplinkos užtikrinimas prie Šiaulėnų  miestelio, Sidarių ir Aušrėnų kapinėse. Taip pat Draugystės g. Dvaro g. ir B. Buračo g konteinerių ir biotualetų priežiūra </w:t>
                        </w:r>
                        <w:r>
                          <w:rPr>
                            <w:szCs w:val="24"/>
                          </w:rPr>
                          <w:t>(Šiaulėnų seniūnija)</w:t>
                        </w:r>
                      </w:p>
                    </w:tc>
                  </w:tr>
                  <w:tr>
                    <w:trPr>
                      <w:trHeight w:val="365"/>
                    </w:trPr>
                    <w:tc>
                      <w:tcPr>
                        <w:tcW w:w="4253" w:type="dxa"/>
                      </w:tcPr>
                      <w:p>
                        <w:pPr>
                          <w:rPr>
                            <w:szCs w:val="24"/>
                          </w:rPr>
                        </w:pPr>
                        <w:r>
                          <w:rPr>
                            <w:rFonts w:eastAsia="Calibri"/>
                            <w:szCs w:val="24"/>
                          </w:rPr>
                          <w:t>29.2.2.1.</w:t>
                        </w:r>
                        <w:r>
                          <w:rPr>
                            <w:rFonts w:eastAsia="Calibri"/>
                            <w:color w:val="A6A6A6"/>
                            <w:szCs w:val="24"/>
                          </w:rPr>
                          <w:t xml:space="preserve"> </w:t>
                        </w:r>
                        <w:r>
                          <w:rPr>
                            <w:color w:val="000000"/>
                            <w:szCs w:val="24"/>
                          </w:rPr>
                          <w:t xml:space="preserve"> Seniūnijos viešųjų erdvių sutvarkymas. </w:t>
                        </w:r>
                        <w:r>
                          <w:rPr>
                            <w:i/>
                            <w:color w:val="000000"/>
                            <w:szCs w:val="24"/>
                          </w:rPr>
                          <w:t xml:space="preserve">Numatytų darbų atlikimas procentais </w:t>
                        </w:r>
                        <w:r>
                          <w:rPr>
                            <w:rFonts w:eastAsia="Calibri"/>
                            <w:szCs w:val="24"/>
                          </w:rPr>
                          <w:t>(SVP 6-1-5-30)</w:t>
                        </w:r>
                      </w:p>
                    </w:tc>
                    <w:tc>
                      <w:tcPr>
                        <w:tcW w:w="993" w:type="dxa"/>
                      </w:tcPr>
                      <w:p>
                        <w:pPr>
                          <w:rPr>
                            <w:color w:val="000000"/>
                            <w:szCs w:val="24"/>
                          </w:rPr>
                        </w:pPr>
                        <w:r>
                          <w:rPr>
                            <w:rFonts w:eastAsia="Calibri"/>
                            <w:szCs w:val="24"/>
                          </w:rPr>
                          <w:t>100%</w:t>
                        </w:r>
                      </w:p>
                    </w:tc>
                    <w:tc>
                      <w:tcPr>
                        <w:tcW w:w="850" w:type="dxa"/>
                      </w:tcPr>
                      <w:p>
                        <w:pPr>
                          <w:rPr>
                            <w:iCs/>
                            <w:szCs w:val="24"/>
                          </w:rPr>
                        </w:pPr>
                        <w:r>
                          <w:rPr>
                            <w:rFonts w:eastAsia="Calibri"/>
                            <w:szCs w:val="24"/>
                          </w:rPr>
                          <w:t>100%</w:t>
                        </w:r>
                      </w:p>
                    </w:tc>
                    <w:tc>
                      <w:tcPr>
                        <w:tcW w:w="851" w:type="dxa"/>
                      </w:tcPr>
                      <w:p>
                        <w:pPr>
                          <w:rPr>
                            <w:color w:val="000000"/>
                            <w:szCs w:val="24"/>
                          </w:rPr>
                        </w:pPr>
                        <w:r>
                          <w:rPr>
                            <w:rFonts w:eastAsia="Calibri"/>
                            <w:szCs w:val="24"/>
                          </w:rPr>
                          <w:t>100%</w:t>
                        </w:r>
                      </w:p>
                    </w:tc>
                    <w:tc>
                      <w:tcPr>
                        <w:tcW w:w="850" w:type="dxa"/>
                      </w:tcPr>
                      <w:p>
                        <w:pPr>
                          <w:rPr>
                            <w:color w:val="000000"/>
                            <w:szCs w:val="24"/>
                          </w:rPr>
                        </w:pPr>
                        <w:r>
                          <w:rPr>
                            <w:rFonts w:eastAsia="Calibri"/>
                            <w:szCs w:val="24"/>
                          </w:rPr>
                          <w:t>100%</w:t>
                        </w:r>
                      </w:p>
                    </w:tc>
                    <w:tc>
                      <w:tcPr>
                        <w:tcW w:w="992" w:type="dxa"/>
                      </w:tcPr>
                      <w:p>
                        <w:pPr>
                          <w:rPr>
                            <w:iCs/>
                            <w:szCs w:val="24"/>
                          </w:rPr>
                        </w:pPr>
                        <w:r>
                          <w:rPr>
                            <w:szCs w:val="24"/>
                            <w:lang w:eastAsia="lt-LT"/>
                          </w:rPr>
                          <w:t>30,0 SB</w:t>
                        </w:r>
                      </w:p>
                    </w:tc>
                    <w:tc>
                      <w:tcPr>
                        <w:tcW w:w="993" w:type="dxa"/>
                      </w:tcPr>
                      <w:p>
                        <w:pPr>
                          <w:textAlignment w:val="baseline"/>
                          <w:rPr>
                            <w:szCs w:val="24"/>
                            <w:lang w:eastAsia="lt-LT"/>
                          </w:rPr>
                        </w:pPr>
                        <w:r>
                          <w:rPr>
                            <w:szCs w:val="24"/>
                            <w:lang w:eastAsia="lt-LT"/>
                          </w:rPr>
                          <w:t>30,0 SB</w:t>
                        </w:r>
                      </w:p>
                      <w:p>
                        <w:pPr>
                          <w:rPr>
                            <w:iCs/>
                            <w:szCs w:val="24"/>
                          </w:rPr>
                        </w:pPr>
                      </w:p>
                    </w:tc>
                    <w:tc>
                      <w:tcPr>
                        <w:tcW w:w="5386" w:type="dxa"/>
                      </w:tcPr>
                      <w:p>
                        <w:pPr>
                          <w:textAlignment w:val="baseline"/>
                          <w:rPr>
                            <w:rFonts w:eastAsia="Calibri"/>
                            <w:szCs w:val="24"/>
                          </w:rPr>
                        </w:pPr>
                        <w:r>
                          <w:rPr>
                            <w:rFonts w:eastAsia="Calibri"/>
                            <w:szCs w:val="24"/>
                          </w:rPr>
                          <w:t xml:space="preserve">Privažiavimo prie Tyrulių kapinių asfalto dangos atnaujinimas. Tyrulių kultūros namų patalpų remontas. Vejos traktoriuko įsigyjimas. Šiluminės trasos nereikalingos dalies atjungimas. </w:t>
                        </w:r>
                        <w:r>
                          <w:rPr>
                            <w:rFonts w:eastAsia="Calibri"/>
                            <w:szCs w:val="24"/>
                            <w:lang w:eastAsia="lt-LT"/>
                          </w:rPr>
                          <w:t>(Tyrulių seniūnija)</w:t>
                        </w:r>
                      </w:p>
                    </w:tc>
                  </w:tr>
                  <w:tr>
                    <w:trPr>
                      <w:trHeight w:val="365"/>
                    </w:trPr>
                    <w:tc>
                      <w:tcPr>
                        <w:tcW w:w="4253" w:type="dxa"/>
                        <w:tcBorders>
                          <w:top w:val="single" w:sz="4" w:space="0" w:color="auto"/>
                          <w:left w:val="single" w:sz="4" w:space="0" w:color="auto"/>
                          <w:bottom w:val="single" w:sz="4" w:space="0" w:color="auto"/>
                          <w:right w:val="single" w:sz="4" w:space="0" w:color="auto"/>
                        </w:tcBorders>
                      </w:tcPr>
                      <w:p>
                        <w:pPr>
                          <w:rPr>
                            <w:bCs/>
                            <w:iCs/>
                            <w:szCs w:val="24"/>
                            <w:highlight w:val="yellow"/>
                          </w:rPr>
                        </w:pPr>
                        <w:r>
                          <w:rPr>
                            <w:rFonts w:eastAsia="Calibri"/>
                            <w:szCs w:val="24"/>
                          </w:rPr>
                          <w:t>29.2.2.2. Tyrulių seniūnijos atliekų tvarkymas, viešojo naudojimo teritorijų priežiūra. (SVP 6-1-5-30)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Cs w:val="24"/>
                          </w:rPr>
                        </w:pPr>
                        <w:r>
                          <w:rPr>
                            <w:rFonts w:eastAsia="Calibri"/>
                            <w:szCs w:val="24"/>
                          </w:rPr>
                          <w:t>100%</w:t>
                        </w:r>
                      </w:p>
                    </w:tc>
                    <w:tc>
                      <w:tcPr>
                        <w:tcW w:w="850" w:type="dxa"/>
                        <w:tcBorders>
                          <w:top w:val="single" w:sz="4" w:space="0" w:color="auto"/>
                          <w:left w:val="single" w:sz="4" w:space="0" w:color="auto"/>
                          <w:bottom w:val="single" w:sz="4" w:space="0" w:color="auto"/>
                          <w:right w:val="single" w:sz="4" w:space="0" w:color="auto"/>
                        </w:tcBorders>
                      </w:tcPr>
                      <w:p>
                        <w:pPr>
                          <w:rPr>
                            <w:iCs/>
                            <w:szCs w:val="24"/>
                          </w:rPr>
                        </w:pPr>
                        <w:r>
                          <w:rPr>
                            <w:rFonts w:eastAsia="Calibri"/>
                            <w:szCs w:val="24"/>
                          </w:rPr>
                          <w:t>100%</w:t>
                        </w:r>
                      </w:p>
                    </w:tc>
                    <w:tc>
                      <w:tcPr>
                        <w:tcW w:w="851"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100%</w:t>
                        </w:r>
                      </w:p>
                    </w:tc>
                    <w:tc>
                      <w:tcPr>
                        <w:tcW w:w="850"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pPr>
                          <w:rPr>
                            <w:iCs/>
                            <w:szCs w:val="24"/>
                          </w:rPr>
                        </w:pPr>
                        <w:r>
                          <w:rPr>
                            <w:szCs w:val="24"/>
                            <w:lang w:eastAsia="lt-LT"/>
                          </w:rPr>
                          <w:t>3,7 SB</w:t>
                        </w:r>
                      </w:p>
                    </w:tc>
                    <w:tc>
                      <w:tcPr>
                        <w:tcW w:w="993" w:type="dxa"/>
                        <w:tcBorders>
                          <w:top w:val="single" w:sz="4" w:space="0" w:color="auto"/>
                          <w:left w:val="single" w:sz="4" w:space="0" w:color="auto"/>
                          <w:bottom w:val="single" w:sz="4" w:space="0" w:color="auto"/>
                          <w:right w:val="single" w:sz="4" w:space="0" w:color="auto"/>
                        </w:tcBorders>
                      </w:tcPr>
                      <w:p>
                        <w:pPr>
                          <w:rPr>
                            <w:iCs/>
                            <w:szCs w:val="24"/>
                          </w:rPr>
                        </w:pPr>
                        <w:r>
                          <w:rPr>
                            <w:szCs w:val="24"/>
                            <w:lang w:eastAsia="lt-LT"/>
                          </w:rPr>
                          <w:t>3,7 SB</w:t>
                        </w:r>
                      </w:p>
                    </w:tc>
                    <w:tc>
                      <w:tcPr>
                        <w:tcW w:w="5386" w:type="dxa"/>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Pasirūpinta seniūnijos teritorijų priežiūra, šiukšlių surinkimu ir išvežimu.</w:t>
                        </w:r>
                      </w:p>
                      <w:p>
                        <w:pPr>
                          <w:rPr>
                            <w:color w:val="000000"/>
                            <w:szCs w:val="24"/>
                          </w:rPr>
                        </w:pPr>
                        <w:r>
                          <w:rPr>
                            <w:rFonts w:eastAsia="Calibri"/>
                            <w:szCs w:val="24"/>
                            <w:lang w:eastAsia="lt-LT"/>
                          </w:rPr>
                          <w:t>(Tyrulių seniūnija)</w:t>
                        </w:r>
                      </w:p>
                    </w:tc>
                  </w:tr>
                  <w:tr>
                    <w:trPr>
                      <w:trHeight w:val="365"/>
                    </w:trPr>
                    <w:tc>
                      <w:tcPr>
                        <w:tcW w:w="4253" w:type="dxa"/>
                        <w:tcBorders>
                          <w:top w:val="single" w:sz="4" w:space="0" w:color="auto"/>
                          <w:left w:val="single" w:sz="4" w:space="0" w:color="auto"/>
                          <w:bottom w:val="single" w:sz="4" w:space="0" w:color="auto"/>
                          <w:right w:val="single" w:sz="4" w:space="0" w:color="auto"/>
                        </w:tcBorders>
                      </w:tcPr>
                      <w:p>
                        <w:pPr>
                          <w:rPr>
                            <w:iCs/>
                            <w:color w:val="000000"/>
                            <w:szCs w:val="24"/>
                          </w:rPr>
                        </w:pPr>
                        <w:r>
                          <w:rPr>
                            <w:color w:val="000000"/>
                            <w:szCs w:val="24"/>
                          </w:rPr>
                          <w:t xml:space="preserve">29.2.2.3. Gatvių apšvietimo priežiūra ir atnaujinimas. </w:t>
                        </w:r>
                        <w:r>
                          <w:rPr>
                            <w:iCs/>
                            <w:color w:val="000000"/>
                            <w:szCs w:val="24"/>
                          </w:rPr>
                          <w:t>Gyvenviečių, kuriose atnaujintas gatvių apšvietimas, skaičius,</w:t>
                        </w:r>
                      </w:p>
                      <w:p>
                        <w:pPr>
                          <w:rPr>
                            <w:bCs/>
                            <w:iCs/>
                            <w:szCs w:val="24"/>
                            <w:highlight w:val="yellow"/>
                          </w:rPr>
                        </w:pPr>
                        <w:r>
                          <w:rPr>
                            <w:rFonts w:eastAsia="Calibri"/>
                            <w:iCs/>
                            <w:szCs w:val="24"/>
                          </w:rPr>
                          <w:t>(SVP 6-1-5-12; 6-1-5-30)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Cs w:val="24"/>
                          </w:rPr>
                        </w:pPr>
                        <w:r>
                          <w:rPr>
                            <w:rFonts w:eastAsia="Calibri"/>
                            <w:szCs w:val="24"/>
                          </w:rPr>
                          <w:t>2</w:t>
                        </w:r>
                      </w:p>
                    </w:tc>
                    <w:tc>
                      <w:tcPr>
                        <w:tcW w:w="850" w:type="dxa"/>
                        <w:tcBorders>
                          <w:top w:val="single" w:sz="4" w:space="0" w:color="auto"/>
                          <w:left w:val="single" w:sz="4" w:space="0" w:color="auto"/>
                          <w:bottom w:val="single" w:sz="4" w:space="0" w:color="auto"/>
                          <w:right w:val="single" w:sz="4" w:space="0" w:color="auto"/>
                        </w:tcBorders>
                      </w:tcPr>
                      <w:p>
                        <w:pPr>
                          <w:rPr>
                            <w:iCs/>
                            <w:szCs w:val="24"/>
                          </w:rPr>
                        </w:pPr>
                        <w:r>
                          <w:rPr>
                            <w:rFonts w:eastAsia="Calibri"/>
                            <w:szCs w:val="24"/>
                          </w:rPr>
                          <w:t>2</w:t>
                        </w:r>
                      </w:p>
                    </w:tc>
                    <w:tc>
                      <w:tcPr>
                        <w:tcW w:w="851"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2</w:t>
                        </w:r>
                      </w:p>
                    </w:tc>
                    <w:tc>
                      <w:tcPr>
                        <w:tcW w:w="850"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0</w:t>
                        </w:r>
                      </w:p>
                    </w:tc>
                    <w:tc>
                      <w:tcPr>
                        <w:tcW w:w="992" w:type="dxa"/>
                        <w:tcBorders>
                          <w:top w:val="single" w:sz="4" w:space="0" w:color="auto"/>
                          <w:left w:val="single" w:sz="4" w:space="0" w:color="auto"/>
                          <w:bottom w:val="single" w:sz="4" w:space="0" w:color="auto"/>
                          <w:right w:val="single" w:sz="4" w:space="0" w:color="auto"/>
                        </w:tcBorders>
                      </w:tcPr>
                      <w:p>
                        <w:pPr>
                          <w:rPr>
                            <w:iCs/>
                            <w:szCs w:val="24"/>
                          </w:rPr>
                        </w:pPr>
                        <w:r>
                          <w:rPr>
                            <w:szCs w:val="24"/>
                            <w:lang w:eastAsia="lt-LT"/>
                          </w:rPr>
                          <w:t>2,5 SB</w:t>
                        </w:r>
                      </w:p>
                    </w:tc>
                    <w:tc>
                      <w:tcPr>
                        <w:tcW w:w="993" w:type="dxa"/>
                        <w:tcBorders>
                          <w:top w:val="single" w:sz="4" w:space="0" w:color="auto"/>
                          <w:left w:val="single" w:sz="4" w:space="0" w:color="auto"/>
                          <w:bottom w:val="single" w:sz="4" w:space="0" w:color="auto"/>
                          <w:right w:val="single" w:sz="4" w:space="0" w:color="auto"/>
                        </w:tcBorders>
                      </w:tcPr>
                      <w:p>
                        <w:pPr>
                          <w:rPr>
                            <w:iCs/>
                            <w:szCs w:val="24"/>
                          </w:rPr>
                        </w:pPr>
                        <w:r>
                          <w:rPr>
                            <w:szCs w:val="24"/>
                            <w:lang w:eastAsia="lt-LT"/>
                          </w:rPr>
                          <w:t>1,8 SB</w:t>
                        </w:r>
                      </w:p>
                    </w:tc>
                    <w:tc>
                      <w:tcPr>
                        <w:tcW w:w="5386" w:type="dxa"/>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Vykdoma Tyrulių mstl., Polekėlės k. ir Jonaitiškių k. gatvių apšvietimo priežiūra</w:t>
                        </w:r>
                      </w:p>
                      <w:p>
                        <w:pPr>
                          <w:rPr>
                            <w:color w:val="000000"/>
                            <w:szCs w:val="24"/>
                          </w:rPr>
                        </w:pPr>
                        <w:r>
                          <w:rPr>
                            <w:rFonts w:eastAsia="Calibri"/>
                            <w:szCs w:val="24"/>
                            <w:lang w:eastAsia="lt-LT"/>
                          </w:rPr>
                          <w:t>(Tyrulių seniūnija)</w:t>
                        </w:r>
                      </w:p>
                    </w:tc>
                  </w:tr>
                  <w:tr>
                    <w:trPr>
                      <w:trHeight w:val="365"/>
                    </w:trPr>
                    <w:tc>
                      <w:tcPr>
                        <w:tcW w:w="4253" w:type="dxa"/>
                        <w:tcBorders>
                          <w:top w:val="single" w:sz="4" w:space="0" w:color="auto"/>
                          <w:left w:val="single" w:sz="4" w:space="0" w:color="auto"/>
                          <w:bottom w:val="single" w:sz="4" w:space="0" w:color="auto"/>
                          <w:right w:val="single" w:sz="4" w:space="0" w:color="auto"/>
                        </w:tcBorders>
                      </w:tcPr>
                      <w:p>
                        <w:pPr>
                          <w:rPr>
                            <w:i/>
                            <w:color w:val="000000"/>
                            <w:szCs w:val="24"/>
                          </w:rPr>
                        </w:pPr>
                        <w:r>
                          <w:rPr>
                            <w:szCs w:val="24"/>
                          </w:rPr>
                          <w:t xml:space="preserve">29.2.2.4. </w:t>
                        </w:r>
                        <w:r>
                          <w:rPr>
                            <w:color w:val="000000"/>
                            <w:szCs w:val="24"/>
                          </w:rPr>
                          <w:t xml:space="preserve">Tęstinė viešojo naudojimo teritorijų priežiūros ir tvarkymo veikla Tyrulių seniūnijoje. </w:t>
                        </w:r>
                        <w:r>
                          <w:rPr>
                            <w:i/>
                            <w:color w:val="000000"/>
                            <w:szCs w:val="24"/>
                          </w:rPr>
                          <w:t>Teritorijų tvarkymo darbų atlikimas procentais.</w:t>
                        </w:r>
                      </w:p>
                      <w:p>
                        <w:pPr>
                          <w:rPr>
                            <w:bCs/>
                            <w:iCs/>
                            <w:szCs w:val="24"/>
                            <w:highlight w:val="yellow"/>
                          </w:rPr>
                        </w:pPr>
                        <w:r>
                          <w:rPr>
                            <w:rFonts w:eastAsia="Calibri"/>
                            <w:szCs w:val="24"/>
                          </w:rPr>
                          <w:t>(SVP 6-1-5-12; 6-1-5-30)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Cs w:val="24"/>
                          </w:rPr>
                        </w:pPr>
                        <w:r>
                          <w:rPr>
                            <w:rFonts w:eastAsia="Calibri"/>
                            <w:szCs w:val="24"/>
                          </w:rPr>
                          <w:t>100%</w:t>
                        </w:r>
                      </w:p>
                    </w:tc>
                    <w:tc>
                      <w:tcPr>
                        <w:tcW w:w="850" w:type="dxa"/>
                        <w:tcBorders>
                          <w:top w:val="single" w:sz="4" w:space="0" w:color="auto"/>
                          <w:left w:val="single" w:sz="4" w:space="0" w:color="auto"/>
                          <w:bottom w:val="single" w:sz="4" w:space="0" w:color="auto"/>
                          <w:right w:val="single" w:sz="4" w:space="0" w:color="auto"/>
                        </w:tcBorders>
                      </w:tcPr>
                      <w:p>
                        <w:pPr>
                          <w:rPr>
                            <w:iCs/>
                            <w:szCs w:val="24"/>
                          </w:rPr>
                        </w:pPr>
                        <w:r>
                          <w:rPr>
                            <w:rFonts w:eastAsia="Calibri"/>
                            <w:szCs w:val="24"/>
                          </w:rPr>
                          <w:t>100%</w:t>
                        </w:r>
                      </w:p>
                    </w:tc>
                    <w:tc>
                      <w:tcPr>
                        <w:tcW w:w="851"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100%</w:t>
                        </w:r>
                      </w:p>
                    </w:tc>
                    <w:tc>
                      <w:tcPr>
                        <w:tcW w:w="850" w:type="dxa"/>
                        <w:tcBorders>
                          <w:top w:val="single" w:sz="4" w:space="0" w:color="auto"/>
                          <w:left w:val="single" w:sz="4" w:space="0" w:color="auto"/>
                          <w:bottom w:val="single" w:sz="4" w:space="0" w:color="auto"/>
                          <w:right w:val="single" w:sz="4" w:space="0" w:color="auto"/>
                        </w:tcBorders>
                      </w:tcPr>
                      <w:p>
                        <w:pPr>
                          <w:rPr>
                            <w:color w:val="000000"/>
                            <w:szCs w:val="24"/>
                          </w:rPr>
                        </w:pPr>
                        <w:r>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pPr>
                          <w:rPr>
                            <w:iCs/>
                            <w:szCs w:val="24"/>
                          </w:rPr>
                        </w:pPr>
                        <w:r>
                          <w:rPr>
                            <w:szCs w:val="24"/>
                            <w:lang w:eastAsia="lt-LT"/>
                          </w:rPr>
                          <w:t>33,0 SB</w:t>
                        </w:r>
                      </w:p>
                    </w:tc>
                    <w:tc>
                      <w:tcPr>
                        <w:tcW w:w="993" w:type="dxa"/>
                        <w:tcBorders>
                          <w:top w:val="single" w:sz="4" w:space="0" w:color="auto"/>
                          <w:left w:val="single" w:sz="4" w:space="0" w:color="auto"/>
                          <w:bottom w:val="single" w:sz="4" w:space="0" w:color="auto"/>
                          <w:right w:val="single" w:sz="4" w:space="0" w:color="auto"/>
                        </w:tcBorders>
                      </w:tcPr>
                      <w:p>
                        <w:pPr>
                          <w:rPr>
                            <w:iCs/>
                            <w:szCs w:val="24"/>
                          </w:rPr>
                        </w:pPr>
                        <w:r>
                          <w:rPr>
                            <w:szCs w:val="24"/>
                            <w:lang w:eastAsia="lt-LT"/>
                          </w:rPr>
                          <w:t>26,7 SB</w:t>
                        </w:r>
                      </w:p>
                    </w:tc>
                    <w:tc>
                      <w:tcPr>
                        <w:tcW w:w="5386" w:type="dxa"/>
                        <w:tcBorders>
                          <w:top w:val="single" w:sz="4" w:space="0" w:color="auto"/>
                          <w:left w:val="single" w:sz="4" w:space="0" w:color="auto"/>
                          <w:bottom w:val="single" w:sz="4" w:space="0" w:color="auto"/>
                          <w:right w:val="single" w:sz="4" w:space="0" w:color="auto"/>
                        </w:tcBorders>
                      </w:tcPr>
                      <w:p>
                        <w:pPr>
                          <w:textAlignment w:val="baseline"/>
                          <w:rPr>
                            <w:rFonts w:eastAsia="Calibri"/>
                            <w:szCs w:val="24"/>
                          </w:rPr>
                        </w:pPr>
                        <w:r>
                          <w:rPr>
                            <w:rFonts w:eastAsia="Calibri"/>
                            <w:szCs w:val="24"/>
                          </w:rPr>
                          <w:t xml:space="preserve">Pasirūpinta savalaikiu atliekų išvežimu iš poilsio ir kapinių teritorijos. Pėsčiųjų takų priežiūra. Viešųjų erdvių priežiūra. </w:t>
                        </w:r>
                        <w:r>
                          <w:rPr>
                            <w:rFonts w:eastAsia="Calibri"/>
                            <w:szCs w:val="24"/>
                            <w:lang w:eastAsia="lt-LT"/>
                          </w:rPr>
                          <w:t>(Tyrulių seniūnija)</w:t>
                        </w:r>
                      </w:p>
                    </w:tc>
                  </w:tr>
                  <w:tr>
                    <w:trPr>
                      <w:trHeight w:val="365"/>
                    </w:trPr>
                    <w:tc>
                      <w:tcPr>
                        <w:tcW w:w="15168" w:type="dxa"/>
                        <w:gridSpan w:val="8"/>
                      </w:tcPr>
                      <w:p>
                        <w:pPr>
                          <w:rPr>
                            <w:color w:val="000000"/>
                            <w:szCs w:val="24"/>
                          </w:rPr>
                        </w:pPr>
                        <w:r>
                          <w:rPr>
                            <w:color w:val="000000"/>
                            <w:szCs w:val="24"/>
                          </w:rPr>
                          <w:t>1.6. Uždavinys: Užtikrinti viešąją tvarką ir viešąjį saugumą.</w:t>
                        </w:r>
                      </w:p>
                    </w:tc>
                  </w:tr>
                  <w:tr>
                    <w:trPr>
                      <w:trHeight w:val="571"/>
                    </w:trPr>
                    <w:tc>
                      <w:tcPr>
                        <w:tcW w:w="4253" w:type="dxa"/>
                      </w:tcPr>
                      <w:p>
                        <w:pPr>
                          <w:rPr>
                            <w:szCs w:val="24"/>
                          </w:rPr>
                        </w:pPr>
                        <w:r>
                          <w:rPr>
                            <w:szCs w:val="24"/>
                          </w:rPr>
                          <w:t>10.2.3.1. Tęstinė pagalbos skambučio palaikymo veikla. Pagalbos skambučio paslaugos suteikimas gyventojams. (SVP 6-1-6-02)</w:t>
                        </w:r>
                      </w:p>
                    </w:tc>
                    <w:tc>
                      <w:tcPr>
                        <w:tcW w:w="993" w:type="dxa"/>
                      </w:tcPr>
                      <w:p>
                        <w:pPr>
                          <w:rPr>
                            <w:szCs w:val="24"/>
                          </w:rPr>
                        </w:pPr>
                        <w:r>
                          <w:rPr>
                            <w:szCs w:val="24"/>
                          </w:rPr>
                          <w:t>25 gyventojai</w:t>
                        </w:r>
                      </w:p>
                    </w:tc>
                    <w:tc>
                      <w:tcPr>
                        <w:tcW w:w="850" w:type="dxa"/>
                      </w:tcPr>
                      <w:p>
                        <w:pPr>
                          <w:rPr>
                            <w:szCs w:val="24"/>
                          </w:rPr>
                        </w:pPr>
                        <w:r>
                          <w:rPr>
                            <w:szCs w:val="24"/>
                          </w:rPr>
                          <w:t>31</w:t>
                        </w:r>
                      </w:p>
                    </w:tc>
                    <w:tc>
                      <w:tcPr>
                        <w:tcW w:w="851" w:type="dxa"/>
                      </w:tcPr>
                      <w:p>
                        <w:pPr>
                          <w:rPr>
                            <w:szCs w:val="24"/>
                          </w:rPr>
                        </w:pPr>
                        <w:r>
                          <w:rPr>
                            <w:szCs w:val="24"/>
                          </w:rPr>
                          <w:t>28</w:t>
                        </w:r>
                      </w:p>
                    </w:tc>
                    <w:tc>
                      <w:tcPr>
                        <w:tcW w:w="850" w:type="dxa"/>
                      </w:tcPr>
                      <w:p>
                        <w:pPr>
                          <w:rPr>
                            <w:szCs w:val="24"/>
                          </w:rPr>
                        </w:pPr>
                        <w:r>
                          <w:rPr>
                            <w:szCs w:val="24"/>
                          </w:rPr>
                          <w:t>25</w:t>
                        </w:r>
                      </w:p>
                    </w:tc>
                    <w:tc>
                      <w:tcPr>
                        <w:tcW w:w="992" w:type="dxa"/>
                      </w:tcPr>
                      <w:p>
                        <w:pPr>
                          <w:rPr>
                            <w:szCs w:val="24"/>
                          </w:rPr>
                        </w:pPr>
                        <w:r>
                          <w:rPr>
                            <w:szCs w:val="24"/>
                          </w:rPr>
                          <w:t>4 SB</w:t>
                        </w:r>
                      </w:p>
                    </w:tc>
                    <w:tc>
                      <w:tcPr>
                        <w:tcW w:w="993" w:type="dxa"/>
                      </w:tcPr>
                      <w:p>
                        <w:pPr>
                          <w:rPr>
                            <w:szCs w:val="24"/>
                          </w:rPr>
                        </w:pPr>
                        <w:r>
                          <w:rPr>
                            <w:szCs w:val="24"/>
                          </w:rPr>
                          <w:t>2,7 SB</w:t>
                        </w:r>
                      </w:p>
                    </w:tc>
                    <w:tc>
                      <w:tcPr>
                        <w:tcW w:w="5386" w:type="dxa"/>
                      </w:tcPr>
                      <w:p>
                        <w:pPr>
                          <w:rPr>
                            <w:szCs w:val="24"/>
                          </w:rPr>
                        </w:pPr>
                        <w:r>
                          <w:rPr>
                            <w:szCs w:val="24"/>
                          </w:rPr>
                          <w:t>(Statybos ir viešosios tvarkos skyrius)</w:t>
                        </w:r>
                      </w:p>
                    </w:tc>
                  </w:tr>
                  <w:tr>
                    <w:trPr>
                      <w:trHeight w:val="571"/>
                    </w:trPr>
                    <w:tc>
                      <w:tcPr>
                        <w:tcW w:w="4253" w:type="dxa"/>
                      </w:tcPr>
                      <w:p>
                        <w:pPr>
                          <w:rPr>
                            <w:szCs w:val="24"/>
                          </w:rPr>
                        </w:pPr>
                        <w:r>
                          <w:rPr>
                            <w:szCs w:val="24"/>
                          </w:rPr>
                          <w:t>10.2.3.2. Tęstinė viešosios tvarkos palaikymo veikla Radviliškio rajone. Radviliškio mieste įdiegtų vaizdo stebėjimo sistemos funkcionavimas. Informacijos apie vaizdo kameromis užfiksuotų viešosios tvarkos pažeidimų perdavimas tyrimui. (SVP 6-1-6-06)</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tcPr>
                      <w:p>
                        <w:pPr>
                          <w:rPr>
                            <w:szCs w:val="24"/>
                          </w:rPr>
                        </w:pPr>
                        <w:r>
                          <w:rPr>
                            <w:szCs w:val="24"/>
                          </w:rPr>
                          <w:t>82 SB</w:t>
                        </w:r>
                      </w:p>
                    </w:tc>
                    <w:tc>
                      <w:tcPr>
                        <w:tcW w:w="993" w:type="dxa"/>
                      </w:tcPr>
                      <w:p>
                        <w:pPr>
                          <w:rPr>
                            <w:szCs w:val="24"/>
                          </w:rPr>
                        </w:pPr>
                        <w:r>
                          <w:rPr>
                            <w:szCs w:val="24"/>
                          </w:rPr>
                          <w:t>70.1 SB</w:t>
                        </w:r>
                      </w:p>
                    </w:tc>
                    <w:tc>
                      <w:tcPr>
                        <w:tcW w:w="5386" w:type="dxa"/>
                      </w:tcPr>
                      <w:p>
                        <w:pPr>
                          <w:rPr>
                            <w:szCs w:val="24"/>
                          </w:rPr>
                        </w:pPr>
                        <w:r>
                          <w:rPr>
                            <w:szCs w:val="24"/>
                          </w:rPr>
                          <w:t xml:space="preserve">Vaizdo kameromis užfiksuoti 570 viešosios tvarkos pažeidimai. </w:t>
                        </w:r>
                      </w:p>
                      <w:p>
                        <w:pPr>
                          <w:rPr>
                            <w:szCs w:val="24"/>
                          </w:rPr>
                        </w:pPr>
                      </w:p>
                      <w:p>
                        <w:pPr>
                          <w:rPr>
                            <w:szCs w:val="24"/>
                          </w:rPr>
                        </w:pPr>
                        <w:r>
                          <w:rPr>
                            <w:szCs w:val="24"/>
                          </w:rPr>
                          <w:t>(Statybos ir viešosios tvarkos skyrius)</w:t>
                        </w:r>
                      </w:p>
                    </w:tc>
                  </w:tr>
                  <w:tr>
                    <w:trPr>
                      <w:trHeight w:val="571"/>
                    </w:trPr>
                    <w:tc>
                      <w:tcPr>
                        <w:tcW w:w="4253" w:type="dxa"/>
                      </w:tcPr>
                      <w:p>
                        <w:pPr>
                          <w:rPr>
                            <w:szCs w:val="24"/>
                          </w:rPr>
                        </w:pPr>
                        <w:r>
                          <w:rPr>
                            <w:szCs w:val="24"/>
                          </w:rPr>
                          <w:t>10.2.3.3. Tęstinė situacijų ir įvykių, išskyrus ekstremalių, keliamų ar sukeltų pavojų gyventojų gyvybei ar sveikatai, jų socialinėms sąlygoms, turtui ir aplinkai stabdymo (šalinimo) veikla. Situacijų ir įvykių, pagal gautus pranešimus, šalinimas. (SVP 6-1-6-07)</w:t>
                        </w:r>
                      </w:p>
                    </w:tc>
                    <w:tc>
                      <w:tcPr>
                        <w:tcW w:w="993" w:type="dxa"/>
                      </w:tcPr>
                      <w:p>
                        <w:pPr>
                          <w:rPr>
                            <w:szCs w:val="24"/>
                          </w:rPr>
                        </w:pPr>
                        <w:r>
                          <w:rPr>
                            <w:szCs w:val="24"/>
                          </w:rPr>
                          <w:t>100</w:t>
                        </w:r>
                        <w:r>
                          <w:rPr>
                            <w:szCs w:val="24"/>
                            <w:lang w:val="en-US"/>
                          </w:rPr>
                          <w:t>%</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tcPr>
                      <w:p>
                        <w:pPr>
                          <w:rPr>
                            <w:szCs w:val="24"/>
                          </w:rPr>
                        </w:pPr>
                        <w:r>
                          <w:rPr>
                            <w:szCs w:val="24"/>
                          </w:rPr>
                          <w:t>20 SB</w:t>
                        </w:r>
                      </w:p>
                    </w:tc>
                    <w:tc>
                      <w:tcPr>
                        <w:tcW w:w="993" w:type="dxa"/>
                      </w:tcPr>
                      <w:p>
                        <w:pPr>
                          <w:rPr>
                            <w:szCs w:val="24"/>
                          </w:rPr>
                        </w:pPr>
                        <w:r>
                          <w:rPr>
                            <w:szCs w:val="24"/>
                          </w:rPr>
                          <w:t>20 SB</w:t>
                        </w:r>
                      </w:p>
                    </w:tc>
                    <w:tc>
                      <w:tcPr>
                        <w:tcW w:w="5386" w:type="dxa"/>
                      </w:tcPr>
                      <w:p>
                        <w:pPr>
                          <w:rPr>
                            <w:szCs w:val="24"/>
                          </w:rPr>
                        </w:pPr>
                        <w:r>
                          <w:rPr>
                            <w:szCs w:val="24"/>
                          </w:rPr>
                          <w:t>Gauti septyni pranešimai</w:t>
                        </w:r>
                      </w:p>
                      <w:p>
                        <w:pPr>
                          <w:rPr>
                            <w:szCs w:val="24"/>
                          </w:rPr>
                        </w:pPr>
                        <w:r>
                          <w:rPr>
                            <w:szCs w:val="24"/>
                          </w:rPr>
                          <w:t>(Statybos ir viešosios tvarkos skyrius)</w:t>
                        </w:r>
                      </w:p>
                    </w:tc>
                  </w:tr>
                  <w:tr>
                    <w:trPr>
                      <w:trHeight w:val="571"/>
                    </w:trPr>
                    <w:tc>
                      <w:tcPr>
                        <w:tcW w:w="4253" w:type="dxa"/>
                      </w:tcPr>
                      <w:p>
                        <w:pPr>
                          <w:rPr>
                            <w:szCs w:val="24"/>
                          </w:rPr>
                        </w:pPr>
                        <w:r>
                          <w:rPr>
                            <w:szCs w:val="24"/>
                          </w:rPr>
                          <w:t>10.2.3.4. Tęstinė rajono teritorijoje ant valstybinės žemės stovinčių, savavališkai atvežtų ir pastatytų, įrengtų ar nebaigtų įrengti kilnojamųjų daiktų ar objektų, kurie neturi pamatų, ir kitų pastatų, kurie yra avarinės būklės ar kelia pavojų žmonių gyvybei, sveikatai šalinimas. Daiktų ir objektų, pagal gautus pranešimus, šalinimas. (SVP 6-1-6-08)</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0%</w:t>
                        </w:r>
                      </w:p>
                    </w:tc>
                    <w:tc>
                      <w:tcPr>
                        <w:tcW w:w="992" w:type="dxa"/>
                      </w:tcPr>
                      <w:p>
                        <w:pPr>
                          <w:rPr>
                            <w:szCs w:val="24"/>
                          </w:rPr>
                        </w:pPr>
                        <w:r>
                          <w:rPr>
                            <w:szCs w:val="24"/>
                          </w:rPr>
                          <w:t>2 SB</w:t>
                        </w:r>
                      </w:p>
                    </w:tc>
                    <w:tc>
                      <w:tcPr>
                        <w:tcW w:w="993" w:type="dxa"/>
                      </w:tcPr>
                      <w:p>
                        <w:pPr>
                          <w:rPr>
                            <w:szCs w:val="24"/>
                          </w:rPr>
                        </w:pPr>
                        <w:r>
                          <w:rPr>
                            <w:szCs w:val="24"/>
                          </w:rPr>
                          <w:t>-</w:t>
                        </w:r>
                      </w:p>
                    </w:tc>
                    <w:tc>
                      <w:tcPr>
                        <w:tcW w:w="5386" w:type="dxa"/>
                      </w:tcPr>
                      <w:p>
                        <w:pPr>
                          <w:rPr>
                            <w:szCs w:val="24"/>
                          </w:rPr>
                        </w:pPr>
                        <w:r>
                          <w:rPr>
                            <w:szCs w:val="24"/>
                          </w:rPr>
                          <w:t xml:space="preserve">Pranešimų nebuvo gauta </w:t>
                        </w:r>
                      </w:p>
                      <w:p>
                        <w:pPr>
                          <w:rPr>
                            <w:szCs w:val="24"/>
                          </w:rPr>
                        </w:pPr>
                        <w:r>
                          <w:rPr>
                            <w:szCs w:val="24"/>
                          </w:rPr>
                          <w:t>(Statybos ir viešosios tvarkos skyrius)</w:t>
                        </w:r>
                      </w:p>
                    </w:tc>
                  </w:tr>
                  <w:tr>
                    <w:trPr>
                      <w:trHeight w:val="571"/>
                    </w:trPr>
                    <w:tc>
                      <w:tcPr>
                        <w:tcW w:w="4253" w:type="dxa"/>
                      </w:tcPr>
                      <w:p>
                        <w:pPr>
                          <w:rPr>
                            <w:szCs w:val="24"/>
                          </w:rPr>
                        </w:pPr>
                        <w:r>
                          <w:rPr>
                            <w:szCs w:val="24"/>
                          </w:rPr>
                          <w:t>10.2.3.5. Tęstinė nenaudojamų autotransporto priemonių pašalinimo iš bendrojo naudojimo teritorijų veikla. Nenaudojamų autotransporto priemonių, pagal gautus pranešimus, pašalinimas. (SVP 6-1-6-10)</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tcPr>
                      <w:p>
                        <w:pPr>
                          <w:rPr>
                            <w:szCs w:val="24"/>
                          </w:rPr>
                        </w:pPr>
                        <w:r>
                          <w:rPr>
                            <w:szCs w:val="24"/>
                          </w:rPr>
                          <w:t>1,5 SB</w:t>
                        </w:r>
                      </w:p>
                    </w:tc>
                    <w:tc>
                      <w:tcPr>
                        <w:tcW w:w="993" w:type="dxa"/>
                      </w:tcPr>
                      <w:p>
                        <w:pPr>
                          <w:rPr>
                            <w:szCs w:val="24"/>
                          </w:rPr>
                        </w:pPr>
                        <w:r>
                          <w:rPr>
                            <w:szCs w:val="24"/>
                          </w:rPr>
                          <w:t>-</w:t>
                        </w:r>
                      </w:p>
                    </w:tc>
                    <w:tc>
                      <w:tcPr>
                        <w:tcW w:w="5386" w:type="dxa"/>
                      </w:tcPr>
                      <w:p>
                        <w:pPr>
                          <w:rPr>
                            <w:szCs w:val="24"/>
                          </w:rPr>
                        </w:pPr>
                        <w:r>
                          <w:rPr>
                            <w:szCs w:val="24"/>
                          </w:rPr>
                          <w:t>Surašyta 11 protokolų pagal LR ANK 414 str. 1 d. Transporto priemonių savininkai patys pašalino transporto priemones iš bendrojo naudojimo vietų.</w:t>
                        </w:r>
                      </w:p>
                      <w:p>
                        <w:pPr>
                          <w:rPr>
                            <w:szCs w:val="24"/>
                          </w:rPr>
                        </w:pPr>
                        <w:r>
                          <w:rPr>
                            <w:szCs w:val="24"/>
                          </w:rPr>
                          <w:t>(Statybos ir viešosios tvarkos skyrius)</w:t>
                        </w:r>
                      </w:p>
                    </w:tc>
                  </w:tr>
                  <w:tr>
                    <w:trPr>
                      <w:trHeight w:val="571"/>
                    </w:trPr>
                    <w:tc>
                      <w:tcPr>
                        <w:tcW w:w="4253" w:type="dxa"/>
                      </w:tcPr>
                      <w:p>
                        <w:pPr>
                          <w:rPr>
                            <w:szCs w:val="24"/>
                          </w:rPr>
                        </w:pPr>
                        <w:r>
                          <w:rPr>
                            <w:szCs w:val="24"/>
                          </w:rPr>
                          <w:t>10.2.3.6. Saugaus eismo priemonių ir mažosios architektūros elementų atstatymas. Saugaus eismo priemonių ir mažosios architektūros elementų, pagal gautus pranešimus, atstatymas. (SVP 6-1-6-11)</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tcPr>
                      <w:p>
                        <w:pPr>
                          <w:rPr>
                            <w:szCs w:val="24"/>
                          </w:rPr>
                        </w:pPr>
                        <w:r>
                          <w:rPr>
                            <w:szCs w:val="24"/>
                          </w:rPr>
                          <w:t>5 SB</w:t>
                        </w:r>
                      </w:p>
                    </w:tc>
                    <w:tc>
                      <w:tcPr>
                        <w:tcW w:w="993" w:type="dxa"/>
                      </w:tcPr>
                      <w:p>
                        <w:pPr>
                          <w:rPr>
                            <w:szCs w:val="24"/>
                          </w:rPr>
                        </w:pPr>
                        <w:r>
                          <w:rPr>
                            <w:szCs w:val="24"/>
                          </w:rPr>
                          <w:t>2,3 SB</w:t>
                        </w:r>
                      </w:p>
                    </w:tc>
                    <w:tc>
                      <w:tcPr>
                        <w:tcW w:w="5386" w:type="dxa"/>
                      </w:tcPr>
                      <w:p>
                        <w:pPr>
                          <w:rPr>
                            <w:szCs w:val="24"/>
                          </w:rPr>
                        </w:pPr>
                        <w:r>
                          <w:rPr>
                            <w:szCs w:val="24"/>
                          </w:rPr>
                          <w:t>Pagal gautus pranešimus sutvarkytas autobusų sustojimo paviljonas</w:t>
                        </w:r>
                      </w:p>
                      <w:p>
                        <w:pPr>
                          <w:rPr>
                            <w:szCs w:val="24"/>
                          </w:rPr>
                        </w:pPr>
                        <w:r>
                          <w:rPr>
                            <w:szCs w:val="24"/>
                          </w:rPr>
                          <w:t>(Statybos ir viešosios tvarkos skyrius)</w:t>
                        </w:r>
                      </w:p>
                    </w:tc>
                  </w:tr>
                  <w:tr>
                    <w:trPr>
                      <w:trHeight w:val="571"/>
                    </w:trPr>
                    <w:tc>
                      <w:tcPr>
                        <w:tcW w:w="4253" w:type="dxa"/>
                      </w:tcPr>
                      <w:p>
                        <w:pPr>
                          <w:rPr>
                            <w:szCs w:val="24"/>
                          </w:rPr>
                        </w:pPr>
                        <w:r>
                          <w:rPr>
                            <w:szCs w:val="24"/>
                          </w:rPr>
                          <w:t>10.2.3.7. Sustojimo ir stovėjimo vietose, kuriose pagal Kelių eismo taisykles draudžiama sustoti ir stovėti, pažeidimų fiksavimas. Ištirtų atvejų pagal gautą informaciją kiekis. (SVP 6-1-6)</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vMerge w:val="restart"/>
                      </w:tcPr>
                      <w:p>
                        <w:pPr>
                          <w:rPr>
                            <w:szCs w:val="24"/>
                          </w:rPr>
                        </w:pPr>
                        <w:r>
                          <w:rPr>
                            <w:szCs w:val="24"/>
                          </w:rPr>
                          <w:t>-</w:t>
                        </w:r>
                      </w:p>
                      <w:p>
                        <w:pPr>
                          <w:rPr>
                            <w:szCs w:val="24"/>
                          </w:rPr>
                        </w:pPr>
                      </w:p>
                    </w:tc>
                    <w:tc>
                      <w:tcPr>
                        <w:tcW w:w="993" w:type="dxa"/>
                        <w:vMerge w:val="restart"/>
                      </w:tcPr>
                      <w:p>
                        <w:pPr>
                          <w:rPr>
                            <w:szCs w:val="24"/>
                          </w:rPr>
                        </w:pPr>
                        <w:r>
                          <w:rPr>
                            <w:szCs w:val="24"/>
                          </w:rPr>
                          <w:t>-</w:t>
                        </w:r>
                      </w:p>
                    </w:tc>
                    <w:tc>
                      <w:tcPr>
                        <w:tcW w:w="5386" w:type="dxa"/>
                      </w:tcPr>
                      <w:p>
                        <w:pPr>
                          <w:rPr>
                            <w:szCs w:val="24"/>
                          </w:rPr>
                        </w:pPr>
                        <w:r>
                          <w:rPr>
                            <w:szCs w:val="24"/>
                          </w:rPr>
                          <w:t xml:space="preserve">Gauta 114 pranešimų, surašyta 114 protokolų pagal LR ANK 417 str. 2 d. </w:t>
                        </w:r>
                      </w:p>
                      <w:p>
                        <w:pPr>
                          <w:rPr>
                            <w:szCs w:val="24"/>
                          </w:rPr>
                        </w:pPr>
                        <w:r>
                          <w:rPr>
                            <w:szCs w:val="24"/>
                          </w:rPr>
                          <w:t>(Statybos ir viešosios tvarkos skyrius)</w:t>
                        </w:r>
                      </w:p>
                      <w:p>
                        <w:pPr>
                          <w:rPr>
                            <w:szCs w:val="24"/>
                          </w:rPr>
                        </w:pPr>
                      </w:p>
                    </w:tc>
                  </w:tr>
                  <w:tr>
                    <w:trPr>
                      <w:trHeight w:val="571"/>
                    </w:trPr>
                    <w:tc>
                      <w:tcPr>
                        <w:tcW w:w="4253" w:type="dxa"/>
                      </w:tcPr>
                      <w:p>
                        <w:pPr>
                          <w:rPr>
                            <w:szCs w:val="24"/>
                          </w:rPr>
                        </w:pPr>
                        <w:r>
                          <w:rPr>
                            <w:szCs w:val="24"/>
                          </w:rPr>
                          <w:t>10.2.3.8. Švaros ir tvarkos viešosiose vietose kontrolė. Ištirtų atvejų pagal gautą informaciją kiekis. (SVP 6-1-6)</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vMerge/>
                      </w:tcPr>
                      <w:p>
                        <w:pPr>
                          <w:rPr>
                            <w:szCs w:val="24"/>
                          </w:rPr>
                        </w:pPr>
                      </w:p>
                    </w:tc>
                    <w:tc>
                      <w:tcPr>
                        <w:tcW w:w="993" w:type="dxa"/>
                        <w:vMerge/>
                      </w:tcPr>
                      <w:p>
                        <w:pPr>
                          <w:rPr>
                            <w:szCs w:val="24"/>
                          </w:rPr>
                        </w:pPr>
                      </w:p>
                    </w:tc>
                    <w:tc>
                      <w:tcPr>
                        <w:tcW w:w="5386" w:type="dxa"/>
                      </w:tcPr>
                      <w:p>
                        <w:pPr>
                          <w:rPr>
                            <w:szCs w:val="24"/>
                          </w:rPr>
                        </w:pPr>
                        <w:r>
                          <w:rPr>
                            <w:szCs w:val="24"/>
                          </w:rPr>
                          <w:t xml:space="preserve">1. Surašyti 24 protokolai pagal LR ANK 366 str. 2. Surašyti 136 protokolai  pagal LR ANK 367 str.(Statybos ir viešosios tvarkos skyrius)</w:t>
                        </w:r>
                      </w:p>
                    </w:tc>
                  </w:tr>
                  <w:tr>
                    <w:trPr>
                      <w:trHeight w:val="571"/>
                    </w:trPr>
                    <w:tc>
                      <w:tcPr>
                        <w:tcW w:w="4253" w:type="dxa"/>
                      </w:tcPr>
                      <w:p>
                        <w:pPr>
                          <w:rPr>
                            <w:szCs w:val="24"/>
                          </w:rPr>
                        </w:pPr>
                        <w:r>
                          <w:rPr>
                            <w:szCs w:val="24"/>
                          </w:rPr>
                          <w:t xml:space="preserve">10.2.3.9. Bepriežiūrių ir bešeimininkių gyvūnų laikinoji globa kaip tai numatyta Gyvūnų apsaugos įstatyme. Laikinos globos paslaugų suteikimas pagal gautus pranešimus. </w:t>
                        </w:r>
                      </w:p>
                    </w:tc>
                    <w:tc>
                      <w:tcPr>
                        <w:tcW w:w="993" w:type="dxa"/>
                      </w:tcPr>
                      <w:p>
                        <w:pPr>
                          <w:rPr>
                            <w:szCs w:val="24"/>
                          </w:rPr>
                        </w:pPr>
                        <w:r>
                          <w:rPr>
                            <w:szCs w:val="24"/>
                          </w:rPr>
                          <w:t>100%</w:t>
                        </w:r>
                      </w:p>
                    </w:tc>
                    <w:tc>
                      <w:tcPr>
                        <w:tcW w:w="850" w:type="dxa"/>
                      </w:tcPr>
                      <w:p>
                        <w:pPr>
                          <w:rPr>
                            <w:szCs w:val="24"/>
                          </w:rPr>
                        </w:pPr>
                        <w:r>
                          <w:rPr>
                            <w:szCs w:val="24"/>
                          </w:rPr>
                          <w:t>100%</w:t>
                        </w:r>
                      </w:p>
                    </w:tc>
                    <w:tc>
                      <w:tcPr>
                        <w:tcW w:w="851" w:type="dxa"/>
                      </w:tcPr>
                      <w:p>
                        <w:pPr>
                          <w:rPr>
                            <w:szCs w:val="24"/>
                          </w:rPr>
                        </w:pPr>
                        <w:r>
                          <w:rPr>
                            <w:szCs w:val="24"/>
                          </w:rPr>
                          <w:t>100%</w:t>
                        </w:r>
                      </w:p>
                    </w:tc>
                    <w:tc>
                      <w:tcPr>
                        <w:tcW w:w="850" w:type="dxa"/>
                      </w:tcPr>
                      <w:p>
                        <w:pPr>
                          <w:rPr>
                            <w:szCs w:val="24"/>
                          </w:rPr>
                        </w:pPr>
                        <w:r>
                          <w:rPr>
                            <w:szCs w:val="24"/>
                          </w:rPr>
                          <w:t>100%</w:t>
                        </w:r>
                      </w:p>
                    </w:tc>
                    <w:tc>
                      <w:tcPr>
                        <w:tcW w:w="992" w:type="dxa"/>
                        <w:vMerge/>
                      </w:tcPr>
                      <w:p>
                        <w:pPr>
                          <w:rPr>
                            <w:szCs w:val="24"/>
                          </w:rPr>
                        </w:pPr>
                      </w:p>
                    </w:tc>
                    <w:tc>
                      <w:tcPr>
                        <w:tcW w:w="993" w:type="dxa"/>
                        <w:vMerge/>
                      </w:tcPr>
                      <w:p>
                        <w:pPr>
                          <w:rPr>
                            <w:szCs w:val="24"/>
                          </w:rPr>
                        </w:pPr>
                      </w:p>
                    </w:tc>
                    <w:tc>
                      <w:tcPr>
                        <w:tcW w:w="5386" w:type="dxa"/>
                      </w:tcPr>
                      <w:p>
                        <w:pPr>
                          <w:rPr>
                            <w:szCs w:val="24"/>
                          </w:rPr>
                        </w:pPr>
                        <w:r>
                          <w:rPr>
                            <w:szCs w:val="24"/>
                          </w:rPr>
                          <w:t>Į gyvūnų globos įstaigas pristatyti 47 bešeimininkiai gyvūnai ir 8 gyvūnai dėl žiauraus elgesio su gyvūnais.(Statybos ir viešosios tvarkos skyrius)</w:t>
                        </w:r>
                      </w:p>
                    </w:tc>
                  </w:tr>
                </w:tbl>
                <w:p>
                  <w:pPr>
                    <w:suppressAutoHyphens/>
                    <w:textAlignment w:val="baseline"/>
                    <w:rPr>
                      <w:rFonts w:eastAsia="Calibri"/>
                      <w:b/>
                      <w:bCs/>
                      <w:szCs w:val="24"/>
                    </w:rPr>
                  </w:pPr>
                </w:p>
                <w:p>
                  <w:pPr>
                    <w:suppressAutoHyphens/>
                    <w:spacing w:line="276" w:lineRule="auto"/>
                    <w:textAlignment w:val="baseline"/>
                    <w:rPr>
                      <w:rFonts w:eastAsia="Calibri"/>
                      <w:bCs/>
                      <w:iCs/>
                      <w:szCs w:val="24"/>
                    </w:rPr>
                    <w:sectPr>
                      <w:type w:val="nextColumn"/>
                      <w:pgSz w:w="16838" w:h="11906" w:orient="landscape" w:code="9"/>
                      <w:pgMar w:top="993" w:right="678" w:bottom="568" w:left="1134" w:header="567" w:footer="567" w:gutter="0"/>
                      <w:pgNumType w:start="1"/>
                      <w:cols w:space="1296"/>
                      <w:titlePg/>
                      <w:docGrid w:linePitch="326"/>
                    </w:sectPr>
                  </w:pPr>
                </w:p>
                <w:p>
                  <w:pPr>
                    <w:tabs>
                      <w:tab w:val="center" w:pos="4819"/>
                      <w:tab w:val="right" w:pos="9638"/>
                    </w:tabs>
                  </w:pPr>
                </w:p>
              </w:sdtContent>
            </w:sdt>
          </w:sdtContent>
        </w:sdt>
        <w:sdt>
          <w:sdtPr>
            <w:alias w:val="skyrius"/>
            <w:tag w:val="part_a7e7c6eb50444e0c9ffc7aabccddfcb9"/>
            <w:lock w:val="sdtLocked"/>
            <w:richText/>
          </w:sdtPr>
          <w:sdtContent>
            <w:p>
              <w:pPr>
                <w:suppressAutoHyphens/>
                <w:jc w:val="center"/>
                <w:textAlignment w:val="baseline"/>
                <w:rPr>
                  <w:rFonts w:eastAsia="Calibri"/>
                  <w:b/>
                  <w:bCs/>
                  <w:strike/>
                  <w:szCs w:val="24"/>
                </w:rPr>
              </w:pPr>
              <w:sdt>
                <w:sdtPr>
                  <w:alias w:val="Numeris"/>
                  <w:tag w:val="nr_a7e7c6eb50444e0c9ffc7aabccddfcb9"/>
                  <w:lock w:val="sdtLocked"/>
                  <w:richText/>
                </w:sdtPr>
                <w:sdtContent>
                  <w:r>
                    <w:rPr>
                      <w:rFonts w:eastAsia="Calibri"/>
                      <w:b/>
                      <w:bCs/>
                      <w:szCs w:val="24"/>
                    </w:rPr>
                    <w:t>IV</w:t>
                  </w:r>
                </w:sdtContent>
              </w:sdt>
              <w:r>
                <w:rPr>
                  <w:rFonts w:eastAsia="Calibri"/>
                  <w:b/>
                  <w:bCs/>
                  <w:szCs w:val="24"/>
                </w:rPr>
                <w:t xml:space="preserve"> SKYRIUS</w:t>
              </w:r>
            </w:p>
            <w:p>
              <w:pPr>
                <w:suppressAutoHyphens/>
                <w:jc w:val="center"/>
                <w:textAlignment w:val="baseline"/>
                <w:rPr>
                  <w:rFonts w:eastAsia="Calibri"/>
                  <w:b/>
                  <w:bCs/>
                  <w:szCs w:val="24"/>
                </w:rPr>
              </w:pPr>
              <w:sdt>
                <w:sdtPr>
                  <w:alias w:val="Pavadinimas"/>
                  <w:tag w:val="title_a7e7c6eb50444e0c9ffc7aabccddfcb9"/>
                  <w:lock w:val="sdtLocked"/>
                  <w:richText/>
                </w:sdtPr>
                <w:sdtContent>
                  <w:r>
                    <w:rPr>
                      <w:rFonts w:eastAsia="Calibri"/>
                      <w:b/>
                      <w:bCs/>
                      <w:szCs w:val="24"/>
                    </w:rPr>
                    <w:t>ĮSTAIGAI SKIRTŲ ASIGNAVIMŲ PANAUDOJIMAS</w:t>
                  </w:r>
                </w:sdtContent>
              </w:sdt>
            </w:p>
            <w:p>
              <w:pPr>
                <w:suppressAutoHyphens/>
                <w:textAlignment w:val="baseline"/>
                <w:rPr>
                  <w:rFonts w:eastAsia="Calibri"/>
                  <w:b/>
                  <w:bCs/>
                  <w:szCs w:val="24"/>
                </w:rPr>
              </w:pPr>
            </w:p>
            <w:sdt>
              <w:sdtPr>
                <w:alias w:val="poskyris"/>
                <w:tag w:val="part_c38f5c91066646b0b187ec93956ef6af"/>
                <w:lock w:val="sdtLocked"/>
                <w:richText/>
              </w:sdtPr>
              <w:sdtContent>
                <w:p>
                  <w:pPr>
                    <w:suppressAutoHyphens/>
                    <w:ind w:firstLine="709"/>
                    <w:textAlignment w:val="baseline"/>
                    <w:rPr>
                      <w:rFonts w:eastAsia="Calibri"/>
                      <w:b/>
                      <w:bCs/>
                      <w:szCs w:val="24"/>
                    </w:rPr>
                  </w:pPr>
                  <w:sdt>
                    <w:sdtPr>
                      <w:alias w:val="Pavadinimas"/>
                      <w:tag w:val="title_c38f5c91066646b0b187ec93956ef6af"/>
                      <w:lock w:val="sdtLocked"/>
                      <w:richText/>
                    </w:sdtPr>
                    <w:sdtContent>
                      <w:r>
                        <w:rPr>
                          <w:rFonts w:eastAsia="Calibri"/>
                          <w:b/>
                          <w:bCs/>
                          <w:szCs w:val="24"/>
                        </w:rPr>
                        <w:t>Įstaigai skirtų asignavimų panaudojimas per 2023–2025 m. laikotarpį</w:t>
                      </w:r>
                    </w:sdtContent>
                  </w:sdt>
                </w:p>
                <w:p>
                  <w:pPr>
                    <w:suppressAutoHyphens/>
                    <w:ind w:firstLine="709"/>
                    <w:textAlignment w:val="baseline"/>
                    <w:rPr>
                      <w:rFonts w:eastAsia="Calibri"/>
                      <w:i/>
                      <w:iCs/>
                      <w:color w:val="FF0000"/>
                      <w:szCs w:val="24"/>
                    </w:rPr>
                  </w:pPr>
                </w:p>
                <w:p>
                  <w:pPr>
                    <w:suppressAutoHyphens/>
                    <w:spacing w:line="276" w:lineRule="auto"/>
                    <w:ind w:firstLine="709"/>
                    <w:textAlignment w:val="baseline"/>
                    <w:rPr>
                      <w:rFonts w:eastAsia="Calibri"/>
                      <w:bCs/>
                      <w:iCs/>
                      <w:szCs w:val="24"/>
                    </w:rPr>
                  </w:pPr>
                  <w:r>
                    <w:rPr>
                      <w:rFonts w:eastAsia="Calibri"/>
                      <w:bCs/>
                      <w:iCs/>
                      <w:szCs w:val="24"/>
                    </w:rPr>
                    <w:t xml:space="preserve">Įstaiga, organizuodama bei vykdydama apskaitą, vadovaujasi viešojo sektoriaus apskaitos ir finansinės atskaitomybės standartais – VSAFAS ir kitais teisės aktais. Siekiant įgyvendintini tikslus ir uždavinius, atsižvelgiant į sudarytus esminius veiklos prioritetus, administracija  išlaidas planuoja iš pagrindinių finansavimo šaltinių: Savivaldybės biudžeto (SB), Valstybės biudžeto (VB), Europos Sąjungos ir kitos tarptautinės finansinės paramos bendrojo finansavimo (ES) lėšos bei iš kitų šaltinių. 2023–2025 m. biudžeto asignavimai iš savivaldybės ir valstybės biudžetų nuosekliai didėjo. Savivaldybės biudžeto dalis sudarė 71–79 % visos asignuotų lėšų sumos, tuo tarpu valstybės biudžeto dalis augo nuo 22 % (2023) iki 28,7 % (2025), o ES fondų dalis išliko nedidelė, neviršydama 0,1 procento. Asignavimų panaudojimo pokytis pagal finansavimo šaltinius, atsispindi 1 paveikslo diagramoje.</w:t>
                  </w:r>
                </w:p>
                <w:p>
                  <w:pPr>
                    <w:suppressAutoHyphens/>
                    <w:spacing w:line="276" w:lineRule="auto"/>
                    <w:textAlignment w:val="baseline"/>
                    <w:rPr>
                      <w:rFonts w:eastAsia="Calibri"/>
                      <w:bCs/>
                      <w:iCs/>
                      <w:szCs w:val="24"/>
                    </w:rPr>
                  </w:pPr>
                  <w:r>
                    <w:rPr>
                      <w:rFonts w:eastAsia="Calibri"/>
                      <w:bCs/>
                      <w:iCs/>
                      <w:color w:val="808080"/>
                      <w:szCs w:val="24"/>
                      <w:lang w:val="en-US"/>
                    </w:rPr>
                    <w:drawing>
                      <wp:inline distT="0" distB="0" distL="0" distR="0" wp14:anchorId="1C0C3CF8" wp14:editId="1C8BA813">
                        <wp:extent cx="6057900" cy="3038475"/>
                        <wp:effectExtent l="0" t="0" r="0" b="9525"/>
                        <wp:docPr id="1604111226" name="Diagrama 1"/>
                        <wp:cNvGraphicFramePr/>
                        <a:graphic xmlns:a="http://schemas.openxmlformats.org/drawingml/2006/main">
                          <a:graphicData uri="http://schemas.openxmlformats.org/drawingml/2006/chart">
                            <c:chart xmlns:c="http://schemas.openxmlformats.org/drawingml/2006/chart" r:id="rId19"/>
                          </a:graphicData>
                        </a:graphic>
                      </wp:inline>
                    </w:drawing>
                  </w:r>
                </w:p>
                <w:p>
                  <w:pPr>
                    <w:suppressAutoHyphens/>
                    <w:spacing w:line="276" w:lineRule="auto"/>
                    <w:textAlignment w:val="baseline"/>
                    <w:rPr>
                      <w:rFonts w:eastAsia="Calibri"/>
                      <w:bCs/>
                      <w:iCs/>
                      <w:szCs w:val="24"/>
                    </w:rPr>
                  </w:pPr>
                  <w:r>
                    <w:rPr>
                      <w:rFonts w:eastAsia="Calibri"/>
                      <w:bCs/>
                      <w:iCs/>
                      <w:szCs w:val="24"/>
                    </w:rPr>
                    <w:t>1 pav. Įstaigos asignavimų panaudojimo pokytis pagal 2023–2025 m.</w:t>
                  </w:r>
                </w:p>
                <w:p>
                  <w:pPr>
                    <w:suppressAutoHyphens/>
                    <w:spacing w:line="276" w:lineRule="auto"/>
                    <w:ind w:firstLine="709"/>
                    <w:textAlignment w:val="baseline"/>
                    <w:rPr>
                      <w:rFonts w:eastAsia="Calibri"/>
                      <w:b/>
                      <w:i/>
                      <w:color w:val="808080"/>
                      <w:szCs w:val="24"/>
                    </w:rPr>
                  </w:pPr>
                </w:p>
              </w:sdtContent>
            </w:sdt>
            <w:sdt>
              <w:sdtPr>
                <w:alias w:val="poskyris"/>
                <w:tag w:val="part_f8781785ece14ce2a46e8e6b89520388"/>
                <w:lock w:val="sdtLocked"/>
                <w:richText/>
              </w:sdtPr>
              <w:sdtContent>
                <w:p>
                  <w:pPr>
                    <w:suppressAutoHyphens/>
                    <w:ind w:firstLine="720"/>
                    <w:textAlignment w:val="baseline"/>
                    <w:rPr>
                      <w:rFonts w:eastAsia="Calibri"/>
                      <w:b/>
                      <w:iCs/>
                      <w:szCs w:val="24"/>
                    </w:rPr>
                  </w:pPr>
                  <w:sdt>
                    <w:sdtPr>
                      <w:alias w:val="Pavadinimas"/>
                      <w:tag w:val="title_f8781785ece14ce2a46e8e6b89520388"/>
                      <w:lock w:val="sdtLocked"/>
                      <w:richText/>
                    </w:sdtPr>
                    <w:sdtContent>
                      <w:r>
                        <w:rPr>
                          <w:rFonts w:eastAsia="Calibri"/>
                          <w:b/>
                          <w:iCs/>
                          <w:szCs w:val="24"/>
                        </w:rPr>
                        <w:t>Įstaigai skirtų asignavimų ir jų panaudojimo pokytis per 2023–2025 m. laikotarpį.</w:t>
                      </w:r>
                    </w:sdtContent>
                  </w:sdt>
                </w:p>
                <w:p>
                  <w:pPr>
                    <w:suppressAutoHyphens/>
                    <w:ind w:firstLine="720"/>
                    <w:textAlignment w:val="baseline"/>
                    <w:rPr>
                      <w:rFonts w:eastAsia="Calibri"/>
                      <w:b/>
                      <w:iCs/>
                      <w:szCs w:val="24"/>
                    </w:rPr>
                  </w:pPr>
                </w:p>
                <w:p>
                  <w:pPr>
                    <w:suppressAutoHyphens/>
                    <w:spacing w:line="276" w:lineRule="auto"/>
                    <w:ind w:firstLine="720"/>
                    <w:textAlignment w:val="baseline"/>
                    <w:rPr>
                      <w:rFonts w:eastAsia="Calibri"/>
                      <w:bCs/>
                      <w:iCs/>
                      <w:szCs w:val="24"/>
                    </w:rPr>
                  </w:pPr>
                  <w:r>
                    <w:rPr>
                      <w:rFonts w:eastAsia="Calibri"/>
                      <w:bCs/>
                      <w:iCs/>
                      <w:szCs w:val="24"/>
                    </w:rPr>
                    <w:t>Radviliškio rajono savivaldybės administracijos 2023–2025 metų biudžetai sudaromi vadovaujantis LR Biudžeto sandaros įstatymu. Biudžetai planuojami 12 mėnesių laikotarpiui, remiantis Radviliškio rajono savivaldybės trimečiais strateginiais veiklos planais ir 2023–2025 metams numatytomis priemonėmis. 2025 m. Savivaldybės administracijos biudžeto planas, įskaitant seniūnijų asignavimus (žr. 2 paveikslą), sudarė 36 664,7 tūkst. Eur. Per 2023–2025 metų laikotarpį biudžeto planas nuosekliai augo: 2024 m., palyginti su 2023 m., biudžetas padidėjo 3 438,5 tūkst. Eur. arba 11,9 %, o 2025 m., palyginti su 2024 m. 4 334,9 tūkst. Eur. arba 13,4 %. Bendras biudžeto plano padidėjimas per visą laikotarpį siekė 26,9 %, ir tai yra vienas iš sparčiausiai augančių biudžetų, lyginant su ankstesniais laikotarpiais.</w:t>
                  </w:r>
                </w:p>
                <w:p>
                  <w:pPr>
                    <w:suppressAutoHyphens/>
                    <w:spacing w:line="276" w:lineRule="auto"/>
                    <w:ind w:firstLine="720"/>
                    <w:textAlignment w:val="baseline"/>
                    <w:rPr>
                      <w:rFonts w:eastAsia="Calibri"/>
                      <w:bCs/>
                      <w:iCs/>
                      <w:szCs w:val="24"/>
                    </w:rPr>
                  </w:pPr>
                  <w:r>
                    <w:rPr>
                      <w:rFonts w:eastAsia="Calibri"/>
                      <w:bCs/>
                      <w:iCs/>
                      <w:szCs w:val="24"/>
                    </w:rPr>
                    <w:t xml:space="preserve">Didžiausios biudžeto asignavimų dalys buvo skiriamos socialinių paslaugų teikimui (virš 30%) ir kelių infrastruktūros gerinimui (apie 27 %). Vertinant administracijos biudžeto lėšų panaudojimą (35599,8 tūkst. Eur.), asignavimų likutis laikotarpio pabaigoje sudaro vidutiniškai 6 %, tuo tarpu seniūnijose apie 3 % suplanuotų lėšų. Tai rodo </w:t>
                  </w:r>
                  <w:r>
                    <w:rPr>
                      <w:rFonts w:eastAsia="Calibri"/>
                      <w:iCs/>
                      <w:szCs w:val="24"/>
                    </w:rPr>
                    <w:t>efektyvų ir racionalų biudžeto lėšų naudojimą.</w:t>
                  </w:r>
                  <w:r>
                    <w:rPr>
                      <w:rFonts w:eastAsia="Calibri"/>
                      <w:bCs/>
                      <w:iCs/>
                      <w:szCs w:val="24"/>
                    </w:rPr>
                    <w:t xml:space="preserve"> Nepanaudotos lėšos perkeliamos į kitus metus, skirtos einamiesiems darbams, paslaugoms finansuoti bei prisideda prie dalinai ES lėšomis įgyvendinamų projektų finansavimo. </w:t>
                  </w:r>
                </w:p>
                <w:p>
                  <w:pPr>
                    <w:suppressAutoHyphens/>
                    <w:spacing w:line="276" w:lineRule="auto"/>
                    <w:ind w:firstLine="720"/>
                    <w:textAlignment w:val="baseline"/>
                    <w:rPr>
                      <w:rFonts w:eastAsia="Calibri"/>
                      <w:bCs/>
                      <w:iCs/>
                      <w:szCs w:val="24"/>
                    </w:rPr>
                  </w:pPr>
                </w:p>
                <w:p>
                  <w:pPr>
                    <w:suppressAutoHyphens/>
                    <w:spacing w:line="276" w:lineRule="auto"/>
                    <w:textAlignment w:val="baseline"/>
                    <w:rPr>
                      <w:rFonts w:eastAsia="Calibri"/>
                      <w:b/>
                      <w:iCs/>
                      <w:szCs w:val="24"/>
                    </w:rPr>
                  </w:pPr>
                  <w:r>
                    <w:rPr>
                      <w:rFonts w:eastAsia="Calibri"/>
                      <w:b/>
                      <w:iCs/>
                      <w:szCs w:val="24"/>
                      <w:lang w:val="en-US"/>
                    </w:rPr>
                    <w:drawing>
                      <wp:inline distT="0" distB="0" distL="0" distR="0" wp14:anchorId="34BB9A4C" wp14:editId="1C1B34B2">
                        <wp:extent cx="6105525" cy="2066925"/>
                        <wp:effectExtent l="0" t="0" r="9525" b="9525"/>
                        <wp:docPr id="1081996928" name="Diagrama 2"/>
                        <wp:cNvGraphicFramePr/>
                        <a:graphic xmlns:a="http://schemas.openxmlformats.org/drawingml/2006/main">
                          <a:graphicData uri="http://schemas.openxmlformats.org/drawingml/2006/chart">
                            <c:chart xmlns:c="http://schemas.openxmlformats.org/drawingml/2006/chart" r:id="rId20"/>
                          </a:graphicData>
                        </a:graphic>
                      </wp:inline>
                    </w:drawing>
                  </w:r>
                </w:p>
                <w:p>
                  <w:pPr>
                    <w:suppressAutoHyphens/>
                    <w:spacing w:line="276" w:lineRule="auto"/>
                    <w:textAlignment w:val="baseline"/>
                    <w:rPr>
                      <w:rFonts w:eastAsia="Calibri"/>
                      <w:bCs/>
                      <w:iCs/>
                      <w:szCs w:val="24"/>
                    </w:rPr>
                  </w:pPr>
                  <w:r>
                    <w:rPr>
                      <w:rFonts w:eastAsia="Calibri"/>
                      <w:bCs/>
                      <w:iCs/>
                      <w:szCs w:val="24"/>
                    </w:rPr>
                    <w:t>2 pav. Įstaigos asignavimų plano ir jų panaudojimo pokytis 2023–2025 m.</w:t>
                  </w:r>
                </w:p>
                <w:p>
                  <w:pPr>
                    <w:suppressAutoHyphens/>
                    <w:spacing w:line="276" w:lineRule="auto"/>
                    <w:ind w:firstLine="720"/>
                    <w:textAlignment w:val="baseline"/>
                    <w:rPr>
                      <w:rFonts w:eastAsia="Calibri"/>
                      <w:b/>
                      <w:iCs/>
                      <w:szCs w:val="24"/>
                    </w:rPr>
                  </w:pPr>
                </w:p>
              </w:sdtContent>
            </w:sdt>
            <w:sdt>
              <w:sdtPr>
                <w:alias w:val="poskyris"/>
                <w:tag w:val="part_6729fe9074ed413a8d9b5c4cae35c89b"/>
                <w:lock w:val="sdtLocked"/>
                <w:richText/>
              </w:sdtPr>
              <w:sdtContent>
                <w:p>
                  <w:pPr>
                    <w:suppressAutoHyphens/>
                    <w:spacing w:line="276" w:lineRule="auto"/>
                    <w:ind w:firstLine="720"/>
                    <w:textAlignment w:val="baseline"/>
                    <w:rPr>
                      <w:rFonts w:eastAsia="Calibri"/>
                      <w:b/>
                      <w:iCs/>
                      <w:szCs w:val="24"/>
                    </w:rPr>
                  </w:pPr>
                  <w:sdt>
                    <w:sdtPr>
                      <w:alias w:val="Pavadinimas"/>
                      <w:tag w:val="title_6729fe9074ed413a8d9b5c4cae35c89b"/>
                      <w:lock w:val="sdtLocked"/>
                      <w:richText/>
                    </w:sdtPr>
                    <w:sdtContent>
                      <w:r>
                        <w:rPr>
                          <w:rFonts w:eastAsia="Calibri"/>
                          <w:b/>
                          <w:iCs/>
                          <w:szCs w:val="24"/>
                        </w:rPr>
                        <w:t>Įstaigos panaudotų asignavimų struktūra pagal programas 2025 m.</w:t>
                      </w:r>
                    </w:sdtContent>
                  </w:sdt>
                </w:p>
                <w:p>
                  <w:pPr>
                    <w:suppressAutoHyphens/>
                    <w:spacing w:line="276" w:lineRule="auto"/>
                    <w:ind w:firstLine="720"/>
                    <w:textAlignment w:val="baseline"/>
                    <w:rPr>
                      <w:rFonts w:eastAsia="Calibri"/>
                      <w:b/>
                      <w:iCs/>
                      <w:szCs w:val="24"/>
                    </w:rPr>
                  </w:pPr>
                </w:p>
                <w:p>
                  <w:pPr>
                    <w:suppressAutoHyphens/>
                    <w:spacing w:line="276" w:lineRule="auto"/>
                    <w:ind w:firstLine="720"/>
                    <w:textAlignment w:val="baseline"/>
                    <w:rPr>
                      <w:rFonts w:eastAsia="Calibri"/>
                      <w:bCs/>
                      <w:iCs/>
                      <w:szCs w:val="24"/>
                    </w:rPr>
                  </w:pPr>
                  <w:r>
                    <w:rPr>
                      <w:rFonts w:eastAsia="Calibri"/>
                      <w:bCs/>
                      <w:iCs/>
                      <w:szCs w:val="24"/>
                    </w:rPr>
                    <w:t>2025 m. Savivaldybės administracijos asignavimai paskirstyti pagal 6 programas ir sudarė 36 664,7 tūkst. Eur. Per ataskaitinį laikotarpį panaudota 35599,8 tūkst. Eur. Didžiausia biudžeto panaudota asignavimų struktūros dalis pagal programas (žr. 3 paveikslą) tenka Socialinių paslaugų ir socialinės paramos teikimo (3) programai – 31%, Rajono savivaldybės infrastruktūros objektų modernizavimo ir plėtros (4) programai – 27%., Saugios, švarios ir patogios aplinkos užtikrinimo (6) programa – 20%, tuo tarpu Savivaldybės valdymo (01) programai tenka 18 % , o Švietimo paslaugų prieinamumo ir kokybės užtikrinimo (2) bei Gyventojų turiningo laisvalaikio užtikrinimo, bendruomeniškumo ir veiklumo skatinimo (5) programoms po 2 % visų biudžeto asignavimų</w:t>
                  </w:r>
                  <w:r>
                    <w:rPr>
                      <w:rFonts w:eastAsia="Calibri"/>
                      <w:b/>
                      <w:iCs/>
                      <w:szCs w:val="24"/>
                    </w:rPr>
                    <w:t xml:space="preserve">. </w:t>
                  </w:r>
                </w:p>
                <w:p>
                  <w:pPr>
                    <w:suppressAutoHyphens/>
                    <w:spacing w:line="276" w:lineRule="auto"/>
                    <w:textAlignment w:val="baseline"/>
                    <w:rPr>
                      <w:rFonts w:eastAsia="Calibri"/>
                      <w:bCs/>
                      <w:i/>
                      <w:color w:val="FF0000"/>
                      <w:szCs w:val="24"/>
                    </w:rPr>
                  </w:pPr>
                </w:p>
                <w:p>
                  <w:pPr>
                    <w:suppressAutoHyphens/>
                    <w:spacing w:line="276" w:lineRule="auto"/>
                    <w:ind w:firstLine="709"/>
                    <w:textAlignment w:val="baseline"/>
                    <w:rPr>
                      <w:rFonts w:eastAsia="Calibri"/>
                      <w:b/>
                      <w:i/>
                      <w:color w:val="808080"/>
                      <w:szCs w:val="24"/>
                    </w:rPr>
                  </w:pPr>
                  <w:r>
                    <w:rPr>
                      <w:rFonts w:eastAsia="Calibri"/>
                      <w:b/>
                      <w:i/>
                      <w:color w:val="808080"/>
                      <w:szCs w:val="24"/>
                      <w:lang w:val="en-US"/>
                    </w:rPr>
                    <w:drawing>
                      <wp:inline distT="0" distB="0" distL="0" distR="0" wp14:anchorId="5AC15765" wp14:editId="4642A983">
                        <wp:extent cx="5267325" cy="2276475"/>
                        <wp:effectExtent l="0" t="0" r="9525" b="9525"/>
                        <wp:docPr id="942261379" name="Diagrama 3"/>
                        <wp:cNvGraphicFramePr/>
                        <a:graphic xmlns:a="http://schemas.openxmlformats.org/drawingml/2006/main">
                          <a:graphicData uri="http://schemas.openxmlformats.org/drawingml/2006/chart">
                            <c:chart xmlns:c="http://schemas.openxmlformats.org/drawingml/2006/chart" r:id="rId21"/>
                          </a:graphicData>
                        </a:graphic>
                      </wp:inline>
                    </w:drawing>
                  </w:r>
                </w:p>
                <w:p>
                  <w:pPr>
                    <w:suppressAutoHyphens/>
                    <w:spacing w:line="276" w:lineRule="auto"/>
                    <w:ind w:firstLine="709"/>
                    <w:textAlignment w:val="baseline"/>
                    <w:rPr>
                      <w:rFonts w:eastAsia="Calibri"/>
                      <w:bCs/>
                      <w:i/>
                      <w:color w:val="FF0000"/>
                      <w:szCs w:val="24"/>
                    </w:rPr>
                  </w:pPr>
                  <w:r>
                    <w:rPr>
                      <w:rFonts w:eastAsia="Calibri"/>
                      <w:bCs/>
                      <w:iCs/>
                      <w:szCs w:val="24"/>
                    </w:rPr>
                    <w:t>3 pav. Įstaigos panaudotų asignavimų struktūra pagal programas 2025 m.</w:t>
                  </w:r>
                </w:p>
                <w:p>
                  <w:pPr>
                    <w:suppressAutoHyphens/>
                    <w:spacing w:line="276" w:lineRule="auto"/>
                    <w:ind w:firstLine="709"/>
                    <w:textAlignment w:val="baseline"/>
                    <w:rPr>
                      <w:rFonts w:eastAsia="Calibri"/>
                      <w:b/>
                      <w:iCs/>
                      <w:szCs w:val="24"/>
                    </w:rPr>
                  </w:pPr>
                </w:p>
              </w:sdtContent>
            </w:sdt>
            <w:sdt>
              <w:sdtPr>
                <w:alias w:val="poskyris"/>
                <w:tag w:val="part_f0a38800e3fb4554a598f9d8a06d57a3"/>
                <w:lock w:val="sdtLocked"/>
                <w:richText/>
              </w:sdtPr>
              <w:sdtContent>
                <w:p>
                  <w:pPr>
                    <w:suppressAutoHyphens/>
                    <w:spacing w:line="276" w:lineRule="auto"/>
                    <w:ind w:firstLine="709"/>
                    <w:textAlignment w:val="baseline"/>
                    <w:rPr>
                      <w:rFonts w:eastAsia="Calibri"/>
                      <w:b/>
                      <w:iCs/>
                      <w:szCs w:val="24"/>
                    </w:rPr>
                  </w:pPr>
                  <w:sdt>
                    <w:sdtPr>
                      <w:alias w:val="Pavadinimas"/>
                      <w:tag w:val="title_f0a38800e3fb4554a598f9d8a06d57a3"/>
                      <w:lock w:val="sdtLocked"/>
                      <w:richText/>
                    </w:sdtPr>
                    <w:sdtContent>
                      <w:r>
                        <w:rPr>
                          <w:rFonts w:eastAsia="Calibri"/>
                          <w:b/>
                          <w:iCs/>
                          <w:szCs w:val="24"/>
                        </w:rPr>
                        <w:t>Viešieji pirkimai</w:t>
                      </w:r>
                    </w:sdtContent>
                  </w:sdt>
                </w:p>
                <w:p>
                  <w:pPr>
                    <w:suppressAutoHyphens/>
                    <w:spacing w:line="276" w:lineRule="auto"/>
                    <w:ind w:firstLine="709"/>
                    <w:textAlignment w:val="baseline"/>
                    <w:rPr>
                      <w:rFonts w:eastAsia="Calibri"/>
                      <w:bCs/>
                      <w:i/>
                      <w:color w:val="FF0000"/>
                      <w:szCs w:val="24"/>
                    </w:rPr>
                  </w:pPr>
                </w:p>
                <w:p>
                  <w:pPr>
                    <w:suppressAutoHyphens/>
                    <w:spacing w:line="276" w:lineRule="auto"/>
                    <w:ind w:firstLine="709"/>
                    <w:textAlignment w:val="baseline"/>
                    <w:rPr>
                      <w:rFonts w:eastAsia="Calibri"/>
                      <w:bCs/>
                      <w:iCs/>
                      <w:szCs w:val="24"/>
                    </w:rPr>
                  </w:pPr>
                  <w:r>
                    <w:rPr>
                      <w:rFonts w:eastAsia="Calibri"/>
                      <w:bCs/>
                      <w:iCs/>
                      <w:szCs w:val="24"/>
                    </w:rPr>
                    <w:t xml:space="preserve">Administracijos Viešųjų pirkimų skyrius, kartu su seniūnijomis bei 31 Savivaldybei pavaldžia organizacija, sėkmingai suvaldė centralizuotą Savivaldybės administracijos ir pavaldžių organizacijų viešųjų pirkimų procesą. 2025 m. vasario 5 d. </w:t>
                  </w:r>
                  <w:r>
                    <w:rPr>
                      <w:szCs w:val="24"/>
                    </w:rPr>
                    <w:t>AS „Inspekta Latvija“ atliko nepriklausomą auditą dėl centralizuoto Savivaldybės administracijos ir pavaldžių organizacijų viešųjų pirkimų proceso atitikimo kokybės vadybos sistemai. Atlikto audito išvadoje nurodyta, kad Savivaldybės administracijos centralizuotas viešųjų pirkimų procesas atitinka tarptautinį kokybės vadybos standartą ISO 9001:2015. Savivaldybės administracijai išduotas tai patvirtinantis sertifikatas. Savivaldybės pavaldžioje organizacijoje, skaitmenizavus viešųjų pirkimų procesą, Savivaldybės administracijoje buvo įdiegtas „Microsoft Power BI“ duomenų analizės įrankis. Įdiegtas įrankis susietas su informacine sistema „Mano konkursas“. Šis įrankis padeda Savivaldybės administracijos darbuotojams, atsakingiems už centralizuotų pirkimų organizavimą, realiu laiku matyti ir vertinti informaciją apie pavaldžių organizacijų suvestus planuojamus ir atliktus viešuosius pirkimus, juose dalyvaujančius tiekėjus ir kitą informaciją. Duomenys atvaizduojami įvairiais pjūviais.</w:t>
                  </w:r>
                </w:p>
                <w:p>
                  <w:pPr>
                    <w:suppressAutoHyphens/>
                    <w:spacing w:line="276" w:lineRule="auto"/>
                    <w:ind w:firstLine="709"/>
                    <w:textAlignment w:val="baseline"/>
                    <w:rPr>
                      <w:rFonts w:eastAsia="Calibri"/>
                      <w:bCs/>
                      <w:iCs/>
                      <w:szCs w:val="24"/>
                    </w:rPr>
                  </w:pPr>
                  <w:r>
                    <w:rPr>
                      <w:szCs w:val="24"/>
                    </w:rPr>
                    <w:t xml:space="preserve">Siekiant patobulinti Savivaldybės pavaldžių organizacijų viešuosius pirkimus administruojančių darbuotojų kompetencijas, buvo nuotoliniu būdu suorganizuota 10 seminarų per „Zoom“ platformą. </w:t>
                  </w:r>
                </w:p>
                <w:p>
                  <w:pPr>
                    <w:suppressAutoHyphens/>
                    <w:spacing w:line="276" w:lineRule="auto"/>
                    <w:ind w:firstLine="709"/>
                    <w:textAlignment w:val="baseline"/>
                    <w:rPr>
                      <w:szCs w:val="24"/>
                    </w:rPr>
                  </w:pPr>
                  <w:r>
                    <w:rPr>
                      <w:szCs w:val="24"/>
                    </w:rPr>
                    <w:t xml:space="preserve">2025 m. Savivaldybės administracija, kartu su seniūnijomis, buvo pasitvirtinusios 1163 pirkimo plano eilutes ir planavo išleisti 41 595 664,00 Eur be PVM. Didžiausios sutartys buvo pasirašytos su AB „Kelių priežiūra“ (13 sutarčių) dėl Radviliškio rajono savivaldybės seniūnijose vykdomų vietinės reikšmės asfaltuotų kelių ir gatvių dangos priežiūros, remonto darbų – 9 513 698,00 Eur su PVM; su UAB „JK Ranga“ (6 sutartys) dėl Radviliškio rajono savivaldybės vietinių reikšmės kelių kapitalinio remonto darbų bei asfaltuotų kelių ir gatvių dangos priežiūros, remonto darbų – 4 444 407,00 Eur su PVM; su UAB „Žilinskis ir Co“ dėl susisiekimo komunikacijų Radviliškio rajono savivaldybės Šeduvos m. privažiuojamojo vietinės reikšmės kelio ir inžinierinių tinklų – lietaus (paviršinių) nuotekų tinklų statybos darbų – 1 990 341,00 Eur su PVM ir su UAB „EIRTA“ dėl mokslo paskirties pastato Radvilų g. 6, Radviliškyje, atnaujinimo (modernizavimo) darbų – 1 709 730,00 Eur be PVM. </w:t>
                  </w:r>
                </w:p>
                <w:p>
                  <w:pPr>
                    <w:suppressAutoHyphens/>
                    <w:spacing w:line="276" w:lineRule="auto"/>
                    <w:ind w:firstLine="709"/>
                    <w:textAlignment w:val="baseline"/>
                    <w:rPr>
                      <w:rFonts w:eastAsia="Calibri"/>
                      <w:bCs/>
                      <w:iCs/>
                      <w:szCs w:val="24"/>
                    </w:rPr>
                  </w:pPr>
                  <w:r>
                    <w:rPr>
                      <w:rFonts w:eastAsia="Calibri"/>
                      <w:bCs/>
                      <w:iCs/>
                      <w:szCs w:val="24"/>
                    </w:rPr>
                    <w:t xml:space="preserve">Administracija ir seniūnijos viešuosius pirkimus per Savivaldybės centrinę perkančiąją organizaciją (CPO) vykdo, kai pirkimo vertė yra didesnė nei 15 000 Eur be PVM. Atliekant viešuosius pirkimus per CPO, buvo perkami darbai, paslaugos ir prekės. Viešieji pirkimai per CPO pagal objektų rūšis atsispindi 4 paveiksle, o pagal objektų rūšis ir jų vertę (tūkst. Eur) – 7 lentelėje. </w:t>
                  </w:r>
                </w:p>
                <w:p>
                  <w:pPr>
                    <w:suppressAutoHyphens/>
                    <w:spacing w:line="276" w:lineRule="auto"/>
                    <w:ind w:firstLine="709"/>
                    <w:textAlignment w:val="baseline"/>
                    <w:rPr>
                      <w:rFonts w:eastAsia="Calibri"/>
                      <w:bCs/>
                      <w:iCs/>
                      <w:szCs w:val="24"/>
                    </w:rPr>
                  </w:pPr>
                </w:p>
                <w:p>
                  <w:pPr>
                    <w:suppressAutoHyphens/>
                    <w:spacing w:line="276" w:lineRule="auto"/>
                    <w:textAlignment w:val="baseline"/>
                    <w:rPr>
                      <w:rFonts w:eastAsia="Calibri"/>
                      <w:b/>
                      <w:i/>
                      <w:color w:val="C00000"/>
                      <w:szCs w:val="24"/>
                    </w:rPr>
                  </w:pPr>
                  <w:r>
                    <w:rPr>
                      <w:rFonts w:eastAsia="Calibri"/>
                      <w:i/>
                      <w:szCs w:val="24"/>
                      <w:lang w:val="en-US"/>
                    </w:rPr>
                    <w:drawing>
                      <wp:inline distT="0" distB="0" distL="0" distR="0" wp14:anchorId="066DEF0B" wp14:editId="4278346A">
                        <wp:extent cx="5438775" cy="2085975"/>
                        <wp:effectExtent l="0" t="0" r="9525" b="9525"/>
                        <wp:docPr id="609178260" name="Diagrama 1"/>
                        <wp:cNvGraphicFramePr/>
                        <a:graphic xmlns:a="http://schemas.openxmlformats.org/drawingml/2006/main">
                          <a:graphicData uri="http://schemas.openxmlformats.org/drawingml/2006/chart">
                            <c:chart xmlns:c="http://schemas.openxmlformats.org/drawingml/2006/chart" r:id="rId22"/>
                          </a:graphicData>
                        </a:graphic>
                      </wp:inline>
                    </w:drawing>
                  </w:r>
                </w:p>
                <w:p>
                  <w:pPr>
                    <w:suppressAutoHyphens/>
                    <w:spacing w:line="276" w:lineRule="auto"/>
                    <w:ind w:firstLine="709"/>
                    <w:textAlignment w:val="baseline"/>
                    <w:rPr>
                      <w:rFonts w:eastAsia="Calibri"/>
                      <w:bCs/>
                      <w:iCs/>
                      <w:szCs w:val="24"/>
                    </w:rPr>
                  </w:pPr>
                  <w:r>
                    <w:rPr>
                      <w:rFonts w:eastAsia="Calibri"/>
                      <w:bCs/>
                      <w:iCs/>
                      <w:szCs w:val="24"/>
                    </w:rPr>
                    <w:t>4 pav. Įstaigos viešųjų pirkimų per CPO pagal objektų rūšis pokytis 2024–2025 m.</w:t>
                  </w:r>
                </w:p>
                <w:p>
                  <w:pPr>
                    <w:suppressAutoHyphens/>
                    <w:textAlignment w:val="baseline"/>
                    <w:rPr>
                      <w:rFonts w:eastAsia="Calibri"/>
                      <w:b/>
                      <w:bCs/>
                      <w:szCs w:val="24"/>
                    </w:rPr>
                  </w:pPr>
                </w:p>
              </w:sdtContent>
            </w:sdt>
            <w:sdt>
              <w:sdtPr>
                <w:alias w:val="poskyris"/>
                <w:tag w:val="part_72d2310499b844b792b15754e3f18416"/>
                <w:lock w:val="sdtLocked"/>
                <w:richText/>
              </w:sdtPr>
              <w:sdtContent>
                <w:p>
                  <w:pPr>
                    <w:suppressAutoHyphens/>
                    <w:textAlignment w:val="baseline"/>
                    <w:rPr>
                      <w:rFonts w:eastAsia="Calibri"/>
                      <w:b/>
                      <w:iCs/>
                      <w:szCs w:val="24"/>
                    </w:rPr>
                  </w:pPr>
                  <w:sdt>
                    <w:sdtPr>
                      <w:alias w:val="Pavadinimas"/>
                      <w:tag w:val="title_72d2310499b844b792b15754e3f18416"/>
                      <w:lock w:val="sdtLocked"/>
                      <w:richText/>
                    </w:sdtPr>
                    <w:sdtContent>
                      <w:r>
                        <w:rPr>
                          <w:rFonts w:eastAsia="Calibri"/>
                          <w:b/>
                          <w:iCs/>
                          <w:szCs w:val="24"/>
                        </w:rPr>
                        <w:t>7 lentelė. Įstaigos viešųjų pirkimų per CPO pagal objektų rūšis ir panaudotas lėšas pokytis 2024–2025 m.</w:t>
                      </w:r>
                    </w:sdtContent>
                  </w:sdt>
                </w:p>
                <w:p>
                  <w:pPr>
                    <w:suppressAutoHyphens/>
                    <w:textAlignment w:val="baseline"/>
                    <w:rPr>
                      <w:rFonts w:eastAsia="Calibri"/>
                      <w:b/>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775"/>
                    <w:gridCol w:w="1633"/>
                    <w:gridCol w:w="1418"/>
                    <w:gridCol w:w="1701"/>
                    <w:gridCol w:w="1978"/>
                  </w:tblGrid>
                  <w:tr>
                    <w:tc>
                      <w:tcPr>
                        <w:tcW w:w="2331" w:type="dxa"/>
                        <w:gridSpan w:val="2"/>
                        <w:tcBorders>
                          <w:top w:val="single" w:sz="4" w:space="0" w:color="auto"/>
                          <w:left w:val="single" w:sz="4" w:space="0" w:color="auto"/>
                          <w:bottom w:val="single" w:sz="4" w:space="0" w:color="auto"/>
                          <w:right w:val="single" w:sz="4" w:space="0" w:color="auto"/>
                        </w:tcBorders>
                      </w:tcPr>
                      <w:p>
                        <w:pPr>
                          <w:suppressAutoHyphens/>
                          <w:spacing w:line="276" w:lineRule="auto"/>
                          <w:textAlignment w:val="baseline"/>
                          <w:rPr>
                            <w:rFonts w:eastAsia="Calibri"/>
                            <w:bCs/>
                            <w:iCs/>
                            <w:szCs w:val="24"/>
                          </w:rPr>
                        </w:pPr>
                      </w:p>
                    </w:tc>
                    <w:tc>
                      <w:tcPr>
                        <w:tcW w:w="3051" w:type="dxa"/>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bCs/>
                            <w:iCs/>
                            <w:szCs w:val="24"/>
                          </w:rPr>
                        </w:pPr>
                        <w:r>
                          <w:rPr>
                            <w:rFonts w:eastAsia="Calibri"/>
                            <w:bCs/>
                            <w:iCs/>
                            <w:szCs w:val="24"/>
                          </w:rPr>
                          <w:t>2024 m.</w:t>
                        </w:r>
                      </w:p>
                    </w:tc>
                    <w:tc>
                      <w:tcPr>
                        <w:tcW w:w="3679" w:type="dxa"/>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bCs/>
                            <w:iCs/>
                            <w:szCs w:val="24"/>
                          </w:rPr>
                        </w:pPr>
                        <w:r>
                          <w:rPr>
                            <w:rFonts w:eastAsia="Calibri"/>
                            <w:bCs/>
                            <w:iCs/>
                            <w:szCs w:val="24"/>
                          </w:rPr>
                          <w:t>2025 m.</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Eil. Nr.</w:t>
                        </w:r>
                      </w:p>
                    </w:tc>
                    <w:tc>
                      <w:tcPr>
                        <w:tcW w:w="1775"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Pirkimo objekto rūšis</w:t>
                        </w:r>
                      </w:p>
                    </w:tc>
                    <w:tc>
                      <w:tcPr>
                        <w:tcW w:w="1633"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Bendra pirkimo vertė, tūkst. Eur</w:t>
                        </w:r>
                      </w:p>
                    </w:tc>
                    <w:tc>
                      <w:tcPr>
                        <w:tcW w:w="1418"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Bendras pirkimų skaičius</w:t>
                        </w:r>
                      </w:p>
                    </w:tc>
                    <w:tc>
                      <w:tcPr>
                        <w:tcW w:w="1701"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Bendra pirkimo vertė, tūkst. Eur</w:t>
                        </w:r>
                      </w:p>
                    </w:tc>
                    <w:tc>
                      <w:tcPr>
                        <w:tcW w:w="1978"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Bendras pirkimų skaičius</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1.</w:t>
                        </w:r>
                      </w:p>
                    </w:tc>
                    <w:tc>
                      <w:tcPr>
                        <w:tcW w:w="1775"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Darbai</w:t>
                        </w:r>
                      </w:p>
                    </w:tc>
                    <w:tc>
                      <w:tcPr>
                        <w:tcW w:w="1633"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4 823,81</w:t>
                        </w:r>
                      </w:p>
                    </w:tc>
                    <w:tc>
                      <w:tcPr>
                        <w:tcW w:w="1418"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13</w:t>
                        </w:r>
                      </w:p>
                    </w:tc>
                    <w:tc>
                      <w:tcPr>
                        <w:tcW w:w="1701"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23 511,99</w:t>
                        </w:r>
                      </w:p>
                    </w:tc>
                    <w:tc>
                      <w:tcPr>
                        <w:tcW w:w="1978"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66</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2.</w:t>
                        </w:r>
                      </w:p>
                    </w:tc>
                    <w:tc>
                      <w:tcPr>
                        <w:tcW w:w="1775"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Paslaugos</w:t>
                        </w:r>
                      </w:p>
                    </w:tc>
                    <w:tc>
                      <w:tcPr>
                        <w:tcW w:w="1633"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376,02</w:t>
                        </w:r>
                      </w:p>
                    </w:tc>
                    <w:tc>
                      <w:tcPr>
                        <w:tcW w:w="1418"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6</w:t>
                        </w:r>
                      </w:p>
                    </w:tc>
                    <w:tc>
                      <w:tcPr>
                        <w:tcW w:w="1701"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787,91</w:t>
                        </w:r>
                      </w:p>
                    </w:tc>
                    <w:tc>
                      <w:tcPr>
                        <w:tcW w:w="1978"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20</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3.</w:t>
                        </w:r>
                      </w:p>
                    </w:tc>
                    <w:tc>
                      <w:tcPr>
                        <w:tcW w:w="1775"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Prekės</w:t>
                        </w:r>
                      </w:p>
                    </w:tc>
                    <w:tc>
                      <w:tcPr>
                        <w:tcW w:w="1633"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690,57</w:t>
                        </w:r>
                      </w:p>
                    </w:tc>
                    <w:tc>
                      <w:tcPr>
                        <w:tcW w:w="1418"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7</w:t>
                        </w:r>
                      </w:p>
                    </w:tc>
                    <w:tc>
                      <w:tcPr>
                        <w:tcW w:w="1701"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675,68</w:t>
                        </w:r>
                      </w:p>
                    </w:tc>
                    <w:tc>
                      <w:tcPr>
                        <w:tcW w:w="1978"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12</w:t>
                        </w:r>
                      </w:p>
                    </w:tc>
                  </w:tr>
                  <w:tr>
                    <w:tc>
                      <w:tcPr>
                        <w:tcW w:w="556"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p>
                    </w:tc>
                    <w:tc>
                      <w:tcPr>
                        <w:tcW w:w="1775"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
                            <w:iCs/>
                            <w:szCs w:val="24"/>
                          </w:rPr>
                        </w:pPr>
                        <w:r>
                          <w:rPr>
                            <w:rFonts w:eastAsia="Calibri"/>
                            <w:b/>
                            <w:iCs/>
                            <w:szCs w:val="24"/>
                          </w:rPr>
                          <w:t>Iš viso:</w:t>
                        </w:r>
                      </w:p>
                    </w:tc>
                    <w:tc>
                      <w:tcPr>
                        <w:tcW w:w="1633"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5 890,40</w:t>
                        </w:r>
                      </w:p>
                    </w:tc>
                    <w:tc>
                      <w:tcPr>
                        <w:tcW w:w="1418" w:type="dxa"/>
                        <w:tcBorders>
                          <w:top w:val="single" w:sz="4" w:space="0" w:color="auto"/>
                          <w:left w:val="single" w:sz="4" w:space="0" w:color="auto"/>
                          <w:bottom w:val="single" w:sz="4" w:space="0" w:color="auto"/>
                          <w:right w:val="single" w:sz="4" w:space="0" w:color="auto"/>
                        </w:tcBorders>
                        <w:hideMark/>
                      </w:tcPr>
                      <w:p>
                        <w:pPr>
                          <w:suppressAutoHyphens/>
                          <w:textAlignment w:val="baseline"/>
                          <w:rPr>
                            <w:rFonts w:eastAsia="Calibri"/>
                            <w:bCs/>
                            <w:iCs/>
                            <w:szCs w:val="24"/>
                          </w:rPr>
                        </w:pPr>
                        <w:r>
                          <w:rPr>
                            <w:rFonts w:eastAsia="Calibri"/>
                            <w:bCs/>
                            <w:iCs/>
                            <w:szCs w:val="24"/>
                          </w:rPr>
                          <w:t>26</w:t>
                        </w:r>
                      </w:p>
                    </w:tc>
                    <w:tc>
                      <w:tcPr>
                        <w:tcW w:w="1701"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24 975,58</w:t>
                        </w:r>
                      </w:p>
                    </w:tc>
                    <w:tc>
                      <w:tcPr>
                        <w:tcW w:w="1978" w:type="dxa"/>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bCs/>
                            <w:iCs/>
                            <w:szCs w:val="24"/>
                          </w:rPr>
                        </w:pPr>
                        <w:r>
                          <w:rPr>
                            <w:rFonts w:eastAsia="Calibri"/>
                            <w:bCs/>
                            <w:iCs/>
                            <w:szCs w:val="24"/>
                          </w:rPr>
                          <w:t>98</w:t>
                        </w:r>
                      </w:p>
                    </w:tc>
                  </w:tr>
                </w:tbl>
                <w:p>
                  <w:pPr>
                    <w:suppressAutoHyphens/>
                    <w:spacing w:line="276" w:lineRule="auto"/>
                    <w:ind w:firstLine="709"/>
                    <w:textAlignment w:val="baseline"/>
                    <w:rPr>
                      <w:rFonts w:eastAsia="Calibri"/>
                      <w:b/>
                      <w:iCs/>
                      <w:szCs w:val="24"/>
                    </w:rPr>
                  </w:pPr>
                </w:p>
              </w:sdtContent>
            </w:sdt>
          </w:sdtContent>
        </w:sdt>
        <w:sdt>
          <w:sdtPr>
            <w:alias w:val="skyrius"/>
            <w:tag w:val="part_1ec6be320b3849ffb702416d9a2fbe45"/>
            <w:lock w:val="sdtLocked"/>
            <w:richText/>
          </w:sdtPr>
          <w:sdtContent>
            <w:p>
              <w:pPr>
                <w:tabs>
                  <w:tab w:val="center" w:pos="4819"/>
                  <w:tab w:val="left" w:pos="6237"/>
                  <w:tab w:val="right" w:pos="9638"/>
                </w:tabs>
                <w:jc w:val="center"/>
                <w:rPr>
                  <w:b/>
                  <w:bCs/>
                  <w:szCs w:val="24"/>
                </w:rPr>
              </w:pPr>
              <w:sdt>
                <w:sdtPr>
                  <w:alias w:val="Numeris"/>
                  <w:tag w:val="nr_1ec6be320b3849ffb702416d9a2fbe45"/>
                  <w:lock w:val="sdtLocked"/>
                  <w:richText/>
                </w:sdtPr>
                <w:sdtContent>
                  <w:r>
                    <w:rPr>
                      <w:b/>
                      <w:bCs/>
                      <w:szCs w:val="24"/>
                    </w:rPr>
                    <w:t>V</w:t>
                  </w:r>
                </w:sdtContent>
              </w:sdt>
              <w:r>
                <w:rPr>
                  <w:b/>
                  <w:bCs/>
                  <w:szCs w:val="24"/>
                </w:rPr>
                <w:t xml:space="preserve"> SKYRIUS</w:t>
              </w:r>
            </w:p>
            <w:p>
              <w:pPr>
                <w:tabs>
                  <w:tab w:val="center" w:pos="4819"/>
                  <w:tab w:val="left" w:pos="6237"/>
                  <w:tab w:val="right" w:pos="9638"/>
                </w:tabs>
                <w:jc w:val="center"/>
                <w:rPr>
                  <w:b/>
                  <w:bCs/>
                  <w:szCs w:val="24"/>
                </w:rPr>
              </w:pPr>
              <w:sdt>
                <w:sdtPr>
                  <w:alias w:val="Pavadinimas"/>
                  <w:tag w:val="title_1ec6be320b3849ffb702416d9a2fbe45"/>
                  <w:lock w:val="sdtLocked"/>
                  <w:richText/>
                </w:sdtPr>
                <w:sdtContent>
                  <w:r>
                    <w:rPr>
                      <w:b/>
                      <w:bCs/>
                      <w:szCs w:val="24"/>
                    </w:rPr>
                    <w:t>PERSPEKTYVOS</w:t>
                  </w:r>
                </w:sdtContent>
              </w:sdt>
            </w:p>
            <w:p>
              <w:pPr>
                <w:tabs>
                  <w:tab w:val="center" w:pos="4819"/>
                  <w:tab w:val="left" w:pos="6237"/>
                  <w:tab w:val="right" w:pos="9638"/>
                </w:tabs>
                <w:rPr>
                  <w:b/>
                  <w:bCs/>
                  <w:szCs w:val="24"/>
                </w:rPr>
              </w:pPr>
            </w:p>
            <w:p>
              <w:pPr>
                <w:tabs>
                  <w:tab w:val="center" w:pos="4819"/>
                  <w:tab w:val="left" w:pos="6237"/>
                  <w:tab w:val="right" w:pos="9638"/>
                </w:tabs>
                <w:ind w:firstLine="851"/>
                <w:rPr>
                  <w:szCs w:val="24"/>
                </w:rPr>
              </w:pPr>
              <w:r>
                <w:rPr>
                  <w:szCs w:val="24"/>
                </w:rPr>
                <w:t xml:space="preserve">Savivaldybės administracija sieks įgyvendinti 2026 metams išsikeltus tikslus ir uždavinius, laiku ir tinkamai atlikti suplanuotus darbus, neviršijant skirto biudžeto. 2026 metais toliau bus tęsiami infrastruktūros ir kiti projektai, kurių dėl užsitęsusių procedūrų nepavyko įgyvendinti 2025 metais. </w:t>
              </w:r>
            </w:p>
            <w:p>
              <w:pPr>
                <w:tabs>
                  <w:tab w:val="center" w:pos="4819"/>
                  <w:tab w:val="left" w:pos="6237"/>
                  <w:tab w:val="right" w:pos="9638"/>
                </w:tabs>
                <w:ind w:firstLine="851"/>
                <w:rPr>
                  <w:szCs w:val="24"/>
                </w:rPr>
              </w:pPr>
              <w:r>
                <w:rPr>
                  <w:szCs w:val="24"/>
                </w:rPr>
                <w:t>Išsikelti tikslai ir suplanuoti darbai yra susieti su Radviliškio rajono savivaldybės 2026–2028 m. strateginiame veiklos plane numatytais tikslais ir su 2022–2030 m. Šiaulių regiono plėtros plane 2026 m. numatytomis priemonėmis.</w:t>
              </w:r>
            </w:p>
            <w:p>
              <w:pPr>
                <w:tabs>
                  <w:tab w:val="center" w:pos="4819"/>
                  <w:tab w:val="left" w:pos="6237"/>
                  <w:tab w:val="right" w:pos="9638"/>
                </w:tabs>
                <w:ind w:firstLine="851"/>
                <w:rPr>
                  <w:color w:val="808080"/>
                  <w:szCs w:val="24"/>
                </w:rPr>
              </w:pPr>
            </w:p>
            <w:p>
              <w:pPr>
                <w:tabs>
                  <w:tab w:val="center" w:pos="4819"/>
                  <w:tab w:val="left" w:pos="6237"/>
                  <w:tab w:val="right" w:pos="9638"/>
                </w:tabs>
                <w:rPr>
                  <w:color w:val="808080"/>
                  <w:szCs w:val="24"/>
                </w:rPr>
              </w:pPr>
            </w:p>
            <w:sdt>
              <w:sdtPr>
                <w:alias w:val="poskyris"/>
                <w:tag w:val="part_516c713cf25445dca70f278307a8c60c"/>
                <w:lock w:val="sdtLocked"/>
                <w:richText/>
              </w:sdtPr>
              <w:sdtContent>
                <w:p>
                  <w:pPr>
                    <w:tabs>
                      <w:tab w:val="center" w:pos="4819"/>
                      <w:tab w:val="left" w:pos="6237"/>
                      <w:tab w:val="right" w:pos="9638"/>
                    </w:tabs>
                    <w:jc w:val="center"/>
                    <w:rPr>
                      <w:b/>
                      <w:bCs/>
                      <w:szCs w:val="24"/>
                    </w:rPr>
                  </w:pPr>
                  <w:sdt>
                    <w:sdtPr>
                      <w:alias w:val="Pavadinimas"/>
                      <w:tag w:val="title_516c713cf25445dca70f278307a8c60c"/>
                      <w:lock w:val="sdtLocked"/>
                      <w:richText/>
                    </w:sdtPr>
                    <w:sdtContent>
                      <w:r>
                        <w:rPr>
                          <w:b/>
                          <w:bCs/>
                          <w:szCs w:val="24"/>
                        </w:rPr>
                        <w:t>ĮMONĖS IR ĮSTAIGOS</w:t>
                      </w:r>
                    </w:sdtContent>
                  </w:sdt>
                </w:p>
                <w:p>
                  <w:pPr>
                    <w:tabs>
                      <w:tab w:val="center" w:pos="4819"/>
                      <w:tab w:val="left" w:pos="6237"/>
                      <w:tab w:val="right" w:pos="9638"/>
                    </w:tabs>
                    <w:ind w:firstLine="851"/>
                    <w:jc w:val="center"/>
                    <w:rPr>
                      <w:szCs w:val="24"/>
                    </w:rPr>
                  </w:pPr>
                </w:p>
              </w:sdtContent>
            </w:sdt>
            <w:sdt>
              <w:sdtPr>
                <w:alias w:val="poskyris"/>
                <w:tag w:val="part_94acc5f09e834dc7be5151739168a424"/>
                <w:lock w:val="sdtLocked"/>
                <w:richText/>
              </w:sdtPr>
              <w:sdtContent>
                <w:p>
                  <w:pPr>
                    <w:jc w:val="center"/>
                    <w:rPr>
                      <w:b/>
                      <w:bCs/>
                      <w:szCs w:val="24"/>
                    </w:rPr>
                  </w:pPr>
                  <w:sdt>
                    <w:sdtPr>
                      <w:alias w:val="Pavadinimas"/>
                      <w:tag w:val="title_94acc5f09e834dc7be5151739168a424"/>
                      <w:lock w:val="sdtLocked"/>
                      <w:richText/>
                    </w:sdtPr>
                    <w:sdtContent>
                      <w:r>
                        <w:rPr>
                          <w:b/>
                          <w:bCs/>
                          <w:szCs w:val="24"/>
                        </w:rPr>
                        <w:t>KULTŪROS IR TURIZMO ĮSTAIGOS</w:t>
                      </w:r>
                    </w:sdtContent>
                  </w:sdt>
                </w:p>
                <w:p>
                  <w:pPr>
                    <w:ind w:firstLine="851"/>
                    <w:rPr>
                      <w:color w:val="000000"/>
                      <w:szCs w:val="24"/>
                    </w:rPr>
                  </w:pPr>
                </w:p>
                <w:p>
                  <w:pPr>
                    <w:ind w:firstLine="851"/>
                    <w:rPr>
                      <w:color w:val="000000"/>
                      <w:szCs w:val="24"/>
                    </w:rPr>
                  </w:pPr>
                  <w:r>
                    <w:rPr>
                      <w:color w:val="000000"/>
                      <w:szCs w:val="24"/>
                    </w:rPr>
                    <w:t>Radviliškio rajonas gali didžiuotis gausia kultūrine įvairove, kurioje svarbų vaidmenį atlieka kultūros ir turizmo įstaigos, aktyviai prisidedančios prie bendruomenės gyvenimo, kultūrinės pažangos ir tradicijų puoselėjimo. Šios įstaigos ne tik siūlo plačią paslaugų ir renginių įvairovę, bet ir prisideda prie rajono kultūrinės tapatybės išsaugojimo bei sklaidos.</w:t>
                  </w:r>
                </w:p>
                <w:p>
                  <w:pPr>
                    <w:rPr>
                      <w:i/>
                      <w:iCs/>
                      <w:color w:val="FF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tc>
                      <w:tcPr>
                        <w:tcW w:w="9634" w:type="dxa"/>
                        <w:shd w:val="clear" w:color="auto" w:fill="F2F2F2" w:themeFill="background1" w:themeFillShade="F2"/>
                      </w:tcPr>
                      <w:p>
                        <w:pPr>
                          <w:rPr>
                            <w:b/>
                            <w:bCs/>
                            <w:szCs w:val="24"/>
                          </w:rPr>
                        </w:pPr>
                        <w:r>
                          <w:rPr>
                            <w:b/>
                            <w:bCs/>
                            <w:szCs w:val="24"/>
                          </w:rPr>
                          <w:t>Kultūros ir turizmo įstaigų tinklas Radviliškio rajono savivaldybėje</w:t>
                        </w:r>
                      </w:p>
                    </w:tc>
                  </w:tr>
                  <w:tr>
                    <w:tc>
                      <w:tcPr>
                        <w:tcW w:w="9634" w:type="dxa"/>
                      </w:tcPr>
                      <w:p>
                        <w:pPr>
                          <w:ind w:left="720" w:hanging="360"/>
                          <w:rPr>
                            <w:sz w:val="22"/>
                            <w:szCs w:val="24"/>
                          </w:rPr>
                        </w:pPr>
                        <w:r>
                          <w:rPr>
                            <w:rFonts w:ascii="Symbol" w:hAnsi="Symbol"/>
                            <w:szCs w:val="24"/>
                          </w:rPr>
                          <w:t></w:t>
                          <w:tab/>
                        </w:r>
                        <w:r>
                          <w:rPr>
                            <w:sz w:val="22"/>
                            <w:szCs w:val="24"/>
                          </w:rPr>
                          <w:t>Radviliškio rajono savivaldybės viešoji biblioteka (24 struktūriniai teritoriniai padaliniai);</w:t>
                        </w:r>
                      </w:p>
                      <w:p>
                        <w:pPr>
                          <w:ind w:left="720" w:hanging="360"/>
                          <w:rPr>
                            <w:sz w:val="22"/>
                            <w:szCs w:val="24"/>
                          </w:rPr>
                        </w:pPr>
                        <w:r>
                          <w:rPr>
                            <w:rFonts w:ascii="Symbol" w:hAnsi="Symbol"/>
                            <w:szCs w:val="24"/>
                          </w:rPr>
                          <w:t></w:t>
                          <w:tab/>
                        </w:r>
                        <w:r>
                          <w:rPr>
                            <w:sz w:val="22"/>
                            <w:szCs w:val="24"/>
                          </w:rPr>
                          <w:t>Radviliškio miesto kultūros centras (8 struktūriniai teritoriniai padaliniai ir 1 filialas);</w:t>
                        </w:r>
                      </w:p>
                      <w:p>
                        <w:pPr>
                          <w:ind w:left="720" w:hanging="360"/>
                          <w:rPr>
                            <w:sz w:val="22"/>
                            <w:szCs w:val="24"/>
                          </w:rPr>
                        </w:pPr>
                        <w:r>
                          <w:rPr>
                            <w:rFonts w:ascii="Symbol" w:hAnsi="Symbol"/>
                            <w:szCs w:val="24"/>
                          </w:rPr>
                          <w:t></w:t>
                          <w:tab/>
                        </w:r>
                        <w:r>
                          <w:rPr>
                            <w:sz w:val="22"/>
                            <w:szCs w:val="24"/>
                          </w:rPr>
                          <w:t>Šeduvos kultūros ir amatų centras (6 struktūriniai teritoriniai padaliniai);</w:t>
                        </w:r>
                      </w:p>
                      <w:p>
                        <w:pPr>
                          <w:ind w:left="720" w:hanging="360"/>
                          <w:rPr>
                            <w:sz w:val="22"/>
                            <w:szCs w:val="24"/>
                          </w:rPr>
                        </w:pPr>
                        <w:r>
                          <w:rPr>
                            <w:rFonts w:ascii="Symbol" w:hAnsi="Symbol"/>
                            <w:szCs w:val="24"/>
                          </w:rPr>
                          <w:t></w:t>
                          <w:tab/>
                        </w:r>
                        <w:r>
                          <w:rPr>
                            <w:sz w:val="22"/>
                            <w:szCs w:val="24"/>
                          </w:rPr>
                          <w:t>Radviliškio r. Baisogalos kultūros centras (4 struktūriniai teritoriniai padaliniai);</w:t>
                        </w:r>
                      </w:p>
                      <w:p>
                        <w:pPr>
                          <w:ind w:left="720" w:hanging="360"/>
                          <w:rPr>
                            <w:sz w:val="22"/>
                            <w:szCs w:val="24"/>
                          </w:rPr>
                        </w:pPr>
                        <w:r>
                          <w:rPr>
                            <w:rFonts w:ascii="Symbol" w:hAnsi="Symbol"/>
                            <w:szCs w:val="24"/>
                          </w:rPr>
                          <w:t></w:t>
                          <w:tab/>
                        </w:r>
                        <w:r>
                          <w:rPr>
                            <w:sz w:val="22"/>
                            <w:szCs w:val="24"/>
                          </w:rPr>
                          <w:t>Daugyvenės kultūros istorijos muziejus-draustinis (4 struktūriniai padaliniai);</w:t>
                        </w:r>
                      </w:p>
                      <w:p>
                        <w:pPr>
                          <w:ind w:left="720" w:hanging="360"/>
                          <w:rPr>
                            <w:sz w:val="22"/>
                            <w:szCs w:val="24"/>
                          </w:rPr>
                        </w:pPr>
                        <w:r>
                          <w:rPr>
                            <w:rFonts w:ascii="Symbol" w:hAnsi="Symbol"/>
                            <w:szCs w:val="24"/>
                          </w:rPr>
                          <w:t></w:t>
                          <w:tab/>
                        </w:r>
                        <w:r>
                          <w:rPr>
                            <w:sz w:val="22"/>
                            <w:szCs w:val="24"/>
                          </w:rPr>
                          <w:t>Radviliškio turizmo informacijos centras.</w:t>
                        </w:r>
                      </w:p>
                    </w:tc>
                  </w:tr>
                </w:tbl>
                <w:p>
                  <w:pPr>
                    <w:rPr>
                      <w:b/>
                      <w:bCs/>
                      <w:szCs w:val="24"/>
                    </w:rPr>
                  </w:pPr>
                </w:p>
              </w:sdtContent>
            </w:sdt>
            <w:sdt>
              <w:sdtPr>
                <w:alias w:val="poskyris"/>
                <w:tag w:val="part_a1efc74ffd9444e3b8da414e5568a0bb"/>
                <w:lock w:val="sdtLocked"/>
                <w:richText/>
              </w:sdtPr>
              <w:sdtContent>
                <w:p>
                  <w:pPr>
                    <w:rPr>
                      <w:b/>
                      <w:bCs/>
                      <w:szCs w:val="24"/>
                    </w:rPr>
                  </w:pPr>
                  <w:sdt>
                    <w:sdtPr>
                      <w:alias w:val="Pavadinimas"/>
                      <w:tag w:val="title_a1efc74ffd9444e3b8da414e5568a0bb"/>
                      <w:lock w:val="sdtLocked"/>
                      <w:richText/>
                    </w:sdtPr>
                    <w:sdtContent>
                      <w:r>
                        <w:rPr>
                          <w:b/>
                          <w:bCs/>
                          <w:szCs w:val="24"/>
                        </w:rPr>
                        <w:t>Bendra informacija apie kultūros ir turizmo įstaigas</w:t>
                      </w:r>
                    </w:sdtContent>
                  </w:sdt>
                </w:p>
                <w:p>
                  <w:pPr>
                    <w:rPr>
                      <w:b/>
                      <w:bCs/>
                      <w:szCs w:val="24"/>
                    </w:rPr>
                  </w:pPr>
                </w:p>
                <w:p>
                  <w:pPr>
                    <w:ind w:firstLine="851"/>
                    <w:rPr>
                      <w:szCs w:val="24"/>
                    </w:rPr>
                  </w:pPr>
                  <w:r>
                    <w:rPr>
                      <w:szCs w:val="24"/>
                    </w:rPr>
                    <w:t>Ši lentelė pateikia informaciją apie kultūros ir turizmo įstaigų veiklą ir žmogiškuosius išteklius. Ji apima duomenis apie renginių ir lankytojų santykį, įgyvendintų projektų skaičių, organizuotų veiklų (renginių) ir lankytojų skaičių, taip pat darbuotojų ir pareigybių skaičių, bei kvalifikacijos kėlimo duomenis. Tai leidžia analizuoti įstaigų veiklos apimtį ir žmogiškųjų išteklių naudojimą.</w:t>
                  </w:r>
                </w:p>
                <w:p>
                  <w:pPr>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059"/>
                    <w:gridCol w:w="1314"/>
                    <w:gridCol w:w="1149"/>
                    <w:gridCol w:w="1149"/>
                    <w:gridCol w:w="1141"/>
                    <w:gridCol w:w="1275"/>
                  </w:tblGrid>
                  <w:tr>
                    <w:trPr>
                      <w:trHeight w:val="250"/>
                    </w:trPr>
                    <w:tc>
                      <w:tcPr>
                        <w:tcW w:w="2547" w:type="dxa"/>
                        <w:vMerge w:val="restart"/>
                        <w:vAlign w:val="center"/>
                      </w:tcPr>
                      <w:p>
                        <w:pPr>
                          <w:rPr>
                            <w:sz w:val="22"/>
                            <w:szCs w:val="22"/>
                          </w:rPr>
                        </w:pPr>
                        <w:r>
                          <w:rPr>
                            <w:sz w:val="22"/>
                            <w:szCs w:val="22"/>
                          </w:rPr>
                          <w:t>Įstaigos pavadinimas</w:t>
                        </w:r>
                      </w:p>
                    </w:tc>
                    <w:tc>
                      <w:tcPr>
                        <w:tcW w:w="2373" w:type="dxa"/>
                        <w:gridSpan w:val="2"/>
                        <w:vAlign w:val="center"/>
                      </w:tcPr>
                      <w:p>
                        <w:pPr>
                          <w:rPr>
                            <w:sz w:val="22"/>
                            <w:szCs w:val="22"/>
                          </w:rPr>
                        </w:pPr>
                        <w:r>
                          <w:rPr>
                            <w:sz w:val="22"/>
                            <w:szCs w:val="22"/>
                          </w:rPr>
                          <w:t>Renginių ir lankytojų santykis</w:t>
                        </w:r>
                      </w:p>
                    </w:tc>
                    <w:tc>
                      <w:tcPr>
                        <w:tcW w:w="1149" w:type="dxa"/>
                        <w:vMerge w:val="restart"/>
                        <w:vAlign w:val="center"/>
                      </w:tcPr>
                      <w:p>
                        <w:pPr>
                          <w:rPr>
                            <w:sz w:val="22"/>
                            <w:szCs w:val="22"/>
                          </w:rPr>
                        </w:pPr>
                        <w:r>
                          <w:rPr>
                            <w:sz w:val="22"/>
                            <w:szCs w:val="22"/>
                          </w:rPr>
                          <w:t>Įgyvendintų projektų skaičius</w:t>
                        </w:r>
                      </w:p>
                    </w:tc>
                    <w:tc>
                      <w:tcPr>
                        <w:tcW w:w="3565" w:type="dxa"/>
                        <w:gridSpan w:val="3"/>
                        <w:vAlign w:val="center"/>
                      </w:tcPr>
                      <w:p>
                        <w:pPr>
                          <w:rPr>
                            <w:sz w:val="22"/>
                            <w:szCs w:val="22"/>
                          </w:rPr>
                        </w:pPr>
                        <w:r>
                          <w:rPr>
                            <w:sz w:val="22"/>
                            <w:szCs w:val="22"/>
                          </w:rPr>
                          <w:t>Žmogiškieji ištekliai</w:t>
                        </w:r>
                      </w:p>
                    </w:tc>
                  </w:tr>
                  <w:tr>
                    <w:trPr>
                      <w:trHeight w:val="142"/>
                    </w:trPr>
                    <w:tc>
                      <w:tcPr>
                        <w:tcW w:w="2547" w:type="dxa"/>
                        <w:vMerge/>
                      </w:tcPr>
                      <w:p>
                        <w:pPr>
                          <w:rPr>
                            <w:sz w:val="22"/>
                            <w:szCs w:val="22"/>
                          </w:rPr>
                        </w:pPr>
                      </w:p>
                    </w:tc>
                    <w:tc>
                      <w:tcPr>
                        <w:tcW w:w="1059" w:type="dxa"/>
                        <w:vAlign w:val="center"/>
                      </w:tcPr>
                      <w:p>
                        <w:pPr>
                          <w:rPr>
                            <w:sz w:val="22"/>
                            <w:szCs w:val="22"/>
                          </w:rPr>
                        </w:pPr>
                        <w:r>
                          <w:rPr>
                            <w:sz w:val="22"/>
                            <w:szCs w:val="22"/>
                          </w:rPr>
                          <w:t>Veiklų (renginių) skaičius</w:t>
                        </w:r>
                      </w:p>
                    </w:tc>
                    <w:tc>
                      <w:tcPr>
                        <w:tcW w:w="1314" w:type="dxa"/>
                        <w:vAlign w:val="center"/>
                      </w:tcPr>
                      <w:p>
                        <w:pPr>
                          <w:rPr>
                            <w:sz w:val="22"/>
                            <w:szCs w:val="22"/>
                          </w:rPr>
                        </w:pPr>
                        <w:r>
                          <w:rPr>
                            <w:sz w:val="22"/>
                            <w:szCs w:val="22"/>
                          </w:rPr>
                          <w:t>Lankytojų skaičius</w:t>
                        </w:r>
                      </w:p>
                    </w:tc>
                    <w:tc>
                      <w:tcPr>
                        <w:tcW w:w="1149" w:type="dxa"/>
                        <w:vMerge/>
                        <w:vAlign w:val="center"/>
                      </w:tcPr>
                      <w:p>
                        <w:pPr>
                          <w:rPr>
                            <w:sz w:val="22"/>
                            <w:szCs w:val="22"/>
                          </w:rPr>
                        </w:pPr>
                      </w:p>
                    </w:tc>
                    <w:tc>
                      <w:tcPr>
                        <w:tcW w:w="1149" w:type="dxa"/>
                        <w:vAlign w:val="center"/>
                      </w:tcPr>
                      <w:p>
                        <w:pPr>
                          <w:rPr>
                            <w:sz w:val="22"/>
                            <w:szCs w:val="22"/>
                          </w:rPr>
                        </w:pPr>
                        <w:r>
                          <w:rPr>
                            <w:sz w:val="22"/>
                            <w:szCs w:val="22"/>
                          </w:rPr>
                          <w:t>Darbuotojų skaičius</w:t>
                        </w:r>
                      </w:p>
                    </w:tc>
                    <w:tc>
                      <w:tcPr>
                        <w:tcW w:w="1141" w:type="dxa"/>
                        <w:vAlign w:val="center"/>
                      </w:tcPr>
                      <w:p>
                        <w:pPr>
                          <w:rPr>
                            <w:sz w:val="22"/>
                            <w:szCs w:val="22"/>
                          </w:rPr>
                        </w:pPr>
                        <w:r>
                          <w:rPr>
                            <w:sz w:val="22"/>
                            <w:szCs w:val="22"/>
                          </w:rPr>
                          <w:t>Pareigybių skaičius</w:t>
                        </w:r>
                      </w:p>
                    </w:tc>
                    <w:tc>
                      <w:tcPr>
                        <w:tcW w:w="1275" w:type="dxa"/>
                        <w:vAlign w:val="center"/>
                      </w:tcPr>
                      <w:p>
                        <w:pPr>
                          <w:rPr>
                            <w:sz w:val="22"/>
                            <w:szCs w:val="22"/>
                          </w:rPr>
                        </w:pPr>
                        <w:r>
                          <w:rPr>
                            <w:sz w:val="22"/>
                            <w:szCs w:val="22"/>
                          </w:rPr>
                          <w:t>Darbuotojų, kėlusių kvalifikaciją skaičius</w:t>
                        </w:r>
                      </w:p>
                    </w:tc>
                  </w:tr>
                  <w:tr>
                    <w:trPr>
                      <w:trHeight w:val="739"/>
                    </w:trPr>
                    <w:tc>
                      <w:tcPr>
                        <w:tcW w:w="2547" w:type="dxa"/>
                        <w:vAlign w:val="center"/>
                      </w:tcPr>
                      <w:p>
                        <w:pPr>
                          <w:rPr>
                            <w:sz w:val="22"/>
                            <w:szCs w:val="22"/>
                          </w:rPr>
                        </w:pPr>
                        <w:r>
                          <w:rPr>
                            <w:sz w:val="22"/>
                            <w:szCs w:val="22"/>
                          </w:rPr>
                          <w:t>Radviliškio rajono savivaldybės viešoji biblioteka</w:t>
                        </w:r>
                      </w:p>
                    </w:tc>
                    <w:tc>
                      <w:tcPr>
                        <w:tcW w:w="1059" w:type="dxa"/>
                        <w:vAlign w:val="center"/>
                      </w:tcPr>
                      <w:p>
                        <w:pPr>
                          <w:rPr>
                            <w:sz w:val="22"/>
                            <w:szCs w:val="22"/>
                          </w:rPr>
                        </w:pPr>
                        <w:r>
                          <w:rPr>
                            <w:sz w:val="22"/>
                            <w:szCs w:val="22"/>
                          </w:rPr>
                          <w:t>1397</w:t>
                        </w:r>
                      </w:p>
                    </w:tc>
                    <w:tc>
                      <w:tcPr>
                        <w:tcW w:w="1314" w:type="dxa"/>
                        <w:vAlign w:val="center"/>
                      </w:tcPr>
                      <w:p>
                        <w:pPr>
                          <w:rPr>
                            <w:sz w:val="22"/>
                            <w:szCs w:val="22"/>
                          </w:rPr>
                        </w:pPr>
                        <w:r>
                          <w:rPr>
                            <w:sz w:val="22"/>
                            <w:szCs w:val="22"/>
                          </w:rPr>
                          <w:t>30 480</w:t>
                        </w:r>
                      </w:p>
                    </w:tc>
                    <w:tc>
                      <w:tcPr>
                        <w:tcW w:w="1149" w:type="dxa"/>
                        <w:vAlign w:val="center"/>
                      </w:tcPr>
                      <w:p>
                        <w:pPr>
                          <w:rPr>
                            <w:sz w:val="22"/>
                            <w:szCs w:val="22"/>
                          </w:rPr>
                        </w:pPr>
                        <w:r>
                          <w:rPr>
                            <w:sz w:val="22"/>
                            <w:szCs w:val="22"/>
                          </w:rPr>
                          <w:t>10</w:t>
                        </w:r>
                      </w:p>
                    </w:tc>
                    <w:tc>
                      <w:tcPr>
                        <w:tcW w:w="1149" w:type="dxa"/>
                        <w:vAlign w:val="center"/>
                      </w:tcPr>
                      <w:p>
                        <w:pPr>
                          <w:rPr>
                            <w:sz w:val="22"/>
                            <w:szCs w:val="22"/>
                          </w:rPr>
                        </w:pPr>
                        <w:r>
                          <w:rPr>
                            <w:sz w:val="22"/>
                            <w:szCs w:val="22"/>
                          </w:rPr>
                          <w:t>62</w:t>
                        </w:r>
                      </w:p>
                    </w:tc>
                    <w:tc>
                      <w:tcPr>
                        <w:tcW w:w="1141" w:type="dxa"/>
                        <w:vAlign w:val="center"/>
                      </w:tcPr>
                      <w:p>
                        <w:pPr>
                          <w:rPr>
                            <w:sz w:val="22"/>
                            <w:szCs w:val="22"/>
                          </w:rPr>
                        </w:pPr>
                        <w:r>
                          <w:rPr>
                            <w:sz w:val="22"/>
                            <w:szCs w:val="22"/>
                          </w:rPr>
                          <w:t>54,75</w:t>
                        </w:r>
                      </w:p>
                    </w:tc>
                    <w:tc>
                      <w:tcPr>
                        <w:tcW w:w="1275" w:type="dxa"/>
                        <w:vAlign w:val="center"/>
                      </w:tcPr>
                      <w:p>
                        <w:pPr>
                          <w:rPr>
                            <w:color w:val="EE0000"/>
                            <w:sz w:val="22"/>
                            <w:szCs w:val="22"/>
                          </w:rPr>
                        </w:pPr>
                        <w:r>
                          <w:rPr>
                            <w:sz w:val="22"/>
                            <w:szCs w:val="22"/>
                          </w:rPr>
                          <w:t>57</w:t>
                        </w:r>
                      </w:p>
                    </w:tc>
                  </w:tr>
                  <w:tr>
                    <w:trPr>
                      <w:trHeight w:val="501"/>
                    </w:trPr>
                    <w:tc>
                      <w:tcPr>
                        <w:tcW w:w="2547" w:type="dxa"/>
                        <w:vAlign w:val="center"/>
                      </w:tcPr>
                      <w:p>
                        <w:pPr>
                          <w:rPr>
                            <w:sz w:val="22"/>
                            <w:szCs w:val="22"/>
                          </w:rPr>
                        </w:pPr>
                        <w:r>
                          <w:rPr>
                            <w:sz w:val="22"/>
                            <w:szCs w:val="22"/>
                          </w:rPr>
                          <w:t>Radviliškio miesto kultūros centras</w:t>
                        </w:r>
                      </w:p>
                    </w:tc>
                    <w:tc>
                      <w:tcPr>
                        <w:tcW w:w="1059" w:type="dxa"/>
                        <w:vAlign w:val="center"/>
                      </w:tcPr>
                      <w:p>
                        <w:pPr>
                          <w:rPr>
                            <w:sz w:val="22"/>
                            <w:szCs w:val="22"/>
                          </w:rPr>
                        </w:pPr>
                        <w:r>
                          <w:rPr>
                            <w:sz w:val="22"/>
                            <w:szCs w:val="22"/>
                          </w:rPr>
                          <w:t>648</w:t>
                        </w:r>
                      </w:p>
                    </w:tc>
                    <w:tc>
                      <w:tcPr>
                        <w:tcW w:w="1314" w:type="dxa"/>
                        <w:vAlign w:val="center"/>
                      </w:tcPr>
                      <w:p>
                        <w:pPr>
                          <w:rPr>
                            <w:sz w:val="22"/>
                            <w:szCs w:val="22"/>
                          </w:rPr>
                        </w:pPr>
                        <w:r>
                          <w:rPr>
                            <w:sz w:val="22"/>
                            <w:szCs w:val="22"/>
                          </w:rPr>
                          <w:t>128 729</w:t>
                        </w:r>
                      </w:p>
                    </w:tc>
                    <w:tc>
                      <w:tcPr>
                        <w:tcW w:w="1149" w:type="dxa"/>
                        <w:vAlign w:val="center"/>
                      </w:tcPr>
                      <w:p>
                        <w:pPr>
                          <w:rPr>
                            <w:sz w:val="22"/>
                            <w:szCs w:val="22"/>
                          </w:rPr>
                        </w:pPr>
                        <w:r>
                          <w:rPr>
                            <w:sz w:val="22"/>
                            <w:szCs w:val="22"/>
                          </w:rPr>
                          <w:t>12</w:t>
                        </w:r>
                      </w:p>
                    </w:tc>
                    <w:tc>
                      <w:tcPr>
                        <w:tcW w:w="1149" w:type="dxa"/>
                        <w:vAlign w:val="center"/>
                      </w:tcPr>
                      <w:p>
                        <w:pPr>
                          <w:rPr>
                            <w:sz w:val="22"/>
                            <w:szCs w:val="22"/>
                          </w:rPr>
                        </w:pPr>
                        <w:r>
                          <w:rPr>
                            <w:sz w:val="22"/>
                            <w:szCs w:val="22"/>
                          </w:rPr>
                          <w:t>54</w:t>
                        </w:r>
                      </w:p>
                    </w:tc>
                    <w:tc>
                      <w:tcPr>
                        <w:tcW w:w="1141" w:type="dxa"/>
                        <w:vAlign w:val="center"/>
                      </w:tcPr>
                      <w:p>
                        <w:pPr>
                          <w:rPr>
                            <w:sz w:val="22"/>
                            <w:szCs w:val="22"/>
                          </w:rPr>
                        </w:pPr>
                        <w:r>
                          <w:rPr>
                            <w:sz w:val="22"/>
                            <w:szCs w:val="22"/>
                          </w:rPr>
                          <w:t>31</w:t>
                        </w:r>
                      </w:p>
                    </w:tc>
                    <w:tc>
                      <w:tcPr>
                        <w:tcW w:w="1275" w:type="dxa"/>
                        <w:vAlign w:val="center"/>
                      </w:tcPr>
                      <w:p>
                        <w:pPr>
                          <w:rPr>
                            <w:sz w:val="22"/>
                            <w:szCs w:val="22"/>
                          </w:rPr>
                        </w:pPr>
                        <w:r>
                          <w:rPr>
                            <w:sz w:val="22"/>
                            <w:szCs w:val="22"/>
                          </w:rPr>
                          <w:t>39</w:t>
                        </w:r>
                      </w:p>
                    </w:tc>
                  </w:tr>
                  <w:tr>
                    <w:trPr>
                      <w:trHeight w:val="489"/>
                    </w:trPr>
                    <w:tc>
                      <w:tcPr>
                        <w:tcW w:w="2547" w:type="dxa"/>
                        <w:vAlign w:val="center"/>
                      </w:tcPr>
                      <w:p>
                        <w:pPr>
                          <w:rPr>
                            <w:sz w:val="22"/>
                            <w:szCs w:val="22"/>
                          </w:rPr>
                        </w:pPr>
                        <w:r>
                          <w:rPr>
                            <w:sz w:val="22"/>
                            <w:szCs w:val="22"/>
                          </w:rPr>
                          <w:t>Šeduvos kultūros ir amatų centras</w:t>
                        </w:r>
                      </w:p>
                    </w:tc>
                    <w:tc>
                      <w:tcPr>
                        <w:tcW w:w="1059" w:type="dxa"/>
                        <w:vAlign w:val="center"/>
                      </w:tcPr>
                      <w:p>
                        <w:pPr>
                          <w:rPr>
                            <w:sz w:val="22"/>
                            <w:szCs w:val="22"/>
                          </w:rPr>
                        </w:pPr>
                        <w:r>
                          <w:rPr>
                            <w:sz w:val="22"/>
                            <w:szCs w:val="22"/>
                          </w:rPr>
                          <w:t>313</w:t>
                        </w:r>
                      </w:p>
                    </w:tc>
                    <w:tc>
                      <w:tcPr>
                        <w:tcW w:w="1314" w:type="dxa"/>
                        <w:vAlign w:val="center"/>
                      </w:tcPr>
                      <w:p>
                        <w:pPr>
                          <w:rPr>
                            <w:sz w:val="22"/>
                            <w:szCs w:val="22"/>
                          </w:rPr>
                        </w:pPr>
                        <w:r>
                          <w:rPr>
                            <w:sz w:val="22"/>
                            <w:szCs w:val="22"/>
                          </w:rPr>
                          <w:t>24 392</w:t>
                        </w:r>
                      </w:p>
                    </w:tc>
                    <w:tc>
                      <w:tcPr>
                        <w:tcW w:w="1149" w:type="dxa"/>
                        <w:vAlign w:val="center"/>
                      </w:tcPr>
                      <w:p>
                        <w:pPr>
                          <w:rPr>
                            <w:color w:val="EE0000"/>
                            <w:sz w:val="22"/>
                            <w:szCs w:val="22"/>
                          </w:rPr>
                        </w:pPr>
                        <w:r>
                          <w:rPr>
                            <w:sz w:val="22"/>
                            <w:szCs w:val="22"/>
                          </w:rPr>
                          <w:t>10</w:t>
                        </w:r>
                      </w:p>
                    </w:tc>
                    <w:tc>
                      <w:tcPr>
                        <w:tcW w:w="1149" w:type="dxa"/>
                        <w:vAlign w:val="center"/>
                      </w:tcPr>
                      <w:p>
                        <w:pPr>
                          <w:rPr>
                            <w:sz w:val="22"/>
                            <w:szCs w:val="22"/>
                          </w:rPr>
                        </w:pPr>
                        <w:r>
                          <w:rPr>
                            <w:sz w:val="22"/>
                            <w:szCs w:val="22"/>
                          </w:rPr>
                          <w:t>25</w:t>
                        </w:r>
                      </w:p>
                    </w:tc>
                    <w:tc>
                      <w:tcPr>
                        <w:tcW w:w="1141" w:type="dxa"/>
                        <w:vAlign w:val="center"/>
                      </w:tcPr>
                      <w:p>
                        <w:pPr>
                          <w:rPr>
                            <w:sz w:val="22"/>
                            <w:szCs w:val="22"/>
                          </w:rPr>
                        </w:pPr>
                        <w:r>
                          <w:rPr>
                            <w:sz w:val="22"/>
                            <w:szCs w:val="22"/>
                          </w:rPr>
                          <w:t>19</w:t>
                        </w:r>
                      </w:p>
                    </w:tc>
                    <w:tc>
                      <w:tcPr>
                        <w:tcW w:w="1275" w:type="dxa"/>
                        <w:vAlign w:val="center"/>
                      </w:tcPr>
                      <w:p>
                        <w:pPr>
                          <w:rPr>
                            <w:sz w:val="22"/>
                            <w:szCs w:val="22"/>
                          </w:rPr>
                        </w:pPr>
                        <w:r>
                          <w:rPr>
                            <w:sz w:val="22"/>
                            <w:szCs w:val="22"/>
                          </w:rPr>
                          <w:t>23</w:t>
                        </w:r>
                      </w:p>
                    </w:tc>
                  </w:tr>
                  <w:tr>
                    <w:trPr>
                      <w:trHeight w:val="250"/>
                    </w:trPr>
                    <w:tc>
                      <w:tcPr>
                        <w:tcW w:w="2547" w:type="dxa"/>
                      </w:tcPr>
                      <w:p>
                        <w:pPr>
                          <w:rPr>
                            <w:sz w:val="22"/>
                            <w:szCs w:val="22"/>
                          </w:rPr>
                        </w:pPr>
                        <w:r>
                          <w:rPr>
                            <w:sz w:val="22"/>
                            <w:szCs w:val="22"/>
                          </w:rPr>
                          <w:t>Radviliškio r. Baisogalos kultūros centras</w:t>
                        </w:r>
                      </w:p>
                    </w:tc>
                    <w:tc>
                      <w:tcPr>
                        <w:tcW w:w="1059" w:type="dxa"/>
                        <w:vAlign w:val="center"/>
                      </w:tcPr>
                      <w:p>
                        <w:pPr>
                          <w:rPr>
                            <w:sz w:val="22"/>
                            <w:szCs w:val="22"/>
                          </w:rPr>
                        </w:pPr>
                        <w:r>
                          <w:rPr>
                            <w:sz w:val="22"/>
                            <w:szCs w:val="22"/>
                          </w:rPr>
                          <w:t>285</w:t>
                        </w:r>
                      </w:p>
                    </w:tc>
                    <w:tc>
                      <w:tcPr>
                        <w:tcW w:w="1314" w:type="dxa"/>
                        <w:vAlign w:val="center"/>
                      </w:tcPr>
                      <w:p>
                        <w:pPr>
                          <w:rPr>
                            <w:sz w:val="22"/>
                            <w:szCs w:val="22"/>
                          </w:rPr>
                        </w:pPr>
                        <w:r>
                          <w:rPr>
                            <w:sz w:val="22"/>
                            <w:szCs w:val="22"/>
                          </w:rPr>
                          <w:t>40 461</w:t>
                        </w:r>
                      </w:p>
                    </w:tc>
                    <w:tc>
                      <w:tcPr>
                        <w:tcW w:w="1149" w:type="dxa"/>
                        <w:vAlign w:val="center"/>
                      </w:tcPr>
                      <w:p>
                        <w:pPr>
                          <w:rPr>
                            <w:sz w:val="22"/>
                            <w:szCs w:val="22"/>
                          </w:rPr>
                        </w:pPr>
                        <w:r>
                          <w:rPr>
                            <w:sz w:val="22"/>
                            <w:szCs w:val="22"/>
                          </w:rPr>
                          <w:t>10</w:t>
                        </w:r>
                      </w:p>
                    </w:tc>
                    <w:tc>
                      <w:tcPr>
                        <w:tcW w:w="1149" w:type="dxa"/>
                        <w:vAlign w:val="center"/>
                      </w:tcPr>
                      <w:p>
                        <w:pPr>
                          <w:rPr>
                            <w:sz w:val="22"/>
                            <w:szCs w:val="22"/>
                          </w:rPr>
                        </w:pPr>
                        <w:r>
                          <w:rPr>
                            <w:sz w:val="22"/>
                            <w:szCs w:val="22"/>
                          </w:rPr>
                          <w:t>23</w:t>
                        </w:r>
                      </w:p>
                    </w:tc>
                    <w:tc>
                      <w:tcPr>
                        <w:tcW w:w="1141" w:type="dxa"/>
                        <w:vAlign w:val="center"/>
                      </w:tcPr>
                      <w:p>
                        <w:pPr>
                          <w:rPr>
                            <w:sz w:val="22"/>
                            <w:szCs w:val="22"/>
                          </w:rPr>
                        </w:pPr>
                        <w:r>
                          <w:rPr>
                            <w:sz w:val="22"/>
                            <w:szCs w:val="22"/>
                          </w:rPr>
                          <w:t>14</w:t>
                        </w:r>
                      </w:p>
                    </w:tc>
                    <w:tc>
                      <w:tcPr>
                        <w:tcW w:w="1275" w:type="dxa"/>
                        <w:vAlign w:val="center"/>
                      </w:tcPr>
                      <w:p>
                        <w:pPr>
                          <w:rPr>
                            <w:sz w:val="22"/>
                            <w:szCs w:val="22"/>
                          </w:rPr>
                        </w:pPr>
                        <w:r>
                          <w:rPr>
                            <w:sz w:val="22"/>
                            <w:szCs w:val="22"/>
                          </w:rPr>
                          <w:t>22</w:t>
                        </w:r>
                      </w:p>
                    </w:tc>
                  </w:tr>
                  <w:tr>
                    <w:trPr>
                      <w:trHeight w:val="739"/>
                    </w:trPr>
                    <w:tc>
                      <w:tcPr>
                        <w:tcW w:w="2547" w:type="dxa"/>
                        <w:vAlign w:val="center"/>
                      </w:tcPr>
                      <w:p>
                        <w:pPr>
                          <w:rPr>
                            <w:sz w:val="22"/>
                            <w:szCs w:val="22"/>
                          </w:rPr>
                        </w:pPr>
                        <w:r>
                          <w:rPr>
                            <w:sz w:val="22"/>
                            <w:szCs w:val="22"/>
                          </w:rPr>
                          <w:t>Daugyvenės kultūros istorijos muziejus-draustinis</w:t>
                        </w:r>
                      </w:p>
                    </w:tc>
                    <w:tc>
                      <w:tcPr>
                        <w:tcW w:w="1059" w:type="dxa"/>
                        <w:vAlign w:val="center"/>
                      </w:tcPr>
                      <w:p>
                        <w:pPr>
                          <w:rPr>
                            <w:sz w:val="22"/>
                            <w:szCs w:val="22"/>
                          </w:rPr>
                        </w:pPr>
                        <w:r>
                          <w:rPr>
                            <w:sz w:val="22"/>
                            <w:szCs w:val="22"/>
                          </w:rPr>
                          <w:t>75</w:t>
                        </w:r>
                      </w:p>
                    </w:tc>
                    <w:tc>
                      <w:tcPr>
                        <w:tcW w:w="1314" w:type="dxa"/>
                        <w:vAlign w:val="center"/>
                      </w:tcPr>
                      <w:p>
                        <w:pPr>
                          <w:rPr>
                            <w:sz w:val="22"/>
                            <w:szCs w:val="22"/>
                          </w:rPr>
                        </w:pPr>
                        <w:r>
                          <w:rPr>
                            <w:sz w:val="22"/>
                            <w:szCs w:val="22"/>
                          </w:rPr>
                          <w:t>69 000</w:t>
                        </w:r>
                      </w:p>
                    </w:tc>
                    <w:tc>
                      <w:tcPr>
                        <w:tcW w:w="1149" w:type="dxa"/>
                        <w:vAlign w:val="center"/>
                      </w:tcPr>
                      <w:p>
                        <w:pPr>
                          <w:rPr>
                            <w:sz w:val="22"/>
                            <w:szCs w:val="22"/>
                          </w:rPr>
                        </w:pPr>
                        <w:r>
                          <w:rPr>
                            <w:sz w:val="22"/>
                            <w:szCs w:val="22"/>
                          </w:rPr>
                          <w:t>7</w:t>
                        </w:r>
                      </w:p>
                    </w:tc>
                    <w:tc>
                      <w:tcPr>
                        <w:tcW w:w="1149" w:type="dxa"/>
                        <w:vAlign w:val="center"/>
                      </w:tcPr>
                      <w:p>
                        <w:pPr>
                          <w:rPr>
                            <w:sz w:val="22"/>
                            <w:szCs w:val="22"/>
                          </w:rPr>
                        </w:pPr>
                        <w:r>
                          <w:rPr>
                            <w:sz w:val="22"/>
                            <w:szCs w:val="22"/>
                          </w:rPr>
                          <w:t>46</w:t>
                        </w:r>
                      </w:p>
                    </w:tc>
                    <w:tc>
                      <w:tcPr>
                        <w:tcW w:w="1141" w:type="dxa"/>
                        <w:vAlign w:val="center"/>
                      </w:tcPr>
                      <w:p>
                        <w:pPr>
                          <w:rPr>
                            <w:sz w:val="22"/>
                            <w:szCs w:val="22"/>
                          </w:rPr>
                        </w:pPr>
                        <w:r>
                          <w:rPr>
                            <w:sz w:val="22"/>
                            <w:szCs w:val="22"/>
                          </w:rPr>
                          <w:t>33</w:t>
                        </w:r>
                      </w:p>
                    </w:tc>
                    <w:tc>
                      <w:tcPr>
                        <w:tcW w:w="1275" w:type="dxa"/>
                        <w:vAlign w:val="center"/>
                      </w:tcPr>
                      <w:p>
                        <w:pPr>
                          <w:rPr>
                            <w:sz w:val="22"/>
                            <w:szCs w:val="22"/>
                          </w:rPr>
                        </w:pPr>
                        <w:r>
                          <w:rPr>
                            <w:sz w:val="22"/>
                            <w:szCs w:val="22"/>
                          </w:rPr>
                          <w:t>14</w:t>
                        </w:r>
                      </w:p>
                    </w:tc>
                  </w:tr>
                  <w:tr>
                    <w:trPr>
                      <w:trHeight w:val="501"/>
                    </w:trPr>
                    <w:tc>
                      <w:tcPr>
                        <w:tcW w:w="2547" w:type="dxa"/>
                        <w:vAlign w:val="center"/>
                      </w:tcPr>
                      <w:p>
                        <w:pPr>
                          <w:rPr>
                            <w:sz w:val="22"/>
                            <w:szCs w:val="22"/>
                          </w:rPr>
                        </w:pPr>
                        <w:r>
                          <w:rPr>
                            <w:sz w:val="22"/>
                            <w:szCs w:val="22"/>
                          </w:rPr>
                          <w:t>Radviliškio turizmo informacijos centras *</w:t>
                        </w:r>
                      </w:p>
                    </w:tc>
                    <w:tc>
                      <w:tcPr>
                        <w:tcW w:w="1059" w:type="dxa"/>
                        <w:vAlign w:val="center"/>
                      </w:tcPr>
                      <w:p>
                        <w:pPr>
                          <w:rPr>
                            <w:sz w:val="22"/>
                            <w:szCs w:val="22"/>
                          </w:rPr>
                        </w:pPr>
                        <w:r>
                          <w:rPr>
                            <w:sz w:val="22"/>
                            <w:szCs w:val="22"/>
                          </w:rPr>
                          <w:t>32</w:t>
                        </w:r>
                      </w:p>
                    </w:tc>
                    <w:tc>
                      <w:tcPr>
                        <w:tcW w:w="1314" w:type="dxa"/>
                        <w:vAlign w:val="center"/>
                      </w:tcPr>
                      <w:p>
                        <w:pPr>
                          <w:rPr>
                            <w:sz w:val="22"/>
                            <w:szCs w:val="22"/>
                          </w:rPr>
                        </w:pPr>
                        <w:r>
                          <w:rPr>
                            <w:sz w:val="22"/>
                            <w:szCs w:val="22"/>
                          </w:rPr>
                          <w:t>658</w:t>
                        </w:r>
                      </w:p>
                    </w:tc>
                    <w:tc>
                      <w:tcPr>
                        <w:tcW w:w="1149" w:type="dxa"/>
                        <w:vAlign w:val="center"/>
                      </w:tcPr>
                      <w:p>
                        <w:pPr>
                          <w:rPr>
                            <w:sz w:val="22"/>
                            <w:szCs w:val="22"/>
                          </w:rPr>
                        </w:pPr>
                        <w:r>
                          <w:rPr>
                            <w:sz w:val="22"/>
                            <w:szCs w:val="22"/>
                          </w:rPr>
                          <w:t>-</w:t>
                        </w:r>
                      </w:p>
                    </w:tc>
                    <w:tc>
                      <w:tcPr>
                        <w:tcW w:w="1149" w:type="dxa"/>
                        <w:vAlign w:val="center"/>
                      </w:tcPr>
                      <w:p>
                        <w:pPr>
                          <w:rPr>
                            <w:sz w:val="22"/>
                            <w:szCs w:val="22"/>
                          </w:rPr>
                        </w:pPr>
                        <w:r>
                          <w:rPr>
                            <w:sz w:val="22"/>
                            <w:szCs w:val="22"/>
                          </w:rPr>
                          <w:t>3</w:t>
                        </w:r>
                      </w:p>
                    </w:tc>
                    <w:tc>
                      <w:tcPr>
                        <w:tcW w:w="1141" w:type="dxa"/>
                        <w:vAlign w:val="center"/>
                      </w:tcPr>
                      <w:p>
                        <w:pPr>
                          <w:rPr>
                            <w:sz w:val="22"/>
                            <w:szCs w:val="22"/>
                          </w:rPr>
                        </w:pPr>
                        <w:r>
                          <w:rPr>
                            <w:sz w:val="22"/>
                            <w:szCs w:val="22"/>
                          </w:rPr>
                          <w:t>3</w:t>
                        </w:r>
                      </w:p>
                    </w:tc>
                    <w:tc>
                      <w:tcPr>
                        <w:tcW w:w="1275" w:type="dxa"/>
                        <w:vAlign w:val="center"/>
                      </w:tcPr>
                      <w:p>
                        <w:pPr>
                          <w:rPr>
                            <w:sz w:val="22"/>
                            <w:szCs w:val="22"/>
                          </w:rPr>
                        </w:pPr>
                        <w:r>
                          <w:rPr>
                            <w:sz w:val="22"/>
                            <w:szCs w:val="22"/>
                          </w:rPr>
                          <w:t>3</w:t>
                        </w:r>
                      </w:p>
                    </w:tc>
                  </w:tr>
                  <w:tr>
                    <w:trPr>
                      <w:trHeight w:val="501"/>
                    </w:trPr>
                    <w:tc>
                      <w:tcPr>
                        <w:tcW w:w="2547" w:type="dxa"/>
                        <w:vAlign w:val="center"/>
                      </w:tcPr>
                      <w:p>
                        <w:pPr>
                          <w:rPr>
                            <w:b/>
                            <w:bCs/>
                            <w:sz w:val="22"/>
                            <w:szCs w:val="22"/>
                          </w:rPr>
                        </w:pPr>
                        <w:r>
                          <w:rPr>
                            <w:b/>
                            <w:bCs/>
                            <w:sz w:val="22"/>
                            <w:szCs w:val="22"/>
                          </w:rPr>
                          <w:t>Iš viso:</w:t>
                        </w:r>
                      </w:p>
                    </w:tc>
                    <w:tc>
                      <w:tcPr>
                        <w:tcW w:w="1059" w:type="dxa"/>
                        <w:vAlign w:val="center"/>
                      </w:tcPr>
                      <w:p>
                        <w:pPr>
                          <w:rPr>
                            <w:b/>
                            <w:bCs/>
                            <w:color w:val="000000"/>
                            <w:sz w:val="22"/>
                            <w:szCs w:val="22"/>
                          </w:rPr>
                        </w:pPr>
                        <w:r>
                          <w:rPr>
                            <w:b/>
                            <w:bCs/>
                            <w:color w:val="000000"/>
                            <w:sz w:val="22"/>
                            <w:szCs w:val="22"/>
                          </w:rPr>
                          <w:t>2750</w:t>
                        </w:r>
                      </w:p>
                    </w:tc>
                    <w:tc>
                      <w:tcPr>
                        <w:tcW w:w="1314" w:type="dxa"/>
                        <w:vAlign w:val="center"/>
                      </w:tcPr>
                      <w:p>
                        <w:pPr>
                          <w:rPr>
                            <w:b/>
                            <w:bCs/>
                            <w:color w:val="000000"/>
                            <w:sz w:val="22"/>
                            <w:szCs w:val="22"/>
                          </w:rPr>
                        </w:pPr>
                        <w:r>
                          <w:rPr>
                            <w:b/>
                            <w:bCs/>
                            <w:color w:val="000000"/>
                            <w:sz w:val="22"/>
                            <w:szCs w:val="22"/>
                          </w:rPr>
                          <w:t>293 720</w:t>
                        </w:r>
                      </w:p>
                    </w:tc>
                    <w:tc>
                      <w:tcPr>
                        <w:tcW w:w="1149" w:type="dxa"/>
                        <w:vAlign w:val="center"/>
                      </w:tcPr>
                      <w:p>
                        <w:pPr>
                          <w:rPr>
                            <w:b/>
                            <w:bCs/>
                            <w:sz w:val="22"/>
                            <w:szCs w:val="22"/>
                          </w:rPr>
                        </w:pPr>
                        <w:r>
                          <w:rPr>
                            <w:b/>
                            <w:bCs/>
                            <w:sz w:val="22"/>
                            <w:szCs w:val="22"/>
                          </w:rPr>
                          <w:t>49</w:t>
                        </w:r>
                      </w:p>
                    </w:tc>
                    <w:tc>
                      <w:tcPr>
                        <w:tcW w:w="1149" w:type="dxa"/>
                        <w:vAlign w:val="center"/>
                      </w:tcPr>
                      <w:p>
                        <w:pPr>
                          <w:rPr>
                            <w:b/>
                            <w:bCs/>
                            <w:sz w:val="22"/>
                            <w:szCs w:val="22"/>
                          </w:rPr>
                        </w:pPr>
                        <w:r>
                          <w:rPr>
                            <w:b/>
                            <w:bCs/>
                            <w:sz w:val="22"/>
                            <w:szCs w:val="22"/>
                          </w:rPr>
                          <w:t>213</w:t>
                        </w:r>
                      </w:p>
                    </w:tc>
                    <w:tc>
                      <w:tcPr>
                        <w:tcW w:w="1141" w:type="dxa"/>
                        <w:vAlign w:val="center"/>
                      </w:tcPr>
                      <w:p>
                        <w:pPr>
                          <w:rPr>
                            <w:b/>
                            <w:bCs/>
                            <w:sz w:val="22"/>
                            <w:szCs w:val="22"/>
                          </w:rPr>
                        </w:pPr>
                        <w:r>
                          <w:rPr>
                            <w:b/>
                            <w:bCs/>
                            <w:sz w:val="22"/>
                            <w:szCs w:val="22"/>
                          </w:rPr>
                          <w:t>154,75</w:t>
                        </w:r>
                      </w:p>
                    </w:tc>
                    <w:tc>
                      <w:tcPr>
                        <w:tcW w:w="1275" w:type="dxa"/>
                        <w:vAlign w:val="center"/>
                      </w:tcPr>
                      <w:p>
                        <w:pPr>
                          <w:rPr>
                            <w:b/>
                            <w:bCs/>
                            <w:sz w:val="22"/>
                            <w:szCs w:val="22"/>
                          </w:rPr>
                        </w:pPr>
                        <w:r>
                          <w:rPr>
                            <w:b/>
                            <w:bCs/>
                            <w:sz w:val="22"/>
                            <w:szCs w:val="22"/>
                          </w:rPr>
                          <w:t>158</w:t>
                        </w:r>
                      </w:p>
                    </w:tc>
                  </w:tr>
                </w:tbl>
                <w:p>
                  <w:pPr>
                    <w:ind w:left="360"/>
                    <w:rPr>
                      <w:color w:val="000000"/>
                      <w:szCs w:val="24"/>
                      <w:lang w:eastAsia="lt-LT"/>
                    </w:rPr>
                  </w:pPr>
                  <w:r>
                    <w:rPr>
                      <w:color w:val="000000"/>
                      <w:szCs w:val="24"/>
                      <w:lang w:eastAsia="lt-LT"/>
                    </w:rPr>
                    <w:t>*Radviliškio turizmo informacijos centras 2025 m. projektinės veiklos nevykdė.</w:t>
                  </w:r>
                </w:p>
                <w:p>
                  <w:pPr>
                    <w:ind w:firstLine="709"/>
                    <w:rPr>
                      <w:b/>
                      <w:bCs/>
                      <w:color w:val="000000"/>
                      <w:szCs w:val="24"/>
                      <w:lang w:eastAsia="lt-LT"/>
                    </w:rPr>
                  </w:pPr>
                </w:p>
              </w:sdtContent>
            </w:sdt>
            <w:sdt>
              <w:sdtPr>
                <w:alias w:val="poskyris"/>
                <w:tag w:val="part_76ee69e4446a477b95e8e07d39501161"/>
                <w:lock w:val="sdtLocked"/>
                <w:richText/>
              </w:sdtPr>
              <w:sdtContent>
                <w:p>
                  <w:pPr>
                    <w:ind w:firstLine="709"/>
                    <w:rPr>
                      <w:b/>
                      <w:bCs/>
                      <w:color w:val="000000"/>
                      <w:szCs w:val="24"/>
                      <w:lang w:eastAsia="lt-LT"/>
                    </w:rPr>
                  </w:pPr>
                  <w:sdt>
                    <w:sdtPr>
                      <w:alias w:val="Pavadinimas"/>
                      <w:tag w:val="title_76ee69e4446a477b95e8e07d39501161"/>
                      <w:lock w:val="sdtLocked"/>
                      <w:richText/>
                    </w:sdtPr>
                    <w:sdtContent>
                      <w:r>
                        <w:rPr>
                          <w:b/>
                          <w:bCs/>
                          <w:color w:val="000000"/>
                          <w:szCs w:val="24"/>
                          <w:lang w:eastAsia="lt-LT"/>
                        </w:rPr>
                        <w:t>Įstaigoms skirtų asignavimų panaudojimas 2025 m.</w:t>
                      </w:r>
                    </w:sdtContent>
                  </w:sdt>
                </w:p>
                <w:p>
                  <w:pPr>
                    <w:ind w:firstLine="709"/>
                    <w:rPr>
                      <w:b/>
                      <w:bCs/>
                      <w:color w:val="000000"/>
                      <w:szCs w:val="24"/>
                      <w:lang w:eastAsia="lt-LT"/>
                    </w:rPr>
                  </w:pPr>
                </w:p>
                <w:p>
                  <w:pPr>
                    <w:ind w:firstLine="851"/>
                    <w:rPr>
                      <w:color w:val="000000"/>
                      <w:szCs w:val="24"/>
                      <w:lang w:eastAsia="lt-LT"/>
                    </w:rPr>
                  </w:pPr>
                  <w:r>
                    <w:rPr>
                      <w:color w:val="000000"/>
                      <w:szCs w:val="24"/>
                      <w:lang w:eastAsia="lt-LT"/>
                    </w:rPr>
                    <w:t>Įstaigoms skirtų asignavimų panaudojimas 2025 m. apibūdina, kaip įvairios įstaigos naudoja finansavimą iš skirtingų šaltinių, įskaitant savivaldybės biudžetą, valstybės biudžetą (projektines lėšas), kitus finansavimo šaltinius (paramą ir pan.) ir biudžetinių įstaigų pajamas. Tai leidžia stebėti, kaip paskirstomi ir naudojami asignavimai pagal skirtingus finansavimo šaltinius, siekiant įstaigų veiklos užtikrinimo.</w:t>
                  </w:r>
                </w:p>
                <w:p>
                  <w:pPr>
                    <w:ind w:firstLine="709"/>
                    <w:rPr>
                      <w:b/>
                      <w:bCs/>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9"/>
                    <w:gridCol w:w="1550"/>
                    <w:gridCol w:w="1466"/>
                    <w:gridCol w:w="1470"/>
                    <w:gridCol w:w="1464"/>
                  </w:tblGrid>
                  <w:tr>
                    <w:trPr>
                      <w:trHeight w:val="62"/>
                      <w:jc w:val="center"/>
                    </w:trPr>
                    <w:tc>
                      <w:tcPr>
                        <w:tcW w:w="3766" w:type="dxa"/>
                        <w:vAlign w:val="center"/>
                      </w:tcPr>
                      <w:p>
                        <w:pPr>
                          <w:rPr>
                            <w:b/>
                            <w:bCs/>
                            <w:color w:val="000000"/>
                            <w:szCs w:val="24"/>
                            <w:lang w:eastAsia="lt-LT"/>
                          </w:rPr>
                        </w:pPr>
                        <w:r>
                          <w:rPr>
                            <w:b/>
                            <w:bCs/>
                            <w:color w:val="000000"/>
                            <w:szCs w:val="24"/>
                            <w:lang w:eastAsia="lt-LT"/>
                          </w:rPr>
                          <w:t>Įstaigos pavadinimas</w:t>
                        </w:r>
                      </w:p>
                    </w:tc>
                    <w:tc>
                      <w:tcPr>
                        <w:tcW w:w="1465" w:type="dxa"/>
                        <w:vAlign w:val="center"/>
                      </w:tcPr>
                      <w:p>
                        <w:pPr>
                          <w:rPr>
                            <w:b/>
                            <w:bCs/>
                            <w:color w:val="000000"/>
                            <w:szCs w:val="24"/>
                            <w:lang w:eastAsia="lt-LT"/>
                          </w:rPr>
                        </w:pPr>
                        <w:r>
                          <w:rPr>
                            <w:b/>
                            <w:bCs/>
                            <w:color w:val="000000"/>
                            <w:szCs w:val="24"/>
                            <w:lang w:eastAsia="lt-LT"/>
                          </w:rPr>
                          <w:t>Savivaldybės biudžetas</w:t>
                        </w:r>
                      </w:p>
                    </w:tc>
                    <w:tc>
                      <w:tcPr>
                        <w:tcW w:w="1466" w:type="dxa"/>
                        <w:vAlign w:val="center"/>
                      </w:tcPr>
                      <w:p>
                        <w:pPr>
                          <w:rPr>
                            <w:b/>
                            <w:bCs/>
                            <w:color w:val="000000"/>
                            <w:szCs w:val="24"/>
                            <w:lang w:eastAsia="lt-LT"/>
                          </w:rPr>
                        </w:pPr>
                        <w:r>
                          <w:rPr>
                            <w:b/>
                            <w:bCs/>
                            <w:color w:val="000000"/>
                            <w:szCs w:val="24"/>
                            <w:lang w:eastAsia="lt-LT"/>
                          </w:rPr>
                          <w:t>Valstybės biudžetas (projektinės lėšos)</w:t>
                        </w:r>
                      </w:p>
                    </w:tc>
                    <w:tc>
                      <w:tcPr>
                        <w:tcW w:w="1465" w:type="dxa"/>
                        <w:vAlign w:val="center"/>
                      </w:tcPr>
                      <w:p>
                        <w:pPr>
                          <w:rPr>
                            <w:b/>
                            <w:bCs/>
                            <w:color w:val="000000"/>
                            <w:szCs w:val="24"/>
                            <w:lang w:eastAsia="lt-LT"/>
                          </w:rPr>
                        </w:pPr>
                        <w:r>
                          <w:rPr>
                            <w:b/>
                            <w:bCs/>
                            <w:color w:val="000000"/>
                            <w:szCs w:val="24"/>
                            <w:lang w:eastAsia="lt-LT"/>
                          </w:rPr>
                          <w:t>Kiti finansavimo šaltiniai (parama ir kt.)</w:t>
                        </w:r>
                      </w:p>
                    </w:tc>
                    <w:tc>
                      <w:tcPr>
                        <w:tcW w:w="1466" w:type="dxa"/>
                        <w:vAlign w:val="center"/>
                      </w:tcPr>
                      <w:p>
                        <w:pPr>
                          <w:rPr>
                            <w:b/>
                            <w:bCs/>
                            <w:color w:val="000000"/>
                            <w:szCs w:val="24"/>
                            <w:lang w:eastAsia="lt-LT"/>
                          </w:rPr>
                        </w:pPr>
                        <w:r>
                          <w:rPr>
                            <w:b/>
                            <w:bCs/>
                            <w:color w:val="000000"/>
                            <w:szCs w:val="24"/>
                            <w:lang w:eastAsia="lt-LT"/>
                          </w:rPr>
                          <w:t>Biudžetinių įstaigų pajamos</w:t>
                        </w:r>
                      </w:p>
                    </w:tc>
                  </w:tr>
                  <w:tr>
                    <w:trPr>
                      <w:trHeight w:val="68"/>
                      <w:jc w:val="center"/>
                    </w:trPr>
                    <w:tc>
                      <w:tcPr>
                        <w:tcW w:w="3766" w:type="dxa"/>
                      </w:tcPr>
                      <w:p>
                        <w:pPr>
                          <w:rPr>
                            <w:b/>
                            <w:bCs/>
                            <w:color w:val="000000"/>
                            <w:szCs w:val="24"/>
                            <w:lang w:eastAsia="lt-LT"/>
                          </w:rPr>
                        </w:pPr>
                        <w:r>
                          <w:rPr>
                            <w:szCs w:val="24"/>
                            <w:lang w:eastAsia="lt-LT"/>
                          </w:rPr>
                          <w:t>Radviliškio rajono savivaldybės viešosios biblioteka</w:t>
                        </w:r>
                      </w:p>
                    </w:tc>
                    <w:tc>
                      <w:tcPr>
                        <w:tcW w:w="1465" w:type="dxa"/>
                        <w:vAlign w:val="center"/>
                      </w:tcPr>
                      <w:p>
                        <w:pPr>
                          <w:rPr>
                            <w:szCs w:val="24"/>
                          </w:rPr>
                        </w:pPr>
                        <w:r>
                          <w:rPr>
                            <w:szCs w:val="24"/>
                          </w:rPr>
                          <w:t>1 385 402</w:t>
                        </w:r>
                      </w:p>
                    </w:tc>
                    <w:tc>
                      <w:tcPr>
                        <w:tcW w:w="1466" w:type="dxa"/>
                        <w:vAlign w:val="center"/>
                      </w:tcPr>
                      <w:p>
                        <w:pPr>
                          <w:rPr>
                            <w:szCs w:val="24"/>
                            <w:lang w:eastAsia="lt-LT"/>
                          </w:rPr>
                        </w:pPr>
                        <w:r>
                          <w:rPr>
                            <w:szCs w:val="24"/>
                            <w:lang w:eastAsia="lt-LT"/>
                          </w:rPr>
                          <w:t>17 700</w:t>
                        </w:r>
                      </w:p>
                    </w:tc>
                    <w:tc>
                      <w:tcPr>
                        <w:tcW w:w="1465" w:type="dxa"/>
                        <w:vAlign w:val="center"/>
                      </w:tcPr>
                      <w:p>
                        <w:pPr>
                          <w:rPr>
                            <w:szCs w:val="24"/>
                            <w:lang w:eastAsia="lt-LT"/>
                          </w:rPr>
                        </w:pPr>
                        <w:r>
                          <w:rPr>
                            <w:szCs w:val="24"/>
                            <w:lang w:eastAsia="lt-LT"/>
                          </w:rPr>
                          <w:t>462,52</w:t>
                        </w:r>
                      </w:p>
                    </w:tc>
                    <w:tc>
                      <w:tcPr>
                        <w:tcW w:w="1466" w:type="dxa"/>
                        <w:vAlign w:val="center"/>
                      </w:tcPr>
                      <w:p>
                        <w:pPr>
                          <w:rPr>
                            <w:szCs w:val="24"/>
                            <w:lang w:eastAsia="lt-LT"/>
                          </w:rPr>
                        </w:pPr>
                        <w:r>
                          <w:rPr>
                            <w:szCs w:val="24"/>
                            <w:lang w:eastAsia="lt-LT"/>
                          </w:rPr>
                          <w:t>6500</w:t>
                        </w:r>
                      </w:p>
                    </w:tc>
                  </w:tr>
                  <w:tr>
                    <w:trPr>
                      <w:trHeight w:val="12"/>
                      <w:jc w:val="center"/>
                    </w:trPr>
                    <w:tc>
                      <w:tcPr>
                        <w:tcW w:w="3766" w:type="dxa"/>
                      </w:tcPr>
                      <w:p>
                        <w:pPr>
                          <w:rPr>
                            <w:color w:val="000000"/>
                            <w:szCs w:val="24"/>
                            <w:lang w:eastAsia="lt-LT"/>
                          </w:rPr>
                        </w:pPr>
                        <w:r>
                          <w:rPr>
                            <w:color w:val="000000"/>
                            <w:szCs w:val="24"/>
                            <w:lang w:eastAsia="lt-LT"/>
                          </w:rPr>
                          <w:t>Radviliškio miesto kultūros centras</w:t>
                        </w:r>
                      </w:p>
                    </w:tc>
                    <w:tc>
                      <w:tcPr>
                        <w:tcW w:w="1465" w:type="dxa"/>
                        <w:vAlign w:val="center"/>
                      </w:tcPr>
                      <w:p>
                        <w:pPr>
                          <w:rPr>
                            <w:szCs w:val="24"/>
                            <w:lang w:eastAsia="lt-LT"/>
                          </w:rPr>
                        </w:pPr>
                        <w:r>
                          <w:rPr>
                            <w:szCs w:val="24"/>
                            <w:lang w:eastAsia="lt-LT"/>
                          </w:rPr>
                          <w:t>1 457 500</w:t>
                        </w:r>
                      </w:p>
                    </w:tc>
                    <w:tc>
                      <w:tcPr>
                        <w:tcW w:w="1466" w:type="dxa"/>
                        <w:vAlign w:val="center"/>
                      </w:tcPr>
                      <w:p>
                        <w:pPr>
                          <w:rPr>
                            <w:szCs w:val="24"/>
                            <w:lang w:eastAsia="lt-LT"/>
                          </w:rPr>
                        </w:pPr>
                        <w:r>
                          <w:rPr>
                            <w:szCs w:val="24"/>
                            <w:lang w:eastAsia="lt-LT"/>
                          </w:rPr>
                          <w:t>38 900</w:t>
                        </w:r>
                      </w:p>
                    </w:tc>
                    <w:tc>
                      <w:tcPr>
                        <w:tcW w:w="1465" w:type="dxa"/>
                        <w:vAlign w:val="center"/>
                      </w:tcPr>
                      <w:p>
                        <w:pPr>
                          <w:rPr>
                            <w:szCs w:val="24"/>
                            <w:lang w:eastAsia="lt-LT"/>
                          </w:rPr>
                        </w:pPr>
                        <w:r>
                          <w:rPr>
                            <w:szCs w:val="24"/>
                            <w:lang w:eastAsia="lt-LT"/>
                          </w:rPr>
                          <w:t>3000</w:t>
                        </w:r>
                      </w:p>
                    </w:tc>
                    <w:tc>
                      <w:tcPr>
                        <w:tcW w:w="1466" w:type="dxa"/>
                      </w:tcPr>
                      <w:p>
                        <w:pPr>
                          <w:rPr>
                            <w:szCs w:val="24"/>
                            <w:lang w:eastAsia="lt-LT"/>
                          </w:rPr>
                        </w:pPr>
                        <w:r>
                          <w:rPr>
                            <w:szCs w:val="24"/>
                            <w:lang w:eastAsia="lt-LT"/>
                          </w:rPr>
                          <w:t>90 400</w:t>
                        </w:r>
                      </w:p>
                    </w:tc>
                  </w:tr>
                  <w:tr>
                    <w:trPr>
                      <w:trHeight w:val="20"/>
                      <w:jc w:val="center"/>
                    </w:trPr>
                    <w:tc>
                      <w:tcPr>
                        <w:tcW w:w="3766" w:type="dxa"/>
                      </w:tcPr>
                      <w:p>
                        <w:pPr>
                          <w:rPr>
                            <w:color w:val="000000"/>
                            <w:szCs w:val="24"/>
                          </w:rPr>
                        </w:pPr>
                        <w:r>
                          <w:rPr>
                            <w:szCs w:val="24"/>
                          </w:rPr>
                          <w:t>Šeduvos kultūros ir amatų centras</w:t>
                        </w:r>
                      </w:p>
                    </w:tc>
                    <w:tc>
                      <w:tcPr>
                        <w:tcW w:w="1465" w:type="dxa"/>
                        <w:vAlign w:val="center"/>
                      </w:tcPr>
                      <w:p>
                        <w:pPr>
                          <w:ind w:firstLine="248"/>
                          <w:rPr>
                            <w:szCs w:val="24"/>
                            <w:lang w:eastAsia="lt-LT"/>
                          </w:rPr>
                        </w:pPr>
                        <w:r>
                          <w:rPr>
                            <w:szCs w:val="24"/>
                            <w:lang w:eastAsia="lt-LT"/>
                          </w:rPr>
                          <w:t>556 635</w:t>
                        </w:r>
                      </w:p>
                    </w:tc>
                    <w:tc>
                      <w:tcPr>
                        <w:tcW w:w="1466" w:type="dxa"/>
                        <w:vAlign w:val="center"/>
                      </w:tcPr>
                      <w:p>
                        <w:pPr>
                          <w:rPr>
                            <w:szCs w:val="24"/>
                            <w:lang w:eastAsia="lt-LT"/>
                          </w:rPr>
                        </w:pPr>
                        <w:r>
                          <w:rPr>
                            <w:szCs w:val="24"/>
                            <w:lang w:eastAsia="lt-LT"/>
                          </w:rPr>
                          <w:t>45 000</w:t>
                        </w:r>
                      </w:p>
                    </w:tc>
                    <w:tc>
                      <w:tcPr>
                        <w:tcW w:w="1465" w:type="dxa"/>
                        <w:vAlign w:val="center"/>
                      </w:tcPr>
                      <w:p>
                        <w:pPr>
                          <w:rPr>
                            <w:szCs w:val="24"/>
                            <w:lang w:eastAsia="lt-LT"/>
                          </w:rPr>
                        </w:pPr>
                        <w:r>
                          <w:rPr>
                            <w:szCs w:val="24"/>
                            <w:lang w:eastAsia="lt-LT"/>
                          </w:rPr>
                          <w:t>1000</w:t>
                        </w:r>
                      </w:p>
                    </w:tc>
                    <w:tc>
                      <w:tcPr>
                        <w:tcW w:w="1466" w:type="dxa"/>
                      </w:tcPr>
                      <w:p>
                        <w:pPr>
                          <w:rPr>
                            <w:szCs w:val="24"/>
                            <w:lang w:eastAsia="lt-LT"/>
                          </w:rPr>
                        </w:pPr>
                        <w:r>
                          <w:rPr>
                            <w:szCs w:val="24"/>
                            <w:lang w:eastAsia="lt-LT"/>
                          </w:rPr>
                          <w:t>16 953</w:t>
                        </w:r>
                      </w:p>
                    </w:tc>
                  </w:tr>
                  <w:tr>
                    <w:trPr>
                      <w:trHeight w:val="20"/>
                      <w:jc w:val="center"/>
                    </w:trPr>
                    <w:tc>
                      <w:tcPr>
                        <w:tcW w:w="3766" w:type="dxa"/>
                      </w:tcPr>
                      <w:p>
                        <w:pPr>
                          <w:rPr>
                            <w:szCs w:val="24"/>
                          </w:rPr>
                        </w:pPr>
                        <w:r>
                          <w:rPr>
                            <w:szCs w:val="24"/>
                          </w:rPr>
                          <w:t>Radviliškio r. Baisogalos kultūros centras</w:t>
                        </w:r>
                      </w:p>
                    </w:tc>
                    <w:tc>
                      <w:tcPr>
                        <w:tcW w:w="1465" w:type="dxa"/>
                        <w:vAlign w:val="center"/>
                      </w:tcPr>
                      <w:p>
                        <w:pPr>
                          <w:ind w:firstLine="248"/>
                          <w:rPr>
                            <w:szCs w:val="24"/>
                            <w:lang w:eastAsia="lt-LT"/>
                          </w:rPr>
                        </w:pPr>
                        <w:r>
                          <w:rPr>
                            <w:szCs w:val="24"/>
                            <w:lang w:eastAsia="lt-LT"/>
                          </w:rPr>
                          <w:t>504 600</w:t>
                        </w:r>
                      </w:p>
                    </w:tc>
                    <w:tc>
                      <w:tcPr>
                        <w:tcW w:w="1466" w:type="dxa"/>
                        <w:vAlign w:val="center"/>
                      </w:tcPr>
                      <w:p>
                        <w:pPr>
                          <w:rPr>
                            <w:szCs w:val="24"/>
                            <w:lang w:eastAsia="lt-LT"/>
                          </w:rPr>
                        </w:pPr>
                        <w:r>
                          <w:rPr>
                            <w:szCs w:val="24"/>
                            <w:lang w:eastAsia="lt-LT"/>
                          </w:rPr>
                          <w:t>16 800</w:t>
                        </w:r>
                      </w:p>
                    </w:tc>
                    <w:tc>
                      <w:tcPr>
                        <w:tcW w:w="1465" w:type="dxa"/>
                        <w:vAlign w:val="center"/>
                      </w:tcPr>
                      <w:p>
                        <w:pPr>
                          <w:rPr>
                            <w:szCs w:val="24"/>
                            <w:lang w:eastAsia="lt-LT"/>
                          </w:rPr>
                        </w:pPr>
                        <w:r>
                          <w:rPr>
                            <w:szCs w:val="24"/>
                            <w:lang w:eastAsia="lt-LT"/>
                          </w:rPr>
                          <w:t>900</w:t>
                        </w:r>
                      </w:p>
                    </w:tc>
                    <w:tc>
                      <w:tcPr>
                        <w:tcW w:w="1466" w:type="dxa"/>
                        <w:vAlign w:val="center"/>
                      </w:tcPr>
                      <w:p>
                        <w:pPr>
                          <w:rPr>
                            <w:szCs w:val="24"/>
                            <w:lang w:eastAsia="lt-LT"/>
                          </w:rPr>
                        </w:pPr>
                        <w:r>
                          <w:rPr>
                            <w:szCs w:val="24"/>
                            <w:lang w:eastAsia="lt-LT"/>
                          </w:rPr>
                          <w:t>18 700</w:t>
                        </w:r>
                      </w:p>
                    </w:tc>
                  </w:tr>
                  <w:tr>
                    <w:trPr>
                      <w:trHeight w:val="20"/>
                      <w:jc w:val="center"/>
                    </w:trPr>
                    <w:tc>
                      <w:tcPr>
                        <w:tcW w:w="3766" w:type="dxa"/>
                      </w:tcPr>
                      <w:p>
                        <w:pPr>
                          <w:rPr>
                            <w:szCs w:val="24"/>
                          </w:rPr>
                        </w:pPr>
                        <w:r>
                          <w:rPr>
                            <w:szCs w:val="24"/>
                          </w:rPr>
                          <w:t>Daugyvenės kultūros istorijos muziejus-draustinis</w:t>
                        </w:r>
                      </w:p>
                    </w:tc>
                    <w:tc>
                      <w:tcPr>
                        <w:tcW w:w="1465" w:type="dxa"/>
                        <w:vAlign w:val="center"/>
                      </w:tcPr>
                      <w:p>
                        <w:pPr>
                          <w:ind w:firstLine="186"/>
                          <w:rPr>
                            <w:szCs w:val="24"/>
                            <w:lang w:eastAsia="lt-LT"/>
                          </w:rPr>
                        </w:pPr>
                        <w:r>
                          <w:rPr>
                            <w:szCs w:val="24"/>
                            <w:lang w:eastAsia="lt-LT"/>
                          </w:rPr>
                          <w:t>681 900</w:t>
                        </w:r>
                      </w:p>
                    </w:tc>
                    <w:tc>
                      <w:tcPr>
                        <w:tcW w:w="1466" w:type="dxa"/>
                        <w:vAlign w:val="center"/>
                      </w:tcPr>
                      <w:p>
                        <w:pPr>
                          <w:rPr>
                            <w:szCs w:val="24"/>
                            <w:lang w:eastAsia="lt-LT"/>
                          </w:rPr>
                        </w:pPr>
                        <w:r>
                          <w:rPr>
                            <w:szCs w:val="24"/>
                            <w:lang w:eastAsia="lt-LT"/>
                          </w:rPr>
                          <w:t>21 800</w:t>
                        </w:r>
                      </w:p>
                    </w:tc>
                    <w:tc>
                      <w:tcPr>
                        <w:tcW w:w="1465" w:type="dxa"/>
                        <w:vAlign w:val="center"/>
                      </w:tcPr>
                      <w:p>
                        <w:pPr>
                          <w:rPr>
                            <w:szCs w:val="24"/>
                            <w:lang w:eastAsia="lt-LT"/>
                          </w:rPr>
                        </w:pPr>
                        <w:r>
                          <w:rPr>
                            <w:szCs w:val="24"/>
                            <w:lang w:eastAsia="lt-LT"/>
                          </w:rPr>
                          <w:t>13 300</w:t>
                        </w:r>
                      </w:p>
                    </w:tc>
                    <w:tc>
                      <w:tcPr>
                        <w:tcW w:w="1466" w:type="dxa"/>
                        <w:vAlign w:val="center"/>
                      </w:tcPr>
                      <w:p>
                        <w:pPr>
                          <w:rPr>
                            <w:szCs w:val="24"/>
                            <w:lang w:eastAsia="lt-LT"/>
                          </w:rPr>
                        </w:pPr>
                        <w:r>
                          <w:rPr>
                            <w:szCs w:val="24"/>
                            <w:lang w:eastAsia="lt-LT"/>
                          </w:rPr>
                          <w:t>185 400</w:t>
                        </w:r>
                      </w:p>
                    </w:tc>
                  </w:tr>
                  <w:tr>
                    <w:trPr>
                      <w:trHeight w:val="20"/>
                      <w:jc w:val="center"/>
                    </w:trPr>
                    <w:tc>
                      <w:tcPr>
                        <w:tcW w:w="3766" w:type="dxa"/>
                      </w:tcPr>
                      <w:p>
                        <w:pPr>
                          <w:rPr>
                            <w:sz w:val="8"/>
                            <w:szCs w:val="8"/>
                          </w:rPr>
                        </w:pPr>
                      </w:p>
                      <w:p>
                        <w:pPr>
                          <w:rPr>
                            <w:szCs w:val="24"/>
                            <w:lang w:eastAsia="lt-LT"/>
                          </w:rPr>
                        </w:pPr>
                        <w:r>
                          <w:rPr>
                            <w:szCs w:val="24"/>
                            <w:lang w:eastAsia="lt-LT"/>
                          </w:rPr>
                          <w:t>Radviliškio turizmo informacijos centras *</w:t>
                        </w:r>
                      </w:p>
                    </w:tc>
                    <w:tc>
                      <w:tcPr>
                        <w:tcW w:w="1465" w:type="dxa"/>
                        <w:vAlign w:val="center"/>
                      </w:tcPr>
                      <w:p>
                        <w:pPr>
                          <w:rPr>
                            <w:szCs w:val="24"/>
                            <w:lang w:eastAsia="lt-LT"/>
                          </w:rPr>
                        </w:pPr>
                        <w:r>
                          <w:rPr>
                            <w:szCs w:val="24"/>
                            <w:lang w:eastAsia="lt-LT"/>
                          </w:rPr>
                          <w:t>125000</w:t>
                        </w:r>
                      </w:p>
                    </w:tc>
                    <w:tc>
                      <w:tcPr>
                        <w:tcW w:w="1466" w:type="dxa"/>
                        <w:vAlign w:val="center"/>
                      </w:tcPr>
                      <w:p>
                        <w:pPr>
                          <w:rPr>
                            <w:szCs w:val="24"/>
                            <w:lang w:eastAsia="lt-LT"/>
                          </w:rPr>
                        </w:pPr>
                        <w:r>
                          <w:rPr>
                            <w:szCs w:val="24"/>
                            <w:lang w:eastAsia="lt-LT"/>
                          </w:rPr>
                          <w:t>-</w:t>
                        </w:r>
                      </w:p>
                    </w:tc>
                    <w:tc>
                      <w:tcPr>
                        <w:tcW w:w="1465" w:type="dxa"/>
                        <w:vAlign w:val="center"/>
                      </w:tcPr>
                      <w:p>
                        <w:pPr>
                          <w:rPr>
                            <w:szCs w:val="24"/>
                            <w:lang w:eastAsia="lt-LT"/>
                          </w:rPr>
                        </w:pPr>
                        <w:r>
                          <w:rPr>
                            <w:szCs w:val="24"/>
                            <w:lang w:eastAsia="lt-LT"/>
                          </w:rPr>
                          <w:t>-</w:t>
                        </w:r>
                      </w:p>
                    </w:tc>
                    <w:tc>
                      <w:tcPr>
                        <w:tcW w:w="1466" w:type="dxa"/>
                        <w:vAlign w:val="center"/>
                      </w:tcPr>
                      <w:p>
                        <w:pPr>
                          <w:rPr>
                            <w:szCs w:val="24"/>
                            <w:lang w:eastAsia="lt-LT"/>
                          </w:rPr>
                        </w:pPr>
                        <w:r>
                          <w:rPr>
                            <w:szCs w:val="24"/>
                            <w:lang w:eastAsia="lt-LT"/>
                          </w:rPr>
                          <w:t>1689,50</w:t>
                        </w:r>
                      </w:p>
                    </w:tc>
                  </w:tr>
                  <w:tr>
                    <w:trPr>
                      <w:trHeight w:val="20"/>
                      <w:jc w:val="center"/>
                    </w:trPr>
                    <w:tc>
                      <w:tcPr>
                        <w:tcW w:w="3766" w:type="dxa"/>
                      </w:tcPr>
                      <w:p>
                        <w:pPr>
                          <w:rPr>
                            <w:sz w:val="8"/>
                            <w:szCs w:val="8"/>
                          </w:rPr>
                        </w:pPr>
                      </w:p>
                      <w:p>
                        <w:pPr>
                          <w:rPr>
                            <w:szCs w:val="24"/>
                            <w:lang w:eastAsia="lt-LT"/>
                          </w:rPr>
                        </w:pPr>
                        <w:r>
                          <w:rPr>
                            <w:b/>
                            <w:bCs/>
                            <w:szCs w:val="24"/>
                            <w:lang w:eastAsia="lt-LT"/>
                          </w:rPr>
                          <w:t>Iš viso</w:t>
                        </w:r>
                        <w:r>
                          <w:rPr>
                            <w:szCs w:val="24"/>
                            <w:lang w:eastAsia="lt-LT"/>
                          </w:rPr>
                          <w:t xml:space="preserve">: </w:t>
                        </w:r>
                      </w:p>
                    </w:tc>
                    <w:tc>
                      <w:tcPr>
                        <w:tcW w:w="1465" w:type="dxa"/>
                        <w:vAlign w:val="center"/>
                      </w:tcPr>
                      <w:p>
                        <w:pPr>
                          <w:rPr>
                            <w:b/>
                            <w:bCs/>
                            <w:szCs w:val="24"/>
                            <w:lang w:eastAsia="lt-LT"/>
                          </w:rPr>
                        </w:pPr>
                        <w:r>
                          <w:rPr>
                            <w:b/>
                            <w:bCs/>
                            <w:szCs w:val="24"/>
                            <w:lang w:eastAsia="lt-LT"/>
                          </w:rPr>
                          <w:t>4 711 037</w:t>
                        </w:r>
                      </w:p>
                    </w:tc>
                    <w:tc>
                      <w:tcPr>
                        <w:tcW w:w="1466" w:type="dxa"/>
                        <w:vAlign w:val="center"/>
                      </w:tcPr>
                      <w:p>
                        <w:pPr>
                          <w:rPr>
                            <w:b/>
                            <w:bCs/>
                            <w:szCs w:val="24"/>
                            <w:lang w:eastAsia="lt-LT"/>
                          </w:rPr>
                        </w:pPr>
                        <w:r>
                          <w:rPr>
                            <w:b/>
                            <w:bCs/>
                            <w:szCs w:val="24"/>
                            <w:lang w:eastAsia="lt-LT"/>
                          </w:rPr>
                          <w:t>140 200</w:t>
                        </w:r>
                      </w:p>
                    </w:tc>
                    <w:tc>
                      <w:tcPr>
                        <w:tcW w:w="1465" w:type="dxa"/>
                        <w:vAlign w:val="center"/>
                      </w:tcPr>
                      <w:p>
                        <w:pPr>
                          <w:rPr>
                            <w:b/>
                            <w:bCs/>
                            <w:szCs w:val="24"/>
                            <w:lang w:eastAsia="lt-LT"/>
                          </w:rPr>
                        </w:pPr>
                        <w:r>
                          <w:rPr>
                            <w:b/>
                            <w:bCs/>
                            <w:szCs w:val="24"/>
                            <w:lang w:eastAsia="lt-LT"/>
                          </w:rPr>
                          <w:t>18 662,52</w:t>
                        </w:r>
                      </w:p>
                    </w:tc>
                    <w:tc>
                      <w:tcPr>
                        <w:tcW w:w="1466" w:type="dxa"/>
                        <w:vAlign w:val="center"/>
                      </w:tcPr>
                      <w:p>
                        <w:pPr>
                          <w:rPr>
                            <w:b/>
                            <w:bCs/>
                            <w:szCs w:val="24"/>
                            <w:lang w:eastAsia="lt-LT"/>
                          </w:rPr>
                        </w:pPr>
                        <w:r>
                          <w:rPr>
                            <w:b/>
                            <w:bCs/>
                            <w:szCs w:val="24"/>
                            <w:lang w:eastAsia="lt-LT"/>
                          </w:rPr>
                          <w:t>319 642,50</w:t>
                        </w:r>
                      </w:p>
                    </w:tc>
                  </w:tr>
                </w:tbl>
                <w:p>
                  <w:pPr>
                    <w:ind w:left="360"/>
                    <w:rPr>
                      <w:color w:val="000000"/>
                      <w:szCs w:val="24"/>
                      <w:lang w:eastAsia="lt-LT"/>
                    </w:rPr>
                  </w:pPr>
                  <w:r>
                    <w:rPr>
                      <w:color w:val="000000"/>
                      <w:szCs w:val="24"/>
                      <w:lang w:eastAsia="lt-LT"/>
                    </w:rPr>
                    <w:t>*Radviliškio turizmo informacijos centras 2025 m. projektinės veiklos nevykdė ir negavo pajamų iš kitų finansavimo šaltinių.</w:t>
                  </w:r>
                </w:p>
                <w:p>
                  <w:pPr>
                    <w:rPr>
                      <w:b/>
                      <w:bCs/>
                      <w:color w:val="000000"/>
                      <w:szCs w:val="24"/>
                      <w:lang w:eastAsia="lt-LT"/>
                    </w:rPr>
                  </w:pPr>
                </w:p>
                <w:p>
                  <w:pPr>
                    <w:ind w:firstLine="709"/>
                    <w:rPr>
                      <w:szCs w:val="24"/>
                      <w:lang w:eastAsia="lt-LT"/>
                    </w:rPr>
                  </w:pPr>
                  <w:r>
                    <w:rPr>
                      <w:szCs w:val="24"/>
                      <w:lang w:eastAsia="lt-LT"/>
                    </w:rPr>
                    <w:t>Radviliškio rajono kultūros ir turizmo įstaigos atlieka svarbų vaidmenį formuojant rajono kultūrinį gyvenimą ir puoselėjant tradicijas. Jos ne tik organizuoja įvairius renginius, bet ir aktyviai prisideda prie kultūros ir turizmo sektoriaus plėtros, skatindamos bendruomenės kūrybiškumą ir užtikrindamos kultūrinės tapatybės išsaugojimą. Panaudojant šių įstaigų resursus ir veiklą, sukuriama papildoma vertė, kuri ne tik stiprina Radviliškio krašto kultūrinį ir turizmo potencialą, bet ir prisideda prie bendros rajono gerovės.</w:t>
                  </w:r>
                </w:p>
                <w:p>
                  <w:pPr>
                    <w:ind w:firstLine="709"/>
                    <w:rPr>
                      <w:szCs w:val="24"/>
                      <w:lang w:eastAsia="lt-LT"/>
                    </w:rPr>
                  </w:pPr>
                </w:p>
                <w:p>
                  <w:pPr>
                    <w:rPr>
                      <w:szCs w:val="24"/>
                    </w:rPr>
                  </w:pPr>
                </w:p>
              </w:sdtContent>
            </w:sdt>
            <w:sdt>
              <w:sdtPr>
                <w:alias w:val="poskyris"/>
                <w:tag w:val="part_29850019a64e41278ddfa365ae60addf"/>
                <w:lock w:val="sdtLocked"/>
                <w:richText/>
              </w:sdtPr>
              <w:sdtContent>
                <w:p>
                  <w:pPr>
                    <w:jc w:val="center"/>
                    <w:rPr>
                      <w:b/>
                      <w:szCs w:val="24"/>
                    </w:rPr>
                  </w:pPr>
                  <w:sdt>
                    <w:sdtPr>
                      <w:alias w:val="Pavadinimas"/>
                      <w:tag w:val="title_29850019a64e41278ddfa365ae60addf"/>
                      <w:lock w:val="sdtLocked"/>
                      <w:richText/>
                    </w:sdtPr>
                    <w:sdtContent>
                      <w:r>
                        <w:rPr>
                          <w:b/>
                          <w:szCs w:val="24"/>
                        </w:rPr>
                        <w:t>ŠVIETIMO ĮSTAIGOS</w:t>
                      </w:r>
                    </w:sdtContent>
                  </w:sdt>
                </w:p>
                <w:p>
                  <w:pPr>
                    <w:rPr>
                      <w:szCs w:val="24"/>
                    </w:rPr>
                  </w:pPr>
                </w:p>
              </w:sdtContent>
            </w:sdt>
            <w:sdt>
              <w:sdtPr>
                <w:alias w:val="poskyris"/>
                <w:tag w:val="part_6bef18b274a34c79a2e8dfae2eadba96"/>
                <w:lock w:val="sdtLocked"/>
                <w:richText/>
              </w:sdtPr>
              <w:sdtContent>
                <w:p>
                  <w:pPr>
                    <w:rPr>
                      <w:b/>
                      <w:i/>
                      <w:szCs w:val="24"/>
                      <w:lang w:bidi="lo-LA"/>
                    </w:rPr>
                  </w:pPr>
                  <w:sdt>
                    <w:sdtPr>
                      <w:alias w:val="Pavadinimas"/>
                      <w:tag w:val="title_6bef18b274a34c79a2e8dfae2eadba96"/>
                      <w:lock w:val="sdtLocked"/>
                      <w:richText/>
                    </w:sdtPr>
                    <w:sdtContent>
                      <w:r>
                        <w:rPr>
                          <w:b/>
                          <w:i/>
                          <w:szCs w:val="24"/>
                          <w:lang w:bidi="lo-LA"/>
                        </w:rPr>
                        <w:t>Radviliškio rajono švietimo įstaigų tinklas</w:t>
                      </w:r>
                    </w:sdtContent>
                  </w:sdt>
                </w:p>
                <w:p>
                  <w:pPr>
                    <w:tabs>
                      <w:tab w:val="left" w:pos="1134"/>
                    </w:tabs>
                    <w:ind w:firstLine="709"/>
                    <w:rPr>
                      <w:szCs w:val="24"/>
                      <w:lang w:eastAsia="lt-LT"/>
                    </w:rPr>
                  </w:pPr>
                  <w:r>
                    <w:rPr>
                      <w:bCs/>
                      <w:szCs w:val="24"/>
                    </w:rPr>
                    <w:t xml:space="preserve">2025 m. sausio 1 d. </w:t>
                  </w:r>
                  <w:r>
                    <w:rPr>
                      <w:bCs/>
                      <w:color w:val="000000"/>
                      <w:szCs w:val="24"/>
                      <w:lang w:eastAsia="lt-LT"/>
                    </w:rPr>
                    <w:t xml:space="preserve">veiklą vykdė 19, </w:t>
                  </w:r>
                  <w:r>
                    <w:rPr>
                      <w:bCs/>
                      <w:szCs w:val="24"/>
                    </w:rPr>
                    <w:t xml:space="preserve">2025 m. rugsėjo 1 d. – 18 </w:t>
                  </w:r>
                  <w:r>
                    <w:rPr>
                      <w:bCs/>
                      <w:color w:val="000000"/>
                      <w:szCs w:val="24"/>
                      <w:lang w:eastAsia="lt-LT"/>
                    </w:rPr>
                    <w:t xml:space="preserve">savivaldybės švietimo įstaigų. </w:t>
                  </w:r>
                  <w:r>
                    <w:rPr>
                      <w:rFonts w:eastAsia="Calibri"/>
                      <w:bCs/>
                      <w:szCs w:val="24"/>
                    </w:rPr>
                    <w:t xml:space="preserve">Per 2025 m. įvykdytas </w:t>
                  </w:r>
                  <w:r>
                    <w:rPr>
                      <w:szCs w:val="24"/>
                    </w:rPr>
                    <w:t>Radviliškio dailės mokyklos reorganizavimas jungimo būdu, prijungiant ją prie Radviliškio muzikos mokyklos bei pakeičiant pavadinimą į Radviliškio meno mokyklą</w:t>
                  </w:r>
                  <w:r>
                    <w:rPr>
                      <w:bCs/>
                      <w:szCs w:val="24"/>
                    </w:rPr>
                    <w:t>.</w:t>
                  </w:r>
                </w:p>
                <w:p>
                  <w:pPr>
                    <w:tabs>
                      <w:tab w:val="left" w:pos="9639"/>
                      <w:tab w:val="left" w:pos="10800"/>
                    </w:tabs>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9"/>
                    <w:gridCol w:w="2341"/>
                    <w:gridCol w:w="18"/>
                    <w:gridCol w:w="1644"/>
                    <w:gridCol w:w="1559"/>
                  </w:tblGrid>
                  <w:tr>
                    <w:trPr>
                      <w:trHeight w:val="355"/>
                    </w:trPr>
                    <w:tc>
                      <w:tcPr>
                        <w:tcW w:w="9351" w:type="dxa"/>
                        <w:gridSpan w:val="5"/>
                        <w:shd w:val="clear" w:color="auto" w:fill="F2F2F2" w:themeFill="background1" w:themeFillShade="F2"/>
                      </w:tcPr>
                      <w:p>
                        <w:pPr>
                          <w:spacing w:line="259" w:lineRule="auto"/>
                          <w:rPr>
                            <w:b/>
                            <w:bCs/>
                            <w:kern w:val="2"/>
                            <w:szCs w:val="24"/>
                            <w14:ligatures w14:val="standardContextual"/>
                          </w:rPr>
                        </w:pPr>
                        <w:r>
                          <w:rPr>
                            <w:b/>
                            <w:bCs/>
                            <w:kern w:val="2"/>
                            <w:szCs w:val="24"/>
                            <w14:ligatures w14:val="standardContextual"/>
                          </w:rPr>
                          <w:t xml:space="preserve">Švietimo įstaigų tinklas </w:t>
                        </w:r>
                      </w:p>
                    </w:tc>
                  </w:tr>
                  <w:tr>
                    <w:trPr>
                      <w:trHeight w:val="355"/>
                    </w:trPr>
                    <w:tc>
                      <w:tcPr>
                        <w:tcW w:w="3789" w:type="dxa"/>
                        <w:vMerge w:val="restart"/>
                      </w:tcPr>
                      <w:p>
                        <w:pPr>
                          <w:tabs>
                            <w:tab w:val="left" w:pos="9639"/>
                          </w:tabs>
                          <w:rPr>
                            <w:b/>
                            <w:szCs w:val="24"/>
                          </w:rPr>
                        </w:pPr>
                        <w:r>
                          <w:rPr>
                            <w:b/>
                            <w:szCs w:val="24"/>
                          </w:rPr>
                          <w:t>Mokyklų grupės</w:t>
                        </w:r>
                      </w:p>
                    </w:tc>
                    <w:tc>
                      <w:tcPr>
                        <w:tcW w:w="2341" w:type="dxa"/>
                        <w:vMerge w:val="restart"/>
                      </w:tcPr>
                      <w:p>
                        <w:pPr>
                          <w:tabs>
                            <w:tab w:val="left" w:pos="9639"/>
                          </w:tabs>
                          <w:rPr>
                            <w:b/>
                            <w:szCs w:val="24"/>
                          </w:rPr>
                        </w:pPr>
                        <w:r>
                          <w:rPr>
                            <w:b/>
                            <w:szCs w:val="24"/>
                          </w:rPr>
                          <w:t>Mokyklos</w:t>
                        </w:r>
                      </w:p>
                    </w:tc>
                    <w:tc>
                      <w:tcPr>
                        <w:tcW w:w="3221" w:type="dxa"/>
                        <w:gridSpan w:val="3"/>
                      </w:tcPr>
                      <w:p>
                        <w:pPr>
                          <w:tabs>
                            <w:tab w:val="left" w:pos="9639"/>
                          </w:tabs>
                          <w:ind w:left="41"/>
                          <w:rPr>
                            <w:b/>
                            <w:szCs w:val="24"/>
                          </w:rPr>
                        </w:pPr>
                        <w:r>
                          <w:rPr>
                            <w:b/>
                            <w:szCs w:val="24"/>
                          </w:rPr>
                          <w:t>Įstaigų skaičius</w:t>
                        </w:r>
                      </w:p>
                    </w:tc>
                  </w:tr>
                  <w:tr>
                    <w:trPr>
                      <w:trHeight w:val="417"/>
                    </w:trPr>
                    <w:tc>
                      <w:tcPr>
                        <w:tcW w:w="3789" w:type="dxa"/>
                        <w:vMerge/>
                      </w:tcPr>
                      <w:p>
                        <w:pPr>
                          <w:tabs>
                            <w:tab w:val="left" w:pos="9639"/>
                          </w:tabs>
                          <w:rPr>
                            <w:b/>
                            <w:szCs w:val="24"/>
                          </w:rPr>
                        </w:pPr>
                      </w:p>
                    </w:tc>
                    <w:tc>
                      <w:tcPr>
                        <w:tcW w:w="2341" w:type="dxa"/>
                        <w:vMerge/>
                      </w:tcPr>
                      <w:p>
                        <w:pPr>
                          <w:tabs>
                            <w:tab w:val="left" w:pos="9639"/>
                          </w:tabs>
                          <w:rPr>
                            <w:b/>
                            <w:szCs w:val="24"/>
                          </w:rPr>
                        </w:pPr>
                      </w:p>
                    </w:tc>
                    <w:tc>
                      <w:tcPr>
                        <w:tcW w:w="1662" w:type="dxa"/>
                        <w:gridSpan w:val="2"/>
                        <w:tcBorders>
                          <w:left w:val="single" w:sz="2" w:space="0" w:color="auto"/>
                        </w:tcBorders>
                      </w:tcPr>
                      <w:p>
                        <w:pPr>
                          <w:tabs>
                            <w:tab w:val="left" w:pos="9639"/>
                          </w:tabs>
                          <w:rPr>
                            <w:b/>
                            <w:szCs w:val="24"/>
                          </w:rPr>
                        </w:pPr>
                        <w:r>
                          <w:rPr>
                            <w:b/>
                            <w:szCs w:val="24"/>
                          </w:rPr>
                          <w:t xml:space="preserve">2025-01-01 </w:t>
                        </w:r>
                      </w:p>
                    </w:tc>
                    <w:tc>
                      <w:tcPr>
                        <w:tcW w:w="1559" w:type="dxa"/>
                        <w:tcBorders>
                          <w:left w:val="single" w:sz="2" w:space="0" w:color="auto"/>
                        </w:tcBorders>
                      </w:tcPr>
                      <w:p>
                        <w:pPr>
                          <w:tabs>
                            <w:tab w:val="left" w:pos="9639"/>
                          </w:tabs>
                          <w:rPr>
                            <w:b/>
                            <w:szCs w:val="24"/>
                          </w:rPr>
                        </w:pPr>
                        <w:r>
                          <w:rPr>
                            <w:b/>
                            <w:szCs w:val="24"/>
                          </w:rPr>
                          <w:t xml:space="preserve">2025-09-01 </w:t>
                        </w:r>
                      </w:p>
                    </w:tc>
                  </w:tr>
                  <w:tr>
                    <w:tc>
                      <w:tcPr>
                        <w:tcW w:w="3789" w:type="dxa"/>
                        <w:tcBorders>
                          <w:bottom w:val="single" w:sz="12" w:space="0" w:color="auto"/>
                        </w:tcBorders>
                      </w:tcPr>
                      <w:p>
                        <w:pPr>
                          <w:tabs>
                            <w:tab w:val="left" w:pos="9639"/>
                          </w:tabs>
                          <w:rPr>
                            <w:szCs w:val="24"/>
                          </w:rPr>
                        </w:pPr>
                        <w:r>
                          <w:rPr>
                            <w:szCs w:val="24"/>
                          </w:rPr>
                          <w:t>Ikimokyklinio ugdymo mokyklos</w:t>
                        </w:r>
                      </w:p>
                    </w:tc>
                    <w:tc>
                      <w:tcPr>
                        <w:tcW w:w="2341" w:type="dxa"/>
                        <w:tcBorders>
                          <w:bottom w:val="single" w:sz="12" w:space="0" w:color="auto"/>
                        </w:tcBorders>
                      </w:tcPr>
                      <w:p>
                        <w:pPr>
                          <w:tabs>
                            <w:tab w:val="left" w:pos="9639"/>
                          </w:tabs>
                          <w:rPr>
                            <w:szCs w:val="24"/>
                          </w:rPr>
                        </w:pPr>
                        <w:r>
                          <w:rPr>
                            <w:szCs w:val="24"/>
                          </w:rPr>
                          <w:t>Lopšeliai-darželiai</w:t>
                        </w:r>
                      </w:p>
                    </w:tc>
                    <w:tc>
                      <w:tcPr>
                        <w:tcW w:w="1662" w:type="dxa"/>
                        <w:gridSpan w:val="2"/>
                        <w:tcBorders>
                          <w:left w:val="single" w:sz="2" w:space="0" w:color="auto"/>
                          <w:bottom w:val="single" w:sz="12" w:space="0" w:color="auto"/>
                        </w:tcBorders>
                      </w:tcPr>
                      <w:p>
                        <w:pPr>
                          <w:tabs>
                            <w:tab w:val="left" w:pos="9639"/>
                          </w:tabs>
                          <w:rPr>
                            <w:b/>
                            <w:bCs/>
                            <w:szCs w:val="24"/>
                          </w:rPr>
                        </w:pPr>
                        <w:r>
                          <w:rPr>
                            <w:b/>
                            <w:bCs/>
                            <w:szCs w:val="24"/>
                          </w:rPr>
                          <w:t>4</w:t>
                        </w:r>
                      </w:p>
                    </w:tc>
                    <w:tc>
                      <w:tcPr>
                        <w:tcW w:w="1559" w:type="dxa"/>
                        <w:tcBorders>
                          <w:left w:val="single" w:sz="2" w:space="0" w:color="auto"/>
                          <w:bottom w:val="single" w:sz="12" w:space="0" w:color="auto"/>
                        </w:tcBorders>
                      </w:tcPr>
                      <w:p>
                        <w:pPr>
                          <w:tabs>
                            <w:tab w:val="left" w:pos="9639"/>
                          </w:tabs>
                          <w:rPr>
                            <w:b/>
                            <w:bCs/>
                            <w:szCs w:val="24"/>
                          </w:rPr>
                        </w:pPr>
                        <w:r>
                          <w:rPr>
                            <w:b/>
                            <w:bCs/>
                            <w:szCs w:val="24"/>
                          </w:rPr>
                          <w:t>4</w:t>
                        </w:r>
                      </w:p>
                    </w:tc>
                  </w:tr>
                  <w:tr>
                    <w:tc>
                      <w:tcPr>
                        <w:tcW w:w="3789" w:type="dxa"/>
                        <w:vMerge w:val="restart"/>
                        <w:tcBorders>
                          <w:top w:val="single" w:sz="12" w:space="0" w:color="auto"/>
                        </w:tcBorders>
                      </w:tcPr>
                      <w:p>
                        <w:pPr>
                          <w:tabs>
                            <w:tab w:val="left" w:pos="9639"/>
                          </w:tabs>
                          <w:rPr>
                            <w:szCs w:val="24"/>
                          </w:rPr>
                        </w:pPr>
                        <w:r>
                          <w:rPr>
                            <w:szCs w:val="24"/>
                          </w:rPr>
                          <w:t>Bendrojo ugdymo mokyklos</w:t>
                        </w:r>
                      </w:p>
                    </w:tc>
                    <w:tc>
                      <w:tcPr>
                        <w:tcW w:w="2341" w:type="dxa"/>
                        <w:tcBorders>
                          <w:top w:val="single" w:sz="12" w:space="0" w:color="auto"/>
                        </w:tcBorders>
                      </w:tcPr>
                      <w:p>
                        <w:pPr>
                          <w:tabs>
                            <w:tab w:val="left" w:pos="9639"/>
                          </w:tabs>
                          <w:rPr>
                            <w:szCs w:val="24"/>
                          </w:rPr>
                        </w:pPr>
                        <w:r>
                          <w:rPr>
                            <w:szCs w:val="24"/>
                          </w:rPr>
                          <w:t>Mokyklos-darželiai</w:t>
                        </w:r>
                      </w:p>
                    </w:tc>
                    <w:tc>
                      <w:tcPr>
                        <w:tcW w:w="1662" w:type="dxa"/>
                        <w:gridSpan w:val="2"/>
                        <w:tcBorders>
                          <w:top w:val="single" w:sz="12" w:space="0" w:color="auto"/>
                          <w:left w:val="single" w:sz="2" w:space="0" w:color="auto"/>
                        </w:tcBorders>
                      </w:tcPr>
                      <w:p>
                        <w:pPr>
                          <w:tabs>
                            <w:tab w:val="left" w:pos="9639"/>
                          </w:tabs>
                          <w:rPr>
                            <w:szCs w:val="24"/>
                          </w:rPr>
                        </w:pPr>
                        <w:r>
                          <w:rPr>
                            <w:szCs w:val="24"/>
                          </w:rPr>
                          <w:t>1</w:t>
                        </w:r>
                      </w:p>
                    </w:tc>
                    <w:tc>
                      <w:tcPr>
                        <w:tcW w:w="1559" w:type="dxa"/>
                        <w:tcBorders>
                          <w:top w:val="single" w:sz="12" w:space="0" w:color="auto"/>
                          <w:left w:val="single" w:sz="2" w:space="0" w:color="auto"/>
                        </w:tcBorders>
                      </w:tcPr>
                      <w:p>
                        <w:pPr>
                          <w:tabs>
                            <w:tab w:val="left" w:pos="9639"/>
                          </w:tabs>
                          <w:rPr>
                            <w:szCs w:val="24"/>
                          </w:rPr>
                        </w:pPr>
                        <w:r>
                          <w:rPr>
                            <w:szCs w:val="24"/>
                          </w:rPr>
                          <w:t>1</w:t>
                        </w:r>
                      </w:p>
                    </w:tc>
                  </w:tr>
                  <w:tr>
                    <w:tc>
                      <w:tcPr>
                        <w:tcW w:w="3789" w:type="dxa"/>
                        <w:vMerge/>
                      </w:tcPr>
                      <w:p>
                        <w:pPr>
                          <w:tabs>
                            <w:tab w:val="left" w:pos="9639"/>
                          </w:tabs>
                          <w:rPr>
                            <w:szCs w:val="24"/>
                          </w:rPr>
                        </w:pPr>
                      </w:p>
                    </w:tc>
                    <w:tc>
                      <w:tcPr>
                        <w:tcW w:w="2341" w:type="dxa"/>
                      </w:tcPr>
                      <w:p>
                        <w:pPr>
                          <w:tabs>
                            <w:tab w:val="left" w:pos="9639"/>
                          </w:tabs>
                          <w:rPr>
                            <w:szCs w:val="24"/>
                          </w:rPr>
                        </w:pPr>
                        <w:r>
                          <w:rPr>
                            <w:szCs w:val="24"/>
                          </w:rPr>
                          <w:t>Progimnazija</w:t>
                        </w:r>
                      </w:p>
                    </w:tc>
                    <w:tc>
                      <w:tcPr>
                        <w:tcW w:w="1662" w:type="dxa"/>
                        <w:gridSpan w:val="2"/>
                        <w:tcBorders>
                          <w:left w:val="single" w:sz="2" w:space="0" w:color="auto"/>
                        </w:tcBorders>
                      </w:tcPr>
                      <w:p>
                        <w:pPr>
                          <w:tabs>
                            <w:tab w:val="left" w:pos="9639"/>
                          </w:tabs>
                          <w:rPr>
                            <w:szCs w:val="24"/>
                          </w:rPr>
                        </w:pPr>
                        <w:r>
                          <w:rPr>
                            <w:szCs w:val="24"/>
                          </w:rPr>
                          <w:t>2</w:t>
                        </w:r>
                      </w:p>
                    </w:tc>
                    <w:tc>
                      <w:tcPr>
                        <w:tcW w:w="1559" w:type="dxa"/>
                        <w:tcBorders>
                          <w:left w:val="single" w:sz="2" w:space="0" w:color="auto"/>
                        </w:tcBorders>
                      </w:tcPr>
                      <w:p>
                        <w:pPr>
                          <w:tabs>
                            <w:tab w:val="left" w:pos="9639"/>
                          </w:tabs>
                          <w:rPr>
                            <w:szCs w:val="24"/>
                          </w:rPr>
                        </w:pPr>
                        <w:r>
                          <w:rPr>
                            <w:szCs w:val="24"/>
                          </w:rPr>
                          <w:t>2</w:t>
                        </w:r>
                      </w:p>
                    </w:tc>
                  </w:tr>
                  <w:tr>
                    <w:tc>
                      <w:tcPr>
                        <w:tcW w:w="3789" w:type="dxa"/>
                        <w:vMerge/>
                      </w:tcPr>
                      <w:p>
                        <w:pPr>
                          <w:tabs>
                            <w:tab w:val="left" w:pos="9639"/>
                          </w:tabs>
                          <w:rPr>
                            <w:szCs w:val="24"/>
                          </w:rPr>
                        </w:pPr>
                      </w:p>
                    </w:tc>
                    <w:tc>
                      <w:tcPr>
                        <w:tcW w:w="2341" w:type="dxa"/>
                      </w:tcPr>
                      <w:p>
                        <w:pPr>
                          <w:tabs>
                            <w:tab w:val="left" w:pos="9639"/>
                          </w:tabs>
                          <w:rPr>
                            <w:szCs w:val="24"/>
                          </w:rPr>
                        </w:pPr>
                        <w:r>
                          <w:rPr>
                            <w:szCs w:val="24"/>
                          </w:rPr>
                          <w:t>Pagrindinės mokyklos</w:t>
                        </w:r>
                      </w:p>
                    </w:tc>
                    <w:tc>
                      <w:tcPr>
                        <w:tcW w:w="1662" w:type="dxa"/>
                        <w:gridSpan w:val="2"/>
                        <w:tcBorders>
                          <w:left w:val="single" w:sz="2" w:space="0" w:color="auto"/>
                        </w:tcBorders>
                      </w:tcPr>
                      <w:p>
                        <w:pPr>
                          <w:tabs>
                            <w:tab w:val="left" w:pos="9639"/>
                          </w:tabs>
                          <w:rPr>
                            <w:szCs w:val="24"/>
                          </w:rPr>
                        </w:pPr>
                        <w:r>
                          <w:rPr>
                            <w:szCs w:val="24"/>
                          </w:rPr>
                          <w:t>4</w:t>
                        </w:r>
                      </w:p>
                    </w:tc>
                    <w:tc>
                      <w:tcPr>
                        <w:tcW w:w="1559" w:type="dxa"/>
                        <w:tcBorders>
                          <w:left w:val="single" w:sz="2" w:space="0" w:color="auto"/>
                        </w:tcBorders>
                      </w:tcPr>
                      <w:p>
                        <w:pPr>
                          <w:tabs>
                            <w:tab w:val="left" w:pos="9639"/>
                          </w:tabs>
                          <w:rPr>
                            <w:szCs w:val="24"/>
                          </w:rPr>
                        </w:pPr>
                        <w:r>
                          <w:rPr>
                            <w:szCs w:val="24"/>
                          </w:rPr>
                          <w:t>4</w:t>
                        </w:r>
                      </w:p>
                    </w:tc>
                  </w:tr>
                  <w:tr>
                    <w:tc>
                      <w:tcPr>
                        <w:tcW w:w="3789" w:type="dxa"/>
                        <w:vMerge/>
                      </w:tcPr>
                      <w:p>
                        <w:pPr>
                          <w:tabs>
                            <w:tab w:val="left" w:pos="9639"/>
                          </w:tabs>
                          <w:rPr>
                            <w:szCs w:val="24"/>
                          </w:rPr>
                        </w:pPr>
                      </w:p>
                    </w:tc>
                    <w:tc>
                      <w:tcPr>
                        <w:tcW w:w="2341" w:type="dxa"/>
                      </w:tcPr>
                      <w:p>
                        <w:pPr>
                          <w:tabs>
                            <w:tab w:val="left" w:pos="9639"/>
                          </w:tabs>
                          <w:rPr>
                            <w:szCs w:val="24"/>
                          </w:rPr>
                        </w:pPr>
                        <w:r>
                          <w:rPr>
                            <w:szCs w:val="24"/>
                          </w:rPr>
                          <w:t>Gimnazijos</w:t>
                        </w:r>
                      </w:p>
                    </w:tc>
                    <w:tc>
                      <w:tcPr>
                        <w:tcW w:w="1662" w:type="dxa"/>
                        <w:gridSpan w:val="2"/>
                        <w:tcBorders>
                          <w:left w:val="single" w:sz="2" w:space="0" w:color="auto"/>
                        </w:tcBorders>
                      </w:tcPr>
                      <w:p>
                        <w:pPr>
                          <w:tabs>
                            <w:tab w:val="left" w:pos="9639"/>
                          </w:tabs>
                          <w:rPr>
                            <w:szCs w:val="24"/>
                          </w:rPr>
                        </w:pPr>
                        <w:r>
                          <w:rPr>
                            <w:szCs w:val="24"/>
                          </w:rPr>
                          <w:t>6</w:t>
                        </w:r>
                      </w:p>
                    </w:tc>
                    <w:tc>
                      <w:tcPr>
                        <w:tcW w:w="1559" w:type="dxa"/>
                        <w:tcBorders>
                          <w:left w:val="single" w:sz="2" w:space="0" w:color="auto"/>
                        </w:tcBorders>
                      </w:tcPr>
                      <w:p>
                        <w:pPr>
                          <w:tabs>
                            <w:tab w:val="left" w:pos="9639"/>
                          </w:tabs>
                          <w:rPr>
                            <w:szCs w:val="24"/>
                          </w:rPr>
                        </w:pPr>
                        <w:r>
                          <w:rPr>
                            <w:szCs w:val="24"/>
                          </w:rPr>
                          <w:t>4</w:t>
                        </w:r>
                      </w:p>
                    </w:tc>
                  </w:tr>
                  <w:tr>
                    <w:tc>
                      <w:tcPr>
                        <w:tcW w:w="3789" w:type="dxa"/>
                        <w:vMerge/>
                        <w:tcBorders>
                          <w:bottom w:val="single" w:sz="12" w:space="0" w:color="auto"/>
                        </w:tcBorders>
                      </w:tcPr>
                      <w:p>
                        <w:pPr>
                          <w:tabs>
                            <w:tab w:val="left" w:pos="9639"/>
                          </w:tabs>
                          <w:rPr>
                            <w:szCs w:val="24"/>
                          </w:rPr>
                        </w:pPr>
                      </w:p>
                    </w:tc>
                    <w:tc>
                      <w:tcPr>
                        <w:tcW w:w="2341" w:type="dxa"/>
                        <w:tcBorders>
                          <w:bottom w:val="single" w:sz="12" w:space="0" w:color="auto"/>
                        </w:tcBorders>
                      </w:tcPr>
                      <w:p>
                        <w:pPr>
                          <w:tabs>
                            <w:tab w:val="left" w:pos="9639"/>
                          </w:tabs>
                          <w:rPr>
                            <w:b/>
                            <w:szCs w:val="24"/>
                          </w:rPr>
                        </w:pPr>
                        <w:r>
                          <w:rPr>
                            <w:b/>
                            <w:szCs w:val="24"/>
                          </w:rPr>
                          <w:t>Iš viso:</w:t>
                        </w:r>
                      </w:p>
                    </w:tc>
                    <w:tc>
                      <w:tcPr>
                        <w:tcW w:w="1662" w:type="dxa"/>
                        <w:gridSpan w:val="2"/>
                        <w:tcBorders>
                          <w:left w:val="single" w:sz="2" w:space="0" w:color="auto"/>
                          <w:bottom w:val="single" w:sz="12" w:space="0" w:color="auto"/>
                        </w:tcBorders>
                      </w:tcPr>
                      <w:p>
                        <w:pPr>
                          <w:tabs>
                            <w:tab w:val="left" w:pos="9639"/>
                          </w:tabs>
                          <w:rPr>
                            <w:b/>
                            <w:szCs w:val="24"/>
                          </w:rPr>
                        </w:pPr>
                        <w:r>
                          <w:rPr>
                            <w:b/>
                            <w:szCs w:val="24"/>
                          </w:rPr>
                          <w:t>11</w:t>
                        </w:r>
                      </w:p>
                    </w:tc>
                    <w:tc>
                      <w:tcPr>
                        <w:tcW w:w="1559" w:type="dxa"/>
                        <w:tcBorders>
                          <w:left w:val="single" w:sz="2" w:space="0" w:color="auto"/>
                          <w:bottom w:val="single" w:sz="12" w:space="0" w:color="auto"/>
                        </w:tcBorders>
                      </w:tcPr>
                      <w:p>
                        <w:pPr>
                          <w:tabs>
                            <w:tab w:val="left" w:pos="9639"/>
                          </w:tabs>
                          <w:rPr>
                            <w:b/>
                            <w:szCs w:val="24"/>
                          </w:rPr>
                        </w:pPr>
                        <w:r>
                          <w:rPr>
                            <w:b/>
                            <w:szCs w:val="24"/>
                          </w:rPr>
                          <w:t>11</w:t>
                        </w:r>
                      </w:p>
                    </w:tc>
                  </w:tr>
                  <w:tr>
                    <w:tc>
                      <w:tcPr>
                        <w:tcW w:w="6130" w:type="dxa"/>
                        <w:gridSpan w:val="2"/>
                        <w:tcBorders>
                          <w:top w:val="single" w:sz="12" w:space="0" w:color="auto"/>
                          <w:bottom w:val="single" w:sz="12" w:space="0" w:color="auto"/>
                        </w:tcBorders>
                      </w:tcPr>
                      <w:p>
                        <w:pPr>
                          <w:tabs>
                            <w:tab w:val="left" w:pos="9639"/>
                          </w:tabs>
                          <w:rPr>
                            <w:szCs w:val="24"/>
                          </w:rPr>
                        </w:pPr>
                        <w:r>
                          <w:rPr>
                            <w:szCs w:val="24"/>
                          </w:rPr>
                          <w:t xml:space="preserve">Neformaliojo vaikų švietimo mokyklos </w:t>
                        </w:r>
                      </w:p>
                    </w:tc>
                    <w:tc>
                      <w:tcPr>
                        <w:tcW w:w="1662" w:type="dxa"/>
                        <w:gridSpan w:val="2"/>
                        <w:tcBorders>
                          <w:top w:val="single" w:sz="12" w:space="0" w:color="auto"/>
                          <w:bottom w:val="single" w:sz="12" w:space="0" w:color="auto"/>
                          <w:right w:val="single" w:sz="2" w:space="0" w:color="auto"/>
                        </w:tcBorders>
                      </w:tcPr>
                      <w:p>
                        <w:pPr>
                          <w:tabs>
                            <w:tab w:val="left" w:pos="9639"/>
                          </w:tabs>
                          <w:rPr>
                            <w:b/>
                            <w:bCs/>
                            <w:szCs w:val="24"/>
                          </w:rPr>
                        </w:pPr>
                        <w:r>
                          <w:rPr>
                            <w:b/>
                            <w:bCs/>
                            <w:szCs w:val="24"/>
                          </w:rPr>
                          <w:t>3</w:t>
                        </w:r>
                      </w:p>
                    </w:tc>
                    <w:tc>
                      <w:tcPr>
                        <w:tcW w:w="1559" w:type="dxa"/>
                        <w:tcBorders>
                          <w:top w:val="single" w:sz="12" w:space="0" w:color="auto"/>
                          <w:left w:val="single" w:sz="2" w:space="0" w:color="auto"/>
                          <w:bottom w:val="single" w:sz="12" w:space="0" w:color="auto"/>
                        </w:tcBorders>
                      </w:tcPr>
                      <w:p>
                        <w:pPr>
                          <w:tabs>
                            <w:tab w:val="left" w:pos="9639"/>
                          </w:tabs>
                          <w:rPr>
                            <w:b/>
                            <w:bCs/>
                            <w:szCs w:val="24"/>
                          </w:rPr>
                        </w:pPr>
                        <w:r>
                          <w:rPr>
                            <w:b/>
                            <w:bCs/>
                            <w:szCs w:val="24"/>
                          </w:rPr>
                          <w:t>2</w:t>
                        </w:r>
                      </w:p>
                    </w:tc>
                  </w:tr>
                  <w:tr>
                    <w:tc>
                      <w:tcPr>
                        <w:tcW w:w="6130" w:type="dxa"/>
                        <w:gridSpan w:val="2"/>
                        <w:tcBorders>
                          <w:top w:val="single" w:sz="12" w:space="0" w:color="auto"/>
                          <w:bottom w:val="single" w:sz="12" w:space="0" w:color="auto"/>
                        </w:tcBorders>
                      </w:tcPr>
                      <w:p>
                        <w:pPr>
                          <w:tabs>
                            <w:tab w:val="left" w:pos="9639"/>
                          </w:tabs>
                          <w:rPr>
                            <w:szCs w:val="24"/>
                          </w:rPr>
                        </w:pPr>
                        <w:r>
                          <w:rPr>
                            <w:szCs w:val="24"/>
                          </w:rPr>
                          <w:t>Švietimo pagalbos įstaigos</w:t>
                        </w:r>
                      </w:p>
                    </w:tc>
                    <w:tc>
                      <w:tcPr>
                        <w:tcW w:w="1662" w:type="dxa"/>
                        <w:gridSpan w:val="2"/>
                        <w:tcBorders>
                          <w:top w:val="single" w:sz="12" w:space="0" w:color="auto"/>
                          <w:bottom w:val="single" w:sz="12" w:space="0" w:color="auto"/>
                          <w:right w:val="single" w:sz="2" w:space="0" w:color="auto"/>
                        </w:tcBorders>
                      </w:tcPr>
                      <w:p>
                        <w:pPr>
                          <w:tabs>
                            <w:tab w:val="left" w:pos="9639"/>
                          </w:tabs>
                          <w:rPr>
                            <w:b/>
                            <w:bCs/>
                            <w:szCs w:val="24"/>
                          </w:rPr>
                        </w:pPr>
                        <w:r>
                          <w:rPr>
                            <w:b/>
                            <w:bCs/>
                            <w:szCs w:val="24"/>
                          </w:rPr>
                          <w:t>1</w:t>
                        </w:r>
                      </w:p>
                    </w:tc>
                    <w:tc>
                      <w:tcPr>
                        <w:tcW w:w="1559" w:type="dxa"/>
                        <w:tcBorders>
                          <w:top w:val="single" w:sz="12" w:space="0" w:color="auto"/>
                          <w:left w:val="single" w:sz="2" w:space="0" w:color="auto"/>
                          <w:bottom w:val="single" w:sz="12" w:space="0" w:color="auto"/>
                        </w:tcBorders>
                      </w:tcPr>
                      <w:p>
                        <w:pPr>
                          <w:tabs>
                            <w:tab w:val="left" w:pos="9639"/>
                          </w:tabs>
                          <w:rPr>
                            <w:b/>
                            <w:bCs/>
                            <w:szCs w:val="24"/>
                          </w:rPr>
                        </w:pPr>
                        <w:r>
                          <w:rPr>
                            <w:b/>
                            <w:bCs/>
                            <w:szCs w:val="24"/>
                          </w:rPr>
                          <w:t>1</w:t>
                        </w:r>
                      </w:p>
                    </w:tc>
                  </w:tr>
                  <w:tr>
                    <w:tc>
                      <w:tcPr>
                        <w:tcW w:w="6148" w:type="dxa"/>
                        <w:gridSpan w:val="3"/>
                      </w:tcPr>
                      <w:p>
                        <w:pPr>
                          <w:tabs>
                            <w:tab w:val="left" w:pos="9639"/>
                          </w:tabs>
                          <w:rPr>
                            <w:b/>
                            <w:szCs w:val="24"/>
                          </w:rPr>
                        </w:pPr>
                        <w:r>
                          <w:rPr>
                            <w:b/>
                            <w:szCs w:val="24"/>
                          </w:rPr>
                          <w:t>Iš viso:</w:t>
                        </w:r>
                      </w:p>
                    </w:tc>
                    <w:tc>
                      <w:tcPr>
                        <w:tcW w:w="1644" w:type="dxa"/>
                        <w:tcBorders>
                          <w:top w:val="single" w:sz="12" w:space="0" w:color="auto"/>
                          <w:right w:val="single" w:sz="2" w:space="0" w:color="auto"/>
                        </w:tcBorders>
                      </w:tcPr>
                      <w:p>
                        <w:pPr>
                          <w:tabs>
                            <w:tab w:val="left" w:pos="9639"/>
                          </w:tabs>
                          <w:rPr>
                            <w:b/>
                            <w:szCs w:val="24"/>
                          </w:rPr>
                        </w:pPr>
                        <w:r>
                          <w:rPr>
                            <w:b/>
                            <w:szCs w:val="24"/>
                          </w:rPr>
                          <w:t>19</w:t>
                        </w:r>
                      </w:p>
                    </w:tc>
                    <w:tc>
                      <w:tcPr>
                        <w:tcW w:w="1559" w:type="dxa"/>
                        <w:tcBorders>
                          <w:top w:val="single" w:sz="12" w:space="0" w:color="auto"/>
                          <w:left w:val="single" w:sz="2" w:space="0" w:color="auto"/>
                        </w:tcBorders>
                      </w:tcPr>
                      <w:p>
                        <w:pPr>
                          <w:tabs>
                            <w:tab w:val="left" w:pos="9639"/>
                          </w:tabs>
                          <w:rPr>
                            <w:b/>
                            <w:szCs w:val="24"/>
                          </w:rPr>
                        </w:pPr>
                        <w:r>
                          <w:rPr>
                            <w:b/>
                            <w:szCs w:val="24"/>
                          </w:rPr>
                          <w:t>18</w:t>
                        </w:r>
                      </w:p>
                    </w:tc>
                  </w:tr>
                </w:tbl>
                <w:p>
                  <w:pPr>
                    <w:tabs>
                      <w:tab w:val="left" w:pos="9639"/>
                      <w:tab w:val="left" w:pos="10800"/>
                    </w:tabs>
                    <w:rPr>
                      <w:b/>
                      <w:szCs w:val="24"/>
                      <w:lang w:eastAsia="lt-LT"/>
                    </w:rPr>
                  </w:pPr>
                </w:p>
                <w:p>
                  <w:pPr>
                    <w:tabs>
                      <w:tab w:val="left" w:pos="9639"/>
                      <w:tab w:val="left" w:pos="10800"/>
                    </w:tabs>
                    <w:ind w:firstLine="709"/>
                    <w:rPr>
                      <w:bCs/>
                      <w:szCs w:val="24"/>
                      <w:lang w:eastAsia="lt-LT"/>
                    </w:rPr>
                  </w:pPr>
                  <w:r>
                    <w:rPr>
                      <w:bCs/>
                      <w:szCs w:val="24"/>
                      <w:lang w:eastAsia="lt-LT"/>
                    </w:rPr>
                    <w:t>Visos Radviliškio rajono švietimo įstaigos įgyvendino 2025 m. veiklos planuose iškeltus tikslus ir uždavinius.</w:t>
                  </w:r>
                </w:p>
                <w:p>
                  <w:pPr>
                    <w:tabs>
                      <w:tab w:val="left" w:pos="9639"/>
                      <w:tab w:val="left" w:pos="10800"/>
                    </w:tabs>
                    <w:rPr>
                      <w:b/>
                      <w:szCs w:val="24"/>
                      <w:lang w:eastAsia="lt-LT"/>
                    </w:rPr>
                  </w:pPr>
                </w:p>
              </w:sdtContent>
            </w:sdt>
            <w:sdt>
              <w:sdtPr>
                <w:alias w:val="poskyris"/>
                <w:tag w:val="part_cb20a340547543218b826fb352e5b0ec"/>
                <w:lock w:val="sdtLocked"/>
                <w:richText/>
              </w:sdtPr>
              <w:sdtContent>
                <w:p>
                  <w:pPr>
                    <w:shd w:val="clear" w:color="auto" w:fill="FFFFFF"/>
                    <w:tabs>
                      <w:tab w:val="left" w:pos="9639"/>
                      <w:tab w:val="left" w:pos="10800"/>
                    </w:tabs>
                    <w:ind w:right="24"/>
                    <w:rPr>
                      <w:b/>
                      <w:bCs/>
                      <w:i/>
                      <w:szCs w:val="24"/>
                      <w:shd w:val="clear" w:color="auto" w:fill="FFFFFF"/>
                      <w:lang w:eastAsia="lt-LT"/>
                    </w:rPr>
                  </w:pPr>
                  <w:sdt>
                    <w:sdtPr>
                      <w:alias w:val="Pavadinimas"/>
                      <w:tag w:val="title_cb20a340547543218b826fb352e5b0ec"/>
                      <w:lock w:val="sdtLocked"/>
                      <w:richText/>
                    </w:sdtPr>
                    <w:sdtContent>
                      <w:r>
                        <w:rPr>
                          <w:b/>
                          <w:bCs/>
                          <w:i/>
                          <w:szCs w:val="24"/>
                          <w:shd w:val="clear" w:color="auto" w:fill="FFFFFF"/>
                          <w:lang w:eastAsia="lt-LT"/>
                        </w:rPr>
                        <w:t>Pedagogai</w:t>
                      </w:r>
                    </w:sdtContent>
                  </w:sdt>
                </w:p>
                <w:p>
                  <w:pPr>
                    <w:tabs>
                      <w:tab w:val="left" w:pos="993"/>
                    </w:tabs>
                    <w:ind w:firstLine="709"/>
                    <w:rPr>
                      <w:color w:val="000000"/>
                      <w:szCs w:val="24"/>
                    </w:rPr>
                  </w:pPr>
                  <w:r>
                    <w:rPr>
                      <w:color w:val="000000"/>
                      <w:szCs w:val="24"/>
                    </w:rPr>
                    <w:t>2025 m. Radviliškio rajono savivaldybės švietimo įstaigose buvo finansuojama – 615, iš jų bendrojo ugdymo mokyklose – 333.</w:t>
                  </w:r>
                </w:p>
                <w:p>
                  <w:pPr>
                    <w:tabs>
                      <w:tab w:val="left" w:pos="993"/>
                    </w:tabs>
                    <w:rPr>
                      <w:szCs w:val="24"/>
                    </w:rPr>
                  </w:pPr>
                </w:p>
              </w:sdtContent>
            </w:sdt>
            <w:sdt>
              <w:sdtPr>
                <w:alias w:val="poskyris"/>
                <w:tag w:val="part_d367e4a59f64434ba73ce70738d04ef4"/>
                <w:lock w:val="sdtLocked"/>
                <w:richText/>
              </w:sdtPr>
              <w:sdtContent>
                <w:p>
                  <w:pPr>
                    <w:tabs>
                      <w:tab w:val="left" w:pos="993"/>
                    </w:tabs>
                    <w:ind w:firstLine="284"/>
                    <w:rPr>
                      <w:b/>
                      <w:i/>
                      <w:iCs/>
                      <w:szCs w:val="24"/>
                    </w:rPr>
                  </w:pPr>
                  <w:sdt>
                    <w:sdtPr>
                      <w:alias w:val="Pavadinimas"/>
                      <w:tag w:val="title_d367e4a59f64434ba73ce70738d04ef4"/>
                      <w:lock w:val="sdtLocked"/>
                      <w:richText/>
                    </w:sdtPr>
                    <w:sdtContent>
                      <w:r>
                        <w:rPr>
                          <w:b/>
                          <w:i/>
                          <w:iCs/>
                          <w:szCs w:val="24"/>
                        </w:rPr>
                        <w:t xml:space="preserve">Radviliškio rajono bendrojo ugdymo mokyklų mokytojai, dirbantys pagrindinėse pareigose, jų išsilavinimas 2023–2025 metais </w:t>
                      </w:r>
                    </w:sdtContent>
                  </w:sdt>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1"/>
                    <w:gridCol w:w="2002"/>
                    <w:gridCol w:w="1820"/>
                    <w:gridCol w:w="1694"/>
                    <w:gridCol w:w="1583"/>
                  </w:tblGrid>
                  <w:tr>
                    <w:trPr>
                      <w:trHeight w:val="323"/>
                      <w:jc w:val="center"/>
                    </w:trPr>
                    <w:tc>
                      <w:tcPr>
                        <w:tcW w:w="1931"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900"/>
                            <w:tab w:val="left" w:pos="1260"/>
                          </w:tabs>
                          <w:ind w:firstLine="284"/>
                          <w:rPr>
                            <w:b/>
                            <w:bCs/>
                            <w:szCs w:val="24"/>
                          </w:rPr>
                        </w:pPr>
                        <w:r>
                          <w:rPr>
                            <w:b/>
                            <w:bCs/>
                            <w:szCs w:val="24"/>
                          </w:rPr>
                          <w:t>Mokslo metai</w:t>
                        </w:r>
                      </w:p>
                    </w:tc>
                    <w:tc>
                      <w:tcPr>
                        <w:tcW w:w="2002"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900"/>
                            <w:tab w:val="left" w:pos="1260"/>
                          </w:tabs>
                          <w:rPr>
                            <w:b/>
                            <w:bCs/>
                            <w:szCs w:val="24"/>
                          </w:rPr>
                        </w:pPr>
                        <w:r>
                          <w:rPr>
                            <w:b/>
                            <w:bCs/>
                            <w:szCs w:val="24"/>
                          </w:rPr>
                          <w:t>Pedagogų skaičius</w:t>
                        </w:r>
                      </w:p>
                    </w:tc>
                    <w:tc>
                      <w:tcPr>
                        <w:tcW w:w="5097" w:type="dxa"/>
                        <w:gridSpan w:val="3"/>
                        <w:tcBorders>
                          <w:top w:val="single" w:sz="4" w:space="0" w:color="auto"/>
                          <w:left w:val="single" w:sz="4" w:space="0" w:color="auto"/>
                          <w:bottom w:val="single" w:sz="4" w:space="0" w:color="auto"/>
                          <w:right w:val="single" w:sz="4" w:space="0" w:color="auto"/>
                        </w:tcBorders>
                        <w:vAlign w:val="center"/>
                        <w:hideMark/>
                      </w:tcPr>
                      <w:p>
                        <w:pPr>
                          <w:tabs>
                            <w:tab w:val="left" w:pos="900"/>
                            <w:tab w:val="left" w:pos="1260"/>
                          </w:tabs>
                          <w:ind w:firstLine="284"/>
                          <w:rPr>
                            <w:b/>
                            <w:bCs/>
                            <w:szCs w:val="24"/>
                          </w:rPr>
                        </w:pPr>
                        <w:r>
                          <w:rPr>
                            <w:b/>
                            <w:bCs/>
                            <w:szCs w:val="24"/>
                          </w:rPr>
                          <w:t>Išsilavinimas</w:t>
                        </w:r>
                      </w:p>
                    </w:tc>
                  </w:tr>
                  <w:tr>
                    <w:trPr>
                      <w:trHeight w:val="272"/>
                      <w:jc w:val="center"/>
                    </w:trPr>
                    <w:tc>
                      <w:tcPr>
                        <w:tcW w:w="1931"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szCs w:val="24"/>
                          </w:rPr>
                        </w:pPr>
                      </w:p>
                    </w:tc>
                    <w:tc>
                      <w:tcPr>
                        <w:tcW w:w="2002"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szCs w:val="24"/>
                          </w:rPr>
                        </w:pPr>
                      </w:p>
                    </w:tc>
                    <w:tc>
                      <w:tcPr>
                        <w:tcW w:w="1820" w:type="dxa"/>
                        <w:tcBorders>
                          <w:top w:val="single" w:sz="4" w:space="0" w:color="auto"/>
                          <w:left w:val="single" w:sz="4" w:space="0" w:color="auto"/>
                          <w:bottom w:val="single" w:sz="4" w:space="0" w:color="auto"/>
                          <w:right w:val="single" w:sz="4" w:space="0" w:color="auto"/>
                        </w:tcBorders>
                        <w:vAlign w:val="center"/>
                        <w:hideMark/>
                      </w:tcPr>
                      <w:p>
                        <w:pPr>
                          <w:tabs>
                            <w:tab w:val="left" w:pos="900"/>
                            <w:tab w:val="left" w:pos="1260"/>
                          </w:tabs>
                          <w:ind w:firstLine="72"/>
                          <w:rPr>
                            <w:b/>
                            <w:bCs/>
                            <w:szCs w:val="24"/>
                          </w:rPr>
                        </w:pPr>
                        <w:r>
                          <w:rPr>
                            <w:b/>
                            <w:bCs/>
                            <w:szCs w:val="24"/>
                          </w:rPr>
                          <w:t>Aukštasis</w:t>
                        </w:r>
                      </w:p>
                    </w:tc>
                    <w:tc>
                      <w:tcPr>
                        <w:tcW w:w="1694" w:type="dxa"/>
                        <w:tcBorders>
                          <w:top w:val="single" w:sz="4" w:space="0" w:color="auto"/>
                          <w:left w:val="single" w:sz="4" w:space="0" w:color="auto"/>
                          <w:bottom w:val="single" w:sz="4" w:space="0" w:color="auto"/>
                          <w:right w:val="single" w:sz="4" w:space="0" w:color="auto"/>
                        </w:tcBorders>
                        <w:vAlign w:val="center"/>
                        <w:hideMark/>
                      </w:tcPr>
                      <w:p>
                        <w:pPr>
                          <w:tabs>
                            <w:tab w:val="left" w:pos="900"/>
                            <w:tab w:val="left" w:pos="1260"/>
                          </w:tabs>
                          <w:ind w:firstLine="72"/>
                          <w:rPr>
                            <w:b/>
                            <w:bCs/>
                            <w:szCs w:val="24"/>
                          </w:rPr>
                        </w:pPr>
                        <w:r>
                          <w:rPr>
                            <w:b/>
                            <w:bCs/>
                            <w:szCs w:val="24"/>
                          </w:rPr>
                          <w:t>Aukštesnysis</w:t>
                        </w:r>
                      </w:p>
                    </w:tc>
                    <w:tc>
                      <w:tcPr>
                        <w:tcW w:w="1583" w:type="dxa"/>
                        <w:tcBorders>
                          <w:top w:val="single" w:sz="4" w:space="0" w:color="auto"/>
                          <w:left w:val="single" w:sz="4" w:space="0" w:color="auto"/>
                          <w:bottom w:val="single" w:sz="4" w:space="0" w:color="auto"/>
                          <w:right w:val="single" w:sz="4" w:space="0" w:color="auto"/>
                        </w:tcBorders>
                        <w:vAlign w:val="center"/>
                        <w:hideMark/>
                      </w:tcPr>
                      <w:p>
                        <w:pPr>
                          <w:tabs>
                            <w:tab w:val="left" w:pos="900"/>
                            <w:tab w:val="left" w:pos="1260"/>
                          </w:tabs>
                          <w:ind w:firstLine="72"/>
                          <w:rPr>
                            <w:b/>
                            <w:bCs/>
                            <w:szCs w:val="24"/>
                          </w:rPr>
                        </w:pPr>
                        <w:r>
                          <w:rPr>
                            <w:b/>
                            <w:bCs/>
                            <w:szCs w:val="24"/>
                          </w:rPr>
                          <w:t>Vidurinis</w:t>
                        </w:r>
                      </w:p>
                    </w:tc>
                  </w:tr>
                  <w:tr>
                    <w:trPr>
                      <w:trHeight w:val="297"/>
                      <w:jc w:val="center"/>
                    </w:trPr>
                    <w:tc>
                      <w:tcPr>
                        <w:tcW w:w="1931" w:type="dxa"/>
                        <w:tcBorders>
                          <w:top w:val="single" w:sz="4" w:space="0" w:color="auto"/>
                          <w:left w:val="single" w:sz="4" w:space="0" w:color="auto"/>
                          <w:bottom w:val="single" w:sz="4" w:space="0" w:color="auto"/>
                          <w:right w:val="single" w:sz="4" w:space="0" w:color="auto"/>
                        </w:tcBorders>
                      </w:tcPr>
                      <w:p>
                        <w:pPr>
                          <w:tabs>
                            <w:tab w:val="left" w:pos="900"/>
                            <w:tab w:val="left" w:pos="1260"/>
                          </w:tabs>
                          <w:rPr>
                            <w:bCs/>
                            <w:szCs w:val="24"/>
                          </w:rPr>
                        </w:pPr>
                        <w:r>
                          <w:rPr>
                            <w:bCs/>
                            <w:szCs w:val="24"/>
                          </w:rPr>
                          <w:t>2023–2024</w:t>
                        </w:r>
                      </w:p>
                    </w:tc>
                    <w:tc>
                      <w:tcPr>
                        <w:tcW w:w="2002" w:type="dxa"/>
                        <w:tcBorders>
                          <w:top w:val="single" w:sz="4" w:space="0" w:color="auto"/>
                          <w:left w:val="single" w:sz="4" w:space="0" w:color="auto"/>
                          <w:bottom w:val="single" w:sz="4" w:space="0" w:color="auto"/>
                          <w:right w:val="single" w:sz="4" w:space="0" w:color="auto"/>
                        </w:tcBorders>
                      </w:tcPr>
                      <w:p>
                        <w:pPr>
                          <w:tabs>
                            <w:tab w:val="left" w:pos="900"/>
                            <w:tab w:val="left" w:pos="1260"/>
                          </w:tabs>
                          <w:ind w:firstLine="6"/>
                          <w:rPr>
                            <w:bCs/>
                            <w:szCs w:val="24"/>
                          </w:rPr>
                        </w:pPr>
                        <w:r>
                          <w:rPr>
                            <w:bCs/>
                            <w:szCs w:val="24"/>
                          </w:rPr>
                          <w:t>349</w:t>
                        </w:r>
                      </w:p>
                    </w:tc>
                    <w:tc>
                      <w:tcPr>
                        <w:tcW w:w="182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344</w:t>
                        </w:r>
                      </w:p>
                    </w:tc>
                    <w:tc>
                      <w:tcPr>
                        <w:tcW w:w="1694"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3</w:t>
                        </w:r>
                      </w:p>
                    </w:tc>
                    <w:tc>
                      <w:tcPr>
                        <w:tcW w:w="1583"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2</w:t>
                        </w:r>
                      </w:p>
                    </w:tc>
                  </w:tr>
                  <w:tr>
                    <w:trPr>
                      <w:trHeight w:val="297"/>
                      <w:jc w:val="center"/>
                    </w:trPr>
                    <w:tc>
                      <w:tcPr>
                        <w:tcW w:w="1931" w:type="dxa"/>
                        <w:tcBorders>
                          <w:top w:val="single" w:sz="4" w:space="0" w:color="auto"/>
                          <w:left w:val="single" w:sz="4" w:space="0" w:color="auto"/>
                          <w:bottom w:val="single" w:sz="4" w:space="0" w:color="auto"/>
                          <w:right w:val="single" w:sz="4" w:space="0" w:color="auto"/>
                        </w:tcBorders>
                      </w:tcPr>
                      <w:p>
                        <w:pPr>
                          <w:tabs>
                            <w:tab w:val="left" w:pos="900"/>
                            <w:tab w:val="left" w:pos="1260"/>
                          </w:tabs>
                          <w:rPr>
                            <w:bCs/>
                            <w:szCs w:val="24"/>
                          </w:rPr>
                        </w:pPr>
                        <w:r>
                          <w:rPr>
                            <w:bCs/>
                            <w:szCs w:val="24"/>
                          </w:rPr>
                          <w:t>2024–2025</w:t>
                        </w:r>
                      </w:p>
                    </w:tc>
                    <w:tc>
                      <w:tcPr>
                        <w:tcW w:w="2002" w:type="dxa"/>
                        <w:tcBorders>
                          <w:top w:val="single" w:sz="4" w:space="0" w:color="auto"/>
                          <w:left w:val="single" w:sz="4" w:space="0" w:color="auto"/>
                          <w:bottom w:val="single" w:sz="4" w:space="0" w:color="auto"/>
                          <w:right w:val="single" w:sz="4" w:space="0" w:color="auto"/>
                        </w:tcBorders>
                      </w:tcPr>
                      <w:p>
                        <w:pPr>
                          <w:tabs>
                            <w:tab w:val="left" w:pos="900"/>
                            <w:tab w:val="left" w:pos="1260"/>
                          </w:tabs>
                          <w:ind w:firstLine="6"/>
                          <w:rPr>
                            <w:bCs/>
                            <w:szCs w:val="24"/>
                          </w:rPr>
                        </w:pPr>
                        <w:r>
                          <w:rPr>
                            <w:bCs/>
                            <w:szCs w:val="24"/>
                          </w:rPr>
                          <w:t>337</w:t>
                        </w:r>
                      </w:p>
                    </w:tc>
                    <w:tc>
                      <w:tcPr>
                        <w:tcW w:w="182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331</w:t>
                        </w:r>
                      </w:p>
                    </w:tc>
                    <w:tc>
                      <w:tcPr>
                        <w:tcW w:w="1694"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2</w:t>
                        </w:r>
                      </w:p>
                    </w:tc>
                    <w:tc>
                      <w:tcPr>
                        <w:tcW w:w="1583"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4</w:t>
                        </w:r>
                      </w:p>
                    </w:tc>
                  </w:tr>
                  <w:tr>
                    <w:trPr>
                      <w:trHeight w:val="297"/>
                      <w:jc w:val="center"/>
                    </w:trPr>
                    <w:tc>
                      <w:tcPr>
                        <w:tcW w:w="1931" w:type="dxa"/>
                        <w:tcBorders>
                          <w:top w:val="single" w:sz="4" w:space="0" w:color="auto"/>
                          <w:left w:val="single" w:sz="4" w:space="0" w:color="auto"/>
                          <w:bottom w:val="single" w:sz="4" w:space="0" w:color="auto"/>
                          <w:right w:val="single" w:sz="4" w:space="0" w:color="auto"/>
                        </w:tcBorders>
                      </w:tcPr>
                      <w:p>
                        <w:pPr>
                          <w:tabs>
                            <w:tab w:val="left" w:pos="900"/>
                            <w:tab w:val="left" w:pos="1260"/>
                          </w:tabs>
                          <w:rPr>
                            <w:bCs/>
                            <w:szCs w:val="24"/>
                          </w:rPr>
                        </w:pPr>
                        <w:r>
                          <w:rPr>
                            <w:bCs/>
                            <w:szCs w:val="24"/>
                          </w:rPr>
                          <w:t>2025–2026</w:t>
                        </w:r>
                      </w:p>
                    </w:tc>
                    <w:tc>
                      <w:tcPr>
                        <w:tcW w:w="2002" w:type="dxa"/>
                        <w:tcBorders>
                          <w:top w:val="single" w:sz="4" w:space="0" w:color="auto"/>
                          <w:left w:val="single" w:sz="4" w:space="0" w:color="auto"/>
                          <w:bottom w:val="single" w:sz="4" w:space="0" w:color="auto"/>
                          <w:right w:val="single" w:sz="4" w:space="0" w:color="auto"/>
                        </w:tcBorders>
                      </w:tcPr>
                      <w:p>
                        <w:pPr>
                          <w:tabs>
                            <w:tab w:val="left" w:pos="900"/>
                            <w:tab w:val="left" w:pos="1260"/>
                          </w:tabs>
                          <w:ind w:firstLine="6"/>
                          <w:rPr>
                            <w:bCs/>
                            <w:szCs w:val="24"/>
                          </w:rPr>
                        </w:pPr>
                        <w:r>
                          <w:rPr>
                            <w:bCs/>
                            <w:szCs w:val="24"/>
                          </w:rPr>
                          <w:t>325</w:t>
                        </w:r>
                      </w:p>
                    </w:tc>
                    <w:tc>
                      <w:tcPr>
                        <w:tcW w:w="182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317</w:t>
                        </w:r>
                      </w:p>
                    </w:tc>
                    <w:tc>
                      <w:tcPr>
                        <w:tcW w:w="1694"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2</w:t>
                        </w:r>
                      </w:p>
                    </w:tc>
                    <w:tc>
                      <w:tcPr>
                        <w:tcW w:w="1583"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5</w:t>
                        </w:r>
                      </w:p>
                    </w:tc>
                  </w:tr>
                </w:tbl>
                <w:p>
                  <w:pPr>
                    <w:tabs>
                      <w:tab w:val="left" w:pos="993"/>
                    </w:tabs>
                    <w:ind w:firstLine="6635"/>
                    <w:rPr>
                      <w:bCs/>
                      <w:i/>
                      <w:iCs/>
                      <w:szCs w:val="24"/>
                    </w:rPr>
                  </w:pPr>
                  <w:r>
                    <w:rPr>
                      <w:i/>
                      <w:szCs w:val="24"/>
                    </w:rPr>
                    <w:t xml:space="preserve">ŠVIS duomenys </w:t>
                  </w:r>
                </w:p>
                <w:p>
                  <w:pPr>
                    <w:tabs>
                      <w:tab w:val="left" w:pos="993"/>
                    </w:tabs>
                    <w:ind w:firstLine="3600"/>
                    <w:rPr>
                      <w:b/>
                      <w:i/>
                      <w:szCs w:val="24"/>
                    </w:rPr>
                  </w:pPr>
                </w:p>
              </w:sdtContent>
            </w:sdt>
            <w:sdt>
              <w:sdtPr>
                <w:alias w:val="poskyris"/>
                <w:tag w:val="part_e68e269e6de041de8ce0e0c3a4f0105a"/>
                <w:lock w:val="sdtLocked"/>
                <w:richText/>
              </w:sdtPr>
              <w:sdtContent>
                <w:p>
                  <w:pPr>
                    <w:tabs>
                      <w:tab w:val="left" w:pos="993"/>
                    </w:tabs>
                    <w:ind w:firstLine="284"/>
                    <w:rPr>
                      <w:b/>
                      <w:i/>
                      <w:iCs/>
                      <w:szCs w:val="24"/>
                    </w:rPr>
                  </w:pPr>
                  <w:sdt>
                    <w:sdtPr>
                      <w:alias w:val="Pavadinimas"/>
                      <w:tag w:val="title_e68e269e6de041de8ce0e0c3a4f0105a"/>
                      <w:lock w:val="sdtLocked"/>
                      <w:richText/>
                    </w:sdtPr>
                    <w:sdtContent>
                      <w:r>
                        <w:rPr>
                          <w:b/>
                          <w:i/>
                          <w:iCs/>
                          <w:szCs w:val="24"/>
                        </w:rPr>
                        <w:t>Radviliškio rajono bendrojo ugdymo mokyklų mokytojai, kuriems suteiktos kvalifikacinės kategorijos</w:t>
                      </w:r>
                    </w:sdtContent>
                  </w:sdt>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4"/>
                    <w:gridCol w:w="1275"/>
                    <w:gridCol w:w="1131"/>
                    <w:gridCol w:w="1274"/>
                    <w:gridCol w:w="1417"/>
                    <w:gridCol w:w="1133"/>
                    <w:gridCol w:w="1565"/>
                  </w:tblGrid>
                  <w:tr>
                    <w:trPr>
                      <w:trHeight w:val="333"/>
                      <w:jc w:val="center"/>
                    </w:trPr>
                    <w:tc>
                      <w:tcPr>
                        <w:tcW w:w="1414" w:type="dxa"/>
                        <w:vMerge w:val="restart"/>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s>
                          <w:ind w:firstLine="22"/>
                          <w:rPr>
                            <w:b/>
                            <w:sz w:val="22"/>
                            <w:szCs w:val="22"/>
                          </w:rPr>
                        </w:pPr>
                        <w:r>
                          <w:rPr>
                            <w:b/>
                            <w:sz w:val="22"/>
                            <w:szCs w:val="22"/>
                          </w:rPr>
                          <w:t>Mokslo metai</w:t>
                        </w:r>
                      </w:p>
                    </w:tc>
                    <w:tc>
                      <w:tcPr>
                        <w:tcW w:w="1275" w:type="dxa"/>
                        <w:vMerge w:val="restart"/>
                        <w:tcBorders>
                          <w:top w:val="single" w:sz="4" w:space="0" w:color="auto"/>
                          <w:left w:val="single" w:sz="4" w:space="0" w:color="auto"/>
                          <w:bottom w:val="single" w:sz="4" w:space="0" w:color="auto"/>
                          <w:right w:val="single" w:sz="4" w:space="0" w:color="auto"/>
                        </w:tcBorders>
                        <w:vAlign w:val="center"/>
                      </w:tcPr>
                      <w:p>
                        <w:pPr>
                          <w:tabs>
                            <w:tab w:val="left" w:pos="0"/>
                            <w:tab w:val="left" w:pos="1165"/>
                            <w:tab w:val="left" w:pos="1260"/>
                          </w:tabs>
                          <w:ind w:right="-114"/>
                          <w:rPr>
                            <w:b/>
                            <w:sz w:val="22"/>
                            <w:szCs w:val="22"/>
                          </w:rPr>
                        </w:pPr>
                        <w:r>
                          <w:rPr>
                            <w:b/>
                            <w:sz w:val="22"/>
                            <w:szCs w:val="22"/>
                          </w:rPr>
                          <w:t>Atestuotų mokytojų skaičius</w:t>
                        </w:r>
                      </w:p>
                    </w:tc>
                    <w:tc>
                      <w:tcPr>
                        <w:tcW w:w="4955" w:type="dxa"/>
                        <w:gridSpan w:val="4"/>
                        <w:tcBorders>
                          <w:top w:val="single" w:sz="4" w:space="0" w:color="auto"/>
                          <w:left w:val="single" w:sz="4" w:space="0" w:color="auto"/>
                          <w:bottom w:val="single" w:sz="4" w:space="0" w:color="auto"/>
                          <w:right w:val="single" w:sz="4" w:space="0" w:color="auto"/>
                        </w:tcBorders>
                        <w:vAlign w:val="center"/>
                        <w:hideMark/>
                      </w:tcPr>
                      <w:p>
                        <w:pPr>
                          <w:tabs>
                            <w:tab w:val="left" w:pos="0"/>
                            <w:tab w:val="left" w:pos="360"/>
                            <w:tab w:val="left" w:pos="900"/>
                            <w:tab w:val="left" w:pos="1260"/>
                          </w:tabs>
                          <w:ind w:firstLine="284"/>
                          <w:rPr>
                            <w:b/>
                            <w:sz w:val="22"/>
                            <w:szCs w:val="22"/>
                          </w:rPr>
                        </w:pPr>
                        <w:r>
                          <w:rPr>
                            <w:b/>
                            <w:sz w:val="22"/>
                            <w:szCs w:val="22"/>
                          </w:rPr>
                          <w:t>Kvalifikacinės kategorijos</w:t>
                        </w:r>
                      </w:p>
                    </w:tc>
                    <w:tc>
                      <w:tcPr>
                        <w:tcW w:w="1565"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0"/>
                            <w:tab w:val="left" w:pos="360"/>
                            <w:tab w:val="left" w:pos="900"/>
                            <w:tab w:val="left" w:pos="1260"/>
                          </w:tabs>
                          <w:rPr>
                            <w:b/>
                            <w:sz w:val="22"/>
                            <w:szCs w:val="22"/>
                          </w:rPr>
                        </w:pPr>
                        <w:r>
                          <w:rPr>
                            <w:b/>
                            <w:sz w:val="22"/>
                            <w:szCs w:val="22"/>
                          </w:rPr>
                          <w:t>Neatestuotų mokytojų skaičius</w:t>
                        </w:r>
                      </w:p>
                    </w:tc>
                  </w:tr>
                  <w:tr>
                    <w:trPr>
                      <w:trHeight w:val="75"/>
                      <w:jc w:val="center"/>
                    </w:trPr>
                    <w:tc>
                      <w:tcPr>
                        <w:tcW w:w="1414"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sz w:val="22"/>
                            <w:szCs w:val="22"/>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sz w:val="22"/>
                            <w:szCs w:val="22"/>
                          </w:rPr>
                        </w:pPr>
                      </w:p>
                    </w:tc>
                    <w:tc>
                      <w:tcPr>
                        <w:tcW w:w="1131"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360"/>
                            <w:tab w:val="left" w:pos="1260"/>
                          </w:tabs>
                          <w:rPr>
                            <w:sz w:val="22"/>
                            <w:szCs w:val="22"/>
                          </w:rPr>
                        </w:pPr>
                        <w:r>
                          <w:rPr>
                            <w:sz w:val="22"/>
                            <w:szCs w:val="22"/>
                          </w:rPr>
                          <w:t>Mokytojų</w:t>
                        </w:r>
                      </w:p>
                    </w:tc>
                    <w:tc>
                      <w:tcPr>
                        <w:tcW w:w="1274"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360"/>
                            <w:tab w:val="left" w:pos="1260"/>
                          </w:tabs>
                          <w:rPr>
                            <w:sz w:val="22"/>
                            <w:szCs w:val="22"/>
                          </w:rPr>
                        </w:pPr>
                        <w:r>
                          <w:rPr>
                            <w:sz w:val="22"/>
                            <w:szCs w:val="22"/>
                          </w:rPr>
                          <w:t>Vyresniųjų mokytojų</w:t>
                        </w:r>
                      </w:p>
                    </w:tc>
                    <w:tc>
                      <w:tcPr>
                        <w:tcW w:w="1417"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360"/>
                            <w:tab w:val="left" w:pos="1260"/>
                          </w:tabs>
                          <w:rPr>
                            <w:sz w:val="22"/>
                            <w:szCs w:val="22"/>
                          </w:rPr>
                        </w:pPr>
                        <w:r>
                          <w:rPr>
                            <w:sz w:val="22"/>
                            <w:szCs w:val="22"/>
                          </w:rPr>
                          <w:t>Mokytojų metodininkų</w:t>
                        </w:r>
                      </w:p>
                    </w:tc>
                    <w:tc>
                      <w:tcPr>
                        <w:tcW w:w="113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360"/>
                            <w:tab w:val="left" w:pos="1260"/>
                          </w:tabs>
                          <w:rPr>
                            <w:sz w:val="22"/>
                            <w:szCs w:val="22"/>
                          </w:rPr>
                        </w:pPr>
                        <w:r>
                          <w:rPr>
                            <w:sz w:val="22"/>
                            <w:szCs w:val="22"/>
                          </w:rPr>
                          <w:t>Mokytojų ekspertų</w:t>
                        </w:r>
                      </w:p>
                    </w:tc>
                    <w:tc>
                      <w:tcPr>
                        <w:tcW w:w="156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sz w:val="22"/>
                            <w:szCs w:val="22"/>
                          </w:rPr>
                        </w:pPr>
                      </w:p>
                    </w:tc>
                  </w:tr>
                  <w:tr>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 w:val="left" w:pos="7088"/>
                          </w:tabs>
                          <w:ind w:firstLine="22"/>
                          <w:rPr>
                            <w:bCs/>
                            <w:sz w:val="22"/>
                            <w:szCs w:val="22"/>
                          </w:rPr>
                        </w:pPr>
                        <w:r>
                          <w:rPr>
                            <w:bCs/>
                            <w:sz w:val="22"/>
                            <w:szCs w:val="22"/>
                          </w:rPr>
                          <w:t>2023–2024</w:t>
                        </w:r>
                      </w:p>
                    </w:tc>
                    <w:tc>
                      <w:tcPr>
                        <w:tcW w:w="1275"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330</w:t>
                        </w:r>
                      </w:p>
                    </w:tc>
                    <w:tc>
                      <w:tcPr>
                        <w:tcW w:w="1131"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24</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102</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181</w:t>
                        </w:r>
                      </w:p>
                    </w:tc>
                    <w:tc>
                      <w:tcPr>
                        <w:tcW w:w="1133"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23</w:t>
                        </w:r>
                      </w:p>
                    </w:tc>
                    <w:tc>
                      <w:tcPr>
                        <w:tcW w:w="1565" w:type="dxa"/>
                        <w:tcBorders>
                          <w:top w:val="single" w:sz="4" w:space="0" w:color="auto"/>
                          <w:left w:val="single" w:sz="4" w:space="0" w:color="auto"/>
                          <w:bottom w:val="single" w:sz="4" w:space="0" w:color="auto"/>
                          <w:right w:val="single" w:sz="4" w:space="0" w:color="auto"/>
                        </w:tcBorders>
                        <w:vAlign w:val="center"/>
                      </w:tcPr>
                      <w:p>
                        <w:pPr>
                          <w:tabs>
                            <w:tab w:val="left" w:pos="7088"/>
                          </w:tabs>
                          <w:ind w:firstLine="28"/>
                          <w:rPr>
                            <w:sz w:val="22"/>
                            <w:szCs w:val="22"/>
                            <w:lang w:eastAsia="lt-LT"/>
                          </w:rPr>
                        </w:pPr>
                        <w:r>
                          <w:rPr>
                            <w:sz w:val="22"/>
                            <w:szCs w:val="22"/>
                            <w:lang w:eastAsia="lt-LT"/>
                          </w:rPr>
                          <w:t>23</w:t>
                        </w:r>
                      </w:p>
                    </w:tc>
                  </w:tr>
                  <w:tr>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 w:val="left" w:pos="7088"/>
                          </w:tabs>
                          <w:ind w:firstLine="22"/>
                          <w:rPr>
                            <w:bCs/>
                            <w:sz w:val="22"/>
                            <w:szCs w:val="22"/>
                          </w:rPr>
                        </w:pPr>
                        <w:r>
                          <w:rPr>
                            <w:bCs/>
                            <w:sz w:val="22"/>
                            <w:szCs w:val="22"/>
                          </w:rPr>
                          <w:t>2024–2025</w:t>
                        </w:r>
                      </w:p>
                    </w:tc>
                    <w:tc>
                      <w:tcPr>
                        <w:tcW w:w="1275"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306</w:t>
                        </w:r>
                      </w:p>
                    </w:tc>
                    <w:tc>
                      <w:tcPr>
                        <w:tcW w:w="1131"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22</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90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170</w:t>
                        </w:r>
                      </w:p>
                    </w:tc>
                    <w:tc>
                      <w:tcPr>
                        <w:tcW w:w="1133"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24</w:t>
                        </w:r>
                      </w:p>
                    </w:tc>
                    <w:tc>
                      <w:tcPr>
                        <w:tcW w:w="1565" w:type="dxa"/>
                        <w:tcBorders>
                          <w:top w:val="single" w:sz="4" w:space="0" w:color="auto"/>
                          <w:left w:val="single" w:sz="4" w:space="0" w:color="auto"/>
                          <w:bottom w:val="single" w:sz="4" w:space="0" w:color="auto"/>
                          <w:right w:val="single" w:sz="4" w:space="0" w:color="auto"/>
                        </w:tcBorders>
                        <w:vAlign w:val="center"/>
                      </w:tcPr>
                      <w:p>
                        <w:pPr>
                          <w:tabs>
                            <w:tab w:val="left" w:pos="7088"/>
                          </w:tabs>
                          <w:ind w:firstLine="28"/>
                          <w:rPr>
                            <w:sz w:val="22"/>
                            <w:szCs w:val="22"/>
                            <w:lang w:eastAsia="lt-LT"/>
                          </w:rPr>
                        </w:pPr>
                        <w:r>
                          <w:rPr>
                            <w:sz w:val="22"/>
                            <w:szCs w:val="22"/>
                            <w:lang w:eastAsia="lt-LT"/>
                          </w:rPr>
                          <w:t>32</w:t>
                        </w:r>
                      </w:p>
                    </w:tc>
                  </w:tr>
                  <w:tr>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 w:val="left" w:pos="7088"/>
                          </w:tabs>
                          <w:ind w:firstLine="22"/>
                          <w:rPr>
                            <w:bCs/>
                            <w:sz w:val="22"/>
                            <w:szCs w:val="22"/>
                          </w:rPr>
                        </w:pPr>
                        <w:r>
                          <w:rPr>
                            <w:bCs/>
                            <w:sz w:val="22"/>
                            <w:szCs w:val="22"/>
                          </w:rPr>
                          <w:t>2025–2026</w:t>
                        </w:r>
                      </w:p>
                    </w:tc>
                    <w:tc>
                      <w:tcPr>
                        <w:tcW w:w="1275"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289</w:t>
                        </w:r>
                      </w:p>
                    </w:tc>
                    <w:tc>
                      <w:tcPr>
                        <w:tcW w:w="1131"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21</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88</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157</w:t>
                        </w:r>
                      </w:p>
                    </w:tc>
                    <w:tc>
                      <w:tcPr>
                        <w:tcW w:w="1133" w:type="dxa"/>
                        <w:tcBorders>
                          <w:top w:val="single" w:sz="4" w:space="0" w:color="auto"/>
                          <w:left w:val="single" w:sz="4" w:space="0" w:color="auto"/>
                          <w:bottom w:val="single" w:sz="4" w:space="0" w:color="auto"/>
                          <w:right w:val="single" w:sz="4" w:space="0" w:color="auto"/>
                        </w:tcBorders>
                        <w:vAlign w:val="center"/>
                      </w:tcPr>
                      <w:p>
                        <w:pPr>
                          <w:tabs>
                            <w:tab w:val="left" w:pos="7088"/>
                          </w:tabs>
                          <w:rPr>
                            <w:sz w:val="22"/>
                            <w:szCs w:val="22"/>
                            <w:lang w:eastAsia="lt-LT"/>
                          </w:rPr>
                        </w:pPr>
                        <w:r>
                          <w:rPr>
                            <w:sz w:val="22"/>
                            <w:szCs w:val="22"/>
                            <w:lang w:eastAsia="lt-LT"/>
                          </w:rPr>
                          <w:t>23</w:t>
                        </w:r>
                      </w:p>
                    </w:tc>
                    <w:tc>
                      <w:tcPr>
                        <w:tcW w:w="1565" w:type="dxa"/>
                        <w:tcBorders>
                          <w:top w:val="single" w:sz="4" w:space="0" w:color="auto"/>
                          <w:left w:val="single" w:sz="4" w:space="0" w:color="auto"/>
                          <w:bottom w:val="single" w:sz="4" w:space="0" w:color="auto"/>
                          <w:right w:val="single" w:sz="4" w:space="0" w:color="auto"/>
                        </w:tcBorders>
                        <w:vAlign w:val="center"/>
                      </w:tcPr>
                      <w:p>
                        <w:pPr>
                          <w:tabs>
                            <w:tab w:val="left" w:pos="7088"/>
                          </w:tabs>
                          <w:ind w:firstLine="28"/>
                          <w:rPr>
                            <w:sz w:val="22"/>
                            <w:szCs w:val="22"/>
                            <w:lang w:eastAsia="lt-LT"/>
                          </w:rPr>
                        </w:pPr>
                        <w:r>
                          <w:rPr>
                            <w:sz w:val="22"/>
                            <w:szCs w:val="22"/>
                            <w:lang w:eastAsia="lt-LT"/>
                          </w:rPr>
                          <w:t>39</w:t>
                        </w:r>
                      </w:p>
                    </w:tc>
                  </w:tr>
                </w:tbl>
                <w:p>
                  <w:pPr>
                    <w:tabs>
                      <w:tab w:val="left" w:pos="993"/>
                      <w:tab w:val="left" w:pos="7088"/>
                    </w:tabs>
                    <w:ind w:firstLine="6670"/>
                    <w:rPr>
                      <w:i/>
                      <w:szCs w:val="24"/>
                    </w:rPr>
                  </w:pPr>
                  <w:r>
                    <w:rPr>
                      <w:i/>
                      <w:szCs w:val="24"/>
                    </w:rPr>
                    <w:t>ŠVIS duomenys</w:t>
                  </w:r>
                </w:p>
                <w:p>
                  <w:pPr>
                    <w:tabs>
                      <w:tab w:val="left" w:pos="900"/>
                      <w:tab w:val="left" w:pos="1260"/>
                    </w:tabs>
                    <w:rPr>
                      <w:b/>
                      <w:i/>
                      <w:iCs/>
                      <w:szCs w:val="24"/>
                    </w:rPr>
                  </w:pPr>
                </w:p>
              </w:sdtContent>
            </w:sdt>
            <w:sdt>
              <w:sdtPr>
                <w:alias w:val="poskyris"/>
                <w:tag w:val="part_9d9ea1db2dbc4640846156e2d3ee457e"/>
                <w:lock w:val="sdtLocked"/>
                <w:richText/>
              </w:sdtPr>
              <w:sdtContent>
                <w:p>
                  <w:pPr>
                    <w:tabs>
                      <w:tab w:val="left" w:pos="900"/>
                      <w:tab w:val="left" w:pos="1260"/>
                    </w:tabs>
                    <w:rPr>
                      <w:b/>
                      <w:i/>
                      <w:iCs/>
                      <w:szCs w:val="24"/>
                    </w:rPr>
                  </w:pPr>
                  <w:sdt>
                    <w:sdtPr>
                      <w:alias w:val="Pavadinimas"/>
                      <w:tag w:val="title_9d9ea1db2dbc4640846156e2d3ee457e"/>
                      <w:lock w:val="sdtLocked"/>
                      <w:richText/>
                    </w:sdtPr>
                    <w:sdtContent>
                      <w:r>
                        <w:rPr>
                          <w:b/>
                          <w:i/>
                          <w:iCs/>
                          <w:szCs w:val="24"/>
                        </w:rPr>
                        <w:t>Mokinių/vaikų skaičiaus pokytis</w:t>
                      </w:r>
                    </w:sdtContent>
                  </w:sdt>
                </w:p>
                <w:p>
                  <w:pPr>
                    <w:tabs>
                      <w:tab w:val="left" w:pos="900"/>
                      <w:tab w:val="left" w:pos="1260"/>
                    </w:tabs>
                    <w:ind w:firstLine="709"/>
                    <w:rPr>
                      <w:color w:val="000000"/>
                      <w:szCs w:val="24"/>
                    </w:rPr>
                  </w:pPr>
                  <w:r>
                    <w:rPr>
                      <w:color w:val="000000"/>
                      <w:szCs w:val="24"/>
                    </w:rPr>
                    <w:t>2025 m. palyginus su 2024 m., Savivaldybės bendrojo ugdymo mokinių skaičius sumažėjo 119 mokiniais, priešmokyklinio ugdymo vaikų skaičius sumažėjo 10 vaikais, ikimokyklinio ugdymo vaikų skaičius sumažėjo 43 vaikais.</w:t>
                  </w:r>
                </w:p>
                <w:p>
                  <w:pPr>
                    <w:tabs>
                      <w:tab w:val="left" w:pos="900"/>
                      <w:tab w:val="left" w:pos="1260"/>
                    </w:tabs>
                    <w:ind w:firstLine="709"/>
                    <w:rPr>
                      <w:b/>
                      <w:i/>
                      <w:iCs/>
                      <w:color w:val="C00000"/>
                      <w:szCs w:val="24"/>
                    </w:rPr>
                  </w:pPr>
                </w:p>
              </w:sdtContent>
            </w:sdt>
            <w:sdt>
              <w:sdtPr>
                <w:alias w:val="poskyris"/>
                <w:tag w:val="part_fe607d49ec5e41a2a682feb6aa8356df"/>
                <w:lock w:val="sdtLocked"/>
                <w:richText/>
              </w:sdtPr>
              <w:sdtContent>
                <w:p>
                  <w:pPr>
                    <w:rPr>
                      <w:b/>
                      <w:bCs/>
                      <w:i/>
                      <w:iCs/>
                      <w:color w:val="000000"/>
                      <w:szCs w:val="24"/>
                    </w:rPr>
                  </w:pPr>
                  <w:sdt>
                    <w:sdtPr>
                      <w:alias w:val="Pavadinimas"/>
                      <w:tag w:val="title_fe607d49ec5e41a2a682feb6aa8356df"/>
                      <w:lock w:val="sdtLocked"/>
                      <w:richText/>
                    </w:sdtPr>
                    <w:sdtContent>
                      <w:r>
                        <w:rPr>
                          <w:b/>
                          <w:bCs/>
                          <w:i/>
                          <w:iCs/>
                          <w:color w:val="000000"/>
                          <w:szCs w:val="24"/>
                        </w:rPr>
                        <w:t>Ugdytinių skaičiaus kaita 2023–2025 m. m.</w:t>
                      </w:r>
                    </w:sdtContent>
                  </w:sdt>
                </w:p>
                <w:tbl>
                  <w:tblPr>
                    <w:tblW w:w="79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3"/>
                    <w:gridCol w:w="1843"/>
                    <w:gridCol w:w="1732"/>
                    <w:gridCol w:w="1603"/>
                  </w:tblGrid>
                  <w:tr>
                    <w:trPr>
                      <w:jc w:val="center"/>
                    </w:trPr>
                    <w:tc>
                      <w:tcPr>
                        <w:tcW w:w="2723" w:type="dxa"/>
                      </w:tcPr>
                      <w:p>
                        <w:pPr>
                          <w:rPr>
                            <w:szCs w:val="24"/>
                          </w:rPr>
                        </w:pPr>
                      </w:p>
                    </w:tc>
                    <w:tc>
                      <w:tcPr>
                        <w:tcW w:w="1843" w:type="dxa"/>
                      </w:tcPr>
                      <w:p>
                        <w:pPr>
                          <w:rPr>
                            <w:b/>
                            <w:bCs/>
                            <w:szCs w:val="24"/>
                          </w:rPr>
                        </w:pPr>
                        <w:r>
                          <w:rPr>
                            <w:b/>
                            <w:bCs/>
                            <w:szCs w:val="24"/>
                          </w:rPr>
                          <w:t>2023–2024 m. m.</w:t>
                        </w:r>
                      </w:p>
                    </w:tc>
                    <w:tc>
                      <w:tcPr>
                        <w:tcW w:w="1732" w:type="dxa"/>
                      </w:tcPr>
                      <w:p>
                        <w:pPr>
                          <w:rPr>
                            <w:b/>
                            <w:bCs/>
                            <w:szCs w:val="24"/>
                          </w:rPr>
                        </w:pPr>
                        <w:r>
                          <w:rPr>
                            <w:b/>
                            <w:bCs/>
                            <w:szCs w:val="24"/>
                          </w:rPr>
                          <w:t>2024–2025 m. m.</w:t>
                        </w:r>
                      </w:p>
                    </w:tc>
                    <w:tc>
                      <w:tcPr>
                        <w:tcW w:w="1603" w:type="dxa"/>
                      </w:tcPr>
                      <w:p>
                        <w:pPr>
                          <w:rPr>
                            <w:b/>
                            <w:bCs/>
                            <w:szCs w:val="24"/>
                          </w:rPr>
                        </w:pPr>
                        <w:r>
                          <w:rPr>
                            <w:b/>
                            <w:bCs/>
                            <w:color w:val="000000"/>
                            <w:szCs w:val="24"/>
                          </w:rPr>
                          <w:t>2025–2026 m. m.</w:t>
                        </w:r>
                      </w:p>
                    </w:tc>
                  </w:tr>
                  <w:tr>
                    <w:trPr>
                      <w:jc w:val="center"/>
                    </w:trPr>
                    <w:tc>
                      <w:tcPr>
                        <w:tcW w:w="2723" w:type="dxa"/>
                      </w:tcPr>
                      <w:p>
                        <w:pPr>
                          <w:rPr>
                            <w:szCs w:val="24"/>
                          </w:rPr>
                        </w:pPr>
                        <w:r>
                          <w:rPr>
                            <w:szCs w:val="24"/>
                          </w:rPr>
                          <w:t>Bendrojo ugdymo mokyklų mokiniai</w:t>
                        </w:r>
                      </w:p>
                    </w:tc>
                    <w:tc>
                      <w:tcPr>
                        <w:tcW w:w="1843" w:type="dxa"/>
                      </w:tcPr>
                      <w:p>
                        <w:pPr>
                          <w:rPr>
                            <w:szCs w:val="24"/>
                          </w:rPr>
                        </w:pPr>
                        <w:r>
                          <w:rPr>
                            <w:szCs w:val="24"/>
                          </w:rPr>
                          <w:t>3694</w:t>
                        </w:r>
                      </w:p>
                    </w:tc>
                    <w:tc>
                      <w:tcPr>
                        <w:tcW w:w="1732" w:type="dxa"/>
                      </w:tcPr>
                      <w:p>
                        <w:pPr>
                          <w:rPr>
                            <w:szCs w:val="24"/>
                          </w:rPr>
                        </w:pPr>
                        <w:r>
                          <w:rPr>
                            <w:szCs w:val="24"/>
                          </w:rPr>
                          <w:t>3514</w:t>
                        </w:r>
                      </w:p>
                    </w:tc>
                    <w:tc>
                      <w:tcPr>
                        <w:tcW w:w="1603" w:type="dxa"/>
                      </w:tcPr>
                      <w:p>
                        <w:pPr>
                          <w:rPr>
                            <w:szCs w:val="24"/>
                          </w:rPr>
                        </w:pPr>
                        <w:r>
                          <w:rPr>
                            <w:color w:val="000000"/>
                            <w:szCs w:val="24"/>
                          </w:rPr>
                          <w:t>3395</w:t>
                        </w:r>
                      </w:p>
                    </w:tc>
                  </w:tr>
                  <w:tr>
                    <w:trPr>
                      <w:jc w:val="center"/>
                    </w:trPr>
                    <w:tc>
                      <w:tcPr>
                        <w:tcW w:w="2723" w:type="dxa"/>
                      </w:tcPr>
                      <w:p>
                        <w:pPr>
                          <w:rPr>
                            <w:szCs w:val="24"/>
                          </w:rPr>
                        </w:pPr>
                        <w:r>
                          <w:rPr>
                            <w:szCs w:val="24"/>
                          </w:rPr>
                          <w:t>Priešmokyklinio ugdymo vaikai</w:t>
                        </w:r>
                      </w:p>
                    </w:tc>
                    <w:tc>
                      <w:tcPr>
                        <w:tcW w:w="1843" w:type="dxa"/>
                      </w:tcPr>
                      <w:p>
                        <w:pPr>
                          <w:rPr>
                            <w:szCs w:val="24"/>
                          </w:rPr>
                        </w:pPr>
                        <w:r>
                          <w:rPr>
                            <w:szCs w:val="24"/>
                          </w:rPr>
                          <w:t>272</w:t>
                        </w:r>
                      </w:p>
                    </w:tc>
                    <w:tc>
                      <w:tcPr>
                        <w:tcW w:w="1732" w:type="dxa"/>
                      </w:tcPr>
                      <w:p>
                        <w:pPr>
                          <w:rPr>
                            <w:szCs w:val="24"/>
                          </w:rPr>
                        </w:pPr>
                        <w:r>
                          <w:rPr>
                            <w:szCs w:val="24"/>
                          </w:rPr>
                          <w:t>266</w:t>
                        </w:r>
                      </w:p>
                    </w:tc>
                    <w:tc>
                      <w:tcPr>
                        <w:tcW w:w="1603" w:type="dxa"/>
                      </w:tcPr>
                      <w:p>
                        <w:pPr>
                          <w:rPr>
                            <w:szCs w:val="24"/>
                          </w:rPr>
                        </w:pPr>
                        <w:r>
                          <w:rPr>
                            <w:color w:val="000000"/>
                            <w:szCs w:val="24"/>
                          </w:rPr>
                          <w:t>256</w:t>
                        </w:r>
                      </w:p>
                    </w:tc>
                  </w:tr>
                  <w:tr>
                    <w:trPr>
                      <w:jc w:val="center"/>
                    </w:trPr>
                    <w:tc>
                      <w:tcPr>
                        <w:tcW w:w="2723" w:type="dxa"/>
                      </w:tcPr>
                      <w:p>
                        <w:pPr>
                          <w:rPr>
                            <w:szCs w:val="24"/>
                          </w:rPr>
                        </w:pPr>
                        <w:r>
                          <w:rPr>
                            <w:szCs w:val="24"/>
                          </w:rPr>
                          <w:t>Ikimokyklinio ugdymo vaikai</w:t>
                        </w:r>
                      </w:p>
                    </w:tc>
                    <w:tc>
                      <w:tcPr>
                        <w:tcW w:w="1843" w:type="dxa"/>
                      </w:tcPr>
                      <w:p>
                        <w:pPr>
                          <w:rPr>
                            <w:szCs w:val="24"/>
                          </w:rPr>
                        </w:pPr>
                        <w:r>
                          <w:rPr>
                            <w:szCs w:val="24"/>
                          </w:rPr>
                          <w:t>913</w:t>
                        </w:r>
                      </w:p>
                    </w:tc>
                    <w:tc>
                      <w:tcPr>
                        <w:tcW w:w="1732" w:type="dxa"/>
                      </w:tcPr>
                      <w:p>
                        <w:pPr>
                          <w:rPr>
                            <w:szCs w:val="24"/>
                          </w:rPr>
                        </w:pPr>
                        <w:r>
                          <w:rPr>
                            <w:szCs w:val="24"/>
                          </w:rPr>
                          <w:t>858</w:t>
                        </w:r>
                      </w:p>
                    </w:tc>
                    <w:tc>
                      <w:tcPr>
                        <w:tcW w:w="1603" w:type="dxa"/>
                      </w:tcPr>
                      <w:p>
                        <w:pPr>
                          <w:rPr>
                            <w:szCs w:val="24"/>
                          </w:rPr>
                        </w:pPr>
                        <w:r>
                          <w:rPr>
                            <w:color w:val="000000"/>
                            <w:szCs w:val="24"/>
                          </w:rPr>
                          <w:t>815</w:t>
                        </w:r>
                      </w:p>
                    </w:tc>
                  </w:tr>
                  <w:tr>
                    <w:trPr>
                      <w:jc w:val="center"/>
                    </w:trPr>
                    <w:tc>
                      <w:tcPr>
                        <w:tcW w:w="2723" w:type="dxa"/>
                      </w:tcPr>
                      <w:p>
                        <w:pPr>
                          <w:rPr>
                            <w:b/>
                            <w:bCs/>
                            <w:szCs w:val="24"/>
                          </w:rPr>
                        </w:pPr>
                        <w:r>
                          <w:rPr>
                            <w:b/>
                            <w:bCs/>
                            <w:szCs w:val="24"/>
                          </w:rPr>
                          <w:t xml:space="preserve">Iš viso: </w:t>
                        </w:r>
                      </w:p>
                    </w:tc>
                    <w:tc>
                      <w:tcPr>
                        <w:tcW w:w="1843" w:type="dxa"/>
                      </w:tcPr>
                      <w:p>
                        <w:pPr>
                          <w:rPr>
                            <w:b/>
                            <w:bCs/>
                            <w:szCs w:val="24"/>
                          </w:rPr>
                        </w:pPr>
                        <w:r>
                          <w:rPr>
                            <w:b/>
                            <w:bCs/>
                            <w:szCs w:val="24"/>
                          </w:rPr>
                          <w:t>4879</w:t>
                        </w:r>
                      </w:p>
                    </w:tc>
                    <w:tc>
                      <w:tcPr>
                        <w:tcW w:w="1732" w:type="dxa"/>
                      </w:tcPr>
                      <w:p>
                        <w:pPr>
                          <w:rPr>
                            <w:b/>
                            <w:bCs/>
                            <w:szCs w:val="24"/>
                          </w:rPr>
                        </w:pPr>
                        <w:r>
                          <w:rPr>
                            <w:b/>
                            <w:bCs/>
                            <w:szCs w:val="24"/>
                          </w:rPr>
                          <w:t>4638</w:t>
                        </w:r>
                      </w:p>
                    </w:tc>
                    <w:tc>
                      <w:tcPr>
                        <w:tcW w:w="1603" w:type="dxa"/>
                      </w:tcPr>
                      <w:p>
                        <w:pPr>
                          <w:rPr>
                            <w:b/>
                            <w:bCs/>
                            <w:szCs w:val="24"/>
                          </w:rPr>
                        </w:pPr>
                        <w:r>
                          <w:rPr>
                            <w:b/>
                            <w:bCs/>
                            <w:color w:val="000000"/>
                            <w:szCs w:val="24"/>
                          </w:rPr>
                          <w:t>4466</w:t>
                        </w:r>
                      </w:p>
                    </w:tc>
                  </w:tr>
                </w:tbl>
                <w:p>
                  <w:pPr>
                    <w:rPr>
                      <w:b/>
                      <w:bCs/>
                      <w:szCs w:val="24"/>
                    </w:rPr>
                  </w:pPr>
                </w:p>
              </w:sdtContent>
            </w:sdt>
            <w:sdt>
              <w:sdtPr>
                <w:alias w:val="poskyris"/>
                <w:tag w:val="part_4472b09b47014c9186ed5fce79f03e98"/>
                <w:lock w:val="sdtLocked"/>
                <w:richText/>
              </w:sdtPr>
              <w:sdtContent>
                <w:p>
                  <w:pPr>
                    <w:rPr>
                      <w:b/>
                      <w:bCs/>
                      <w:i/>
                      <w:iCs/>
                      <w:szCs w:val="24"/>
                    </w:rPr>
                  </w:pPr>
                  <w:sdt>
                    <w:sdtPr>
                      <w:alias w:val="Pavadinimas"/>
                      <w:tag w:val="title_4472b09b47014c9186ed5fce79f03e98"/>
                      <w:lock w:val="sdtLocked"/>
                      <w:richText/>
                    </w:sdtPr>
                    <w:sdtContent>
                      <w:r>
                        <w:rPr>
                          <w:b/>
                          <w:bCs/>
                          <w:i/>
                          <w:iCs/>
                          <w:szCs w:val="24"/>
                        </w:rPr>
                        <w:t>Pagrindinio išsilavinimo pažymėjimus gavusių mokinių kaita 2023–2025 m. m.</w:t>
                      </w:r>
                    </w:sdtContent>
                  </w:sdt>
                </w:p>
                <w:p>
                  <w:pPr>
                    <w:ind w:firstLine="851"/>
                    <w:rPr>
                      <w:b/>
                      <w:bCs/>
                      <w:szCs w:val="24"/>
                    </w:rPr>
                  </w:pPr>
                  <w:r>
                    <w:rPr>
                      <w:szCs w:val="24"/>
                      <w:lang w:eastAsia="lt-LT"/>
                    </w:rPr>
                    <w:t>Radviliškio rajone per praėjusius metus pagrindinį išsilavinimą įgijusių mokinių dalis kito nežymiai</w:t>
                  </w:r>
                  <w:r>
                    <w:rPr>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05"/>
                    <w:gridCol w:w="3206"/>
                    <w:gridCol w:w="3207"/>
                  </w:tblGrid>
                  <w:tr>
                    <w:tc>
                      <w:tcPr>
                        <w:tcW w:w="3205" w:type="dxa"/>
                        <w:tcBorders>
                          <w:top w:val="nil"/>
                          <w:left w:val="nil"/>
                        </w:tcBorders>
                        <w:tcMar>
                          <w:top w:w="0" w:type="dxa"/>
                          <w:left w:w="108" w:type="dxa"/>
                          <w:bottom w:w="0" w:type="dxa"/>
                          <w:right w:w="108" w:type="dxa"/>
                        </w:tcMar>
                      </w:tcPr>
                      <w:p>
                        <w:pPr>
                          <w:rPr>
                            <w:rFonts w:eastAsia="Calibri"/>
                            <w:b/>
                            <w:bCs/>
                            <w:szCs w:val="24"/>
                            <w:lang w:eastAsia="lt-LT"/>
                          </w:rPr>
                        </w:pPr>
                      </w:p>
                    </w:tc>
                    <w:tc>
                      <w:tcPr>
                        <w:tcW w:w="3206" w:type="dxa"/>
                        <w:tcMar>
                          <w:top w:w="0" w:type="dxa"/>
                          <w:left w:w="108" w:type="dxa"/>
                          <w:bottom w:w="0" w:type="dxa"/>
                          <w:right w:w="108" w:type="dxa"/>
                        </w:tcMar>
                        <w:hideMark/>
                      </w:tcPr>
                      <w:p>
                        <w:pPr>
                          <w:rPr>
                            <w:rFonts w:eastAsia="Calibri"/>
                            <w:b/>
                            <w:bCs/>
                            <w:szCs w:val="24"/>
                            <w:lang w:eastAsia="lt-LT"/>
                          </w:rPr>
                        </w:pPr>
                        <w:r>
                          <w:rPr>
                            <w:rFonts w:eastAsia="Calibri"/>
                            <w:b/>
                            <w:bCs/>
                            <w:szCs w:val="24"/>
                          </w:rPr>
                          <w:t>10 klasių ir II gimnazinių klasių mokinių skaičius mokslo metų pradžioje</w:t>
                        </w:r>
                      </w:p>
                    </w:tc>
                    <w:tc>
                      <w:tcPr>
                        <w:tcW w:w="3207" w:type="dxa"/>
                        <w:tcMar>
                          <w:top w:w="0" w:type="dxa"/>
                          <w:left w:w="108" w:type="dxa"/>
                          <w:bottom w:w="0" w:type="dxa"/>
                          <w:right w:w="108" w:type="dxa"/>
                        </w:tcMar>
                        <w:hideMark/>
                      </w:tcPr>
                      <w:p>
                        <w:pPr>
                          <w:rPr>
                            <w:rFonts w:eastAsia="Calibri"/>
                            <w:b/>
                            <w:bCs/>
                            <w:szCs w:val="24"/>
                            <w:lang w:eastAsia="lt-LT"/>
                          </w:rPr>
                        </w:pPr>
                        <w:r>
                          <w:rPr>
                            <w:rFonts w:eastAsia="Calibri"/>
                            <w:b/>
                            <w:bCs/>
                            <w:szCs w:val="24"/>
                          </w:rPr>
                          <w:t>10 klasių ir II gimnazinių klasių mokinių, gavusių išsilavinimo pažymėjimus skaičius mokslo metų pabaigoje</w:t>
                        </w:r>
                      </w:p>
                    </w:tc>
                  </w:tr>
                  <w:tr>
                    <w:tc>
                      <w:tcPr>
                        <w:tcW w:w="3205" w:type="dxa"/>
                        <w:tcMar>
                          <w:top w:w="0" w:type="dxa"/>
                          <w:left w:w="108" w:type="dxa"/>
                          <w:bottom w:w="0" w:type="dxa"/>
                          <w:right w:w="108" w:type="dxa"/>
                        </w:tcMar>
                      </w:tcPr>
                      <w:p>
                        <w:pPr>
                          <w:rPr>
                            <w:rFonts w:eastAsia="Calibri"/>
                            <w:b/>
                            <w:bCs/>
                            <w:szCs w:val="24"/>
                            <w:lang w:eastAsia="lt-LT"/>
                          </w:rPr>
                        </w:pPr>
                        <w:r>
                          <w:rPr>
                            <w:rFonts w:eastAsia="Calibri"/>
                            <w:b/>
                            <w:bCs/>
                            <w:szCs w:val="24"/>
                            <w:lang w:eastAsia="lt-LT"/>
                          </w:rPr>
                          <w:t>2023 m.</w:t>
                        </w:r>
                      </w:p>
                    </w:tc>
                    <w:tc>
                      <w:tcPr>
                        <w:tcW w:w="3206" w:type="dxa"/>
                        <w:tcMar>
                          <w:top w:w="0" w:type="dxa"/>
                          <w:left w:w="108" w:type="dxa"/>
                          <w:bottom w:w="0" w:type="dxa"/>
                          <w:right w:w="108" w:type="dxa"/>
                        </w:tcMar>
                      </w:tcPr>
                      <w:p>
                        <w:pPr>
                          <w:rPr>
                            <w:rFonts w:eastAsia="Calibri"/>
                            <w:szCs w:val="24"/>
                            <w:lang w:eastAsia="lt-LT"/>
                          </w:rPr>
                        </w:pPr>
                        <w:r>
                          <w:rPr>
                            <w:rFonts w:eastAsia="Calibri"/>
                            <w:szCs w:val="24"/>
                            <w:lang w:eastAsia="lt-LT"/>
                          </w:rPr>
                          <w:t>367</w:t>
                        </w:r>
                      </w:p>
                    </w:tc>
                    <w:tc>
                      <w:tcPr>
                        <w:tcW w:w="3207" w:type="dxa"/>
                        <w:tcMar>
                          <w:top w:w="0" w:type="dxa"/>
                          <w:left w:w="108" w:type="dxa"/>
                          <w:bottom w:w="0" w:type="dxa"/>
                          <w:right w:w="108" w:type="dxa"/>
                        </w:tcMar>
                      </w:tcPr>
                      <w:p>
                        <w:pPr>
                          <w:rPr>
                            <w:rFonts w:eastAsia="Calibri"/>
                            <w:szCs w:val="24"/>
                            <w:lang w:eastAsia="lt-LT"/>
                          </w:rPr>
                        </w:pPr>
                        <w:r>
                          <w:rPr>
                            <w:rFonts w:eastAsia="Calibri"/>
                            <w:szCs w:val="24"/>
                            <w:lang w:eastAsia="lt-LT"/>
                          </w:rPr>
                          <w:t>338</w:t>
                        </w:r>
                      </w:p>
                      <w:p>
                        <w:pPr>
                          <w:rPr>
                            <w:rFonts w:eastAsia="Calibri"/>
                            <w:szCs w:val="24"/>
                            <w:lang w:eastAsia="lt-LT"/>
                          </w:rPr>
                        </w:pPr>
                        <w:r>
                          <w:rPr>
                            <w:rFonts w:eastAsia="Calibri"/>
                            <w:szCs w:val="24"/>
                            <w:lang w:eastAsia="lt-LT"/>
                          </w:rPr>
                          <w:t>(92</w:t>
                        </w:r>
                        <w:r>
                          <w:rPr>
                            <w:szCs w:val="24"/>
                            <w:lang w:val="en-US"/>
                          </w:rPr>
                          <w:t>%)</w:t>
                        </w:r>
                      </w:p>
                    </w:tc>
                  </w:tr>
                  <w:tr>
                    <w:tc>
                      <w:tcPr>
                        <w:tcW w:w="3205" w:type="dxa"/>
                        <w:tcMar>
                          <w:top w:w="0" w:type="dxa"/>
                          <w:left w:w="108" w:type="dxa"/>
                          <w:bottom w:w="0" w:type="dxa"/>
                          <w:right w:w="108" w:type="dxa"/>
                        </w:tcMar>
                      </w:tcPr>
                      <w:p>
                        <w:pPr>
                          <w:rPr>
                            <w:rFonts w:eastAsia="Calibri"/>
                            <w:b/>
                            <w:bCs/>
                            <w:szCs w:val="24"/>
                            <w:lang w:eastAsia="lt-LT"/>
                          </w:rPr>
                        </w:pPr>
                        <w:r>
                          <w:rPr>
                            <w:rFonts w:eastAsia="Calibri"/>
                            <w:b/>
                            <w:bCs/>
                            <w:szCs w:val="24"/>
                            <w:lang w:eastAsia="lt-LT"/>
                          </w:rPr>
                          <w:t>2024 m.</w:t>
                        </w:r>
                      </w:p>
                    </w:tc>
                    <w:tc>
                      <w:tcPr>
                        <w:tcW w:w="3206" w:type="dxa"/>
                        <w:tcMar>
                          <w:top w:w="0" w:type="dxa"/>
                          <w:left w:w="108" w:type="dxa"/>
                          <w:bottom w:w="0" w:type="dxa"/>
                          <w:right w:w="108" w:type="dxa"/>
                        </w:tcMar>
                      </w:tcPr>
                      <w:p>
                        <w:pPr>
                          <w:rPr>
                            <w:rFonts w:eastAsia="Calibri"/>
                            <w:szCs w:val="24"/>
                            <w:lang w:eastAsia="lt-LT"/>
                          </w:rPr>
                        </w:pPr>
                        <w:r>
                          <w:rPr>
                            <w:rFonts w:eastAsia="Calibri"/>
                            <w:szCs w:val="24"/>
                            <w:lang w:eastAsia="lt-LT"/>
                          </w:rPr>
                          <w:t>341</w:t>
                        </w:r>
                      </w:p>
                    </w:tc>
                    <w:tc>
                      <w:tcPr>
                        <w:tcW w:w="3207" w:type="dxa"/>
                        <w:tcMar>
                          <w:top w:w="0" w:type="dxa"/>
                          <w:left w:w="108" w:type="dxa"/>
                          <w:bottom w:w="0" w:type="dxa"/>
                          <w:right w:w="108" w:type="dxa"/>
                        </w:tcMar>
                      </w:tcPr>
                      <w:p>
                        <w:pPr>
                          <w:rPr>
                            <w:rFonts w:eastAsia="Calibri"/>
                            <w:szCs w:val="24"/>
                            <w:lang w:eastAsia="lt-LT"/>
                          </w:rPr>
                        </w:pPr>
                        <w:r>
                          <w:rPr>
                            <w:rFonts w:eastAsia="Calibri"/>
                            <w:szCs w:val="24"/>
                            <w:lang w:eastAsia="lt-LT"/>
                          </w:rPr>
                          <w:t>321</w:t>
                        </w:r>
                      </w:p>
                      <w:p>
                        <w:pPr>
                          <w:rPr>
                            <w:rFonts w:eastAsia="Calibri"/>
                            <w:szCs w:val="24"/>
                            <w:lang w:eastAsia="lt-LT"/>
                          </w:rPr>
                        </w:pPr>
                        <w:r>
                          <w:rPr>
                            <w:rFonts w:eastAsia="Calibri"/>
                            <w:szCs w:val="24"/>
                            <w:lang w:eastAsia="lt-LT"/>
                          </w:rPr>
                          <w:t>(94</w:t>
                        </w:r>
                        <w:r>
                          <w:rPr>
                            <w:szCs w:val="24"/>
                            <w:lang w:val="en-US"/>
                          </w:rPr>
                          <w:t>%)</w:t>
                        </w:r>
                      </w:p>
                    </w:tc>
                  </w:tr>
                  <w:tr>
                    <w:tc>
                      <w:tcPr>
                        <w:tcW w:w="3205" w:type="dxa"/>
                        <w:tcMar>
                          <w:top w:w="0" w:type="dxa"/>
                          <w:left w:w="108" w:type="dxa"/>
                          <w:bottom w:w="0" w:type="dxa"/>
                          <w:right w:w="108" w:type="dxa"/>
                        </w:tcMar>
                      </w:tcPr>
                      <w:p>
                        <w:pPr>
                          <w:rPr>
                            <w:rFonts w:eastAsia="Calibri"/>
                            <w:b/>
                            <w:bCs/>
                            <w:szCs w:val="24"/>
                            <w:lang w:eastAsia="lt-LT"/>
                          </w:rPr>
                        </w:pPr>
                        <w:r>
                          <w:rPr>
                            <w:rFonts w:eastAsia="Calibri"/>
                            <w:b/>
                            <w:bCs/>
                            <w:szCs w:val="24"/>
                            <w:lang w:eastAsia="lt-LT"/>
                          </w:rPr>
                          <w:t>2025 m.</w:t>
                        </w:r>
                      </w:p>
                    </w:tc>
                    <w:tc>
                      <w:tcPr>
                        <w:tcW w:w="3206" w:type="dxa"/>
                        <w:tcMar>
                          <w:top w:w="0" w:type="dxa"/>
                          <w:left w:w="108" w:type="dxa"/>
                          <w:bottom w:w="0" w:type="dxa"/>
                          <w:right w:w="108" w:type="dxa"/>
                        </w:tcMar>
                      </w:tcPr>
                      <w:p>
                        <w:pPr>
                          <w:rPr>
                            <w:rFonts w:eastAsia="Calibri"/>
                            <w:szCs w:val="24"/>
                            <w:lang w:eastAsia="lt-LT"/>
                          </w:rPr>
                        </w:pPr>
                        <w:r>
                          <w:rPr>
                            <w:rFonts w:eastAsia="Calibri"/>
                            <w:szCs w:val="24"/>
                            <w:lang w:eastAsia="lt-LT"/>
                          </w:rPr>
                          <w:t>306</w:t>
                        </w:r>
                      </w:p>
                    </w:tc>
                    <w:tc>
                      <w:tcPr>
                        <w:tcW w:w="3207" w:type="dxa"/>
                        <w:tcMar>
                          <w:top w:w="0" w:type="dxa"/>
                          <w:left w:w="108" w:type="dxa"/>
                          <w:bottom w:w="0" w:type="dxa"/>
                          <w:right w:w="108" w:type="dxa"/>
                        </w:tcMar>
                      </w:tcPr>
                      <w:p>
                        <w:pPr>
                          <w:rPr>
                            <w:rFonts w:eastAsia="Calibri"/>
                            <w:szCs w:val="24"/>
                            <w:lang w:eastAsia="lt-LT"/>
                          </w:rPr>
                        </w:pPr>
                        <w:r>
                          <w:rPr>
                            <w:rFonts w:eastAsia="Calibri"/>
                            <w:szCs w:val="24"/>
                            <w:lang w:eastAsia="lt-LT"/>
                          </w:rPr>
                          <w:t>281</w:t>
                        </w:r>
                      </w:p>
                      <w:p>
                        <w:pPr>
                          <w:rPr>
                            <w:rFonts w:eastAsia="Calibri"/>
                            <w:szCs w:val="24"/>
                            <w:lang w:eastAsia="lt-LT"/>
                          </w:rPr>
                        </w:pPr>
                        <w:r>
                          <w:rPr>
                            <w:rFonts w:eastAsia="Calibri"/>
                            <w:szCs w:val="24"/>
                            <w:lang w:eastAsia="lt-LT"/>
                          </w:rPr>
                          <w:t>(92</w:t>
                        </w:r>
                        <w:r>
                          <w:rPr>
                            <w:szCs w:val="24"/>
                            <w:lang w:val="en-US"/>
                          </w:rPr>
                          <w:t>%)</w:t>
                        </w:r>
                      </w:p>
                    </w:tc>
                  </w:tr>
                </w:tbl>
                <w:p>
                  <w:pPr>
                    <w:rPr>
                      <w:i/>
                      <w:iCs/>
                      <w:szCs w:val="24"/>
                      <w:lang w:eastAsia="lt-LT"/>
                    </w:rPr>
                  </w:pPr>
                  <w:r>
                    <w:rPr>
                      <w:i/>
                      <w:iCs/>
                      <w:szCs w:val="24"/>
                      <w:lang w:eastAsia="lt-LT"/>
                    </w:rPr>
                    <w:t>ŠVIS duomenys</w:t>
                  </w:r>
                </w:p>
                <w:p>
                  <w:pPr>
                    <w:rPr>
                      <w:b/>
                      <w:bCs/>
                      <w:szCs w:val="24"/>
                    </w:rPr>
                  </w:pPr>
                </w:p>
              </w:sdtContent>
            </w:sdt>
            <w:sdt>
              <w:sdtPr>
                <w:alias w:val="poskyris"/>
                <w:tag w:val="part_fc97c833734d44c5a1b123de21736d35"/>
                <w:lock w:val="sdtLocked"/>
                <w:richText/>
              </w:sdtPr>
              <w:sdtContent>
                <w:p>
                  <w:pPr>
                    <w:rPr>
                      <w:b/>
                      <w:bCs/>
                      <w:i/>
                      <w:iCs/>
                      <w:szCs w:val="24"/>
                    </w:rPr>
                  </w:pPr>
                  <w:sdt>
                    <w:sdtPr>
                      <w:alias w:val="Pavadinimas"/>
                      <w:tag w:val="title_fc97c833734d44c5a1b123de21736d35"/>
                      <w:lock w:val="sdtLocked"/>
                      <w:richText/>
                    </w:sdtPr>
                    <w:sdtContent>
                      <w:r>
                        <w:rPr>
                          <w:b/>
                          <w:bCs/>
                          <w:i/>
                          <w:iCs/>
                          <w:szCs w:val="24"/>
                        </w:rPr>
                        <w:t>Brandos atestatą gavusių mokinių kaita 2022–2025 m. m.</w:t>
                      </w:r>
                    </w:sdtContent>
                  </w:sdt>
                </w:p>
                <w:p>
                  <w:pPr>
                    <w:ind w:firstLine="851"/>
                    <w:rPr>
                      <w:b/>
                      <w:bCs/>
                      <w:szCs w:val="24"/>
                    </w:rPr>
                  </w:pPr>
                  <w:r>
                    <w:rPr>
                      <w:szCs w:val="24"/>
                    </w:rPr>
                    <w:t>Radviliškio rajono savivaldybės mokinių įgijusių vidurinį išsilavinimą dalis, lyginant su 2023 m. nekito.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05"/>
                    <w:gridCol w:w="3206"/>
                    <w:gridCol w:w="3207"/>
                  </w:tblGrid>
                  <w:tr>
                    <w:tc>
                      <w:tcPr>
                        <w:tcW w:w="3205" w:type="dxa"/>
                        <w:tcBorders>
                          <w:top w:val="nil"/>
                          <w:left w:val="nil"/>
                        </w:tcBorders>
                        <w:tcMar>
                          <w:top w:w="0" w:type="dxa"/>
                          <w:left w:w="108" w:type="dxa"/>
                          <w:bottom w:w="0" w:type="dxa"/>
                          <w:right w:w="108" w:type="dxa"/>
                        </w:tcMar>
                      </w:tcPr>
                      <w:p>
                        <w:pPr>
                          <w:ind w:firstLine="22"/>
                          <w:rPr>
                            <w:rFonts w:eastAsia="Calibri"/>
                            <w:szCs w:val="24"/>
                            <w:lang w:eastAsia="lt-LT"/>
                          </w:rPr>
                        </w:pPr>
                      </w:p>
                    </w:tc>
                    <w:tc>
                      <w:tcPr>
                        <w:tcW w:w="3206" w:type="dxa"/>
                        <w:tcMar>
                          <w:top w:w="0" w:type="dxa"/>
                          <w:left w:w="108" w:type="dxa"/>
                          <w:bottom w:w="0" w:type="dxa"/>
                          <w:right w:w="108" w:type="dxa"/>
                        </w:tcMar>
                        <w:hideMark/>
                      </w:tcPr>
                      <w:p>
                        <w:pPr>
                          <w:ind w:firstLine="22"/>
                          <w:rPr>
                            <w:rFonts w:eastAsia="Calibri"/>
                            <w:b/>
                            <w:bCs/>
                            <w:szCs w:val="24"/>
                            <w:lang w:eastAsia="lt-LT"/>
                          </w:rPr>
                        </w:pPr>
                        <w:r>
                          <w:rPr>
                            <w:rFonts w:eastAsia="Calibri"/>
                            <w:b/>
                            <w:bCs/>
                            <w:szCs w:val="24"/>
                          </w:rPr>
                          <w:t>12 klasių ir IV gimnazinių klasių mokinių, laikiusių brandos egzaminus skaičius mokslo metų pradžioje</w:t>
                        </w:r>
                      </w:p>
                    </w:tc>
                    <w:tc>
                      <w:tcPr>
                        <w:tcW w:w="3207" w:type="dxa"/>
                        <w:tcMar>
                          <w:top w:w="0" w:type="dxa"/>
                          <w:left w:w="108" w:type="dxa"/>
                          <w:bottom w:w="0" w:type="dxa"/>
                          <w:right w:w="108" w:type="dxa"/>
                        </w:tcMar>
                        <w:hideMark/>
                      </w:tcPr>
                      <w:p>
                        <w:pPr>
                          <w:ind w:firstLine="22"/>
                          <w:rPr>
                            <w:rFonts w:eastAsia="Calibri"/>
                            <w:b/>
                            <w:bCs/>
                            <w:szCs w:val="24"/>
                            <w:lang w:eastAsia="lt-LT"/>
                          </w:rPr>
                        </w:pPr>
                        <w:r>
                          <w:rPr>
                            <w:rFonts w:eastAsia="Calibri"/>
                            <w:b/>
                            <w:bCs/>
                            <w:szCs w:val="24"/>
                          </w:rPr>
                          <w:t>12 klasių ir IV gimnazinių klasių mokinių, gavusių brandos atestatus, skaičius mokslo metų pabaigoje</w:t>
                        </w:r>
                      </w:p>
                    </w:tc>
                  </w:tr>
                  <w:tr>
                    <w:tc>
                      <w:tcPr>
                        <w:tcW w:w="3205" w:type="dxa"/>
                        <w:tcMar>
                          <w:top w:w="0" w:type="dxa"/>
                          <w:left w:w="108" w:type="dxa"/>
                          <w:bottom w:w="0" w:type="dxa"/>
                          <w:right w:w="108" w:type="dxa"/>
                        </w:tcMar>
                      </w:tcPr>
                      <w:p>
                        <w:pPr>
                          <w:ind w:firstLine="22"/>
                          <w:rPr>
                            <w:rFonts w:eastAsia="Calibri"/>
                            <w:b/>
                            <w:bCs/>
                            <w:szCs w:val="24"/>
                            <w:lang w:eastAsia="lt-LT"/>
                          </w:rPr>
                        </w:pPr>
                        <w:r>
                          <w:rPr>
                            <w:rFonts w:eastAsia="Calibri"/>
                            <w:b/>
                            <w:bCs/>
                            <w:szCs w:val="24"/>
                            <w:lang w:eastAsia="lt-LT"/>
                          </w:rPr>
                          <w:t>2023 m.</w:t>
                        </w:r>
                      </w:p>
                    </w:tc>
                    <w:tc>
                      <w:tcPr>
                        <w:tcW w:w="3206" w:type="dxa"/>
                        <w:tcMar>
                          <w:top w:w="0" w:type="dxa"/>
                          <w:left w:w="108" w:type="dxa"/>
                          <w:bottom w:w="0" w:type="dxa"/>
                          <w:right w:w="108" w:type="dxa"/>
                        </w:tcMar>
                      </w:tcPr>
                      <w:p>
                        <w:pPr>
                          <w:ind w:firstLine="22"/>
                          <w:rPr>
                            <w:rFonts w:eastAsia="Calibri"/>
                            <w:szCs w:val="24"/>
                            <w:lang w:eastAsia="lt-LT"/>
                          </w:rPr>
                        </w:pPr>
                        <w:r>
                          <w:rPr>
                            <w:rFonts w:eastAsia="Calibri"/>
                            <w:szCs w:val="24"/>
                            <w:lang w:eastAsia="lt-LT"/>
                          </w:rPr>
                          <w:t>253</w:t>
                        </w:r>
                      </w:p>
                    </w:tc>
                    <w:tc>
                      <w:tcPr>
                        <w:tcW w:w="3207" w:type="dxa"/>
                        <w:tcMar>
                          <w:top w:w="0" w:type="dxa"/>
                          <w:left w:w="108" w:type="dxa"/>
                          <w:bottom w:w="0" w:type="dxa"/>
                          <w:right w:w="108" w:type="dxa"/>
                        </w:tcMar>
                      </w:tcPr>
                      <w:p>
                        <w:pPr>
                          <w:ind w:firstLine="22"/>
                          <w:rPr>
                            <w:rFonts w:eastAsia="Calibri"/>
                            <w:szCs w:val="24"/>
                            <w:lang w:eastAsia="lt-LT"/>
                          </w:rPr>
                        </w:pPr>
                        <w:r>
                          <w:rPr>
                            <w:rFonts w:eastAsia="Calibri"/>
                            <w:szCs w:val="24"/>
                            <w:lang w:eastAsia="lt-LT"/>
                          </w:rPr>
                          <w:t>247</w:t>
                        </w:r>
                      </w:p>
                      <w:p>
                        <w:pPr>
                          <w:ind w:firstLine="22"/>
                          <w:rPr>
                            <w:rFonts w:eastAsia="Calibri"/>
                            <w:szCs w:val="24"/>
                            <w:lang w:eastAsia="lt-LT"/>
                          </w:rPr>
                        </w:pPr>
                        <w:r>
                          <w:rPr>
                            <w:rFonts w:eastAsia="Calibri"/>
                            <w:szCs w:val="24"/>
                            <w:lang w:eastAsia="lt-LT"/>
                          </w:rPr>
                          <w:t>(98</w:t>
                        </w:r>
                        <w:r>
                          <w:rPr>
                            <w:szCs w:val="24"/>
                            <w:lang w:val="en-US"/>
                          </w:rPr>
                          <w:t>%)</w:t>
                        </w:r>
                      </w:p>
                    </w:tc>
                  </w:tr>
                  <w:tr>
                    <w:tc>
                      <w:tcPr>
                        <w:tcW w:w="3205" w:type="dxa"/>
                        <w:tcMar>
                          <w:top w:w="0" w:type="dxa"/>
                          <w:left w:w="108" w:type="dxa"/>
                          <w:bottom w:w="0" w:type="dxa"/>
                          <w:right w:w="108" w:type="dxa"/>
                        </w:tcMar>
                      </w:tcPr>
                      <w:p>
                        <w:pPr>
                          <w:ind w:firstLine="22"/>
                          <w:rPr>
                            <w:rFonts w:eastAsia="Calibri"/>
                            <w:b/>
                            <w:bCs/>
                            <w:szCs w:val="24"/>
                            <w:lang w:eastAsia="lt-LT"/>
                          </w:rPr>
                        </w:pPr>
                        <w:r>
                          <w:rPr>
                            <w:rFonts w:eastAsia="Calibri"/>
                            <w:b/>
                            <w:bCs/>
                            <w:szCs w:val="24"/>
                            <w:lang w:eastAsia="lt-LT"/>
                          </w:rPr>
                          <w:t>2024 m.</w:t>
                        </w:r>
                      </w:p>
                    </w:tc>
                    <w:tc>
                      <w:tcPr>
                        <w:tcW w:w="3206" w:type="dxa"/>
                        <w:tcMar>
                          <w:top w:w="0" w:type="dxa"/>
                          <w:left w:w="108" w:type="dxa"/>
                          <w:bottom w:w="0" w:type="dxa"/>
                          <w:right w:w="108" w:type="dxa"/>
                        </w:tcMar>
                      </w:tcPr>
                      <w:p>
                        <w:pPr>
                          <w:ind w:firstLine="22"/>
                          <w:rPr>
                            <w:rFonts w:eastAsia="Calibri"/>
                            <w:szCs w:val="24"/>
                            <w:lang w:eastAsia="lt-LT"/>
                          </w:rPr>
                        </w:pPr>
                        <w:r>
                          <w:rPr>
                            <w:rFonts w:eastAsia="Calibri"/>
                            <w:szCs w:val="24"/>
                            <w:lang w:eastAsia="lt-LT"/>
                          </w:rPr>
                          <w:t>210</w:t>
                        </w:r>
                      </w:p>
                    </w:tc>
                    <w:tc>
                      <w:tcPr>
                        <w:tcW w:w="3207" w:type="dxa"/>
                        <w:tcMar>
                          <w:top w:w="0" w:type="dxa"/>
                          <w:left w:w="108" w:type="dxa"/>
                          <w:bottom w:w="0" w:type="dxa"/>
                          <w:right w:w="108" w:type="dxa"/>
                        </w:tcMar>
                      </w:tcPr>
                      <w:p>
                        <w:pPr>
                          <w:ind w:firstLine="22"/>
                          <w:rPr>
                            <w:rFonts w:eastAsia="Calibri"/>
                            <w:szCs w:val="24"/>
                            <w:lang w:eastAsia="lt-LT"/>
                          </w:rPr>
                        </w:pPr>
                        <w:r>
                          <w:rPr>
                            <w:rFonts w:eastAsia="Calibri"/>
                            <w:szCs w:val="24"/>
                            <w:lang w:eastAsia="lt-LT"/>
                          </w:rPr>
                          <w:t xml:space="preserve">205 </w:t>
                        </w:r>
                      </w:p>
                      <w:p>
                        <w:pPr>
                          <w:ind w:firstLine="22"/>
                          <w:rPr>
                            <w:rFonts w:eastAsia="Calibri"/>
                            <w:szCs w:val="24"/>
                            <w:lang w:eastAsia="lt-LT"/>
                          </w:rPr>
                        </w:pPr>
                        <w:r>
                          <w:rPr>
                            <w:rFonts w:eastAsia="Calibri"/>
                            <w:szCs w:val="24"/>
                            <w:lang w:eastAsia="lt-LT"/>
                          </w:rPr>
                          <w:t>(98</w:t>
                        </w:r>
                        <w:r>
                          <w:rPr>
                            <w:szCs w:val="24"/>
                            <w:lang w:val="en-US"/>
                          </w:rPr>
                          <w:t>%)</w:t>
                        </w:r>
                      </w:p>
                    </w:tc>
                  </w:tr>
                  <w:tr>
                    <w:tc>
                      <w:tcPr>
                        <w:tcW w:w="3205" w:type="dxa"/>
                        <w:tcMar>
                          <w:top w:w="0" w:type="dxa"/>
                          <w:left w:w="108" w:type="dxa"/>
                          <w:bottom w:w="0" w:type="dxa"/>
                          <w:right w:w="108" w:type="dxa"/>
                        </w:tcMar>
                      </w:tcPr>
                      <w:p>
                        <w:pPr>
                          <w:ind w:firstLine="22"/>
                          <w:rPr>
                            <w:rFonts w:eastAsia="Calibri"/>
                            <w:b/>
                            <w:bCs/>
                            <w:szCs w:val="24"/>
                            <w:lang w:eastAsia="lt-LT"/>
                          </w:rPr>
                        </w:pPr>
                        <w:r>
                          <w:rPr>
                            <w:rFonts w:eastAsia="Calibri"/>
                            <w:b/>
                            <w:bCs/>
                            <w:szCs w:val="24"/>
                            <w:lang w:eastAsia="lt-LT"/>
                          </w:rPr>
                          <w:t>2025 m.</w:t>
                        </w:r>
                      </w:p>
                    </w:tc>
                    <w:tc>
                      <w:tcPr>
                        <w:tcW w:w="3206" w:type="dxa"/>
                        <w:tcMar>
                          <w:top w:w="0" w:type="dxa"/>
                          <w:left w:w="108" w:type="dxa"/>
                          <w:bottom w:w="0" w:type="dxa"/>
                          <w:right w:w="108" w:type="dxa"/>
                        </w:tcMar>
                      </w:tcPr>
                      <w:p>
                        <w:pPr>
                          <w:ind w:firstLine="22"/>
                          <w:rPr>
                            <w:rFonts w:eastAsia="Calibri"/>
                            <w:szCs w:val="24"/>
                            <w:lang w:eastAsia="lt-LT"/>
                          </w:rPr>
                        </w:pPr>
                        <w:r>
                          <w:rPr>
                            <w:rFonts w:eastAsia="Calibri"/>
                            <w:szCs w:val="24"/>
                            <w:lang w:eastAsia="lt-LT"/>
                          </w:rPr>
                          <w:t>223</w:t>
                        </w:r>
                      </w:p>
                    </w:tc>
                    <w:tc>
                      <w:tcPr>
                        <w:tcW w:w="3207" w:type="dxa"/>
                        <w:tcMar>
                          <w:top w:w="0" w:type="dxa"/>
                          <w:left w:w="108" w:type="dxa"/>
                          <w:bottom w:w="0" w:type="dxa"/>
                          <w:right w:w="108" w:type="dxa"/>
                        </w:tcMar>
                      </w:tcPr>
                      <w:p>
                        <w:pPr>
                          <w:ind w:firstLine="22"/>
                          <w:rPr>
                            <w:rFonts w:eastAsia="Calibri"/>
                            <w:szCs w:val="24"/>
                            <w:lang w:eastAsia="lt-LT"/>
                          </w:rPr>
                        </w:pPr>
                        <w:r>
                          <w:rPr>
                            <w:rFonts w:eastAsia="Calibri"/>
                            <w:szCs w:val="24"/>
                            <w:lang w:eastAsia="lt-LT"/>
                          </w:rPr>
                          <w:t>214</w:t>
                        </w:r>
                      </w:p>
                      <w:p>
                        <w:pPr>
                          <w:ind w:firstLine="22"/>
                          <w:rPr>
                            <w:rFonts w:eastAsia="Calibri"/>
                            <w:szCs w:val="24"/>
                            <w:lang w:eastAsia="lt-LT"/>
                          </w:rPr>
                        </w:pPr>
                        <w:r>
                          <w:rPr>
                            <w:rFonts w:eastAsia="Calibri"/>
                            <w:szCs w:val="24"/>
                            <w:lang w:eastAsia="lt-LT"/>
                          </w:rPr>
                          <w:t>(96</w:t>
                        </w:r>
                        <w:r>
                          <w:rPr>
                            <w:szCs w:val="24"/>
                            <w:lang w:val="en-US"/>
                          </w:rPr>
                          <w:t>%)</w:t>
                        </w:r>
                      </w:p>
                    </w:tc>
                  </w:tr>
                </w:tbl>
                <w:p>
                  <w:pPr>
                    <w:rPr>
                      <w:i/>
                      <w:iCs/>
                      <w:szCs w:val="24"/>
                      <w:lang w:eastAsia="lt-LT"/>
                    </w:rPr>
                  </w:pPr>
                  <w:r>
                    <w:rPr>
                      <w:i/>
                      <w:iCs/>
                      <w:szCs w:val="24"/>
                      <w:lang w:eastAsia="lt-LT"/>
                    </w:rPr>
                    <w:t>ŠVIS duomenys</w:t>
                  </w:r>
                </w:p>
                <w:p>
                  <w:pPr>
                    <w:tabs>
                      <w:tab w:val="left" w:pos="900"/>
                      <w:tab w:val="left" w:pos="1260"/>
                    </w:tabs>
                    <w:rPr>
                      <w:b/>
                      <w:szCs w:val="24"/>
                    </w:rPr>
                  </w:pPr>
                </w:p>
              </w:sdtContent>
            </w:sdt>
            <w:sdt>
              <w:sdtPr>
                <w:alias w:val="poskyris"/>
                <w:tag w:val="part_6ed36516fdad45dda59b30809343413d"/>
                <w:lock w:val="sdtLocked"/>
                <w:richText/>
              </w:sdtPr>
              <w:sdtContent>
                <w:p>
                  <w:pPr>
                    <w:tabs>
                      <w:tab w:val="left" w:pos="900"/>
                      <w:tab w:val="left" w:pos="1260"/>
                    </w:tabs>
                    <w:rPr>
                      <w:b/>
                      <w:i/>
                      <w:color w:val="000000"/>
                      <w:szCs w:val="24"/>
                      <w:lang w:eastAsia="lt-LT"/>
                    </w:rPr>
                  </w:pPr>
                  <w:sdt>
                    <w:sdtPr>
                      <w:alias w:val="Pavadinimas"/>
                      <w:tag w:val="title_6ed36516fdad45dda59b30809343413d"/>
                      <w:lock w:val="sdtLocked"/>
                      <w:richText/>
                    </w:sdtPr>
                    <w:sdtContent>
                      <w:r>
                        <w:rPr>
                          <w:b/>
                          <w:i/>
                          <w:color w:val="000000"/>
                          <w:szCs w:val="24"/>
                          <w:lang w:eastAsia="lt-LT"/>
                        </w:rPr>
                        <w:t>Brandos egzaminai ir pagrindinio ugdymo pasiekimų patikrinimas</w:t>
                      </w:r>
                    </w:sdtContent>
                  </w:sdt>
                </w:p>
                <w:p>
                  <w:pPr>
                    <w:tabs>
                      <w:tab w:val="left" w:pos="9638"/>
                    </w:tabs>
                    <w:ind w:firstLine="709"/>
                    <w:rPr>
                      <w:color w:val="000000"/>
                      <w:szCs w:val="24"/>
                      <w:lang w:eastAsia="lt-LT"/>
                    </w:rPr>
                  </w:pPr>
                  <w:r>
                    <w:rPr>
                      <w:color w:val="000000"/>
                      <w:szCs w:val="24"/>
                      <w:lang w:eastAsia="ru-RU"/>
                    </w:rPr>
                    <w:t>Akademinius mokinių pasiekimus atspindi pagrindinio ugdymo pasiekimų patikrinimo (PUPP) bei valstybinių brandos egzaminų (VBE) rezultatai.</w:t>
                  </w:r>
                  <w:r>
                    <w:rPr>
                      <w:color w:val="000000"/>
                      <w:szCs w:val="24"/>
                      <w:lang w:eastAsia="lt-LT"/>
                    </w:rPr>
                    <w:t xml:space="preserve"> </w:t>
                  </w:r>
                </w:p>
                <w:p>
                  <w:pPr>
                    <w:ind w:firstLine="709"/>
                    <w:rPr>
                      <w:color w:val="000000"/>
                      <w:szCs w:val="24"/>
                      <w:lang w:eastAsia="lt-LT"/>
                    </w:rPr>
                  </w:pPr>
                  <w:r>
                    <w:rPr>
                      <w:color w:val="000000"/>
                      <w:szCs w:val="24"/>
                      <w:lang w:eastAsia="lt-LT"/>
                    </w:rPr>
                    <w:t xml:space="preserve">Radviliškio rajone pagrindinį išsilavinimą įgijusių mokinių dalis kito. 2025 m. </w:t>
                  </w:r>
                  <w:r>
                    <w:rPr>
                      <w:color w:val="000000"/>
                      <w:szCs w:val="24"/>
                    </w:rPr>
                    <w:t>10 ir II gimnazinių klasių mokinių mokslo metų pradžioje buvo</w:t>
                  </w:r>
                  <w:r>
                    <w:rPr>
                      <w:color w:val="000000"/>
                      <w:szCs w:val="24"/>
                      <w:lang w:eastAsia="lt-LT"/>
                    </w:rPr>
                    <w:t xml:space="preserve"> 306, iš jų 92 proc. gavo pagrindinio išsilavinimo pažymėjimus (2024 m. </w:t>
                  </w:r>
                  <w:r>
                    <w:rPr>
                      <w:color w:val="000000"/>
                      <w:szCs w:val="24"/>
                    </w:rPr>
                    <w:t>10 ir II gimnazinių klasių mokinių mokslo metų pradžioje buvo</w:t>
                  </w:r>
                  <w:r>
                    <w:rPr>
                      <w:color w:val="000000"/>
                      <w:szCs w:val="24"/>
                      <w:lang w:eastAsia="lt-LT"/>
                    </w:rPr>
                    <w:t xml:space="preserve"> 341 mokinys, iš jų 94 proc. gavo pagrindinio išsilavinimo pažymėjimus).</w:t>
                  </w:r>
                </w:p>
                <w:p>
                  <w:pPr>
                    <w:tabs>
                      <w:tab w:val="left" w:pos="709"/>
                      <w:tab w:val="left" w:pos="1260"/>
                    </w:tabs>
                    <w:ind w:firstLine="709"/>
                    <w:rPr>
                      <w:color w:val="000000"/>
                      <w:szCs w:val="24"/>
                      <w:lang w:eastAsia="lt-LT"/>
                    </w:rPr>
                  </w:pPr>
                  <w:r>
                    <w:rPr>
                      <w:rFonts w:eastAsia="+mn-ea"/>
                      <w:color w:val="000000"/>
                      <w:szCs w:val="24"/>
                      <w:lang w:eastAsia="lt-LT"/>
                    </w:rPr>
                    <w:t xml:space="preserve">2025 m. matematikos </w:t>
                  </w:r>
                  <w:r>
                    <w:rPr>
                      <w:color w:val="000000"/>
                      <w:szCs w:val="24"/>
                      <w:lang w:eastAsia="lt-LT"/>
                    </w:rPr>
                    <w:t xml:space="preserve">PUPP išlaikė 81,3 proc., Radviliškio rajono dešimtokų, lietuvių kalbos ir literatūros – 90 proc. </w:t>
                  </w:r>
                  <w:r>
                    <w:rPr>
                      <w:rFonts w:eastAsia="+mn-ea"/>
                      <w:color w:val="000000"/>
                      <w:szCs w:val="24"/>
                      <w:lang w:eastAsia="lt-LT"/>
                    </w:rPr>
                    <w:t xml:space="preserve">(2024 m. matematikos </w:t>
                  </w:r>
                  <w:r>
                    <w:rPr>
                      <w:color w:val="000000"/>
                      <w:szCs w:val="24"/>
                      <w:lang w:eastAsia="lt-LT"/>
                    </w:rPr>
                    <w:t>PUPP išlaikė 66 proc., Radviliškio rajono dešimtokų, lietuvių kalbos ir literatūros – 95proc.).</w:t>
                  </w:r>
                  <w:r>
                    <w:rPr>
                      <w:rFonts w:eastAsia="+mn-ea"/>
                      <w:color w:val="000000"/>
                      <w:szCs w:val="24"/>
                      <w:lang w:eastAsia="lt-LT"/>
                    </w:rPr>
                    <w:t xml:space="preserve"> Matematikos</w:t>
                  </w:r>
                  <w:r>
                    <w:rPr>
                      <w:color w:val="000000"/>
                      <w:szCs w:val="24"/>
                      <w:lang w:eastAsia="lt-LT"/>
                    </w:rPr>
                    <w:t xml:space="preserve"> išlaikymo rezultatai pagerėjo.</w:t>
                  </w:r>
                </w:p>
                <w:p>
                  <w:pPr>
                    <w:tabs>
                      <w:tab w:val="left" w:pos="900"/>
                      <w:tab w:val="left" w:pos="1260"/>
                    </w:tabs>
                    <w:ind w:firstLine="709"/>
                    <w:rPr>
                      <w:color w:val="000000"/>
                      <w:szCs w:val="24"/>
                      <w:lang w:eastAsia="lt-LT"/>
                    </w:rPr>
                  </w:pPr>
                  <w:r>
                    <w:rPr>
                      <w:color w:val="000000"/>
                      <w:szCs w:val="24"/>
                    </w:rPr>
                    <w:t xml:space="preserve">Radviliškio rajone vidurinį išsilavinimą įgijusių mokinių dalis kito. </w:t>
                  </w:r>
                  <w:r>
                    <w:rPr>
                      <w:color w:val="000000"/>
                      <w:szCs w:val="24"/>
                      <w:lang w:eastAsia="lt-LT"/>
                    </w:rPr>
                    <w:t xml:space="preserve">2025 m. 96 proc. mokinių įgijo vidurinį išsilavinimą (2024 m. – 98 proc.). </w:t>
                  </w:r>
                </w:p>
                <w:p>
                  <w:pPr>
                    <w:tabs>
                      <w:tab w:val="left" w:pos="0"/>
                      <w:tab w:val="left" w:pos="900"/>
                      <w:tab w:val="left" w:pos="6480"/>
                    </w:tabs>
                    <w:ind w:firstLine="709"/>
                    <w:rPr>
                      <w:rFonts w:eastAsia="+mn-ea"/>
                      <w:color w:val="000000"/>
                      <w:kern w:val="24"/>
                      <w:szCs w:val="24"/>
                      <w:lang w:eastAsia="lt-LT"/>
                    </w:rPr>
                  </w:pPr>
                  <w:r>
                    <w:rPr>
                      <w:color w:val="000000"/>
                      <w:szCs w:val="24"/>
                      <w:lang w:eastAsia="lt-LT"/>
                    </w:rPr>
                    <w:t xml:space="preserve">2024 m. dvi Radviliškio rajono abiturientės: Viktorija Matėliūnaitė (Šeduvos gimnazija) ir Rugilė Stankaitytė (Lizdeikos gimnazija) gavo </w:t>
                  </w:r>
                  <w:r>
                    <w:rPr>
                      <w:color w:val="000000"/>
                      <w:szCs w:val="24"/>
                    </w:rPr>
                    <w:t>vieną</w:t>
                  </w:r>
                  <w:r>
                    <w:rPr>
                      <w:color w:val="000000"/>
                      <w:szCs w:val="24"/>
                      <w:lang w:eastAsia="lt-LT"/>
                    </w:rPr>
                    <w:t xml:space="preserve"> šimto balų įvertinimą už</w:t>
                  </w:r>
                  <w:r>
                    <w:rPr>
                      <w:rFonts w:eastAsia="+mn-ea"/>
                      <w:color w:val="000000"/>
                      <w:kern w:val="24"/>
                      <w:szCs w:val="24"/>
                      <w:lang w:eastAsia="lt-LT"/>
                    </w:rPr>
                    <w:t xml:space="preserve"> valstybinį</w:t>
                  </w:r>
                  <w:r>
                    <w:rPr>
                      <w:rFonts w:eastAsia="+mj-ea"/>
                      <w:bCs/>
                      <w:color w:val="000000"/>
                      <w:kern w:val="24"/>
                      <w:szCs w:val="24"/>
                    </w:rPr>
                    <w:t xml:space="preserve"> lietuvių k. ir literatūros</w:t>
                  </w:r>
                  <w:r>
                    <w:rPr>
                      <w:color w:val="000000"/>
                      <w:szCs w:val="24"/>
                      <w:lang w:eastAsia="lt-LT"/>
                    </w:rPr>
                    <w:t xml:space="preserve"> </w:t>
                  </w:r>
                  <w:r>
                    <w:rPr>
                      <w:rFonts w:eastAsia="+mn-ea"/>
                      <w:color w:val="000000"/>
                      <w:kern w:val="24"/>
                      <w:szCs w:val="24"/>
                      <w:lang w:eastAsia="lt-LT"/>
                    </w:rPr>
                    <w:t>brandos egzaminą.</w:t>
                  </w:r>
                </w:p>
                <w:p>
                  <w:pPr>
                    <w:tabs>
                      <w:tab w:val="left" w:pos="0"/>
                      <w:tab w:val="left" w:pos="900"/>
                      <w:tab w:val="left" w:pos="6480"/>
                    </w:tabs>
                    <w:ind w:firstLine="709"/>
                    <w:rPr>
                      <w:rFonts w:eastAsia="+mn-ea"/>
                      <w:color w:val="000000"/>
                      <w:kern w:val="24"/>
                      <w:szCs w:val="24"/>
                      <w:lang w:eastAsia="lt-LT"/>
                    </w:rPr>
                  </w:pPr>
                  <w:r>
                    <w:rPr>
                      <w:color w:val="000000"/>
                      <w:szCs w:val="24"/>
                      <w:lang w:eastAsia="lt-LT"/>
                    </w:rPr>
                    <w:t>2025 m. dvidešimt penki Radviliškio rajono abiturientai gavo aukščiausius šimto balų įvertinimus už valstybinius brandos egzaminus:</w:t>
                  </w:r>
                  <w:r>
                    <w:rPr>
                      <w:szCs w:val="24"/>
                      <w:lang w:eastAsia="lt-LT"/>
                    </w:rPr>
                    <w:t xml:space="preserve"> </w:t>
                  </w:r>
                  <w:r>
                    <w:rPr>
                      <w:szCs w:val="24"/>
                    </w:rPr>
                    <w:t>k</w:t>
                  </w:r>
                  <w:r>
                    <w:rPr>
                      <w:szCs w:val="24"/>
                      <w:lang w:eastAsia="lt-LT"/>
                    </w:rPr>
                    <w:t xml:space="preserve">eturiolika </w:t>
                  </w:r>
                  <w:r>
                    <w:rPr>
                      <w:szCs w:val="24"/>
                    </w:rPr>
                    <w:t>mokinių</w:t>
                  </w:r>
                  <w:r>
                    <w:rPr>
                      <w:szCs w:val="24"/>
                      <w:lang w:eastAsia="lt-LT"/>
                    </w:rPr>
                    <w:t xml:space="preserve"> </w:t>
                  </w:r>
                  <w:r>
                    <w:rPr>
                      <w:szCs w:val="24"/>
                    </w:rPr>
                    <w:t xml:space="preserve">– už </w:t>
                  </w:r>
                  <w:r>
                    <w:rPr>
                      <w:rFonts w:eastAsia="Calibri"/>
                      <w:color w:val="000000"/>
                      <w:szCs w:val="24"/>
                    </w:rPr>
                    <w:t xml:space="preserve">valstybinį </w:t>
                  </w:r>
                  <w:r>
                    <w:rPr>
                      <w:rFonts w:eastAsia="Calibri"/>
                      <w:color w:val="212529"/>
                      <w:szCs w:val="24"/>
                    </w:rPr>
                    <w:t xml:space="preserve">užsienio kalbos (anglų) </w:t>
                  </w:r>
                  <w:r>
                    <w:rPr>
                      <w:rFonts w:eastAsia="Calibri"/>
                      <w:color w:val="000000"/>
                      <w:szCs w:val="24"/>
                    </w:rPr>
                    <w:t>kalbos brandos egzaminą</w:t>
                  </w:r>
                  <w:r>
                    <w:rPr>
                      <w:color w:val="212529"/>
                      <w:szCs w:val="24"/>
                      <w:lang w:eastAsia="lt-LT"/>
                    </w:rPr>
                    <w:t xml:space="preserve">: </w:t>
                  </w:r>
                  <w:r>
                    <w:rPr>
                      <w:szCs w:val="24"/>
                      <w:lang w:val="en-GB"/>
                    </w:rPr>
                    <w:t xml:space="preserve">Šatrija Benikaitė, Elinga Chlevickaitė, Melita Mikalevičiūtė, Rugilė Ramanauskaitė, Mija Skaumanaitė, Viltė Kačerauskaitė, Ieva Augulytė, Benas Beržinskas, Dmitrijus Čečko, Emilija Dorofėjūtė, Erminas Jasiūnas, Mingailė Kilbauskaitė </w:t>
                  </w:r>
                  <w:r>
                    <w:rPr>
                      <w:szCs w:val="24"/>
                      <w:lang w:eastAsia="lt-LT"/>
                    </w:rPr>
                    <w:t>(</w:t>
                  </w:r>
                  <w:r>
                    <w:rPr>
                      <w:szCs w:val="24"/>
                      <w:lang w:val="en-GB"/>
                    </w:rPr>
                    <w:t>Radviliškio Lizdeikos gimnazija</w:t>
                  </w:r>
                  <w:r>
                    <w:rPr>
                      <w:szCs w:val="24"/>
                      <w:lang w:eastAsia="lt-LT"/>
                    </w:rPr>
                    <w:t>)</w:t>
                  </w:r>
                  <w:r>
                    <w:rPr>
                      <w:szCs w:val="24"/>
                      <w:lang w:val="en-GB"/>
                    </w:rPr>
                    <w:t>,</w:t>
                  </w:r>
                  <w:r>
                    <w:rPr>
                      <w:szCs w:val="24"/>
                    </w:rPr>
                    <w:t xml:space="preserve"> Jovaras Meškauskas ir Vestina Petravičiūtė</w:t>
                  </w:r>
                  <w:r>
                    <w:rPr>
                      <w:szCs w:val="24"/>
                      <w:lang w:eastAsia="lt-LT"/>
                    </w:rPr>
                    <w:t xml:space="preserve"> (Šeduvos</w:t>
                  </w:r>
                  <w:r>
                    <w:rPr>
                      <w:szCs w:val="24"/>
                    </w:rPr>
                    <w:t xml:space="preserve"> </w:t>
                  </w:r>
                  <w:r>
                    <w:rPr>
                      <w:szCs w:val="24"/>
                      <w:lang w:eastAsia="lt-LT"/>
                    </w:rPr>
                    <w:t>gimnazij</w:t>
                  </w:r>
                  <w:r>
                    <w:rPr>
                      <w:szCs w:val="24"/>
                    </w:rPr>
                    <w:t>a</w:t>
                  </w:r>
                  <w:r>
                    <w:rPr>
                      <w:szCs w:val="24"/>
                      <w:lang w:eastAsia="lt-LT"/>
                    </w:rPr>
                    <w:t>)</w:t>
                  </w:r>
                  <w:r>
                    <w:rPr>
                      <w:szCs w:val="24"/>
                    </w:rPr>
                    <w:t xml:space="preserve">; septyni – už </w:t>
                  </w:r>
                  <w:r>
                    <w:rPr>
                      <w:rFonts w:eastAsia="Calibri"/>
                      <w:color w:val="000000"/>
                      <w:szCs w:val="24"/>
                    </w:rPr>
                    <w:t>valstybinį istorijos brandos egzaminą:</w:t>
                  </w:r>
                  <w:r>
                    <w:rPr>
                      <w:color w:val="212529"/>
                      <w:szCs w:val="24"/>
                      <w:lang w:eastAsia="lt-LT"/>
                    </w:rPr>
                    <w:t xml:space="preserve"> Šarūnas Diržys, Hermas Maceikis</w:t>
                  </w:r>
                  <w:r>
                    <w:rPr>
                      <w:szCs w:val="24"/>
                      <w:lang w:eastAsia="lt-LT"/>
                    </w:rPr>
                    <w:t xml:space="preserve">, </w:t>
                  </w:r>
                  <w:r>
                    <w:rPr>
                      <w:szCs w:val="24"/>
                      <w:lang w:val="en-GB"/>
                    </w:rPr>
                    <w:t xml:space="preserve">Melita Mikalevičiūtė, Raminta Sipavičiūtė </w:t>
                  </w:r>
                  <w:r>
                    <w:rPr>
                      <w:szCs w:val="24"/>
                      <w:lang w:eastAsia="lt-LT"/>
                    </w:rPr>
                    <w:t>(</w:t>
                  </w:r>
                  <w:r>
                    <w:rPr>
                      <w:color w:val="000000"/>
                      <w:szCs w:val="24"/>
                      <w:lang w:eastAsia="lt-LT"/>
                    </w:rPr>
                    <w:t>Lizdeikos gimnazija</w:t>
                  </w:r>
                  <w:r>
                    <w:rPr>
                      <w:szCs w:val="24"/>
                      <w:lang w:eastAsia="lt-LT"/>
                    </w:rPr>
                    <w:t xml:space="preserve">), </w:t>
                  </w:r>
                  <w:r>
                    <w:rPr>
                      <w:szCs w:val="24"/>
                    </w:rPr>
                    <w:t xml:space="preserve">Jovaras Meškauskas, </w:t>
                  </w:r>
                  <w:r>
                    <w:rPr>
                      <w:szCs w:val="24"/>
                      <w:lang w:val="en-GB"/>
                    </w:rPr>
                    <w:t xml:space="preserve">Laurynas Petrauskas </w:t>
                  </w:r>
                  <w:r>
                    <w:rPr>
                      <w:szCs w:val="24"/>
                      <w:lang w:eastAsia="lt-LT"/>
                    </w:rPr>
                    <w:t>(Šeduvos</w:t>
                  </w:r>
                  <w:r>
                    <w:rPr>
                      <w:color w:val="000000"/>
                      <w:szCs w:val="24"/>
                    </w:rPr>
                    <w:t xml:space="preserve"> </w:t>
                  </w:r>
                  <w:r>
                    <w:rPr>
                      <w:color w:val="000000"/>
                      <w:szCs w:val="24"/>
                      <w:lang w:eastAsia="lt-LT"/>
                    </w:rPr>
                    <w:t>gimnazija</w:t>
                  </w:r>
                  <w:r>
                    <w:rPr>
                      <w:szCs w:val="24"/>
                      <w:lang w:eastAsia="lt-LT"/>
                    </w:rPr>
                    <w:t xml:space="preserve">), </w:t>
                  </w:r>
                  <w:r>
                    <w:rPr>
                      <w:szCs w:val="24"/>
                      <w:lang w:val="en-GB"/>
                    </w:rPr>
                    <w:t xml:space="preserve">Guoda Skumanaitė </w:t>
                  </w:r>
                  <w:r>
                    <w:rPr>
                      <w:szCs w:val="24"/>
                      <w:lang w:eastAsia="lt-LT"/>
                    </w:rPr>
                    <w:t>(</w:t>
                  </w:r>
                  <w:r>
                    <w:rPr>
                      <w:szCs w:val="24"/>
                      <w:lang w:val="en-GB"/>
                    </w:rPr>
                    <w:t>Šiaulėnų M. Šikšnio gimnazija</w:t>
                  </w:r>
                  <w:r>
                    <w:rPr>
                      <w:szCs w:val="24"/>
                      <w:lang w:eastAsia="lt-LT"/>
                    </w:rPr>
                    <w:t>)</w:t>
                  </w:r>
                  <w:r>
                    <w:rPr>
                      <w:szCs w:val="24"/>
                    </w:rPr>
                    <w:t xml:space="preserve">; du – už </w:t>
                  </w:r>
                  <w:r>
                    <w:rPr>
                      <w:rFonts w:eastAsia="Calibri"/>
                      <w:color w:val="000000"/>
                      <w:szCs w:val="24"/>
                    </w:rPr>
                    <w:t xml:space="preserve">valstybinį geografijos brandos egzaminą: </w:t>
                  </w:r>
                  <w:r>
                    <w:rPr>
                      <w:rFonts w:eastAsia="Calibri"/>
                      <w:color w:val="000000"/>
                      <w:szCs w:val="24"/>
                      <w:lang w:val="en-GB"/>
                    </w:rPr>
                    <w:t xml:space="preserve">Lukas Krištapas </w:t>
                  </w:r>
                  <w:r>
                    <w:rPr>
                      <w:szCs w:val="24"/>
                      <w:lang w:eastAsia="lt-LT"/>
                    </w:rPr>
                    <w:t>(</w:t>
                  </w:r>
                  <w:r>
                    <w:rPr>
                      <w:color w:val="000000"/>
                      <w:szCs w:val="24"/>
                      <w:lang w:eastAsia="lt-LT"/>
                    </w:rPr>
                    <w:t>Lizdeikos gimnazija</w:t>
                  </w:r>
                  <w:r>
                    <w:rPr>
                      <w:szCs w:val="24"/>
                      <w:lang w:eastAsia="lt-LT"/>
                    </w:rPr>
                    <w:t xml:space="preserve">), </w:t>
                  </w:r>
                  <w:r>
                    <w:rPr>
                      <w:rFonts w:eastAsia="Calibri"/>
                      <w:color w:val="000000"/>
                      <w:szCs w:val="24"/>
                    </w:rPr>
                    <w:t xml:space="preserve">Robertas Žvinys (Baisogalos gimnazija), po vieną </w:t>
                  </w:r>
                  <w:r>
                    <w:rPr>
                      <w:color w:val="000000"/>
                      <w:szCs w:val="24"/>
                      <w:lang w:eastAsia="lt-LT"/>
                    </w:rPr>
                    <w:t>šimto balų įvertinimą už</w:t>
                  </w:r>
                  <w:r>
                    <w:rPr>
                      <w:rFonts w:eastAsia="+mn-ea"/>
                      <w:color w:val="000000"/>
                      <w:kern w:val="24"/>
                      <w:szCs w:val="24"/>
                      <w:lang w:eastAsia="lt-LT"/>
                    </w:rPr>
                    <w:t xml:space="preserve"> valstybinį</w:t>
                  </w:r>
                  <w:r>
                    <w:rPr>
                      <w:rFonts w:eastAsia="+mj-ea"/>
                      <w:bCs/>
                      <w:color w:val="000000"/>
                      <w:kern w:val="24"/>
                      <w:szCs w:val="24"/>
                    </w:rPr>
                    <w:t xml:space="preserve"> matematikos (A) valstybinį</w:t>
                  </w:r>
                  <w:r>
                    <w:rPr>
                      <w:color w:val="000000"/>
                      <w:szCs w:val="24"/>
                      <w:lang w:eastAsia="lt-LT"/>
                    </w:rPr>
                    <w:t xml:space="preserve"> </w:t>
                  </w:r>
                  <w:r>
                    <w:rPr>
                      <w:rFonts w:eastAsia="+mn-ea"/>
                      <w:color w:val="000000"/>
                      <w:kern w:val="24"/>
                      <w:szCs w:val="24"/>
                      <w:lang w:eastAsia="lt-LT"/>
                    </w:rPr>
                    <w:t>brandos egzaminą gavo:</w:t>
                  </w:r>
                  <w:r>
                    <w:rPr>
                      <w:rFonts w:eastAsia="Calibri"/>
                      <w:color w:val="000000"/>
                      <w:szCs w:val="24"/>
                    </w:rPr>
                    <w:t xml:space="preserve"> Elinga Chlevickaitė </w:t>
                  </w:r>
                  <w:r>
                    <w:rPr>
                      <w:szCs w:val="24"/>
                      <w:lang w:eastAsia="lt-LT"/>
                    </w:rPr>
                    <w:t>(</w:t>
                  </w:r>
                  <w:r>
                    <w:rPr>
                      <w:color w:val="000000"/>
                      <w:szCs w:val="24"/>
                      <w:lang w:eastAsia="lt-LT"/>
                    </w:rPr>
                    <w:t>Lizdeikos gimnazija</w:t>
                  </w:r>
                  <w:r>
                    <w:rPr>
                      <w:szCs w:val="24"/>
                      <w:lang w:eastAsia="lt-LT"/>
                    </w:rPr>
                    <w:t xml:space="preserve">) ir </w:t>
                  </w:r>
                  <w:r>
                    <w:rPr>
                      <w:rFonts w:eastAsia="Calibri"/>
                      <w:color w:val="000000"/>
                      <w:szCs w:val="24"/>
                    </w:rPr>
                    <w:t xml:space="preserve">Joris Kiela </w:t>
                  </w:r>
                  <w:r>
                    <w:rPr>
                      <w:szCs w:val="24"/>
                      <w:lang w:eastAsia="lt-LT"/>
                    </w:rPr>
                    <w:t>(Šeduvos</w:t>
                  </w:r>
                  <w:r>
                    <w:rPr>
                      <w:szCs w:val="24"/>
                    </w:rPr>
                    <w:t xml:space="preserve"> </w:t>
                  </w:r>
                  <w:r>
                    <w:rPr>
                      <w:szCs w:val="24"/>
                      <w:lang w:eastAsia="lt-LT"/>
                    </w:rPr>
                    <w:t>gimnazij</w:t>
                  </w:r>
                  <w:r>
                    <w:rPr>
                      <w:szCs w:val="24"/>
                    </w:rPr>
                    <w:t xml:space="preserve">a) už </w:t>
                  </w:r>
                  <w:r>
                    <w:rPr>
                      <w:rFonts w:eastAsia="+mn-ea"/>
                      <w:color w:val="000000"/>
                      <w:kern w:val="24"/>
                      <w:szCs w:val="24"/>
                      <w:lang w:eastAsia="lt-LT"/>
                    </w:rPr>
                    <w:t>valstybinį</w:t>
                  </w:r>
                  <w:r>
                    <w:rPr>
                      <w:rFonts w:eastAsia="+mj-ea"/>
                      <w:bCs/>
                      <w:color w:val="000000"/>
                      <w:kern w:val="24"/>
                      <w:szCs w:val="24"/>
                    </w:rPr>
                    <w:t xml:space="preserve"> informatikos brandos egzaminą.</w:t>
                  </w:r>
                </w:p>
                <w:p>
                  <w:pPr>
                    <w:tabs>
                      <w:tab w:val="left" w:pos="1277"/>
                      <w:tab w:val="left" w:pos="1701"/>
                    </w:tabs>
                    <w:overflowPunct w:val="0"/>
                    <w:ind w:firstLine="709"/>
                    <w:rPr>
                      <w:color w:val="000000"/>
                      <w:szCs w:val="24"/>
                    </w:rPr>
                  </w:pPr>
                  <w:r>
                    <w:rPr>
                      <w:color w:val="000000"/>
                      <w:szCs w:val="24"/>
                    </w:rPr>
                    <w:t>Radviliškio rajono savivaldybės taryba 2023 m. birželio 29 d. sprendimu Nr. T-39 patvirtino Radviliškio rajono bendrojo ugdymo mokyklų abiturientų apdovanojimų už valstybinių brandos egzaminų rezultatus nuostatus. Abiturientai gavo 200 eurų už gautą šimto balų valstybinio brandos egzamino įvertinimą ir Savivaldybės mero padėką.</w:t>
                  </w:r>
                </w:p>
                <w:p>
                  <w:pPr>
                    <w:tabs>
                      <w:tab w:val="left" w:pos="9639"/>
                    </w:tabs>
                    <w:ind w:firstLine="709"/>
                    <w:rPr>
                      <w:rFonts w:eastAsia="+mj-ea"/>
                      <w:bCs/>
                      <w:color w:val="000000"/>
                      <w:kern w:val="24"/>
                      <w:szCs w:val="24"/>
                    </w:rPr>
                  </w:pPr>
                  <w:r>
                    <w:rPr>
                      <w:rFonts w:eastAsia="+mj-ea"/>
                      <w:bCs/>
                      <w:color w:val="000000"/>
                      <w:kern w:val="24"/>
                      <w:szCs w:val="24"/>
                    </w:rPr>
                    <w:t>Savivaldybės mokinių, 2024, 2025 m. laikiusiųjų VBE, išlaikymo rezultatų palyginimas rodo, kad:</w:t>
                  </w:r>
                </w:p>
                <w:p>
                  <w:pPr>
                    <w:tabs>
                      <w:tab w:val="left" w:pos="426"/>
                      <w:tab w:val="left" w:pos="1134"/>
                      <w:tab w:val="left" w:pos="9639"/>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lietuvių k. ir literatūros VBE, išlaikymo rezultatai 2024 m. buvo 92 proc., 2025 m. pagerėjo iki 98 proc.;</w:t>
                  </w:r>
                </w:p>
                <w:p>
                  <w:pPr>
                    <w:tabs>
                      <w:tab w:val="left" w:pos="426"/>
                      <w:tab w:val="left" w:pos="1134"/>
                      <w:tab w:val="left" w:pos="9639"/>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anglų k. VBE, išlaikymo rezultatai 2024 m. buvo 98 proc., 2025 m. – 99 proc.;</w:t>
                  </w:r>
                </w:p>
                <w:p>
                  <w:pPr>
                    <w:tabs>
                      <w:tab w:val="left" w:pos="993"/>
                    </w:tabs>
                    <w:ind w:left="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2024 ir 2025 m. 100 proc. mokinių, laikiusių chemijos VBE, jį išlaikė;</w:t>
                  </w:r>
                </w:p>
                <w:p>
                  <w:pPr>
                    <w:tabs>
                      <w:tab w:val="left" w:pos="426"/>
                      <w:tab w:val="left" w:pos="1134"/>
                      <w:tab w:val="left" w:pos="9639"/>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matematikos VBE, geresni išlaikymo rezultatai buvo 2024 m. – 84 proc., 2025 m. jį išlaikė 80 proc.;</w:t>
                  </w:r>
                </w:p>
                <w:p>
                  <w:pPr>
                    <w:tabs>
                      <w:tab w:val="left" w:pos="426"/>
                      <w:tab w:val="left" w:pos="1134"/>
                      <w:tab w:val="left" w:pos="9639"/>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2024 m. mokinių, laikiusių istorijos VBE, jį išlaikė 100 proc., 2025 m.– 99 proc.;</w:t>
                  </w:r>
                </w:p>
                <w:p>
                  <w:pPr>
                    <w:tabs>
                      <w:tab w:val="left" w:pos="993"/>
                    </w:tabs>
                    <w:ind w:left="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2024 m. ir 2025 m. 100 proc. mokinių, laikiusių geografijos VBE, jį išlaikė;</w:t>
                  </w:r>
                </w:p>
                <w:p>
                  <w:pPr>
                    <w:tabs>
                      <w:tab w:val="left" w:pos="426"/>
                      <w:tab w:val="left" w:pos="1134"/>
                      <w:tab w:val="left" w:pos="9639"/>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2024 m. mokinių, laikiusių biologijos VBE, išlaikymo rezultatai buvo 97 proc., 2025 m. pablogėjo iki 93 proc.;</w:t>
                  </w:r>
                </w:p>
                <w:p>
                  <w:pPr>
                    <w:tabs>
                      <w:tab w:val="left" w:pos="426"/>
                      <w:tab w:val="left" w:pos="1134"/>
                      <w:tab w:val="left" w:pos="9639"/>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2024 m. mokinių, laikiusių fizikos VBE, išlaikė 96 proc., 2025 m. pablogėjo iki 86 proc.;</w:t>
                  </w:r>
                </w:p>
                <w:p>
                  <w:pPr>
                    <w:tabs>
                      <w:tab w:val="left" w:pos="993"/>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informatikos VBE, išlaikymo rezultatai 2024 m. – 86 proc., 2025 m. – 100 proc. mokinių jį išlaikė.</w:t>
                  </w:r>
                </w:p>
                <w:p>
                  <w:pPr>
                    <w:tabs>
                      <w:tab w:val="left" w:pos="993"/>
                    </w:tabs>
                    <w:ind w:firstLine="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2025 m. abiturientai laikė naujų dalykų valstybinius brandos egzaminus – filosofijos, ekonomikos ir verslumo. Rajone išlaikė 50 proc. kandidatų. Ekonomikos ir verslumo egzaminą išlaikė 96 proc. laikiusių kandidatų.</w:t>
                  </w:r>
                </w:p>
                <w:p>
                  <w:pPr>
                    <w:tabs>
                      <w:tab w:val="left" w:pos="9639"/>
                    </w:tabs>
                    <w:ind w:firstLine="709"/>
                    <w:rPr>
                      <w:rFonts w:eastAsia="+mj-ea"/>
                      <w:bCs/>
                      <w:color w:val="000000"/>
                      <w:kern w:val="24"/>
                      <w:szCs w:val="24"/>
                    </w:rPr>
                  </w:pPr>
                  <w:r>
                    <w:rPr>
                      <w:rFonts w:eastAsia="+mj-ea"/>
                      <w:bCs/>
                      <w:kern w:val="24"/>
                      <w:szCs w:val="24"/>
                    </w:rPr>
                    <w:t xml:space="preserve">Lyginant 2024 m. ir 2025 m. mokinių, laikiusių VBE, išlaikymo rezultatus, konstatuojame, kad 2025 m. žymiai pablogėjo </w:t>
                  </w:r>
                  <w:r>
                    <w:rPr>
                      <w:rFonts w:eastAsia="+mj-ea"/>
                      <w:bCs/>
                      <w:color w:val="000000"/>
                      <w:kern w:val="24"/>
                      <w:szCs w:val="24"/>
                    </w:rPr>
                    <w:t xml:space="preserve">fizikos, matematikos, biologijos VBE išlaikymo rezultatai, pagerėjo – lietuvių k. ir literatūros, anglų kalbos, informatikos, stabilūs –chemijos, geografijos. </w:t>
                  </w:r>
                </w:p>
                <w:p>
                  <w:pPr>
                    <w:ind w:firstLine="709"/>
                    <w:rPr>
                      <w:szCs w:val="24"/>
                    </w:rPr>
                  </w:pPr>
                  <w:r>
                    <w:rPr>
                      <w:szCs w:val="24"/>
                    </w:rPr>
                    <w:t>Radviliškio rajono abiturientų, gavusių aukščiausius 100 balų įvertinimus skaičius, lyginant su 2023 m. ženkliai padidėjo.</w:t>
                  </w:r>
                </w:p>
                <w:tbl>
                  <w:tblPr>
                    <w:tblW w:w="8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4"/>
                    <w:gridCol w:w="1039"/>
                    <w:gridCol w:w="1077"/>
                    <w:gridCol w:w="1090"/>
                    <w:gridCol w:w="1254"/>
                  </w:tblGrid>
                  <w:tr>
                    <w:trPr>
                      <w:jc w:val="center"/>
                    </w:trPr>
                    <w:tc>
                      <w:tcPr>
                        <w:tcW w:w="4134" w:type="dxa"/>
                        <w:tcBorders>
                          <w:top w:val="nil"/>
                          <w:left w:val="nil"/>
                        </w:tcBorders>
                      </w:tcPr>
                      <w:p>
                        <w:pPr>
                          <w:rPr>
                            <w:szCs w:val="24"/>
                            <w:lang w:eastAsia="lt-LT"/>
                          </w:rPr>
                        </w:pPr>
                      </w:p>
                    </w:tc>
                    <w:tc>
                      <w:tcPr>
                        <w:tcW w:w="1039" w:type="dxa"/>
                      </w:tcPr>
                      <w:p>
                        <w:pPr>
                          <w:rPr>
                            <w:b/>
                            <w:bCs/>
                            <w:szCs w:val="24"/>
                            <w:lang w:eastAsia="lt-LT"/>
                          </w:rPr>
                        </w:pPr>
                        <w:r>
                          <w:rPr>
                            <w:b/>
                            <w:bCs/>
                            <w:szCs w:val="24"/>
                            <w:lang w:eastAsia="lt-LT"/>
                          </w:rPr>
                          <w:t>2023 m.</w:t>
                        </w:r>
                      </w:p>
                    </w:tc>
                    <w:tc>
                      <w:tcPr>
                        <w:tcW w:w="1077" w:type="dxa"/>
                      </w:tcPr>
                      <w:p>
                        <w:pPr>
                          <w:rPr>
                            <w:b/>
                            <w:bCs/>
                            <w:szCs w:val="24"/>
                            <w:lang w:eastAsia="lt-LT"/>
                          </w:rPr>
                        </w:pPr>
                        <w:r>
                          <w:rPr>
                            <w:b/>
                            <w:bCs/>
                            <w:szCs w:val="24"/>
                            <w:lang w:eastAsia="lt-LT"/>
                          </w:rPr>
                          <w:t>2024 m.</w:t>
                        </w:r>
                      </w:p>
                    </w:tc>
                    <w:tc>
                      <w:tcPr>
                        <w:tcW w:w="1090" w:type="dxa"/>
                      </w:tcPr>
                      <w:p>
                        <w:pPr>
                          <w:rPr>
                            <w:b/>
                            <w:bCs/>
                            <w:szCs w:val="24"/>
                            <w:lang w:eastAsia="lt-LT"/>
                          </w:rPr>
                        </w:pPr>
                        <w:r>
                          <w:rPr>
                            <w:b/>
                            <w:bCs/>
                            <w:szCs w:val="24"/>
                            <w:lang w:eastAsia="lt-LT"/>
                          </w:rPr>
                          <w:t>2025 m.</w:t>
                        </w:r>
                      </w:p>
                    </w:tc>
                    <w:tc>
                      <w:tcPr>
                        <w:tcW w:w="1254" w:type="dxa"/>
                      </w:tcPr>
                      <w:p>
                        <w:pPr>
                          <w:rPr>
                            <w:b/>
                            <w:bCs/>
                            <w:szCs w:val="24"/>
                            <w:lang w:eastAsia="lt-LT"/>
                          </w:rPr>
                        </w:pPr>
                        <w:r>
                          <w:rPr>
                            <w:b/>
                            <w:bCs/>
                            <w:szCs w:val="24"/>
                            <w:lang w:eastAsia="lt-LT"/>
                          </w:rPr>
                          <w:t>Pokytis</w:t>
                        </w:r>
                      </w:p>
                    </w:tc>
                  </w:tr>
                  <w:tr>
                    <w:trPr>
                      <w:jc w:val="center"/>
                    </w:trPr>
                    <w:tc>
                      <w:tcPr>
                        <w:tcW w:w="4134" w:type="dxa"/>
                      </w:tcPr>
                      <w:p>
                        <w:pPr>
                          <w:rPr>
                            <w:b/>
                            <w:bCs/>
                            <w:szCs w:val="24"/>
                            <w:lang w:eastAsia="lt-LT"/>
                          </w:rPr>
                        </w:pPr>
                        <w:r>
                          <w:rPr>
                            <w:b/>
                            <w:bCs/>
                            <w:szCs w:val="24"/>
                            <w:lang w:eastAsia="lt-LT"/>
                          </w:rPr>
                          <w:t>100 balų valstybiniuose brandos egzaminuose gavusių abiturientų skaičius</w:t>
                        </w:r>
                      </w:p>
                    </w:tc>
                    <w:tc>
                      <w:tcPr>
                        <w:tcW w:w="1039" w:type="dxa"/>
                      </w:tcPr>
                      <w:p>
                        <w:pPr>
                          <w:rPr>
                            <w:szCs w:val="24"/>
                            <w:lang w:eastAsia="lt-LT"/>
                          </w:rPr>
                        </w:pPr>
                        <w:r>
                          <w:rPr>
                            <w:szCs w:val="24"/>
                            <w:lang w:eastAsia="lt-LT"/>
                          </w:rPr>
                          <w:t>1</w:t>
                        </w:r>
                      </w:p>
                    </w:tc>
                    <w:tc>
                      <w:tcPr>
                        <w:tcW w:w="1077" w:type="dxa"/>
                      </w:tcPr>
                      <w:p>
                        <w:pPr>
                          <w:rPr>
                            <w:szCs w:val="24"/>
                            <w:lang w:eastAsia="lt-LT"/>
                          </w:rPr>
                        </w:pPr>
                        <w:r>
                          <w:rPr>
                            <w:szCs w:val="24"/>
                            <w:lang w:eastAsia="lt-LT"/>
                          </w:rPr>
                          <w:t>2</w:t>
                        </w:r>
                      </w:p>
                    </w:tc>
                    <w:tc>
                      <w:tcPr>
                        <w:tcW w:w="1090" w:type="dxa"/>
                      </w:tcPr>
                      <w:p>
                        <w:pPr>
                          <w:rPr>
                            <w:szCs w:val="24"/>
                            <w:lang w:eastAsia="lt-LT"/>
                          </w:rPr>
                        </w:pPr>
                        <w:r>
                          <w:rPr>
                            <w:szCs w:val="24"/>
                            <w:lang w:eastAsia="lt-LT"/>
                          </w:rPr>
                          <w:t>25</w:t>
                        </w:r>
                      </w:p>
                    </w:tc>
                    <w:tc>
                      <w:tcPr>
                        <w:tcW w:w="1254" w:type="dxa"/>
                      </w:tcPr>
                      <w:p>
                        <w:pPr>
                          <w:rPr>
                            <w:szCs w:val="24"/>
                            <w:lang w:eastAsia="lt-LT"/>
                          </w:rPr>
                        </w:pPr>
                        <w:r>
                          <w:rPr>
                            <w:szCs w:val="24"/>
                            <w:lang w:eastAsia="lt-LT"/>
                          </w:rPr>
                          <w:t>+23</w:t>
                        </w:r>
                      </w:p>
                    </w:tc>
                  </w:tr>
                </w:tbl>
                <w:p>
                  <w:pPr>
                    <w:tabs>
                      <w:tab w:val="left" w:pos="709"/>
                      <w:tab w:val="left" w:pos="1260"/>
                    </w:tabs>
                    <w:rPr>
                      <w:i/>
                      <w:szCs w:val="24"/>
                    </w:rPr>
                  </w:pPr>
                  <w:r>
                    <w:rPr>
                      <w:i/>
                      <w:szCs w:val="24"/>
                    </w:rPr>
                    <w:t>ŠVIS duomenys</w:t>
                  </w:r>
                </w:p>
                <w:p>
                  <w:pPr>
                    <w:tabs>
                      <w:tab w:val="left" w:pos="709"/>
                      <w:tab w:val="left" w:pos="1260"/>
                    </w:tabs>
                    <w:rPr>
                      <w:i/>
                      <w:szCs w:val="24"/>
                    </w:rPr>
                  </w:pPr>
                </w:p>
              </w:sdtContent>
            </w:sdt>
          </w:sdtContent>
        </w:sdt>
        <w:sdt>
          <w:sdtPr>
            <w:alias w:val="dalis"/>
            <w:tag w:val="part_78db032d25d440c59ef9e113a0cdb32f"/>
            <w:lock w:val="sdtLocked"/>
            <w:richText/>
          </w:sdtPr>
          <w:sdtContent>
            <w:p>
              <w:pPr>
                <w:rPr>
                  <w:b/>
                  <w:bCs/>
                  <w:color w:val="FF0000"/>
                  <w:szCs w:val="24"/>
                </w:rPr>
              </w:pPr>
              <w:r>
                <w:rPr>
                  <w:b/>
                  <w:bCs/>
                  <w:color w:val="000000"/>
                  <w:szCs w:val="24"/>
                </w:rPr>
                <w:t>Tris ir daugiau valstybinių brandos egzaminų išlaikiusių abiturientų dalis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9"/>
                <w:gridCol w:w="1172"/>
                <w:gridCol w:w="1101"/>
                <w:gridCol w:w="1200"/>
                <w:gridCol w:w="1417"/>
                <w:gridCol w:w="1536"/>
              </w:tblGrid>
              <w:tr>
                <w:trPr>
                  <w:jc w:val="center"/>
                </w:trPr>
                <w:tc>
                  <w:tcPr>
                    <w:tcW w:w="1909" w:type="dxa"/>
                  </w:tcPr>
                  <w:p>
                    <w:pPr>
                      <w:rPr>
                        <w:b/>
                        <w:bCs/>
                        <w:color w:val="000000"/>
                        <w:szCs w:val="24"/>
                      </w:rPr>
                    </w:pPr>
                    <w:r>
                      <w:rPr>
                        <w:b/>
                        <w:bCs/>
                        <w:color w:val="000000"/>
                        <w:szCs w:val="24"/>
                      </w:rPr>
                      <w:t>Teritorija</w:t>
                    </w:r>
                  </w:p>
                </w:tc>
                <w:tc>
                  <w:tcPr>
                    <w:tcW w:w="1172" w:type="dxa"/>
                  </w:tcPr>
                  <w:p>
                    <w:pPr>
                      <w:rPr>
                        <w:b/>
                        <w:bCs/>
                        <w:color w:val="000000"/>
                        <w:szCs w:val="24"/>
                      </w:rPr>
                    </w:pPr>
                    <w:r>
                      <w:rPr>
                        <w:b/>
                        <w:bCs/>
                        <w:color w:val="000000"/>
                        <w:szCs w:val="24"/>
                      </w:rPr>
                      <w:t>2022 m.</w:t>
                    </w:r>
                  </w:p>
                </w:tc>
                <w:tc>
                  <w:tcPr>
                    <w:tcW w:w="1101" w:type="dxa"/>
                  </w:tcPr>
                  <w:p>
                    <w:pPr>
                      <w:rPr>
                        <w:b/>
                        <w:bCs/>
                        <w:color w:val="000000"/>
                        <w:szCs w:val="24"/>
                      </w:rPr>
                    </w:pPr>
                    <w:r>
                      <w:rPr>
                        <w:b/>
                        <w:bCs/>
                        <w:szCs w:val="24"/>
                      </w:rPr>
                      <w:t>2023 m.</w:t>
                    </w:r>
                  </w:p>
                </w:tc>
                <w:tc>
                  <w:tcPr>
                    <w:tcW w:w="1200" w:type="dxa"/>
                  </w:tcPr>
                  <w:p>
                    <w:pPr>
                      <w:rPr>
                        <w:b/>
                        <w:bCs/>
                        <w:szCs w:val="24"/>
                      </w:rPr>
                    </w:pPr>
                    <w:r>
                      <w:rPr>
                        <w:b/>
                        <w:bCs/>
                        <w:szCs w:val="24"/>
                      </w:rPr>
                      <w:t>2024 m.</w:t>
                    </w:r>
                  </w:p>
                </w:tc>
                <w:tc>
                  <w:tcPr>
                    <w:tcW w:w="1417" w:type="dxa"/>
                  </w:tcPr>
                  <w:p>
                    <w:pPr>
                      <w:rPr>
                        <w:b/>
                        <w:bCs/>
                        <w:szCs w:val="24"/>
                      </w:rPr>
                    </w:pPr>
                    <w:r>
                      <w:rPr>
                        <w:b/>
                        <w:bCs/>
                        <w:szCs w:val="24"/>
                      </w:rPr>
                      <w:t>2025 m.</w:t>
                    </w:r>
                  </w:p>
                </w:tc>
                <w:tc>
                  <w:tcPr>
                    <w:tcW w:w="1536" w:type="dxa"/>
                  </w:tcPr>
                  <w:p>
                    <w:pPr>
                      <w:rPr>
                        <w:b/>
                        <w:bCs/>
                        <w:szCs w:val="24"/>
                      </w:rPr>
                    </w:pPr>
                    <w:r>
                      <w:rPr>
                        <w:b/>
                        <w:bCs/>
                        <w:szCs w:val="24"/>
                      </w:rPr>
                      <w:t xml:space="preserve">Pokytis </w:t>
                    </w:r>
                    <w:r>
                      <w:rPr>
                        <w:szCs w:val="24"/>
                      </w:rPr>
                      <w:t>(procentiniais punktais)</w:t>
                    </w:r>
                  </w:p>
                </w:tc>
              </w:tr>
              <w:tr>
                <w:trPr>
                  <w:trHeight w:val="262"/>
                  <w:jc w:val="center"/>
                </w:trPr>
                <w:tc>
                  <w:tcPr>
                    <w:tcW w:w="1909" w:type="dxa"/>
                  </w:tcPr>
                  <w:p>
                    <w:pPr>
                      <w:rPr>
                        <w:b/>
                        <w:bCs/>
                        <w:color w:val="000000"/>
                        <w:szCs w:val="24"/>
                      </w:rPr>
                    </w:pPr>
                    <w:r>
                      <w:rPr>
                        <w:b/>
                        <w:bCs/>
                        <w:color w:val="000000"/>
                        <w:szCs w:val="24"/>
                      </w:rPr>
                      <w:t>Savivaldybė</w:t>
                    </w:r>
                  </w:p>
                </w:tc>
                <w:tc>
                  <w:tcPr>
                    <w:tcW w:w="1172" w:type="dxa"/>
                  </w:tcPr>
                  <w:p>
                    <w:pPr>
                      <w:rPr>
                        <w:color w:val="000000"/>
                        <w:szCs w:val="24"/>
                      </w:rPr>
                    </w:pPr>
                    <w:r>
                      <w:rPr>
                        <w:color w:val="000000"/>
                        <w:szCs w:val="24"/>
                      </w:rPr>
                      <w:t>65,9</w:t>
                    </w:r>
                  </w:p>
                </w:tc>
                <w:tc>
                  <w:tcPr>
                    <w:tcW w:w="1101" w:type="dxa"/>
                  </w:tcPr>
                  <w:p>
                    <w:pPr>
                      <w:rPr>
                        <w:color w:val="000000"/>
                        <w:szCs w:val="24"/>
                      </w:rPr>
                    </w:pPr>
                    <w:r>
                      <w:rPr>
                        <w:color w:val="000000"/>
                        <w:szCs w:val="24"/>
                      </w:rPr>
                      <w:t>76,1</w:t>
                    </w:r>
                  </w:p>
                </w:tc>
                <w:tc>
                  <w:tcPr>
                    <w:tcW w:w="1200" w:type="dxa"/>
                  </w:tcPr>
                  <w:p>
                    <w:pPr>
                      <w:rPr>
                        <w:color w:val="000000"/>
                        <w:szCs w:val="24"/>
                      </w:rPr>
                    </w:pPr>
                    <w:r>
                      <w:rPr>
                        <w:color w:val="000000"/>
                        <w:szCs w:val="24"/>
                      </w:rPr>
                      <w:t>74</w:t>
                    </w:r>
                  </w:p>
                </w:tc>
                <w:tc>
                  <w:tcPr>
                    <w:tcW w:w="1417" w:type="dxa"/>
                  </w:tcPr>
                  <w:p>
                    <w:pPr>
                      <w:rPr>
                        <w:color w:val="000000"/>
                        <w:szCs w:val="24"/>
                      </w:rPr>
                    </w:pPr>
                    <w:r>
                      <w:rPr>
                        <w:color w:val="000000"/>
                        <w:szCs w:val="24"/>
                      </w:rPr>
                      <w:t>43,08</w:t>
                    </w:r>
                  </w:p>
                </w:tc>
                <w:tc>
                  <w:tcPr>
                    <w:tcW w:w="1536" w:type="dxa"/>
                  </w:tcPr>
                  <w:p>
                    <w:pPr>
                      <w:rPr>
                        <w:color w:val="000000"/>
                        <w:szCs w:val="24"/>
                      </w:rPr>
                    </w:pPr>
                    <w:r>
                      <w:rPr>
                        <w:color w:val="000000"/>
                        <w:szCs w:val="24"/>
                      </w:rPr>
                      <w:t>-22,8</w:t>
                    </w:r>
                  </w:p>
                </w:tc>
              </w:tr>
              <w:tr>
                <w:trPr>
                  <w:jc w:val="center"/>
                </w:trPr>
                <w:tc>
                  <w:tcPr>
                    <w:tcW w:w="1909" w:type="dxa"/>
                  </w:tcPr>
                  <w:p>
                    <w:pPr>
                      <w:rPr>
                        <w:b/>
                        <w:bCs/>
                        <w:color w:val="000000"/>
                        <w:szCs w:val="24"/>
                      </w:rPr>
                    </w:pPr>
                    <w:r>
                      <w:rPr>
                        <w:b/>
                        <w:bCs/>
                        <w:color w:val="000000"/>
                        <w:szCs w:val="24"/>
                      </w:rPr>
                      <w:t>Šalies vidurkis</w:t>
                    </w:r>
                  </w:p>
                </w:tc>
                <w:tc>
                  <w:tcPr>
                    <w:tcW w:w="1172" w:type="dxa"/>
                  </w:tcPr>
                  <w:p>
                    <w:pPr>
                      <w:rPr>
                        <w:color w:val="000000"/>
                        <w:szCs w:val="24"/>
                      </w:rPr>
                    </w:pPr>
                    <w:r>
                      <w:rPr>
                        <w:color w:val="000000"/>
                        <w:szCs w:val="24"/>
                      </w:rPr>
                      <w:t>58,5</w:t>
                    </w:r>
                  </w:p>
                </w:tc>
                <w:tc>
                  <w:tcPr>
                    <w:tcW w:w="1101" w:type="dxa"/>
                  </w:tcPr>
                  <w:p>
                    <w:pPr>
                      <w:rPr>
                        <w:color w:val="000000"/>
                        <w:szCs w:val="24"/>
                      </w:rPr>
                    </w:pPr>
                    <w:r>
                      <w:rPr>
                        <w:color w:val="000000"/>
                        <w:szCs w:val="24"/>
                      </w:rPr>
                      <w:t>60,3</w:t>
                    </w:r>
                  </w:p>
                </w:tc>
                <w:tc>
                  <w:tcPr>
                    <w:tcW w:w="1200" w:type="dxa"/>
                  </w:tcPr>
                  <w:p>
                    <w:pPr>
                      <w:rPr>
                        <w:color w:val="000000"/>
                        <w:szCs w:val="24"/>
                      </w:rPr>
                    </w:pPr>
                    <w:r>
                      <w:rPr>
                        <w:color w:val="000000"/>
                        <w:szCs w:val="24"/>
                      </w:rPr>
                      <w:t>62</w:t>
                    </w:r>
                  </w:p>
                </w:tc>
                <w:tc>
                  <w:tcPr>
                    <w:tcW w:w="1417" w:type="dxa"/>
                  </w:tcPr>
                  <w:p>
                    <w:pPr>
                      <w:rPr>
                        <w:color w:val="000000"/>
                        <w:szCs w:val="24"/>
                      </w:rPr>
                    </w:pPr>
                    <w:r>
                      <w:rPr>
                        <w:color w:val="000000"/>
                        <w:szCs w:val="24"/>
                      </w:rPr>
                      <w:t>37,4</w:t>
                    </w:r>
                  </w:p>
                </w:tc>
                <w:tc>
                  <w:tcPr>
                    <w:tcW w:w="1536" w:type="dxa"/>
                  </w:tcPr>
                  <w:p>
                    <w:pPr>
                      <w:rPr>
                        <w:color w:val="000000"/>
                        <w:szCs w:val="24"/>
                      </w:rPr>
                    </w:pPr>
                    <w:r>
                      <w:rPr>
                        <w:color w:val="000000"/>
                        <w:szCs w:val="24"/>
                      </w:rPr>
                      <w:t>-21,1</w:t>
                    </w:r>
                  </w:p>
                </w:tc>
              </w:tr>
            </w:tbl>
            <w:p>
              <w:pPr>
                <w:tabs>
                  <w:tab w:val="left" w:pos="900"/>
                  <w:tab w:val="left" w:pos="1260"/>
                </w:tabs>
                <w:ind w:firstLine="6946"/>
                <w:rPr>
                  <w:bCs/>
                  <w:i/>
                  <w:szCs w:val="24"/>
                  <w:lang w:eastAsia="lt-LT"/>
                </w:rPr>
              </w:pPr>
              <w:r>
                <w:rPr>
                  <w:bCs/>
                  <w:i/>
                  <w:szCs w:val="24"/>
                  <w:lang w:eastAsia="lt-LT"/>
                </w:rPr>
                <w:t xml:space="preserve">ŠVIS  duomenys</w:t>
              </w:r>
            </w:p>
            <w:p>
              <w:pPr>
                <w:tabs>
                  <w:tab w:val="left" w:pos="709"/>
                  <w:tab w:val="left" w:pos="1260"/>
                </w:tabs>
                <w:rPr>
                  <w:color w:val="FF0000"/>
                  <w:szCs w:val="24"/>
                  <w:lang w:eastAsia="lt-LT"/>
                </w:rPr>
              </w:pPr>
            </w:p>
            <w:sdt>
              <w:sdtPr>
                <w:alias w:val="poskyris"/>
                <w:tag w:val="part_cb4d9b81098d4d8bb765266af5d570b6"/>
                <w:lock w:val="sdtLocked"/>
                <w:richText/>
              </w:sdtPr>
              <w:sdtContent>
                <w:p>
                  <w:pPr>
                    <w:rPr>
                      <w:b/>
                      <w:bCs/>
                      <w:i/>
                      <w:iCs/>
                      <w:szCs w:val="24"/>
                    </w:rPr>
                  </w:pPr>
                  <w:sdt>
                    <w:sdtPr>
                      <w:alias w:val="Pavadinimas"/>
                      <w:tag w:val="title_cb4d9b81098d4d8bb765266af5d570b6"/>
                      <w:lock w:val="sdtLocked"/>
                      <w:richText/>
                    </w:sdtPr>
                    <w:sdtContent>
                      <w:r>
                        <w:rPr>
                          <w:b/>
                          <w:bCs/>
                          <w:i/>
                          <w:iCs/>
                          <w:szCs w:val="24"/>
                        </w:rPr>
                        <w:t>Nacionaliniai mokinių pasiekimų patikrinimai</w:t>
                      </w:r>
                    </w:sdtContent>
                  </w:sdt>
                </w:p>
                <w:p>
                  <w:pPr>
                    <w:ind w:firstLine="709"/>
                    <w:rPr>
                      <w:szCs w:val="24"/>
                    </w:rPr>
                  </w:pPr>
                  <w:r>
                    <w:rPr>
                      <w:szCs w:val="24"/>
                    </w:rPr>
                    <w:t>2025 m. Radviliškio rajono savivaldybės bendrojo ugdymo mokyklose, ugdančiose ketvirtokus ir aštuntokus, vyko 4 ir 8 klasių Nacionalinių mokinių pasiekimų patikrinimas (NMPP).</w:t>
                  </w:r>
                </w:p>
                <w:p>
                  <w:pPr>
                    <w:ind w:firstLine="709"/>
                    <w:rPr>
                      <w:szCs w:val="24"/>
                    </w:rPr>
                  </w:pPr>
                  <w:r>
                    <w:rPr>
                      <w:szCs w:val="24"/>
                    </w:rPr>
                    <w:t>NMPP paskirtis yra suteikti objektyvios informacijos mokyklai, mokiniams ir mokinių tėvams (globėjams, rūpintojams) apie mokymosi pasiekimus.</w:t>
                  </w:r>
                </w:p>
                <w:p>
                  <w:pPr>
                    <w:tabs>
                      <w:tab w:val="left" w:pos="180"/>
                    </w:tabs>
                    <w:ind w:firstLine="709"/>
                    <w:rPr>
                      <w:szCs w:val="24"/>
                      <w:lang w:eastAsia="lt-LT"/>
                    </w:rPr>
                  </w:pPr>
                  <w:r>
                    <w:rPr>
                      <w:szCs w:val="24"/>
                    </w:rPr>
                    <w:t>Diagra</w:t>
                  </w:r>
                  <w:r>
                    <w:rPr>
                      <w:szCs w:val="24"/>
                      <w:lang w:eastAsia="lt-LT"/>
                    </w:rPr>
                    <w:t>moje pavaizduotas Savivaldybės mokyklų mokinių bent pagrindinį pasiekimų lygį pasiekusių mokinių dalis.</w:t>
                  </w:r>
                </w:p>
                <w:p>
                  <w:pPr>
                    <w:tabs>
                      <w:tab w:val="left" w:pos="180"/>
                    </w:tabs>
                    <w:ind w:firstLine="720"/>
                    <w:rPr>
                      <w:szCs w:val="24"/>
                      <w:lang w:eastAsia="lt-LT"/>
                    </w:rPr>
                  </w:pPr>
                </w:p>
              </w:sdtContent>
            </w:sdt>
            <w:sdt>
              <w:sdtPr>
                <w:alias w:val="poskyris"/>
                <w:tag w:val="part_4ff2c5e392994ff8822f0e77d4ca1ca2"/>
                <w:lock w:val="sdtLocked"/>
                <w:richText/>
              </w:sdtPr>
              <w:sdtContent>
                <w:p>
                  <w:pPr>
                    <w:tabs>
                      <w:tab w:val="left" w:pos="180"/>
                    </w:tabs>
                    <w:ind w:firstLine="720"/>
                    <w:rPr>
                      <w:b/>
                      <w:bCs/>
                      <w:szCs w:val="24"/>
                      <w:lang w:eastAsia="lt-LT"/>
                    </w:rPr>
                  </w:pPr>
                  <w:sdt>
                    <w:sdtPr>
                      <w:alias w:val="Pavadinimas"/>
                      <w:tag w:val="title_4ff2c5e392994ff8822f0e77d4ca1ca2"/>
                      <w:lock w:val="sdtLocked"/>
                      <w:richText/>
                    </w:sdtPr>
                    <w:sdtContent>
                      <w:r>
                        <w:rPr>
                          <w:b/>
                          <w:bCs/>
                          <w:szCs w:val="24"/>
                          <w:lang w:eastAsia="lt-LT"/>
                        </w:rPr>
                        <w:t>Bent pagrindinį pasiekimų lygį pasiekusių mokinių dalis (proc.)</w:t>
                      </w:r>
                    </w:sdtContent>
                  </w:sdt>
                </w:p>
                <w:tbl>
                  <w:tblPr>
                    <w:tblW w:w="0" w:type="auto"/>
                    <w:jc w:val="center"/>
                    <w:tblLook w:val="04A0" w:firstRow="1" w:lastRow="0" w:firstColumn="1" w:lastColumn="0" w:noHBand="0" w:noVBand="1"/>
                  </w:tblPr>
                  <w:tblGrid>
                    <w:gridCol w:w="4717"/>
                    <w:gridCol w:w="4922"/>
                  </w:tblGrid>
                  <w:tr>
                    <w:trPr>
                      <w:trHeight w:val="121"/>
                      <w:jc w:val="center"/>
                    </w:trPr>
                    <w:tc>
                      <w:tcPr>
                        <w:tcW w:w="4814" w:type="dxa"/>
                      </w:tcPr>
                      <w:p>
                        <w:pPr>
                          <w:tabs>
                            <w:tab w:val="left" w:pos="180"/>
                          </w:tabs>
                          <w:rPr>
                            <w:b/>
                            <w:bCs/>
                            <w:color w:val="000000"/>
                            <w:szCs w:val="24"/>
                            <w:lang w:eastAsia="lt-LT"/>
                          </w:rPr>
                        </w:pPr>
                        <w:r>
                          <w:rPr>
                            <w:sz w:val="22"/>
                            <w:szCs w:val="24"/>
                            <w:lang w:val="en-US"/>
                          </w:rPr>
                          <w:drawing>
                            <wp:anchor distT="0" distB="0" distL="114300" distR="114300" simplePos="0" relativeHeight="251659264" behindDoc="1" locked="0" layoutInCell="1" allowOverlap="1" wp14:anchorId="5E710FE3" wp14:editId="327B5BDF">
                              <wp:simplePos x="0" y="0"/>
                              <wp:positionH relativeFrom="column">
                                <wp:posOffset>-5715</wp:posOffset>
                              </wp:positionH>
                              <wp:positionV relativeFrom="paragraph">
                                <wp:posOffset>181610</wp:posOffset>
                              </wp:positionV>
                              <wp:extent cx="2914650" cy="1790700"/>
                              <wp:effectExtent l="0" t="0" r="0" b="0"/>
                              <wp:wrapTopAndBottom/>
                              <wp:docPr id="1029853845" name="Diagrama 1029853845"/>
                              <wp:cNvGraphicFramePr/>
                              <a:graphic xmlns:a="http://schemas.openxmlformats.org/drawingml/2006/main">
                                <a:graphicData uri="http://schemas.openxmlformats.org/drawingml/2006/chart">
                                  <c:chart xmlns:c="http://schemas.openxmlformats.org/drawingml/2006/chart" r:id="rId23"/>
                                </a:graphicData>
                              </a:graphic>
                              <wp14:sizeRelH relativeFrom="margin">
                                <wp14:pctWidth>0</wp14:pctWidth>
                              </wp14:sizeRelH>
                              <wp14:sizeRelV relativeFrom="margin">
                                <wp14:pctHeight>0</wp14:pctHeight>
                              </wp14:sizeRelV>
                            </wp:anchor>
                          </w:drawing>
                        </w:r>
                      </w:p>
                    </w:tc>
                    <w:tc>
                      <w:tcPr>
                        <w:tcW w:w="4814" w:type="dxa"/>
                      </w:tcPr>
                      <w:p>
                        <w:pPr>
                          <w:tabs>
                            <w:tab w:val="left" w:pos="180"/>
                          </w:tabs>
                          <w:rPr>
                            <w:b/>
                            <w:bCs/>
                            <w:color w:val="000000"/>
                            <w:szCs w:val="24"/>
                            <w:lang w:eastAsia="lt-LT"/>
                          </w:rPr>
                        </w:pPr>
                        <w:r>
                          <w:rPr>
                            <w:sz w:val="22"/>
                            <w:szCs w:val="24"/>
                            <w:lang w:val="en-US"/>
                          </w:rPr>
                          <w:drawing>
                            <wp:anchor distT="0" distB="0" distL="114300" distR="114300" simplePos="0" relativeHeight="251660288" behindDoc="1" locked="0" layoutInCell="1" allowOverlap="1" wp14:anchorId="41803CC6" wp14:editId="6FA84BB2">
                              <wp:simplePos x="0" y="0"/>
                              <wp:positionH relativeFrom="column">
                                <wp:posOffset>68580</wp:posOffset>
                              </wp:positionH>
                              <wp:positionV relativeFrom="paragraph">
                                <wp:posOffset>181610</wp:posOffset>
                              </wp:positionV>
                              <wp:extent cx="3038475" cy="1790700"/>
                              <wp:effectExtent l="0" t="0" r="9525" b="0"/>
                              <wp:wrapTight wrapText="bothSides">
                                <wp:wrapPolygon edited="0">
                                  <wp:start x="0" y="0"/>
                                  <wp:lineTo x="0" y="21370"/>
                                  <wp:lineTo x="21532" y="21370"/>
                                  <wp:lineTo x="21532" y="0"/>
                                  <wp:lineTo x="0" y="0"/>
                                </wp:wrapPolygon>
                              </wp:wrapTight>
                              <wp:docPr id="5" name="Diagrama 5"/>
                              <wp:cNvGraphicFramePr/>
                              <a:graphic xmlns:a="http://schemas.openxmlformats.org/drawingml/2006/main">
                                <a:graphicData uri="http://schemas.openxmlformats.org/drawingml/2006/chart">
                                  <c:chart xmlns:c="http://schemas.openxmlformats.org/drawingml/2006/chart" r:id="rId24"/>
                                </a:graphicData>
                              </a:graphic>
                              <wp14:sizeRelH relativeFrom="margin">
                                <wp14:pctWidth>0</wp14:pctWidth>
                              </wp14:sizeRelH>
                              <wp14:sizeRelV relativeFrom="margin">
                                <wp14:pctHeight>0</wp14:pctHeight>
                              </wp14:sizeRelV>
                            </wp:anchor>
                          </w:drawing>
                        </w:r>
                      </w:p>
                    </w:tc>
                  </w:tr>
                </w:tbl>
                <w:p>
                  <w:pPr>
                    <w:tabs>
                      <w:tab w:val="left" w:pos="180"/>
                    </w:tabs>
                    <w:ind w:firstLine="720"/>
                    <w:rPr>
                      <w:i/>
                      <w:iCs/>
                      <w:color w:val="000000"/>
                      <w:szCs w:val="24"/>
                      <w:lang w:eastAsia="lt-LT"/>
                    </w:rPr>
                  </w:pPr>
                  <w:r>
                    <w:rPr>
                      <w:i/>
                      <w:iCs/>
                      <w:color w:val="000000"/>
                      <w:szCs w:val="24"/>
                      <w:lang w:eastAsia="lt-LT"/>
                    </w:rPr>
                    <w:t>NŠA informacija</w:t>
                  </w:r>
                </w:p>
                <w:p>
                  <w:pPr>
                    <w:tabs>
                      <w:tab w:val="left" w:pos="993"/>
                    </w:tabs>
                    <w:rPr>
                      <w:b/>
                      <w:bCs/>
                      <w:i/>
                      <w:szCs w:val="24"/>
                    </w:rPr>
                  </w:pPr>
                </w:p>
              </w:sdtContent>
            </w:sdt>
            <w:sdt>
              <w:sdtPr>
                <w:alias w:val="poskyris"/>
                <w:tag w:val="part_0c8411506fc94a4f8a187446b0954a95"/>
                <w:lock w:val="sdtLocked"/>
                <w:richText/>
              </w:sdtPr>
              <w:sdtContent>
                <w:sdt>
                  <w:sdtPr>
                    <w:alias w:val="Pavadinimas"/>
                    <w:tag w:val="title_0c8411506fc94a4f8a187446b0954a95"/>
                    <w:lock w:val="sdtLocked"/>
                    <w:richText/>
                  </w:sdtPr>
                  <w:sdtContent>
                    <w:p>
                      <w:pPr>
                        <w:tabs>
                          <w:tab w:val="left" w:pos="993"/>
                        </w:tabs>
                        <w:rPr>
                          <w:b/>
                          <w:bCs/>
                          <w:i/>
                          <w:szCs w:val="24"/>
                        </w:rPr>
                      </w:pPr>
                      <w:r>
                        <w:rPr>
                          <w:b/>
                          <w:bCs/>
                          <w:i/>
                          <w:szCs w:val="24"/>
                        </w:rPr>
                        <w:t xml:space="preserve">Mokymo lėšos </w:t>
                      </w:r>
                    </w:p>
                    <w:p>
                      <w:pPr>
                        <w:rPr>
                          <w:rFonts w:eastAsia="Batang"/>
                          <w:b/>
                          <w:szCs w:val="24"/>
                          <w:lang w:eastAsia="lt-LT"/>
                        </w:rPr>
                      </w:pPr>
                      <w:r>
                        <w:rPr>
                          <w:rFonts w:eastAsia="Batang"/>
                          <w:b/>
                          <w:szCs w:val="24"/>
                          <w:lang w:eastAsia="lt-LT"/>
                        </w:rPr>
                        <w:t>Mokymo lėšų paskirstymas 2023–2025 m. (tūkst. Eur)</w:t>
                      </w:r>
                    </w:p>
                  </w:sdtContent>
                </w:sdt>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4"/>
                    <w:gridCol w:w="1227"/>
                    <w:gridCol w:w="1157"/>
                    <w:gridCol w:w="1134"/>
                  </w:tblGrid>
                  <w:tr>
                    <w:trPr>
                      <w:trHeight w:val="275"/>
                      <w:jc w:val="center"/>
                    </w:trPr>
                    <w:tc>
                      <w:tcPr>
                        <w:tcW w:w="5124" w:type="dxa"/>
                        <w:tcBorders>
                          <w:top w:val="single" w:sz="4" w:space="0" w:color="auto"/>
                          <w:left w:val="single" w:sz="4" w:space="0" w:color="auto"/>
                          <w:bottom w:val="single" w:sz="4" w:space="0" w:color="auto"/>
                          <w:right w:val="single" w:sz="4" w:space="0" w:color="auto"/>
                        </w:tcBorders>
                        <w:hideMark/>
                      </w:tcPr>
                      <w:p>
                        <w:pPr>
                          <w:rPr>
                            <w:rFonts w:eastAsia="Batang"/>
                            <w:b/>
                            <w:szCs w:val="24"/>
                            <w:lang w:eastAsia="lt-LT"/>
                          </w:rPr>
                        </w:pPr>
                        <w:r>
                          <w:rPr>
                            <w:rFonts w:eastAsia="Batang"/>
                            <w:b/>
                            <w:szCs w:val="24"/>
                            <w:lang w:eastAsia="lt-LT"/>
                          </w:rPr>
                          <w:t>Lėšų paskirstymas</w:t>
                        </w:r>
                      </w:p>
                    </w:tc>
                    <w:tc>
                      <w:tcPr>
                        <w:tcW w:w="1227" w:type="dxa"/>
                        <w:tcBorders>
                          <w:top w:val="single" w:sz="4" w:space="0" w:color="auto"/>
                          <w:left w:val="single" w:sz="4" w:space="0" w:color="auto"/>
                          <w:bottom w:val="single" w:sz="4" w:space="0" w:color="auto"/>
                          <w:right w:val="single" w:sz="4" w:space="0" w:color="auto"/>
                        </w:tcBorders>
                      </w:tcPr>
                      <w:p>
                        <w:pPr>
                          <w:rPr>
                            <w:rFonts w:eastAsia="Batang"/>
                            <w:b/>
                            <w:szCs w:val="24"/>
                            <w:lang w:eastAsia="lt-LT"/>
                          </w:rPr>
                        </w:pPr>
                        <w:r>
                          <w:rPr>
                            <w:rFonts w:eastAsia="Batang"/>
                            <w:b/>
                            <w:szCs w:val="24"/>
                            <w:lang w:eastAsia="lt-LT"/>
                          </w:rPr>
                          <w:t>2023 m.</w:t>
                        </w:r>
                      </w:p>
                    </w:tc>
                    <w:tc>
                      <w:tcPr>
                        <w:tcW w:w="1157" w:type="dxa"/>
                        <w:tcBorders>
                          <w:top w:val="single" w:sz="4" w:space="0" w:color="auto"/>
                          <w:left w:val="single" w:sz="4" w:space="0" w:color="auto"/>
                          <w:bottom w:val="single" w:sz="4" w:space="0" w:color="auto"/>
                          <w:right w:val="single" w:sz="4" w:space="0" w:color="auto"/>
                        </w:tcBorders>
                      </w:tcPr>
                      <w:p>
                        <w:pPr>
                          <w:rPr>
                            <w:rFonts w:eastAsia="Batang"/>
                            <w:b/>
                            <w:szCs w:val="24"/>
                            <w:lang w:eastAsia="lt-LT"/>
                          </w:rPr>
                        </w:pPr>
                        <w:r>
                          <w:rPr>
                            <w:rFonts w:eastAsia="Batang"/>
                            <w:b/>
                            <w:szCs w:val="24"/>
                            <w:lang w:eastAsia="lt-LT"/>
                          </w:rPr>
                          <w:t>2024 m.</w:t>
                        </w:r>
                      </w:p>
                    </w:tc>
                    <w:tc>
                      <w:tcPr>
                        <w:tcW w:w="1134" w:type="dxa"/>
                        <w:tcBorders>
                          <w:top w:val="single" w:sz="4" w:space="0" w:color="auto"/>
                          <w:left w:val="single" w:sz="4" w:space="0" w:color="auto"/>
                          <w:bottom w:val="single" w:sz="4" w:space="0" w:color="auto"/>
                          <w:right w:val="single" w:sz="4" w:space="0" w:color="auto"/>
                        </w:tcBorders>
                      </w:tcPr>
                      <w:p>
                        <w:pPr>
                          <w:rPr>
                            <w:rFonts w:eastAsia="Batang"/>
                            <w:b/>
                            <w:szCs w:val="24"/>
                            <w:lang w:eastAsia="lt-LT"/>
                          </w:rPr>
                        </w:pPr>
                        <w:r>
                          <w:rPr>
                            <w:rFonts w:eastAsia="Batang"/>
                            <w:b/>
                            <w:szCs w:val="24"/>
                            <w:lang w:eastAsia="lt-LT"/>
                          </w:rPr>
                          <w:t>2025 m.</w:t>
                        </w:r>
                      </w:p>
                    </w:tc>
                  </w:tr>
                  <w:tr>
                    <w:trPr>
                      <w:jc w:val="center"/>
                    </w:trPr>
                    <w:tc>
                      <w:tcPr>
                        <w:tcW w:w="5124"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Vadovėliams ir kitoms mokymo priemonėms</w:t>
                        </w:r>
                      </w:p>
                    </w:tc>
                    <w:tc>
                      <w:tcPr>
                        <w:tcW w:w="122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106,7</w:t>
                        </w:r>
                      </w:p>
                    </w:tc>
                    <w:tc>
                      <w:tcPr>
                        <w:tcW w:w="115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120,8</w:t>
                        </w:r>
                      </w:p>
                    </w:tc>
                    <w:tc>
                      <w:tcPr>
                        <w:tcW w:w="1134"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149,3</w:t>
                        </w:r>
                      </w:p>
                    </w:tc>
                  </w:tr>
                  <w:tr>
                    <w:trPr>
                      <w:jc w:val="center"/>
                    </w:trPr>
                    <w:tc>
                      <w:tcPr>
                        <w:tcW w:w="5124"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Mokytojų ir kitų ugdymo procese dalyvaujančių asmenų kvalifikacijos kėlimui</w:t>
                        </w:r>
                      </w:p>
                    </w:tc>
                    <w:tc>
                      <w:tcPr>
                        <w:tcW w:w="122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39,9</w:t>
                        </w:r>
                      </w:p>
                    </w:tc>
                    <w:tc>
                      <w:tcPr>
                        <w:tcW w:w="115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37,5</w:t>
                        </w:r>
                      </w:p>
                    </w:tc>
                    <w:tc>
                      <w:tcPr>
                        <w:tcW w:w="1134"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39,3</w:t>
                        </w:r>
                      </w:p>
                    </w:tc>
                  </w:tr>
                  <w:tr>
                    <w:trPr>
                      <w:jc w:val="center"/>
                    </w:trPr>
                    <w:tc>
                      <w:tcPr>
                        <w:tcW w:w="5124"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Mokinių pažintinei veiklai ir profesiniam orientavimui</w:t>
                        </w:r>
                      </w:p>
                    </w:tc>
                    <w:tc>
                      <w:tcPr>
                        <w:tcW w:w="122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21,7</w:t>
                        </w:r>
                      </w:p>
                    </w:tc>
                    <w:tc>
                      <w:tcPr>
                        <w:tcW w:w="115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18,7</w:t>
                        </w:r>
                      </w:p>
                    </w:tc>
                    <w:tc>
                      <w:tcPr>
                        <w:tcW w:w="1134"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14,5</w:t>
                        </w:r>
                      </w:p>
                    </w:tc>
                  </w:tr>
                  <w:tr>
                    <w:trPr>
                      <w:jc w:val="center"/>
                    </w:trPr>
                    <w:tc>
                      <w:tcPr>
                        <w:tcW w:w="5124"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 xml:space="preserve">Informacinėms ir  komunikacinėms technologijoms diegti ir naudoti</w:t>
                        </w:r>
                      </w:p>
                    </w:tc>
                    <w:tc>
                      <w:tcPr>
                        <w:tcW w:w="122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30,5</w:t>
                        </w:r>
                      </w:p>
                    </w:tc>
                    <w:tc>
                      <w:tcPr>
                        <w:tcW w:w="1157"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32,5</w:t>
                        </w:r>
                      </w:p>
                    </w:tc>
                    <w:tc>
                      <w:tcPr>
                        <w:tcW w:w="1134" w:type="dxa"/>
                        <w:tcBorders>
                          <w:top w:val="single" w:sz="4" w:space="0" w:color="auto"/>
                          <w:left w:val="single" w:sz="4" w:space="0" w:color="auto"/>
                          <w:bottom w:val="single" w:sz="4" w:space="0" w:color="auto"/>
                          <w:right w:val="single" w:sz="4" w:space="0" w:color="auto"/>
                        </w:tcBorders>
                      </w:tcPr>
                      <w:p>
                        <w:pPr>
                          <w:rPr>
                            <w:rFonts w:eastAsia="Batang"/>
                            <w:szCs w:val="24"/>
                            <w:lang w:eastAsia="lt-LT"/>
                          </w:rPr>
                        </w:pPr>
                        <w:r>
                          <w:rPr>
                            <w:rFonts w:eastAsia="Batang"/>
                            <w:szCs w:val="24"/>
                            <w:lang w:eastAsia="lt-LT"/>
                          </w:rPr>
                          <w:t>84,5</w:t>
                        </w:r>
                      </w:p>
                    </w:tc>
                  </w:tr>
                  <w:tr>
                    <w:trPr>
                      <w:trHeight w:val="333"/>
                      <w:jc w:val="center"/>
                    </w:trPr>
                    <w:tc>
                      <w:tcPr>
                        <w:tcW w:w="5124"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 xml:space="preserve">Darbo užmokesčio fondui </w:t>
                        </w:r>
                      </w:p>
                    </w:tc>
                    <w:tc>
                      <w:tcPr>
                        <w:tcW w:w="1227" w:type="dxa"/>
                        <w:tcBorders>
                          <w:top w:val="single" w:sz="4" w:space="0" w:color="auto"/>
                          <w:left w:val="single" w:sz="4" w:space="0" w:color="auto"/>
                          <w:bottom w:val="single" w:sz="4" w:space="0" w:color="auto"/>
                          <w:right w:val="single" w:sz="4" w:space="0" w:color="auto"/>
                        </w:tcBorders>
                      </w:tcPr>
                      <w:p>
                        <w:pPr>
                          <w:rPr>
                            <w:rFonts w:eastAsia="Batang"/>
                            <w:bCs/>
                            <w:szCs w:val="24"/>
                            <w:lang w:eastAsia="lt-LT"/>
                          </w:rPr>
                        </w:pPr>
                        <w:r>
                          <w:rPr>
                            <w:rFonts w:eastAsia="Batang"/>
                            <w:bCs/>
                            <w:szCs w:val="24"/>
                            <w:lang w:eastAsia="lt-LT"/>
                          </w:rPr>
                          <w:t>14091,0</w:t>
                        </w:r>
                      </w:p>
                    </w:tc>
                    <w:tc>
                      <w:tcPr>
                        <w:tcW w:w="1157" w:type="dxa"/>
                        <w:tcBorders>
                          <w:top w:val="single" w:sz="4" w:space="0" w:color="auto"/>
                          <w:left w:val="single" w:sz="4" w:space="0" w:color="auto"/>
                          <w:bottom w:val="single" w:sz="4" w:space="0" w:color="auto"/>
                          <w:right w:val="single" w:sz="4" w:space="0" w:color="auto"/>
                        </w:tcBorders>
                      </w:tcPr>
                      <w:p>
                        <w:pPr>
                          <w:rPr>
                            <w:rFonts w:eastAsia="Batang"/>
                            <w:bCs/>
                            <w:szCs w:val="24"/>
                            <w:lang w:eastAsia="lt-LT"/>
                          </w:rPr>
                        </w:pPr>
                        <w:r>
                          <w:rPr>
                            <w:rFonts w:eastAsia="Batang"/>
                            <w:bCs/>
                            <w:szCs w:val="24"/>
                            <w:lang w:eastAsia="lt-LT"/>
                          </w:rPr>
                          <w:t>16407,0</w:t>
                        </w:r>
                      </w:p>
                    </w:tc>
                    <w:tc>
                      <w:tcPr>
                        <w:tcW w:w="1134" w:type="dxa"/>
                        <w:tcBorders>
                          <w:top w:val="single" w:sz="4" w:space="0" w:color="auto"/>
                          <w:left w:val="single" w:sz="4" w:space="0" w:color="auto"/>
                          <w:bottom w:val="single" w:sz="4" w:space="0" w:color="auto"/>
                          <w:right w:val="single" w:sz="4" w:space="0" w:color="auto"/>
                        </w:tcBorders>
                      </w:tcPr>
                      <w:p>
                        <w:pPr>
                          <w:rPr>
                            <w:rFonts w:eastAsia="Batang"/>
                            <w:bCs/>
                            <w:szCs w:val="24"/>
                            <w:lang w:eastAsia="lt-LT"/>
                          </w:rPr>
                        </w:pPr>
                        <w:r>
                          <w:rPr>
                            <w:rFonts w:eastAsia="Batang"/>
                            <w:bCs/>
                            <w:szCs w:val="24"/>
                            <w:lang w:eastAsia="lt-LT"/>
                          </w:rPr>
                          <w:t>17597,0</w:t>
                        </w:r>
                      </w:p>
                    </w:tc>
                  </w:tr>
                </w:tbl>
                <w:p>
                  <w:pPr>
                    <w:rPr>
                      <w:b/>
                      <w:bCs/>
                      <w:i/>
                      <w:iCs/>
                      <w:color w:val="ED0000"/>
                      <w:szCs w:val="24"/>
                    </w:rPr>
                  </w:pPr>
                </w:p>
              </w:sdtContent>
            </w:sdt>
            <w:sdt>
              <w:sdtPr>
                <w:alias w:val="poskyris"/>
                <w:tag w:val="part_63566c1b4260497fa3d36364f78ac28d"/>
                <w:lock w:val="sdtLocked"/>
                <w:richText/>
              </w:sdtPr>
              <w:sdtContent>
                <w:p>
                  <w:pPr>
                    <w:rPr>
                      <w:b/>
                      <w:bCs/>
                      <w:i/>
                      <w:iCs/>
                      <w:color w:val="000000"/>
                      <w:szCs w:val="24"/>
                    </w:rPr>
                  </w:pPr>
                  <w:sdt>
                    <w:sdtPr>
                      <w:alias w:val="Pavadinimas"/>
                      <w:tag w:val="title_63566c1b4260497fa3d36364f78ac28d"/>
                      <w:lock w:val="sdtLocked"/>
                      <w:richText/>
                    </w:sdtPr>
                    <w:sdtContent>
                      <w:r>
                        <w:rPr>
                          <w:b/>
                          <w:bCs/>
                          <w:i/>
                          <w:iCs/>
                          <w:color w:val="000000"/>
                          <w:szCs w:val="24"/>
                        </w:rPr>
                        <w:t>Projektinė veikla</w:t>
                      </w:r>
                    </w:sdtContent>
                  </w:sdt>
                </w:p>
                <w:p>
                  <w:pPr>
                    <w:ind w:firstLine="709"/>
                    <w:rPr>
                      <w:szCs w:val="24"/>
                    </w:rPr>
                  </w:pPr>
                  <w:r>
                    <w:rPr>
                      <w:szCs w:val="24"/>
                    </w:rPr>
                    <w:t>2025 m. Radviliškio rajono savivaldybė įgyvendino šiuos projektus:</w:t>
                  </w:r>
                </w:p>
                <w:p>
                  <w:pPr>
                    <w:ind w:firstLine="709"/>
                    <w:rPr>
                      <w:szCs w:val="24"/>
                      <w:lang w:eastAsia="lt-LT"/>
                    </w:rPr>
                  </w:pPr>
                  <w:r>
                    <w:rPr>
                      <w:rFonts w:ascii="Symbol" w:hAnsi="Symbol"/>
                      <w:szCs w:val="24"/>
                      <w:lang w:eastAsia="lt-LT"/>
                    </w:rPr>
                    <w:t></w:t>
                    <w:tab/>
                  </w:r>
                  <w:r>
                    <w:rPr>
                      <w:kern w:val="2"/>
                      <w:szCs w:val="24"/>
                      <w14:ligatures w14:val="standardContextual"/>
                    </w:rPr>
                    <w:t xml:space="preserve">Nuo 2024-07-15 Radviliškio rajono savivaldybė kaip partneris dalyvauja Europos socialinio fondo agentūros įgyvendinamo projekto Nr. 10-013-P-0001 „Ankstyvojo ugdymo užtikrinimas vaikams iš socialinę riziką patiriančių šeimų“ jungtinėse veiklose. Projekte dalyvauja 13 savivaldybės švietimo įstaigų. Kas mėnesį vidutiniškai 84 vaikams iš socialinės rizikos šeimų, ugdomiems pagal ikimokyklinio ir priešmokyklinio ugdymo programas, buvo teikiama finansinė parama ugdymo procese. Vaikai buvo aprūpinami reikalingomis individualiomis ugdymo priemonėmis, kompensuotas savivaldybės reglamentuotas vaikų išlaikymo mokestis, maitinimo, pavėžėjimo į / iš ugdymo įstaigos bei lydinčio asmens darbo užmokesčio išlaidos, kultūros veiklų bei papildomos išlaidos ugdymui ir švietimo pagalbai. Deklaruotos projekto išlaidos už 2025 m. – </w:t>
                  </w:r>
                  <w:r>
                    <w:rPr>
                      <w:szCs w:val="24"/>
                      <w:lang w:eastAsia="lt-LT"/>
                    </w:rPr>
                    <w:t>224949,94 Eur.</w:t>
                  </w:r>
                </w:p>
                <w:p>
                  <w:pPr>
                    <w:ind w:firstLine="709"/>
                    <w:rPr>
                      <w:szCs w:val="24"/>
                    </w:rPr>
                  </w:pPr>
                  <w:r>
                    <w:rPr>
                      <w:rFonts w:ascii="Symbol" w:hAnsi="Symbol"/>
                      <w:szCs w:val="24"/>
                    </w:rPr>
                    <w:t></w:t>
                    <w:tab/>
                  </w:r>
                  <w:r>
                    <w:rPr>
                      <w:szCs w:val="24"/>
                    </w:rPr>
                    <w:t>Pagal Jungtinės veiklos sutartį įgyvendinant 2021–2030</w:t>
                  </w:r>
                  <w:r>
                    <w:rPr>
                      <w:b/>
                      <w:bCs/>
                      <w:szCs w:val="24"/>
                    </w:rPr>
                    <w:t> </w:t>
                  </w:r>
                  <w:r>
                    <w:rPr>
                      <w:szCs w:val="24"/>
                    </w:rPr>
                    <w:t>m.  plėtros programos valdytojos Lietuvos Respublikos švietimo, mokslo ir sporto ministerijos švietimo plėtros programos pažangos priemonės Nr. 12-003-03-01-03 „Užtikrinti visiems prieinamą šiuolaikinį ugdymo turinį“  projektą „Ugdymo priemonės mokykloms“ Radviliškio rajono savivaldybės 7 bendrojo ugdymo mokyklos dalyvauja projekte. Ugdymo įstaigose 2025 m. įrengtos 2 kalbų laboratorijos, kurių bendra vertė 31 977 Eur, taip pat ugdymo įstaigos įsigijo 204 nešiojamus kompiuterius, kurių vertė 102 428 Eur.</w:t>
                  </w:r>
                  <w:r>
                    <w:rPr>
                      <w:b/>
                      <w:bCs/>
                      <w:szCs w:val="24"/>
                    </w:rPr>
                    <w:t xml:space="preserve"> </w:t>
                  </w:r>
                  <w:r>
                    <w:rPr>
                      <w:szCs w:val="24"/>
                    </w:rPr>
                    <w:t>Projekto vykdymo laikotarpiui nuo 2024 m. rugsėjo mėn. iki 2028 m. gegužės mėn. yra skirta 624 338,74 Eur.</w:t>
                  </w:r>
                </w:p>
                <w:p>
                  <w:pPr>
                    <w:ind w:firstLine="709"/>
                    <w:rPr>
                      <w:color w:val="000000"/>
                      <w:szCs w:val="24"/>
                    </w:rPr>
                  </w:pPr>
                  <w:r>
                    <w:rPr>
                      <w:rFonts w:ascii="Symbol" w:hAnsi="Symbol"/>
                      <w:color w:val="000000"/>
                      <w:szCs w:val="24"/>
                    </w:rPr>
                    <w:t></w:t>
                    <w:tab/>
                  </w:r>
                  <w:r>
                    <w:rPr>
                      <w:color w:val="000000"/>
                      <w:szCs w:val="24"/>
                    </w:rPr>
                    <w:t xml:space="preserve">Radviliškio rajono savivaldybė 2024-02-27 kartu su Europos socialinio fondo agentūra pasirašė Jungtinės veiklos sutartį įgyvendinant projektą „Tūkstantmečio mokyklos II“.  „Tūkstantmečio mokyklos II“ projekte dalyvauja Radviliškio Lizdeikos, Baisogalos, Šeduvos, Šiaulėnų Marcelino Šikšnio gimnazijos, Gražinos pagrindinė mokykla, Vaižganto ir V. Kudirkos progimnazijos. Suplanuotoms veikloms įgyvendinti numatyta 2 881 272,34 Eur.  Už 2025 m. įvykdytas projekto veiklas deklaruota 1 170327,18 Eur. išlaidų.</w:t>
                  </w:r>
                </w:p>
                <w:p>
                  <w:pPr>
                    <w:rPr>
                      <w:color w:val="C00000"/>
                      <w:szCs w:val="24"/>
                    </w:rPr>
                  </w:pPr>
                </w:p>
              </w:sdtContent>
            </w:sdt>
            <w:sdt>
              <w:sdtPr>
                <w:alias w:val="poskyris"/>
                <w:tag w:val="part_546449f81b84469a876af3fd76a089c4"/>
                <w:lock w:val="sdtLocked"/>
                <w:richText/>
              </w:sdtPr>
              <w:sdtContent>
                <w:p>
                  <w:pPr>
                    <w:keepLines/>
                    <w:tabs>
                      <w:tab w:val="left" w:pos="7020"/>
                    </w:tabs>
                    <w:suppressAutoHyphens/>
                    <w:jc w:val="center"/>
                    <w:textAlignment w:val="baseline"/>
                    <w:rPr>
                      <w:b/>
                      <w:szCs w:val="24"/>
                    </w:rPr>
                  </w:pPr>
                  <w:sdt>
                    <w:sdtPr>
                      <w:alias w:val="Pavadinimas"/>
                      <w:tag w:val="title_546449f81b84469a876af3fd76a089c4"/>
                      <w:lock w:val="sdtLocked"/>
                      <w:richText/>
                    </w:sdtPr>
                    <w:sdtContent>
                      <w:r>
                        <w:rPr>
                          <w:b/>
                          <w:szCs w:val="24"/>
                        </w:rPr>
                        <w:t>SVEIKATOS ĮSTAIGOS</w:t>
                      </w:r>
                    </w:sdtContent>
                  </w:sdt>
                </w:p>
                <w:p>
                  <w:pPr>
                    <w:jc w:val="center"/>
                    <w:rPr>
                      <w:szCs w:val="24"/>
                    </w:rPr>
                  </w:pPr>
                </w:p>
              </w:sdtContent>
            </w:sdt>
            <w:sdt>
              <w:sdtPr>
                <w:alias w:val="poskyris"/>
                <w:tag w:val="part_b239be5584254c83b3df50528183af27"/>
                <w:lock w:val="sdtLocked"/>
                <w:richText/>
              </w:sdtPr>
              <w:sdtContent>
                <w:p>
                  <w:pPr>
                    <w:keepLines/>
                    <w:tabs>
                      <w:tab w:val="left" w:pos="7020"/>
                    </w:tabs>
                    <w:suppressAutoHyphens/>
                    <w:jc w:val="center"/>
                    <w:textAlignment w:val="baseline"/>
                    <w:rPr>
                      <w:b/>
                      <w:i/>
                      <w:caps/>
                      <w:szCs w:val="24"/>
                    </w:rPr>
                  </w:pPr>
                  <w:sdt>
                    <w:sdtPr>
                      <w:alias w:val="Pavadinimas"/>
                      <w:tag w:val="title_b239be5584254c83b3df50528183af27"/>
                      <w:lock w:val="sdtLocked"/>
                      <w:richText/>
                    </w:sdtPr>
                    <w:sdtContent>
                      <w:r>
                        <w:rPr>
                          <w:b/>
                          <w:caps/>
                          <w:szCs w:val="24"/>
                        </w:rPr>
                        <w:t>Radviliškio rajono visuomenės sveikatos biuras</w:t>
                      </w:r>
                    </w:sdtContent>
                  </w:sdt>
                </w:p>
                <w:p>
                  <w:pPr>
                    <w:ind w:firstLine="709"/>
                    <w:rPr>
                      <w:szCs w:val="24"/>
                      <w:lang w:eastAsia="lt-LT"/>
                    </w:rPr>
                  </w:pPr>
                </w:p>
                <w:p>
                  <w:pPr>
                    <w:ind w:firstLine="709"/>
                    <w:rPr>
                      <w:szCs w:val="24"/>
                      <w:lang w:eastAsia="lt-LT"/>
                    </w:rPr>
                  </w:pPr>
                  <w:r>
                    <w:rPr>
                      <w:szCs w:val="24"/>
                      <w:lang w:eastAsia="lt-LT"/>
                    </w:rPr>
                    <w:t>Radviliškio rajono visuomenės sveikatos biuras (toliau – Biuras) – biudžetinė įstaiga, įm. k. 302296907, Radvilų g. 17, Radviliškis.</w:t>
                  </w:r>
                </w:p>
                <w:p>
                  <w:pPr>
                    <w:ind w:firstLine="709"/>
                    <w:rPr>
                      <w:szCs w:val="24"/>
                      <w:lang w:eastAsia="lt-LT"/>
                    </w:rPr>
                  </w:pPr>
                  <w:r>
                    <w:rPr>
                      <w:szCs w:val="24"/>
                      <w:lang w:eastAsia="lt-LT"/>
                    </w:rPr>
                    <w:t>Biuro savininkė (steigėja) – Radviliškio rajono savivaldybė (toliau Savivaldybė), k. 188726247, Aušros a. 10, Radviliškis. Savininko teises ir pareigas įgyvendinanti institucija - Savivaldybės meras, išskyrus tas Biuro savininko teises ir pareigas, kurios yra priskirtos išimtinei ir paprastajai Savivaldybės tarybos kompetencijai.</w:t>
                  </w:r>
                </w:p>
                <w:p>
                  <w:pPr>
                    <w:suppressAutoHyphens/>
                    <w:ind w:firstLine="720"/>
                    <w:textAlignment w:val="baseline"/>
                    <w:rPr>
                      <w:szCs w:val="24"/>
                    </w:rPr>
                  </w:pPr>
                  <w:r>
                    <w:rPr>
                      <w:szCs w:val="24"/>
                    </w:rPr>
                    <w:t>Vadovaujantis Radviliškio rajono savivaldybės mero 2023 m. lapkričio 28 d. potvarkiu Nr. MP-58- (2.9) „Dėl Radviliškio rajono visuomenės sveikatos biuro direktoriaus skyrimo“ nuo 2023 m. gruodžio 1 d. direktoriaus pareigas vykdo Dovilė Eičinienė.</w:t>
                  </w:r>
                </w:p>
                <w:p>
                  <w:pPr>
                    <w:suppressAutoHyphens/>
                    <w:ind w:firstLine="709"/>
                    <w:textAlignment w:val="baseline"/>
                    <w:rPr>
                      <w:szCs w:val="24"/>
                    </w:rPr>
                  </w:pPr>
                  <w:r>
                    <w:rPr>
                      <w:szCs w:val="24"/>
                      <w:shd w:val="clear" w:color="auto" w:fill="FFFFFF"/>
                    </w:rPr>
                    <w:t xml:space="preserve">2025 m. vasario 6 d.  patvirtintas </w:t>
                  </w:r>
                  <w:r>
                    <w:rPr>
                      <w:szCs w:val="24"/>
                      <w:bdr w:val="none" w:sz="0" w:space="0" w:color="auto" w:frame="1"/>
                      <w:shd w:val="clear" w:color="auto" w:fill="FFFFFF"/>
                    </w:rPr>
                    <w:t>Valstybinių (valstybės perduotų savivaldybėms) visuomenės sveikatos priežiūros funkcijų (VSPĮ 6 str.) bazinių, visuomenės sveikatos priežiūros paslaugų 2025–2027 metų planas</w:t>
                  </w:r>
                  <w:r>
                    <w:rPr>
                      <w:szCs w:val="24"/>
                      <w:shd w:val="clear" w:color="auto" w:fill="FFFFFF"/>
                    </w:rPr>
                    <w:t xml:space="preserve">, kuriame </w:t>
                  </w:r>
                  <w:r>
                    <w:rPr>
                      <w:szCs w:val="24"/>
                    </w:rPr>
                    <w:t>savivaldybių visuomenės sveikatos biurams 2025 metais buvo numatytos vykdymui 28 bazinės visuomenės sveikatos stiprinimo paslaugos ir jų apskaitymui - 51 vertinimo kriterijus. Vadovaujantis patvirtintu planu, Radviliškio rajono visuomenės sveikatos biuras 2025 m. vidutiniškai pasiekė 120 proc. vertinimo kriterijų įvykdymą.</w:t>
                  </w:r>
                </w:p>
                <w:p>
                  <w:pPr>
                    <w:suppressAutoHyphens/>
                    <w:ind w:firstLine="709"/>
                    <w:textAlignment w:val="baseline"/>
                    <w:rPr>
                      <w:szCs w:val="24"/>
                    </w:rPr>
                  </w:pPr>
                  <w:r>
                    <w:rPr>
                      <w:szCs w:val="24"/>
                    </w:rPr>
                    <w:t xml:space="preserve">Sveikatos ugdymo ir mokymo ataskaitos „Nr. 41-1-SVEIKATA“ duomenimis, 2025 metais apskaityti 3168 įvairaus pobūdžio renginiai (paskaitos, pamokos, akcijos, sveikos gyvensenos skatinimo ir populiarinimo priemonės, kt.), šiuose sveikatos ugdymo ir mokymo renginiuose iš viso dalyvavo 35634 dalyviai, priskiriami įvairioms tikslinėms ir amžiaus grupėms. </w:t>
                  </w:r>
                </w:p>
                <w:p>
                  <w:pPr>
                    <w:suppressAutoHyphens/>
                    <w:ind w:firstLine="709"/>
                    <w:textAlignment w:val="baseline"/>
                    <w:rPr>
                      <w:color w:val="000000"/>
                      <w:szCs w:val="24"/>
                      <w:lang w:eastAsia="lt-LT"/>
                    </w:rPr>
                  </w:pPr>
                  <w:r>
                    <w:rPr>
                      <w:rFonts w:eastAsia="Calibri"/>
                      <w:iCs/>
                      <w:szCs w:val="24"/>
                    </w:rPr>
                    <w:t xml:space="preserve">2025 m. gruodžio 19 d. </w:t>
                  </w:r>
                  <w:r>
                    <w:rPr>
                      <w:bCs/>
                      <w:color w:val="000000"/>
                      <w:szCs w:val="24"/>
                      <w:lang w:eastAsia="lt-LT"/>
                    </w:rPr>
                    <w:t xml:space="preserve">Radviliškio rajono savivaldybės tarybos sprendimu </w:t>
                  </w:r>
                  <w:r>
                    <w:rPr>
                      <w:color w:val="000000"/>
                      <w:szCs w:val="24"/>
                      <w:lang w:eastAsia="lt-LT"/>
                    </w:rPr>
                    <w:t>Nr. T-873</w:t>
                  </w:r>
                  <w:r>
                    <w:rPr>
                      <w:rFonts w:eastAsia="Calibri"/>
                      <w:iCs/>
                      <w:szCs w:val="24"/>
                    </w:rPr>
                    <w:t xml:space="preserve"> „</w:t>
                  </w:r>
                  <w:r>
                    <w:rPr>
                      <w:bCs/>
                      <w:color w:val="000000"/>
                      <w:szCs w:val="24"/>
                      <w:lang w:eastAsia="lt-LT"/>
                    </w:rPr>
                    <w:t xml:space="preserve">Dėl Radviliškio rajono savivaldybės visuomenės sveikatos stebėsenos už 2024 metus ataskaitos patvirtinimo“  patvirtinta ataskaita, kurioje </w:t>
                  </w:r>
                  <w:r>
                    <w:rPr>
                      <w:rFonts w:eastAsia="Calibri"/>
                      <w:iCs/>
                      <w:szCs w:val="24"/>
                    </w:rPr>
                    <w:t>iškeltos trys prioritetinės sritys: pėsčiųjų mirtingumas nuo transporto įvykių, mirtingumas transporto įvykiuose, sergamumas tuberkulioze.</w:t>
                  </w:r>
                </w:p>
                <w:p>
                  <w:pPr>
                    <w:suppressAutoHyphens/>
                    <w:ind w:firstLine="771"/>
                    <w:textAlignment w:val="baseline"/>
                    <w:rPr>
                      <w:b/>
                      <w:szCs w:val="24"/>
                      <w:highlight w:val="yellow"/>
                    </w:rPr>
                  </w:pPr>
                  <w:r>
                    <w:rPr>
                      <w:szCs w:val="24"/>
                    </w:rPr>
                    <w:t>2025 m. atliki šie tyrimai ir jų analizės:</w:t>
                  </w:r>
                  <w:r>
                    <w:rPr>
                      <w:b/>
                      <w:szCs w:val="24"/>
                    </w:rPr>
                    <w:t xml:space="preserve">  </w:t>
                  </w:r>
                  <w:r>
                    <w:rPr>
                      <w:szCs w:val="24"/>
                    </w:rPr>
                    <w:t>Mokyklos valgykloje tiekiamo maisto kokybės apklausa;</w:t>
                  </w:r>
                  <w:r>
                    <w:rPr>
                      <w:szCs w:val="24"/>
                      <w:lang w:eastAsia="lt-LT"/>
                    </w:rPr>
                    <w:t xml:space="preserve"> Mokyklinio amžiaus vaikų gyvensenos tyrimo ataskaita; Kuprinių svėrimo akcijos analizės (2024 m. ir 2025 m.); </w:t>
                  </w:r>
                  <w:r>
                    <w:rPr>
                      <w:szCs w:val="24"/>
                    </w:rPr>
                    <w:t>Pakartotinio narkotinių ir psichotropinių medžiagų tyrimo analizė.</w:t>
                  </w:r>
                </w:p>
                <w:p>
                  <w:pPr>
                    <w:suppressAutoHyphens/>
                    <w:ind w:firstLine="709"/>
                    <w:textAlignment w:val="baseline"/>
                    <w:rPr>
                      <w:szCs w:val="24"/>
                    </w:rPr>
                  </w:pPr>
                  <w:r>
                    <w:rPr>
                      <w:szCs w:val="24"/>
                    </w:rPr>
                    <w:t xml:space="preserve">2025 m. privalomuosius pirmos pagalbos (PP),  higienos įgūdžių (HI),  alkoholio, narkotinių ir psichotropinių ar kitų psichiką veikiančių medžiagų vartojimo poveikio žmogaus sveikatai mokymus (A1) išklausė 1246 asmenų.</w:t>
                  </w:r>
                </w:p>
                <w:p>
                  <w:pPr>
                    <w:suppressAutoHyphens/>
                    <w:ind w:firstLine="709"/>
                    <w:textAlignment w:val="baseline"/>
                    <w:rPr>
                      <w:szCs w:val="24"/>
                    </w:rPr>
                  </w:pPr>
                  <w:r>
                    <w:rPr>
                      <w:szCs w:val="24"/>
                    </w:rPr>
                    <w:t>2025 m. buvo įgyvendinti šie projektai:</w:t>
                  </w:r>
                </w:p>
                <w:sdt>
                  <w:sdtPr>
                    <w:alias w:val="1 p."/>
                    <w:tag w:val="part_49851ae30554439986ab9f1e53090a26"/>
                    <w:lock w:val="sdtLocked"/>
                    <w:richText/>
                  </w:sdtPr>
                  <w:sdtContent>
                    <w:p>
                      <w:pPr>
                        <w:suppressAutoHyphens/>
                        <w:ind w:firstLine="709"/>
                        <w:textAlignment w:val="baseline"/>
                        <w:rPr>
                          <w:szCs w:val="24"/>
                        </w:rPr>
                      </w:pPr>
                      <w:sdt>
                        <w:sdtPr>
                          <w:alias w:val="Numeris"/>
                          <w:tag w:val="nr_49851ae30554439986ab9f1e53090a26"/>
                          <w:lock w:val="sdtLocked"/>
                          <w:richText/>
                        </w:sdtPr>
                        <w:sdtContent>
                          <w:r>
                            <w:rPr>
                              <w:szCs w:val="24"/>
                            </w:rPr>
                            <w:t>1</w:t>
                          </w:r>
                        </w:sdtContent>
                      </w:sdt>
                      <w:r>
                        <w:rPr>
                          <w:szCs w:val="24"/>
                        </w:rPr>
                        <w:t>. Visuomenės sveikatos rėmimo spec. programos lėšomis finansuoti projektai: (</w:t>
                      </w:r>
                      <w:r>
                        <w:rPr>
                          <w:color w:val="000000"/>
                          <w:szCs w:val="24"/>
                          <w:lang w:eastAsia="lt-LT"/>
                        </w:rPr>
                        <w:t xml:space="preserve">Psichikos sveikatos stiprinimas: Emocinės sveikatos gerinimas“: gautos lėšos - 650 Eur, dalyvių sk. – 228; Visuomenės sveikatos stiprinimas ir ugdymas: menstruacijų higienos raštingumo didinimas“ : gautos lėšos - 4951,34 Eur, dalyvių sk. – 773, Nelaimingų atsitikimų ir traumų prevencija: Fizinio aktyvumo skatinimas siekiant stiprinti raumenis ir mažinti susižeidimų riziką: gautos lėšos - 1700 Eur, dalyvių sk. – 123, Nelaimingų atsitikimų ir traumų prevencija: Fizinio aktyvumo skatinimas siekiant stiprinti raumenis ir mažinti susižeidimų riziką (tęstinis): gautos lėšos - 2000 Eur, dalyvių sk. – 542, Neinfekcinių ligų profilaktika: Švietimo įstaigų virtuvės darbuotojų kvalifikacijos kėlimas sveikatai palankaus maisto gamybos užtikrinimui“: gautos lėšos - 691,34 Eur, dalyvių sk. – 31, Užkrečiamųjų ligų prevencija: tuberkuliozės prevencija: Radviliškio rajono gyventojų sergamumo tuberkulioze mažinimas ir profilaktikos gerinimas: gautos lėšos - 9000 Eur, panaudotos - </w:t>
                      </w:r>
                      <w:r>
                        <w:rPr>
                          <w:szCs w:val="24"/>
                          <w:lang w:eastAsia="lt-LT"/>
                        </w:rPr>
                        <w:t xml:space="preserve">5517,46 Eur, </w:t>
                      </w:r>
                      <w:r>
                        <w:rPr>
                          <w:color w:val="000000"/>
                          <w:szCs w:val="24"/>
                          <w:lang w:eastAsia="lt-LT"/>
                        </w:rPr>
                        <w:t>dalyvių sk. - 285.</w:t>
                      </w:r>
                    </w:p>
                  </w:sdtContent>
                </w:sdt>
                <w:sdt>
                  <w:sdtPr>
                    <w:alias w:val="2 p."/>
                    <w:tag w:val="part_9cabd633fc4448adb03bbc6cf4e211fa"/>
                    <w:lock w:val="sdtLocked"/>
                    <w:richText/>
                  </w:sdtPr>
                  <w:sdtContent>
                    <w:p>
                      <w:pPr>
                        <w:suppressAutoHyphens/>
                        <w:ind w:firstLine="709"/>
                        <w:textAlignment w:val="baseline"/>
                        <w:rPr>
                          <w:szCs w:val="24"/>
                        </w:rPr>
                      </w:pPr>
                      <w:sdt>
                        <w:sdtPr>
                          <w:alias w:val="Numeris"/>
                          <w:tag w:val="nr_9cabd633fc4448adb03bbc6cf4e211fa"/>
                          <w:lock w:val="sdtLocked"/>
                          <w:richText/>
                        </w:sdtPr>
                        <w:sdtContent>
                          <w:r>
                            <w:rPr>
                              <w:szCs w:val="24"/>
                            </w:rPr>
                            <w:t>2</w:t>
                          </w:r>
                        </w:sdtContent>
                      </w:sdt>
                      <w:r>
                        <w:rPr>
                          <w:szCs w:val="24"/>
                        </w:rPr>
                        <w:t xml:space="preserve">. </w:t>
                      </w:r>
                      <w:r>
                        <w:rPr>
                          <w:color w:val="000000"/>
                          <w:szCs w:val="24"/>
                          <w:lang w:eastAsia="lt-LT"/>
                        </w:rPr>
                        <w:t xml:space="preserve">Valstybės biudžeto lėšų naudojimo projektas: „Kompleksinių ir integruotų, mokslu pagrįstų visuomenės sveikatos paslaugų prieinamumo užtikrinimas, bazinių visuomenės sveikatos paslaugų tikslinėms grupėms teikimas“: gautos lėšos - 25340,48 Eur, panaudotos - </w:t>
                      </w:r>
                      <w:r>
                        <w:rPr>
                          <w:szCs w:val="24"/>
                          <w:lang w:eastAsia="lt-LT"/>
                        </w:rPr>
                        <w:t xml:space="preserve">25264,54, </w:t>
                      </w:r>
                      <w:r>
                        <w:rPr>
                          <w:color w:val="000000"/>
                          <w:szCs w:val="24"/>
                          <w:lang w:eastAsia="lt-LT"/>
                        </w:rPr>
                        <w:t>dalyvių sk. - 48.</w:t>
                      </w:r>
                    </w:p>
                  </w:sdtContent>
                </w:sdt>
                <w:sdt>
                  <w:sdtPr>
                    <w:alias w:val="3 p."/>
                    <w:tag w:val="part_3d69eeee09a8417b8c68dd5234a51dec"/>
                    <w:lock w:val="sdtLocked"/>
                    <w:richText/>
                  </w:sdtPr>
                  <w:sdtContent>
                    <w:p>
                      <w:pPr>
                        <w:ind w:firstLine="176"/>
                        <w:rPr>
                          <w:color w:val="000000"/>
                          <w:szCs w:val="24"/>
                          <w:lang w:eastAsia="lt-LT"/>
                        </w:rPr>
                      </w:pPr>
                      <w:sdt>
                        <w:sdtPr>
                          <w:alias w:val="Numeris"/>
                          <w:tag w:val="nr_3d69eeee09a8417b8c68dd5234a51dec"/>
                          <w:lock w:val="sdtLocked"/>
                          <w:richText/>
                        </w:sdtPr>
                        <w:sdtContent>
                          <w:r>
                            <w:rPr>
                              <w:color w:val="000000"/>
                              <w:szCs w:val="24"/>
                              <w:lang w:eastAsia="lt-LT"/>
                            </w:rPr>
                            <w:t>3</w:t>
                          </w:r>
                        </w:sdtContent>
                      </w:sdt>
                      <w:r>
                        <w:rPr>
                          <w:color w:val="000000"/>
                          <w:szCs w:val="24"/>
                          <w:lang w:eastAsia="lt-LT"/>
                        </w:rPr>
                        <w:t xml:space="preserve">. </w:t>
                      </w:r>
                      <w:r>
                        <w:rPr>
                          <w:szCs w:val="24"/>
                          <w:lang w:eastAsia="lt-LT"/>
                        </w:rPr>
                        <w:t>ES projektas „Kokybiškų visuomenės sveikatos paslaugų prieinamumo didinimas Radviliškio rajone“.</w:t>
                      </w:r>
                      <w:r>
                        <w:rPr>
                          <w:b/>
                          <w:szCs w:val="24"/>
                          <w:lang w:eastAsia="lt-LT"/>
                        </w:rPr>
                        <w:t xml:space="preserve"> </w:t>
                      </w:r>
                      <w:r>
                        <w:rPr>
                          <w:szCs w:val="24"/>
                          <w:lang w:eastAsia="lt-LT"/>
                        </w:rPr>
                        <w:t xml:space="preserve">Projekto įgyvendinimo laikotarpis: 2025-01-22 iki 2027-12-31d.  Siektina reikšmė: unikalių dalyvių skaičius - 2362. Lėšos - 305989,61 Eur  (ES - 260 091,16 Eur, Radviliškio r. savivaldybės - 45898,45 Eur). 2025 m. panaudota: 109398,32 Eur  (ES - 92988,58 Eur, Sav. - 16409,74 )(iki 2025.12.31), dalyvių skaičius -</w:t>
                      </w:r>
                      <w:r>
                        <w:rPr>
                          <w:color w:val="000000"/>
                          <w:szCs w:val="24"/>
                          <w:lang w:eastAsia="lt-LT"/>
                        </w:rPr>
                        <w:t xml:space="preserve"> 806 (+220 tikrinami)</w:t>
                      </w:r>
                      <w:r>
                        <w:rPr>
                          <w:szCs w:val="24"/>
                          <w:lang w:eastAsia="lt-LT"/>
                        </w:rPr>
                        <w:t xml:space="preserve"> (iki 2025.12.31)</w:t>
                      </w:r>
                      <w:r>
                        <w:rPr>
                          <w:color w:val="000000"/>
                          <w:szCs w:val="24"/>
                          <w:lang w:eastAsia="lt-LT"/>
                        </w:rPr>
                        <w:t>.</w:t>
                      </w:r>
                    </w:p>
                  </w:sdtContent>
                </w:sdt>
                <w:sdt>
                  <w:sdtPr>
                    <w:alias w:val="4 p."/>
                    <w:tag w:val="part_5cfd983ffbda4d91909b927fee34be9d"/>
                    <w:lock w:val="sdtLocked"/>
                    <w:richText/>
                  </w:sdtPr>
                  <w:sdtContent>
                    <w:p>
                      <w:pPr>
                        <w:ind w:firstLine="176"/>
                        <w:rPr>
                          <w:szCs w:val="24"/>
                        </w:rPr>
                      </w:pPr>
                      <w:sdt>
                        <w:sdtPr>
                          <w:alias w:val="Numeris"/>
                          <w:tag w:val="nr_5cfd983ffbda4d91909b927fee34be9d"/>
                          <w:lock w:val="sdtLocked"/>
                          <w:richText/>
                        </w:sdtPr>
                        <w:sdtContent>
                          <w:r>
                            <w:rPr>
                              <w:color w:val="000000"/>
                              <w:szCs w:val="24"/>
                              <w:lang w:eastAsia="lt-LT"/>
                            </w:rPr>
                            <w:t>4</w:t>
                          </w:r>
                        </w:sdtContent>
                      </w:sdt>
                      <w:r>
                        <w:rPr>
                          <w:color w:val="000000"/>
                          <w:szCs w:val="24"/>
                          <w:lang w:eastAsia="lt-LT"/>
                        </w:rPr>
                        <w:t xml:space="preserve">. ES </w:t>
                      </w:r>
                      <w:r>
                        <w:rPr>
                          <w:bCs/>
                          <w:szCs w:val="24"/>
                        </w:rPr>
                        <w:t>projektas „Švietimo pagalbos ir koordinuotai teikiamų paslaugų plėtra Radviliškio rajone“.</w:t>
                      </w:r>
                      <w:r>
                        <w:rPr>
                          <w:b/>
                          <w:bCs/>
                          <w:szCs w:val="24"/>
                        </w:rPr>
                        <w:t xml:space="preserve"> </w:t>
                      </w:r>
                      <w:r>
                        <w:rPr>
                          <w:szCs w:val="24"/>
                          <w:lang w:eastAsia="lt-LT"/>
                        </w:rPr>
                        <w:t xml:space="preserve">Projekto įgyvendinimo laikotarpis: 2025-12-05 iki </w:t>
                      </w:r>
                      <w:r>
                        <w:rPr>
                          <w:szCs w:val="24"/>
                        </w:rPr>
                        <w:t>2028-11-30. Gautos lėšos: sensorio kambario įrangos įsigijimui - 8459 Eur.</w:t>
                      </w:r>
                    </w:p>
                    <w:p>
                      <w:pPr>
                        <w:suppressAutoHyphens/>
                        <w:ind w:firstLine="720"/>
                        <w:textAlignment w:val="baseline"/>
                        <w:rPr>
                          <w:rFonts w:eastAsia="Calibri"/>
                          <w:b/>
                          <w:iCs/>
                          <w:szCs w:val="24"/>
                        </w:rPr>
                      </w:pPr>
                      <w:r>
                        <w:rPr>
                          <w:szCs w:val="24"/>
                        </w:rPr>
                        <w:t xml:space="preserve">Pagrindinis Biuro finansavimo šaltinis yra Valstybės biudžeto specialioji tikslinė dotacija, skiriama Sveikatos apsaugos ministerijos kuruojamoms valstybinėms (valstybės perduotoms savivaldybėms) visuomenės sveikatos priežiūros funkcijoms vykdyti. Vadovaujantis Lietuvos Respublikos sveikatos apsaugos ministro  2024 m. gruodžio 31 d. įsakymu Nr. V-1395 „Dėl 2025 m. skiriamos specialios tikslinės dotacijos Sveikatos apsaugos ministerijos kuruojamoms valstybinėms (valstybės perduotoms savivaldybėms) visuomenės sveikatos priežiūros funkcijoms vykdyti savivaldybėms sąrašo patvirtinimo“ 2025 m. Radviliškio rajono savivaldybei buvo skirta 401010,00 Eur (11740,00 Eur mažiau nei 2024 metais).</w:t>
                      </w:r>
                    </w:p>
                    <w:p>
                      <w:pPr>
                        <w:suppressAutoHyphens/>
                        <w:ind w:firstLine="720"/>
                        <w:textAlignment w:val="baseline"/>
                        <w:rPr>
                          <w:szCs w:val="24"/>
                        </w:rPr>
                      </w:pPr>
                      <w:r>
                        <w:rPr>
                          <w:szCs w:val="24"/>
                        </w:rPr>
                        <w:t xml:space="preserve">Radviliškio rajono savivaldybės tarybos </w:t>
                      </w:r>
                      <w:r>
                        <w:rPr>
                          <w:szCs w:val="24"/>
                          <w:lang w:eastAsia="lt-LT"/>
                        </w:rPr>
                        <w:t>2022 m. gruodžio 22 d. sprendimu Nr. T-865 „Dėl R</w:t>
                      </w:r>
                      <w:r>
                        <w:rPr>
                          <w:bCs/>
                          <w:szCs w:val="24"/>
                        </w:rPr>
                        <w:t>adviliškio rajono visuomenės sveikatos biuro didžiausio leistino etatų skaičiaus patvirtinimo“</w:t>
                      </w:r>
                      <w:r>
                        <w:rPr>
                          <w:szCs w:val="24"/>
                        </w:rPr>
                        <w:t xml:space="preserve"> nustatytas Biuro didžiausias leistinas etatų skaičių - 23,25. Per ataskaitinį laikotarpį vidutiniškai Biure dirbo 26 darbuotojai.</w:t>
                      </w:r>
                    </w:p>
                    <w:p>
                      <w:pPr>
                        <w:suppressAutoHyphens/>
                        <w:ind w:firstLine="720"/>
                        <w:textAlignment w:val="baseline"/>
                        <w:rPr>
                          <w:szCs w:val="24"/>
                        </w:rPr>
                        <w:sectPr>
                          <w:type w:val="nextColumn"/>
                          <w:pgSz w:w="11907" w:h="16840" w:code="9"/>
                          <w:pgMar w:top="1134" w:right="567" w:bottom="1134" w:left="1701" w:header="567" w:footer="567" w:gutter="0"/>
                          <w:pgNumType w:start="1"/>
                          <w:cols w:space="1296"/>
                          <w:formProt w:val="0"/>
                          <w:titlePg/>
                          <w:docGrid w:linePitch="326"/>
                        </w:sectPr>
                      </w:pPr>
                    </w:p>
                    <w:p>
                      <w:pPr>
                        <w:suppressAutoHyphens/>
                        <w:ind w:firstLine="567"/>
                        <w:textAlignment w:val="baseline"/>
                        <w:rPr>
                          <w:szCs w:val="24"/>
                        </w:rPr>
                      </w:pPr>
                      <w:r>
                        <w:rPr>
                          <w:szCs w:val="24"/>
                        </w:rPr>
                        <w:t xml:space="preserve">Užimtų etatų skaičius pagal Biure patvirtintas pareigybes detalizuojamas 1 lentelėje. </w:t>
                      </w:r>
                    </w:p>
                    <w:p>
                      <w:pPr>
                        <w:suppressAutoHyphens/>
                        <w:textAlignment w:val="baseline"/>
                        <w:rPr>
                          <w:i/>
                          <w:szCs w:val="24"/>
                        </w:rPr>
                      </w:pPr>
                    </w:p>
                    <w:p>
                      <w:pPr>
                        <w:suppressAutoHyphens/>
                        <w:spacing w:line="276" w:lineRule="auto"/>
                        <w:textAlignment w:val="baseline"/>
                        <w:rPr>
                          <w:i/>
                          <w:szCs w:val="24"/>
                        </w:rPr>
                      </w:pPr>
                      <w:r>
                        <w:rPr>
                          <w:b/>
                          <w:i/>
                          <w:szCs w:val="24"/>
                        </w:rPr>
                        <w:t>1 lentelė.</w:t>
                      </w:r>
                      <w:r>
                        <w:rPr>
                          <w:i/>
                          <w:szCs w:val="24"/>
                        </w:rPr>
                        <w:t xml:space="preserve"> Informacija apie 2022-2024 m. Biure užimtus etatus pagal patvirtintas pareigybes</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2"/>
                        <w:gridCol w:w="1276"/>
                        <w:gridCol w:w="1134"/>
                        <w:gridCol w:w="1128"/>
                      </w:tblGrid>
                      <w:tr>
                        <w:trPr>
                          <w:trHeight w:val="209"/>
                        </w:trPr>
                        <w:tc>
                          <w:tcPr>
                            <w:tcW w:w="6062" w:type="dxa"/>
                            <w:vMerge w:val="restart"/>
                            <w:tcBorders>
                              <w:top w:val="single" w:sz="4" w:space="0" w:color="auto"/>
                              <w:left w:val="single" w:sz="4" w:space="0" w:color="auto"/>
                              <w:bottom w:val="single" w:sz="4" w:space="0" w:color="auto"/>
                              <w:right w:val="single" w:sz="4" w:space="0" w:color="auto"/>
                            </w:tcBorders>
                            <w:shd w:val="clear" w:color="auto" w:fill="45B0E1" w:themeFill="accent1" w:themeFillTint="99"/>
                            <w:noWrap/>
                            <w:vAlign w:val="center"/>
                            <w:hideMark/>
                          </w:tcPr>
                          <w:p>
                            <w:pPr>
                              <w:rPr>
                                <w:b/>
                                <w:bCs/>
                                <w:iCs/>
                                <w:szCs w:val="24"/>
                              </w:rPr>
                            </w:pPr>
                            <w:r>
                              <w:rPr>
                                <w:b/>
                                <w:iCs/>
                                <w:szCs w:val="24"/>
                              </w:rPr>
                              <w:t>Pareigybė</w:t>
                            </w:r>
                          </w:p>
                        </w:tc>
                        <w:tc>
                          <w:tcPr>
                            <w:tcW w:w="3538" w:type="dxa"/>
                            <w:gridSpan w:val="3"/>
                            <w:tcBorders>
                              <w:top w:val="single" w:sz="4" w:space="0" w:color="auto"/>
                              <w:left w:val="single" w:sz="4" w:space="0" w:color="auto"/>
                              <w:bottom w:val="single" w:sz="4" w:space="0" w:color="auto"/>
                              <w:right w:val="single" w:sz="4" w:space="0" w:color="auto"/>
                            </w:tcBorders>
                            <w:shd w:val="clear" w:color="auto" w:fill="45B0E1" w:themeFill="accent1" w:themeFillTint="99"/>
                            <w:noWrap/>
                            <w:hideMark/>
                          </w:tcPr>
                          <w:p>
                            <w:pPr>
                              <w:rPr>
                                <w:b/>
                                <w:iCs/>
                                <w:szCs w:val="24"/>
                              </w:rPr>
                            </w:pPr>
                            <w:r>
                              <w:rPr>
                                <w:b/>
                                <w:iCs/>
                                <w:szCs w:val="24"/>
                              </w:rPr>
                              <w:t>Etatų skaičius/darbuotojų skaičius</w:t>
                            </w:r>
                          </w:p>
                        </w:tc>
                      </w:tr>
                      <w:tr>
                        <w:trPr>
                          <w:trHeight w:val="164"/>
                        </w:trPr>
                        <w:tc>
                          <w:tcPr>
                            <w:tcW w:w="9600" w:type="dxa"/>
                            <w:vMerge/>
                            <w:tcBorders>
                              <w:top w:val="single" w:sz="4" w:space="0" w:color="auto"/>
                              <w:left w:val="single" w:sz="4" w:space="0" w:color="auto"/>
                              <w:bottom w:val="single" w:sz="4" w:space="0" w:color="auto"/>
                              <w:right w:val="single" w:sz="4" w:space="0" w:color="auto"/>
                            </w:tcBorders>
                            <w:vAlign w:val="center"/>
                            <w:hideMark/>
                          </w:tcPr>
                          <w:p>
                            <w:pPr>
                              <w:rPr>
                                <w:b/>
                                <w:bCs/>
                                <w:iCs/>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45B0E1" w:themeFill="accent1" w:themeFillTint="99"/>
                            <w:hideMark/>
                          </w:tcPr>
                          <w:p>
                            <w:pPr>
                              <w:rPr>
                                <w:b/>
                                <w:bCs/>
                                <w:szCs w:val="24"/>
                              </w:rPr>
                            </w:pPr>
                            <w:r>
                              <w:rPr>
                                <w:b/>
                                <w:bCs/>
                                <w:szCs w:val="24"/>
                              </w:rPr>
                              <w:t>2022 m.</w:t>
                            </w:r>
                          </w:p>
                        </w:tc>
                        <w:tc>
                          <w:tcPr>
                            <w:tcW w:w="1134" w:type="dxa"/>
                            <w:tcBorders>
                              <w:top w:val="single" w:sz="4" w:space="0" w:color="auto"/>
                              <w:left w:val="single" w:sz="4" w:space="0" w:color="auto"/>
                              <w:bottom w:val="single" w:sz="4" w:space="0" w:color="auto"/>
                              <w:right w:val="single" w:sz="4" w:space="0" w:color="auto"/>
                            </w:tcBorders>
                            <w:shd w:val="clear" w:color="auto" w:fill="45B0E1" w:themeFill="accent1" w:themeFillTint="99"/>
                            <w:hideMark/>
                          </w:tcPr>
                          <w:p>
                            <w:pPr>
                              <w:rPr>
                                <w:b/>
                                <w:bCs/>
                                <w:szCs w:val="24"/>
                              </w:rPr>
                            </w:pPr>
                            <w:r>
                              <w:rPr>
                                <w:b/>
                                <w:bCs/>
                                <w:szCs w:val="24"/>
                              </w:rPr>
                              <w:t>2023 m.</w:t>
                            </w:r>
                          </w:p>
                        </w:tc>
                        <w:tc>
                          <w:tcPr>
                            <w:tcW w:w="1128" w:type="dxa"/>
                            <w:tcBorders>
                              <w:top w:val="single" w:sz="4" w:space="0" w:color="auto"/>
                              <w:left w:val="single" w:sz="4" w:space="0" w:color="auto"/>
                              <w:bottom w:val="single" w:sz="4" w:space="0" w:color="auto"/>
                              <w:right w:val="single" w:sz="4" w:space="0" w:color="auto"/>
                            </w:tcBorders>
                            <w:shd w:val="clear" w:color="auto" w:fill="45B0E1" w:themeFill="accent1" w:themeFillTint="99"/>
                            <w:hideMark/>
                          </w:tcPr>
                          <w:p>
                            <w:pPr>
                              <w:rPr>
                                <w:b/>
                                <w:bCs/>
                                <w:color w:val="FF0000"/>
                                <w:szCs w:val="24"/>
                              </w:rPr>
                            </w:pPr>
                            <w:r>
                              <w:rPr>
                                <w:b/>
                                <w:bCs/>
                                <w:szCs w:val="24"/>
                              </w:rPr>
                              <w:t>2024 m.</w:t>
                            </w:r>
                          </w:p>
                        </w:tc>
                      </w:tr>
                      <w:tr>
                        <w:trPr>
                          <w:trHeight w:val="231"/>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b/>
                                <w:szCs w:val="24"/>
                              </w:rPr>
                            </w:pPr>
                            <w:r>
                              <w:rPr>
                                <w:szCs w:val="24"/>
                              </w:rPr>
                              <w:t>Didžiausias leistinas pareigybių skaičius</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20,75</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23,25</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23,25</w:t>
                            </w:r>
                          </w:p>
                        </w:tc>
                      </w:tr>
                      <w:tr>
                        <w:trPr>
                          <w:trHeight w:val="250"/>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b/>
                                <w:bCs/>
                                <w:szCs w:val="24"/>
                              </w:rPr>
                            </w:pPr>
                            <w:r>
                              <w:rPr>
                                <w:szCs w:val="24"/>
                              </w:rPr>
                              <w:t>Pareigybių skaičius etatais/apdraustų asmenų skaičius</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20,55/26</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19,1/24</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21,1/23</w:t>
                            </w:r>
                          </w:p>
                        </w:tc>
                      </w:tr>
                      <w:tr>
                        <w:trPr>
                          <w:trHeight w:val="139"/>
                        </w:trPr>
                        <w:tc>
                          <w:tcPr>
                            <w:tcW w:w="9600" w:type="dxa"/>
                            <w:gridSpan w:val="4"/>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Pareigybių skaičius etatais/darbuotojų vykdančių funkcijas skaičius:</w:t>
                            </w:r>
                          </w:p>
                        </w:tc>
                      </w:tr>
                      <w:tr>
                        <w:trPr>
                          <w:trHeight w:val="70"/>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b/>
                                <w:bCs/>
                                <w:szCs w:val="24"/>
                              </w:rPr>
                            </w:pPr>
                            <w:r>
                              <w:rPr>
                                <w:szCs w:val="24"/>
                              </w:rPr>
                              <w:t>1.1. Administracija (direktorius, finansininkas, specialistas referentas, spec. ūkio reikalams, viešųjų pirkimų specialistas, dietistas/mitybos specialistas, specialistas (projektų koordinatorius)</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iCs/>
                                <w:szCs w:val="24"/>
                              </w:rPr>
                              <w:t>3,75/5</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iCs/>
                                <w:szCs w:val="24"/>
                              </w:rPr>
                              <w:t>3/4</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4,8/5</w:t>
                            </w:r>
                          </w:p>
                        </w:tc>
                      </w:tr>
                      <w:tr>
                        <w:trPr>
                          <w:trHeight w:val="555"/>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1.2. Visuomenės sveikatos specialistai (stiprinimo /stebėsenos/vaikų ir jaunimo specialistai)</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iCs/>
                                <w:szCs w:val="24"/>
                              </w:rPr>
                              <w:t>4,7/6</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4,4/6</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4,4/5</w:t>
                            </w:r>
                          </w:p>
                        </w:tc>
                      </w:tr>
                      <w:tr>
                        <w:trPr>
                          <w:trHeight w:val="505"/>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b/>
                                <w:bCs/>
                                <w:szCs w:val="24"/>
                              </w:rPr>
                            </w:pPr>
                            <w:r>
                              <w:rPr>
                                <w:szCs w:val="24"/>
                              </w:rPr>
                              <w:t xml:space="preserve">1.3. Visuomenės sveikatos  specialistai, teikiantys paslaugas mokyklose ir ikimokyklinėse ugdymo įstaigose</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iCs/>
                                <w:szCs w:val="24"/>
                              </w:rPr>
                              <w:t>11,10/13</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10,7/12</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10,4/11</w:t>
                            </w:r>
                          </w:p>
                        </w:tc>
                      </w:tr>
                      <w:tr>
                        <w:trPr>
                          <w:trHeight w:val="274"/>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1.4. Psichologas</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1/1</w:t>
                            </w:r>
                          </w:p>
                        </w:tc>
                      </w:tr>
                      <w:tr>
                        <w:trPr>
                          <w:trHeight w:val="174"/>
                        </w:trPr>
                        <w:tc>
                          <w:tcPr>
                            <w:tcW w:w="6062"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szCs w:val="24"/>
                              </w:rPr>
                              <w:t>1.5. Kitas personalas (valytoja, vairuotojas)</w:t>
                            </w:r>
                          </w:p>
                        </w:tc>
                        <w:tc>
                          <w:tcPr>
                            <w:tcW w:w="1276"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szCs w:val="24"/>
                              </w:rPr>
                            </w:pPr>
                            <w:r>
                              <w:rPr>
                                <w:iCs/>
                                <w:szCs w:val="24"/>
                              </w:rPr>
                              <w:t>1/2</w:t>
                            </w:r>
                          </w:p>
                        </w:tc>
                        <w:tc>
                          <w:tcPr>
                            <w:tcW w:w="1134"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1/2</w:t>
                            </w:r>
                          </w:p>
                        </w:tc>
                        <w:tc>
                          <w:tcPr>
                            <w:tcW w:w="1128" w:type="dxa"/>
                            <w:tcBorders>
                              <w:top w:val="single" w:sz="4" w:space="0" w:color="auto"/>
                              <w:left w:val="single" w:sz="4" w:space="0" w:color="auto"/>
                              <w:bottom w:val="single" w:sz="4" w:space="0" w:color="auto"/>
                              <w:right w:val="single" w:sz="4" w:space="0" w:color="auto"/>
                            </w:tcBorders>
                            <w:shd w:val="clear" w:color="auto" w:fill="C1E4F5" w:themeFill="accent1" w:themeFillTint="33"/>
                            <w:hideMark/>
                          </w:tcPr>
                          <w:p>
                            <w:pPr>
                              <w:rPr>
                                <w:iCs/>
                                <w:szCs w:val="24"/>
                              </w:rPr>
                            </w:pPr>
                            <w:r>
                              <w:rPr>
                                <w:iCs/>
                                <w:szCs w:val="24"/>
                              </w:rPr>
                              <w:t>0,5/1</w:t>
                            </w:r>
                          </w:p>
                        </w:tc>
                      </w:tr>
                    </w:tbl>
                    <w:p>
                      <w:pPr>
                        <w:spacing w:line="276" w:lineRule="auto"/>
                        <w:rPr>
                          <w:szCs w:val="24"/>
                        </w:rPr>
                        <w:sectPr>
                          <w:type w:val="nextColumn"/>
                          <w:pgSz w:w="11907" w:h="16840"/>
                          <w:pgMar w:top="1134" w:right="567" w:bottom="1134" w:left="1701" w:header="567" w:footer="567" w:gutter="0"/>
                          <w:pgNumType w:start="1"/>
                          <w:cols w:space="1296"/>
                          <w:formProt w:val="0"/>
                        </w:sectPr>
                      </w:pPr>
                    </w:p>
                    <w:p>
                      <w:pPr>
                        <w:tabs>
                          <w:tab w:val="center" w:pos="4819"/>
                          <w:tab w:val="right" w:pos="9638"/>
                        </w:tabs>
                      </w:pPr>
                    </w:p>
                  </w:sdtContent>
                </w:sdt>
              </w:sdtContent>
            </w:sdt>
            <w:sdt>
              <w:sdtPr>
                <w:alias w:val="poskyris"/>
                <w:tag w:val="part_05795e2da945441e8b458817896cd398"/>
                <w:lock w:val="sdtLocked"/>
                <w:richText/>
              </w:sdtPr>
              <w:sdtContent>
                <w:p>
                  <w:pPr>
                    <w:suppressAutoHyphens/>
                    <w:textAlignment w:val="baseline"/>
                    <w:rPr>
                      <w:b/>
                      <w:szCs w:val="24"/>
                    </w:rPr>
                  </w:pPr>
                  <w:sdt>
                    <w:sdtPr>
                      <w:alias w:val="Pavadinimas"/>
                      <w:tag w:val="title_05795e2da945441e8b458817896cd398"/>
                      <w:lock w:val="sdtLocked"/>
                      <w:richText/>
                    </w:sdtPr>
                    <w:sdtContent>
                      <w:r>
                        <w:rPr>
                          <w:b/>
                          <w:szCs w:val="24"/>
                        </w:rPr>
                        <w:t>Veiklos tikslų įgyvendinimas</w:t>
                      </w:r>
                    </w:sdtContent>
                  </w:sdt>
                </w:p>
                <w:p>
                  <w:pPr>
                    <w:tabs>
                      <w:tab w:val="left" w:pos="993"/>
                    </w:tabs>
                    <w:suppressAutoHyphens/>
                    <w:spacing w:line="276" w:lineRule="auto"/>
                    <w:ind w:left="709"/>
                    <w:textAlignment w:val="baseline"/>
                    <w:rPr>
                      <w:rFonts w:eastAsia="Calibri"/>
                      <w:b/>
                      <w:bCs/>
                      <w:i/>
                      <w:color w:val="808080"/>
                      <w:szCs w:val="24"/>
                    </w:rPr>
                  </w:pPr>
                </w:p>
                <w:p>
                  <w:pPr>
                    <w:ind w:hanging="284"/>
                    <w:rPr>
                      <w:bCs/>
                      <w:i/>
                      <w:color w:val="808080"/>
                      <w:szCs w:val="24"/>
                    </w:rPr>
                  </w:pPr>
                  <w:r>
                    <w:rPr>
                      <w:b/>
                      <w:i/>
                      <w:szCs w:val="24"/>
                    </w:rPr>
                    <w:t>2 lentelė.</w:t>
                  </w:r>
                  <w:r>
                    <w:rPr>
                      <w:i/>
                      <w:szCs w:val="24"/>
                    </w:rPr>
                    <w:t xml:space="preserve"> </w:t>
                  </w:r>
                  <w:r>
                    <w:rPr>
                      <w:bCs/>
                      <w:i/>
                      <w:szCs w:val="24"/>
                    </w:rPr>
                    <w:t>veiklos tikslų įgyvendinimo rodikliai</w:t>
                  </w:r>
                </w:p>
                <w:tbl>
                  <w:tblPr>
                    <w:tblW w:w="1003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8"/>
                    <w:gridCol w:w="1276"/>
                    <w:gridCol w:w="992"/>
                    <w:gridCol w:w="3260"/>
                  </w:tblGrid>
                  <w:tr>
                    <w:trPr>
                      <w:trHeight w:val="424"/>
                    </w:trPr>
                    <w:tc>
                      <w:tcPr>
                        <w:tcW w:w="4508" w:type="dxa"/>
                        <w:shd w:val="clear" w:color="auto" w:fill="DBE5F1"/>
                        <w:vAlign w:val="center"/>
                      </w:tcPr>
                      <w:p>
                        <w:pPr>
                          <w:rPr>
                            <w:b/>
                            <w:color w:val="000000"/>
                            <w:szCs w:val="24"/>
                          </w:rPr>
                        </w:pPr>
                        <w:r>
                          <w:rPr>
                            <w:b/>
                            <w:color w:val="000000"/>
                            <w:szCs w:val="24"/>
                          </w:rPr>
                          <w:t>Priemonės ir (arba) rodiklio pavadinimas</w:t>
                        </w:r>
                      </w:p>
                    </w:tc>
                    <w:tc>
                      <w:tcPr>
                        <w:tcW w:w="1276" w:type="dxa"/>
                        <w:shd w:val="clear" w:color="auto" w:fill="DBE5F1"/>
                        <w:vAlign w:val="center"/>
                      </w:tcPr>
                      <w:p>
                        <w:pPr>
                          <w:rPr>
                            <w:b/>
                            <w:color w:val="000000"/>
                            <w:szCs w:val="24"/>
                          </w:rPr>
                        </w:pPr>
                        <w:r>
                          <w:rPr>
                            <w:b/>
                            <w:color w:val="000000"/>
                            <w:szCs w:val="24"/>
                          </w:rPr>
                          <w:t xml:space="preserve">Planuota reikšmė, matavimo vienetas </w:t>
                        </w:r>
                      </w:p>
                    </w:tc>
                    <w:tc>
                      <w:tcPr>
                        <w:tcW w:w="992" w:type="dxa"/>
                        <w:shd w:val="clear" w:color="auto" w:fill="DBE5F1"/>
                        <w:vAlign w:val="center"/>
                      </w:tcPr>
                      <w:p>
                        <w:pPr>
                          <w:rPr>
                            <w:b/>
                            <w:color w:val="000000"/>
                            <w:szCs w:val="24"/>
                          </w:rPr>
                        </w:pPr>
                        <w:r>
                          <w:rPr>
                            <w:b/>
                            <w:i/>
                            <w:iCs/>
                            <w:color w:val="000000"/>
                            <w:szCs w:val="24"/>
                          </w:rPr>
                          <w:t>2025 m.*</w:t>
                        </w:r>
                      </w:p>
                    </w:tc>
                    <w:tc>
                      <w:tcPr>
                        <w:tcW w:w="3260" w:type="dxa"/>
                        <w:shd w:val="clear" w:color="auto" w:fill="DBE5F1"/>
                      </w:tcPr>
                      <w:p>
                        <w:pPr>
                          <w:rPr>
                            <w:b/>
                            <w:color w:val="000000"/>
                            <w:szCs w:val="24"/>
                          </w:rPr>
                        </w:pPr>
                        <w:r>
                          <w:rPr>
                            <w:b/>
                            <w:color w:val="000000"/>
                            <w:szCs w:val="24"/>
                          </w:rPr>
                          <w:t>Komentaras*</w:t>
                        </w:r>
                      </w:p>
                    </w:tc>
                  </w:tr>
                  <w:tr>
                    <w:trPr>
                      <w:trHeight w:val="108"/>
                    </w:trPr>
                    <w:tc>
                      <w:tcPr>
                        <w:tcW w:w="4508" w:type="dxa"/>
                        <w:shd w:val="clear" w:color="auto" w:fill="DBE5F1"/>
                      </w:tcPr>
                      <w:p>
                        <w:pPr>
                          <w:rPr>
                            <w:color w:val="000000"/>
                            <w:szCs w:val="24"/>
                          </w:rPr>
                        </w:pPr>
                        <w:r>
                          <w:rPr>
                            <w:color w:val="000000"/>
                            <w:szCs w:val="24"/>
                          </w:rPr>
                          <w:t>1</w:t>
                        </w:r>
                      </w:p>
                    </w:tc>
                    <w:tc>
                      <w:tcPr>
                        <w:tcW w:w="1276" w:type="dxa"/>
                        <w:shd w:val="clear" w:color="auto" w:fill="DBE5F1"/>
                      </w:tcPr>
                      <w:p>
                        <w:pPr>
                          <w:rPr>
                            <w:color w:val="000000"/>
                            <w:szCs w:val="24"/>
                          </w:rPr>
                        </w:pPr>
                        <w:r>
                          <w:rPr>
                            <w:color w:val="000000"/>
                            <w:szCs w:val="24"/>
                          </w:rPr>
                          <w:t>2</w:t>
                        </w:r>
                      </w:p>
                    </w:tc>
                    <w:tc>
                      <w:tcPr>
                        <w:tcW w:w="992" w:type="dxa"/>
                        <w:shd w:val="clear" w:color="auto" w:fill="DBE5F1"/>
                      </w:tcPr>
                      <w:p>
                        <w:pPr>
                          <w:rPr>
                            <w:color w:val="000000"/>
                            <w:szCs w:val="24"/>
                          </w:rPr>
                        </w:pPr>
                        <w:r>
                          <w:rPr>
                            <w:color w:val="000000"/>
                            <w:szCs w:val="24"/>
                          </w:rPr>
                          <w:t>3</w:t>
                        </w:r>
                      </w:p>
                    </w:tc>
                    <w:tc>
                      <w:tcPr>
                        <w:tcW w:w="3260" w:type="dxa"/>
                        <w:shd w:val="clear" w:color="auto" w:fill="DBE5F1"/>
                      </w:tcPr>
                      <w:p>
                        <w:pPr>
                          <w:rPr>
                            <w:color w:val="000000"/>
                            <w:szCs w:val="24"/>
                          </w:rPr>
                        </w:pPr>
                        <w:r>
                          <w:rPr>
                            <w:color w:val="000000"/>
                            <w:szCs w:val="24"/>
                          </w:rPr>
                          <w:t>4</w:t>
                        </w:r>
                      </w:p>
                    </w:tc>
                  </w:tr>
                  <w:tr>
                    <w:trPr>
                      <w:trHeight w:val="108"/>
                    </w:trPr>
                    <w:tc>
                      <w:tcPr>
                        <w:tcW w:w="10036" w:type="dxa"/>
                        <w:gridSpan w:val="4"/>
                      </w:tcPr>
                      <w:p>
                        <w:pPr>
                          <w:rPr>
                            <w:color w:val="000000"/>
                            <w:szCs w:val="24"/>
                          </w:rPr>
                        </w:pPr>
                        <w:r>
                          <w:rPr>
                            <w:color w:val="000000"/>
                            <w:szCs w:val="24"/>
                          </w:rPr>
                          <w:t xml:space="preserve">1. Tikslas: </w:t>
                        </w:r>
                        <w:r>
                          <w:rPr>
                            <w:szCs w:val="24"/>
                          </w:rPr>
                          <w:t xml:space="preserve">Didinti gyventojų socialinę gerovę ir įtrauktį, stiprinti sveikatą ir gerinti Lietuvos demografinę padėtį. </w:t>
                        </w:r>
                      </w:p>
                    </w:tc>
                  </w:tr>
                  <w:tr>
                    <w:trPr>
                      <w:trHeight w:val="108"/>
                    </w:trPr>
                    <w:tc>
                      <w:tcPr>
                        <w:tcW w:w="10036" w:type="dxa"/>
                        <w:gridSpan w:val="4"/>
                      </w:tcPr>
                      <w:p>
                        <w:pPr>
                          <w:rPr>
                            <w:color w:val="000000"/>
                            <w:szCs w:val="24"/>
                          </w:rPr>
                        </w:pPr>
                        <w:r>
                          <w:rPr>
                            <w:color w:val="000000"/>
                            <w:szCs w:val="24"/>
                          </w:rPr>
                          <w:t xml:space="preserve">1.1. Uždavinys: </w:t>
                        </w:r>
                        <w:r>
                          <w:rPr>
                            <w:szCs w:val="24"/>
                          </w:rPr>
                          <w:t xml:space="preserve">Skatinti sveikatos išsaugojimo ir stiprinimo veiklas ir stiprinti psichologinį (emocinį) visuomenės atsparumą. </w:t>
                        </w:r>
                      </w:p>
                    </w:tc>
                  </w:tr>
                  <w:tr>
                    <w:trPr>
                      <w:trHeight w:val="108"/>
                    </w:trPr>
                    <w:tc>
                      <w:tcPr>
                        <w:tcW w:w="10036" w:type="dxa"/>
                        <w:gridSpan w:val="4"/>
                      </w:tcPr>
                      <w:p>
                        <w:pPr>
                          <w:rPr>
                            <w:b/>
                            <w:color w:val="000000"/>
                            <w:szCs w:val="24"/>
                          </w:rPr>
                        </w:pPr>
                        <w:r>
                          <w:rPr>
                            <w:b/>
                            <w:color w:val="000000"/>
                            <w:szCs w:val="24"/>
                          </w:rPr>
                          <w:t xml:space="preserve">1.2. </w:t>
                        </w:r>
                        <w:r>
                          <w:rPr>
                            <w:b/>
                            <w:szCs w:val="24"/>
                          </w:rPr>
                          <w:t xml:space="preserve">Psichikos sveikatos stiprinimas. </w:t>
                        </w:r>
                      </w:p>
                    </w:tc>
                  </w:tr>
                  <w:tr>
                    <w:trPr>
                      <w:trHeight w:val="559"/>
                    </w:trPr>
                    <w:tc>
                      <w:tcPr>
                        <w:tcW w:w="4508" w:type="dxa"/>
                      </w:tcPr>
                      <w:p>
                        <w:pPr>
                          <w:rPr>
                            <w:bCs/>
                            <w:i/>
                            <w:iCs/>
                            <w:color w:val="808080"/>
                            <w:szCs w:val="24"/>
                          </w:rPr>
                        </w:pPr>
                        <w:r>
                          <w:rPr>
                            <w:szCs w:val="24"/>
                            <w:shd w:val="clear" w:color="auto" w:fill="FFFFFF"/>
                          </w:rPr>
                          <w:t>1.2.1. Ankstyvosios</w:t>
                        </w:r>
                        <w:r>
                          <w:rPr>
                            <w:szCs w:val="24"/>
                          </w:rPr>
                          <w:t xml:space="preserve"> </w:t>
                        </w:r>
                        <w:r>
                          <w:rPr>
                            <w:szCs w:val="24"/>
                            <w:shd w:val="clear" w:color="auto" w:fill="FFFFFF"/>
                          </w:rPr>
                          <w:t>intervencijos, skirtos</w:t>
                        </w:r>
                        <w:r>
                          <w:rPr>
                            <w:szCs w:val="24"/>
                          </w:rPr>
                          <w:t xml:space="preserve"> </w:t>
                        </w:r>
                        <w:r>
                          <w:rPr>
                            <w:szCs w:val="24"/>
                            <w:shd w:val="clear" w:color="auto" w:fill="FFFFFF"/>
                          </w:rPr>
                          <w:t>nereguliariai</w:t>
                        </w:r>
                        <w:r>
                          <w:rPr>
                            <w:szCs w:val="24"/>
                          </w:rPr>
                          <w:t xml:space="preserve"> </w:t>
                        </w:r>
                        <w:r>
                          <w:rPr>
                            <w:szCs w:val="24"/>
                            <w:shd w:val="clear" w:color="auto" w:fill="FFFFFF"/>
                          </w:rPr>
                          <w:t>vartojantiems</w:t>
                        </w:r>
                        <w:r>
                          <w:rPr>
                            <w:szCs w:val="24"/>
                          </w:rPr>
                          <w:t xml:space="preserve"> </w:t>
                        </w:r>
                        <w:r>
                          <w:rPr>
                            <w:szCs w:val="24"/>
                            <w:shd w:val="clear" w:color="auto" w:fill="FFFFFF"/>
                          </w:rPr>
                          <w:t>psichoaktyviąsias</w:t>
                        </w:r>
                        <w:r>
                          <w:rPr>
                            <w:szCs w:val="24"/>
                          </w:rPr>
                          <w:t xml:space="preserve"> </w:t>
                        </w:r>
                        <w:r>
                          <w:rPr>
                            <w:szCs w:val="24"/>
                            <w:shd w:val="clear" w:color="auto" w:fill="FFFFFF"/>
                          </w:rPr>
                          <w:t>medžiagas ar</w:t>
                        </w:r>
                        <w:r>
                          <w:rPr>
                            <w:szCs w:val="24"/>
                          </w:rPr>
                          <w:t xml:space="preserve"> </w:t>
                        </w:r>
                        <w:r>
                          <w:rPr>
                            <w:szCs w:val="24"/>
                            <w:shd w:val="clear" w:color="auto" w:fill="FFFFFF"/>
                          </w:rPr>
                          <w:t>eksperimentuojantiems jomis jaunuoliams, vykdymas. Asmenų, baigusių programą, skaičius/dalis.</w:t>
                        </w:r>
                      </w:p>
                    </w:tc>
                    <w:tc>
                      <w:tcPr>
                        <w:tcW w:w="1276" w:type="dxa"/>
                      </w:tcPr>
                      <w:p>
                        <w:pPr>
                          <w:rPr>
                            <w:color w:val="808080"/>
                            <w:szCs w:val="24"/>
                            <w:highlight w:val="yellow"/>
                          </w:rPr>
                        </w:pPr>
                        <w:r>
                          <w:rPr>
                            <w:szCs w:val="24"/>
                          </w:rPr>
                          <w:t>29/80</w:t>
                        </w:r>
                      </w:p>
                    </w:tc>
                    <w:tc>
                      <w:tcPr>
                        <w:tcW w:w="992" w:type="dxa"/>
                      </w:tcPr>
                      <w:p>
                        <w:pPr>
                          <w:rPr>
                            <w:szCs w:val="24"/>
                          </w:rPr>
                        </w:pPr>
                        <w:r>
                          <w:rPr>
                            <w:szCs w:val="24"/>
                          </w:rPr>
                          <w:t>41/141</w:t>
                        </w:r>
                      </w:p>
                    </w:tc>
                    <w:tc>
                      <w:tcPr>
                        <w:tcW w:w="3260" w:type="dxa"/>
                      </w:tcPr>
                      <w:p>
                        <w:pPr>
                          <w:rPr>
                            <w:szCs w:val="24"/>
                          </w:rPr>
                        </w:pPr>
                        <w:r>
                          <w:rPr>
                            <w:szCs w:val="24"/>
                          </w:rPr>
                          <w:t xml:space="preserve">Įvykdymas siekia 141/176 proc. </w:t>
                        </w:r>
                        <w:r>
                          <w:rPr>
                            <w:color w:val="000000"/>
                            <w:szCs w:val="24"/>
                          </w:rPr>
                          <w:t>Dalyviai buvo motyvuoti dalyvauti programoje.</w:t>
                        </w:r>
                      </w:p>
                      <w:p>
                        <w:pPr>
                          <w:ind w:firstLine="62"/>
                          <w:rPr>
                            <w:szCs w:val="24"/>
                          </w:rPr>
                        </w:pPr>
                      </w:p>
                      <w:p>
                        <w:pPr>
                          <w:ind w:firstLine="62"/>
                          <w:rPr>
                            <w:szCs w:val="24"/>
                          </w:rPr>
                        </w:pPr>
                      </w:p>
                    </w:tc>
                  </w:tr>
                  <w:tr>
                    <w:trPr>
                      <w:trHeight w:val="429"/>
                    </w:trPr>
                    <w:tc>
                      <w:tcPr>
                        <w:tcW w:w="4508" w:type="dxa"/>
                      </w:tcPr>
                      <w:p>
                        <w:pPr>
                          <w:rPr>
                            <w:bCs/>
                            <w:iCs/>
                            <w:szCs w:val="24"/>
                          </w:rPr>
                        </w:pPr>
                        <w:r>
                          <w:rPr>
                            <w:bCs/>
                            <w:iCs/>
                            <w:szCs w:val="24"/>
                          </w:rPr>
                          <w:t>1.2.2. Priklausomybės konsultantų paslaugų teikimo savivaldybėse organizavimas. Apsilankymų pas priklausomybės konsultantą skaičius/asmenų, gavusių priklausomybės konsultavimo paslaugas, skaičius.</w:t>
                        </w:r>
                      </w:p>
                    </w:tc>
                    <w:tc>
                      <w:tcPr>
                        <w:tcW w:w="1276" w:type="dxa"/>
                      </w:tcPr>
                      <w:p>
                        <w:pPr>
                          <w:rPr>
                            <w:szCs w:val="24"/>
                            <w:highlight w:val="yellow"/>
                          </w:rPr>
                        </w:pPr>
                        <w:r>
                          <w:rPr>
                            <w:szCs w:val="24"/>
                          </w:rPr>
                          <w:t>331/66</w:t>
                        </w:r>
                      </w:p>
                    </w:tc>
                    <w:tc>
                      <w:tcPr>
                        <w:tcW w:w="992" w:type="dxa"/>
                      </w:tcPr>
                      <w:p>
                        <w:pPr>
                          <w:rPr>
                            <w:szCs w:val="24"/>
                          </w:rPr>
                        </w:pPr>
                        <w:r>
                          <w:rPr>
                            <w:szCs w:val="24"/>
                          </w:rPr>
                          <w:t>331/75</w:t>
                        </w:r>
                      </w:p>
                    </w:tc>
                    <w:tc>
                      <w:tcPr>
                        <w:tcW w:w="3260" w:type="dxa"/>
                      </w:tcPr>
                      <w:p>
                        <w:pPr>
                          <w:rPr>
                            <w:szCs w:val="24"/>
                          </w:rPr>
                        </w:pPr>
                        <w:r>
                          <w:rPr>
                            <w:szCs w:val="24"/>
                          </w:rPr>
                          <w:t>100/114 proc. Išaugo konsultacijų gavėjų skaičius dėl poreikio.</w:t>
                        </w:r>
                      </w:p>
                    </w:tc>
                  </w:tr>
                  <w:tr>
                    <w:tc>
                      <w:tcPr>
                        <w:tcW w:w="4508" w:type="dxa"/>
                      </w:tcPr>
                      <w:p>
                        <w:pPr>
                          <w:rPr>
                            <w:bCs/>
                            <w:iCs/>
                            <w:szCs w:val="24"/>
                          </w:rPr>
                        </w:pPr>
                        <w:r>
                          <w:rPr>
                            <w:bCs/>
                            <w:iCs/>
                            <w:szCs w:val="24"/>
                          </w:rPr>
                          <w:t>1.2.3. Savižudybių prevencijos mokymų organizavimas savivaldybių gyventojams. Asmenų, dalyvavusių mokymuose, skaičius.</w:t>
                        </w:r>
                      </w:p>
                    </w:tc>
                    <w:tc>
                      <w:tcPr>
                        <w:tcW w:w="1276" w:type="dxa"/>
                      </w:tcPr>
                      <w:p>
                        <w:pPr>
                          <w:rPr>
                            <w:szCs w:val="24"/>
                            <w:highlight w:val="yellow"/>
                          </w:rPr>
                        </w:pPr>
                        <w:r>
                          <w:rPr>
                            <w:szCs w:val="24"/>
                          </w:rPr>
                          <w:t>160</w:t>
                        </w:r>
                      </w:p>
                    </w:tc>
                    <w:tc>
                      <w:tcPr>
                        <w:tcW w:w="992" w:type="dxa"/>
                      </w:tcPr>
                      <w:p>
                        <w:pPr>
                          <w:rPr>
                            <w:szCs w:val="24"/>
                          </w:rPr>
                        </w:pPr>
                        <w:r>
                          <w:rPr>
                            <w:szCs w:val="24"/>
                          </w:rPr>
                          <w:t>169</w:t>
                        </w:r>
                      </w:p>
                    </w:tc>
                    <w:tc>
                      <w:tcPr>
                        <w:tcW w:w="3260" w:type="dxa"/>
                      </w:tcPr>
                      <w:p>
                        <w:pPr>
                          <w:rPr>
                            <w:szCs w:val="24"/>
                          </w:rPr>
                        </w:pPr>
                        <w:r>
                          <w:rPr>
                            <w:szCs w:val="24"/>
                          </w:rPr>
                          <w:t>Įvykdymas siekia 106 proc. Išaugo poreikis.</w:t>
                        </w:r>
                      </w:p>
                    </w:tc>
                  </w:tr>
                  <w:tr>
                    <w:tc>
                      <w:tcPr>
                        <w:tcW w:w="4508" w:type="dxa"/>
                      </w:tcPr>
                      <w:p>
                        <w:pPr>
                          <w:rPr>
                            <w:bCs/>
                            <w:iCs/>
                            <w:szCs w:val="24"/>
                          </w:rPr>
                        </w:pPr>
                        <w:r>
                          <w:rPr>
                            <w:bCs/>
                            <w:iCs/>
                            <w:szCs w:val="24"/>
                          </w:rPr>
                          <w:t>1.2.4.</w:t>
                        </w:r>
                        <w:r>
                          <w:rPr>
                            <w:szCs w:val="24"/>
                          </w:rPr>
                          <w:t xml:space="preserve"> </w:t>
                        </w:r>
                        <w:r>
                          <w:rPr>
                            <w:bCs/>
                            <w:iCs/>
                            <w:szCs w:val="24"/>
                          </w:rPr>
                          <w:t>Psichologinės gerovės ir psichikos sveikatos stiprinimo paslaugų teikimo savivaldybėse organizavimas.</w:t>
                        </w:r>
                        <w:r>
                          <w:rPr>
                            <w:szCs w:val="24"/>
                          </w:rPr>
                          <w:t xml:space="preserve"> </w:t>
                        </w:r>
                        <w:r>
                          <w:rPr>
                            <w:bCs/>
                            <w:iCs/>
                            <w:szCs w:val="24"/>
                          </w:rPr>
                          <w:t>Psichologinės gerovės paslaugos.</w:t>
                        </w:r>
                      </w:p>
                    </w:tc>
                    <w:tc>
                      <w:tcPr>
                        <w:tcW w:w="1276" w:type="dxa"/>
                      </w:tcPr>
                      <w:p>
                        <w:pPr>
                          <w:rPr>
                            <w:szCs w:val="24"/>
                          </w:rPr>
                        </w:pPr>
                        <w:r>
                          <w:rPr>
                            <w:szCs w:val="24"/>
                          </w:rPr>
                          <w:t>1800</w:t>
                        </w:r>
                      </w:p>
                    </w:tc>
                    <w:tc>
                      <w:tcPr>
                        <w:tcW w:w="992" w:type="dxa"/>
                      </w:tcPr>
                      <w:p>
                        <w:pPr>
                          <w:rPr>
                            <w:szCs w:val="24"/>
                          </w:rPr>
                        </w:pPr>
                        <w:r>
                          <w:rPr>
                            <w:szCs w:val="24"/>
                          </w:rPr>
                          <w:t>1778</w:t>
                        </w:r>
                      </w:p>
                    </w:tc>
                    <w:tc>
                      <w:tcPr>
                        <w:tcW w:w="3260" w:type="dxa"/>
                      </w:tcPr>
                      <w:p>
                        <w:pPr>
                          <w:rPr>
                            <w:szCs w:val="24"/>
                          </w:rPr>
                        </w:pPr>
                        <w:r>
                          <w:rPr>
                            <w:szCs w:val="24"/>
                          </w:rPr>
                          <w:t>Įvykdymas siekia 99 proc. Nebuvo poreikio.</w:t>
                        </w:r>
                      </w:p>
                    </w:tc>
                  </w:tr>
                  <w:tr>
                    <w:tc>
                      <w:tcPr>
                        <w:tcW w:w="4508" w:type="dxa"/>
                      </w:tcPr>
                      <w:p>
                        <w:pPr>
                          <w:rPr>
                            <w:bCs/>
                            <w:iCs/>
                            <w:szCs w:val="24"/>
                          </w:rPr>
                        </w:pPr>
                        <w:r>
                          <w:rPr>
                            <w:bCs/>
                            <w:iCs/>
                            <w:szCs w:val="24"/>
                          </w:rPr>
                          <w:t>1.2.5. Mokyklų darbuotojų kompetencijos psichikos sveikatos srityje didinimo mokymų savivaldybėse organizavimas. Mokyklų darbuotojų, dalyvavusių mokymuose, skaičius.</w:t>
                        </w:r>
                      </w:p>
                    </w:tc>
                    <w:tc>
                      <w:tcPr>
                        <w:tcW w:w="1276" w:type="dxa"/>
                      </w:tcPr>
                      <w:p>
                        <w:pPr>
                          <w:rPr>
                            <w:szCs w:val="24"/>
                            <w:highlight w:val="yellow"/>
                          </w:rPr>
                        </w:pPr>
                        <w:r>
                          <w:rPr>
                            <w:szCs w:val="24"/>
                          </w:rPr>
                          <w:t>24</w:t>
                        </w:r>
                      </w:p>
                    </w:tc>
                    <w:tc>
                      <w:tcPr>
                        <w:tcW w:w="992" w:type="dxa"/>
                      </w:tcPr>
                      <w:p>
                        <w:pPr>
                          <w:rPr>
                            <w:szCs w:val="24"/>
                          </w:rPr>
                        </w:pPr>
                        <w:r>
                          <w:rPr>
                            <w:szCs w:val="24"/>
                          </w:rPr>
                          <w:t>30</w:t>
                        </w:r>
                      </w:p>
                    </w:tc>
                    <w:tc>
                      <w:tcPr>
                        <w:tcW w:w="3260" w:type="dxa"/>
                      </w:tcPr>
                      <w:p>
                        <w:pPr>
                          <w:rPr>
                            <w:szCs w:val="24"/>
                          </w:rPr>
                        </w:pPr>
                        <w:r>
                          <w:rPr>
                            <w:szCs w:val="24"/>
                          </w:rPr>
                          <w:t>Įvykdymas siekia 125 proc.</w:t>
                        </w:r>
                      </w:p>
                      <w:p>
                        <w:pPr>
                          <w:rPr>
                            <w:szCs w:val="24"/>
                          </w:rPr>
                        </w:pPr>
                        <w:r>
                          <w:rPr>
                            <w:szCs w:val="24"/>
                          </w:rPr>
                          <w:t>Išaugo poreikis.</w:t>
                        </w:r>
                      </w:p>
                    </w:tc>
                  </w:tr>
                  <w:tr>
                    <w:tc>
                      <w:tcPr>
                        <w:tcW w:w="10036" w:type="dxa"/>
                        <w:gridSpan w:val="4"/>
                      </w:tcPr>
                      <w:p>
                        <w:pPr>
                          <w:rPr>
                            <w:szCs w:val="24"/>
                          </w:rPr>
                        </w:pPr>
                        <w:r>
                          <w:rPr>
                            <w:b/>
                            <w:color w:val="000000"/>
                            <w:szCs w:val="24"/>
                          </w:rPr>
                          <w:t>1.3. Sveikos gyvensenos įgūdžių ugdymo įstaigose formavimas ir stiprinimas.</w:t>
                        </w:r>
                      </w:p>
                    </w:tc>
                  </w:tr>
                  <w:tr>
                    <w:trPr>
                      <w:trHeight w:val="235"/>
                    </w:trPr>
                    <w:tc>
                      <w:tcPr>
                        <w:tcW w:w="4508" w:type="dxa"/>
                      </w:tcPr>
                      <w:p>
                        <w:pPr>
                          <w:rPr>
                            <w:bCs/>
                            <w:iCs/>
                            <w:szCs w:val="24"/>
                          </w:rPr>
                        </w:pPr>
                        <w:r>
                          <w:rPr>
                            <w:szCs w:val="24"/>
                          </w:rPr>
                          <w:t xml:space="preserve">1.3.1. Sveikos mitybos skatinimas. Mokinių, dalyvavusių  užsiėmimuose, skaičius/užsiėmimų skaičius.</w:t>
                        </w:r>
                      </w:p>
                    </w:tc>
                    <w:tc>
                      <w:tcPr>
                        <w:tcW w:w="1276" w:type="dxa"/>
                      </w:tcPr>
                      <w:p>
                        <w:pPr>
                          <w:rPr>
                            <w:szCs w:val="24"/>
                          </w:rPr>
                        </w:pPr>
                        <w:r>
                          <w:rPr>
                            <w:szCs w:val="24"/>
                          </w:rPr>
                          <w:t>3700/180</w:t>
                        </w:r>
                      </w:p>
                    </w:tc>
                    <w:tc>
                      <w:tcPr>
                        <w:tcW w:w="992" w:type="dxa"/>
                      </w:tcPr>
                      <w:p>
                        <w:pPr>
                          <w:rPr>
                            <w:szCs w:val="24"/>
                          </w:rPr>
                        </w:pPr>
                        <w:r>
                          <w:rPr>
                            <w:szCs w:val="24"/>
                          </w:rPr>
                          <w:t>4556/170</w:t>
                        </w:r>
                      </w:p>
                    </w:tc>
                    <w:tc>
                      <w:tcPr>
                        <w:tcW w:w="3260" w:type="dxa"/>
                      </w:tcPr>
                      <w:p>
                        <w:pPr>
                          <w:rPr>
                            <w:color w:val="FF0000"/>
                            <w:szCs w:val="24"/>
                          </w:rPr>
                        </w:pPr>
                        <w:r>
                          <w:rPr>
                            <w:szCs w:val="24"/>
                          </w:rPr>
                          <w:t xml:space="preserve">Įvykdymas siekia 123/94 proc. </w:t>
                        </w:r>
                        <w:r>
                          <w:rPr>
                            <w:color w:val="000000"/>
                            <w:szCs w:val="24"/>
                          </w:rPr>
                          <w:t>Organizuotos veiklos, kurių metu galėjo dalyvauti didesnis dalyvių skaičius, nenukenčiant paslaugos kokybei.</w:t>
                        </w:r>
                      </w:p>
                    </w:tc>
                  </w:tr>
                  <w:tr>
                    <w:tc>
                      <w:tcPr>
                        <w:tcW w:w="4508" w:type="dxa"/>
                      </w:tcPr>
                      <w:p>
                        <w:pPr>
                          <w:rPr>
                            <w:szCs w:val="24"/>
                          </w:rPr>
                        </w:pPr>
                        <w:r>
                          <w:rPr>
                            <w:szCs w:val="24"/>
                          </w:rPr>
                          <w:t>1.3.2. Sveikatą stiprinančių mokyklų plėtros skatinimas/priemonės „Aktyvi mokykla“ įgyvendinančių mokyklų plėtros skatinimas. Mokyklų, dalyvaujančių sveikatą stiprinančių/aktyvių mokyklų tinkle, dalis.</w:t>
                        </w:r>
                      </w:p>
                    </w:tc>
                    <w:tc>
                      <w:tcPr>
                        <w:tcW w:w="1276" w:type="dxa"/>
                      </w:tcPr>
                      <w:p>
                        <w:pPr>
                          <w:rPr>
                            <w:szCs w:val="24"/>
                          </w:rPr>
                        </w:pPr>
                        <w:r>
                          <w:rPr>
                            <w:szCs w:val="24"/>
                          </w:rPr>
                          <w:t>63/31</w:t>
                        </w:r>
                      </w:p>
                    </w:tc>
                    <w:tc>
                      <w:tcPr>
                        <w:tcW w:w="992" w:type="dxa"/>
                      </w:tcPr>
                      <w:p>
                        <w:pPr>
                          <w:rPr>
                            <w:color w:val="808080"/>
                            <w:szCs w:val="24"/>
                          </w:rPr>
                        </w:pPr>
                        <w:r>
                          <w:rPr>
                            <w:szCs w:val="24"/>
                          </w:rPr>
                          <w:t>53/24</w:t>
                        </w:r>
                      </w:p>
                    </w:tc>
                    <w:tc>
                      <w:tcPr>
                        <w:tcW w:w="3260" w:type="dxa"/>
                      </w:tcPr>
                      <w:p>
                        <w:pPr>
                          <w:rPr>
                            <w:i/>
                            <w:color w:val="808080"/>
                            <w:szCs w:val="24"/>
                          </w:rPr>
                        </w:pPr>
                        <w:r>
                          <w:rPr>
                            <w:szCs w:val="24"/>
                          </w:rPr>
                          <w:t>Įvykdymas siekia 84/77proc. Neatsirado poreikio.</w:t>
                        </w:r>
                      </w:p>
                      <w:p>
                        <w:pPr>
                          <w:rPr>
                            <w:i/>
                            <w:color w:val="808080"/>
                            <w:szCs w:val="24"/>
                          </w:rPr>
                        </w:pPr>
                      </w:p>
                    </w:tc>
                  </w:tr>
                  <w:tr>
                    <w:trPr>
                      <w:trHeight w:val="390"/>
                    </w:trPr>
                    <w:tc>
                      <w:tcPr>
                        <w:tcW w:w="4508" w:type="dxa"/>
                      </w:tcPr>
                      <w:p>
                        <w:pPr>
                          <w:rPr>
                            <w:szCs w:val="24"/>
                          </w:rPr>
                        </w:pPr>
                        <w:r>
                          <w:rPr>
                            <w:szCs w:val="24"/>
                          </w:rPr>
                          <w:t xml:space="preserve">1.3.3. Traumų  ir sužalojimų prevencijos skatinimas mokyklose. Mokinių, dalyvavusių  užsiėmimuose, skaičius/ užsiėmimų skaičius.</w:t>
                        </w:r>
                      </w:p>
                    </w:tc>
                    <w:tc>
                      <w:tcPr>
                        <w:tcW w:w="1276" w:type="dxa"/>
                      </w:tcPr>
                      <w:p>
                        <w:pPr>
                          <w:rPr>
                            <w:szCs w:val="24"/>
                          </w:rPr>
                        </w:pPr>
                        <w:r>
                          <w:rPr>
                            <w:szCs w:val="24"/>
                          </w:rPr>
                          <w:t>3000/150</w:t>
                        </w:r>
                      </w:p>
                    </w:tc>
                    <w:tc>
                      <w:tcPr>
                        <w:tcW w:w="992" w:type="dxa"/>
                      </w:tcPr>
                      <w:p>
                        <w:pPr>
                          <w:rPr>
                            <w:color w:val="808080"/>
                            <w:szCs w:val="24"/>
                          </w:rPr>
                        </w:pPr>
                        <w:r>
                          <w:rPr>
                            <w:szCs w:val="24"/>
                          </w:rPr>
                          <w:t>4357/202</w:t>
                        </w:r>
                      </w:p>
                    </w:tc>
                    <w:tc>
                      <w:tcPr>
                        <w:tcW w:w="3260" w:type="dxa"/>
                      </w:tcPr>
                      <w:p>
                        <w:pPr>
                          <w:rPr>
                            <w:szCs w:val="24"/>
                          </w:rPr>
                        </w:pPr>
                        <w:r>
                          <w:rPr>
                            <w:szCs w:val="24"/>
                          </w:rPr>
                          <w:t>Įvykdymas siekia 145/135. proc. Organizuotos veiklos, kurių metu galėjo dalyvauti didesnis dalyvių skaičius, nenukenčiant paslaugos kokybei.</w:t>
                        </w:r>
                      </w:p>
                    </w:tc>
                  </w:tr>
                  <w:tr>
                    <w:trPr>
                      <w:trHeight w:val="180"/>
                    </w:trPr>
                    <w:tc>
                      <w:tcPr>
                        <w:tcW w:w="4508" w:type="dxa"/>
                      </w:tcPr>
                      <w:p>
                        <w:pPr>
                          <w:rPr>
                            <w:szCs w:val="24"/>
                          </w:rPr>
                        </w:pPr>
                        <w:r>
                          <w:rPr>
                            <w:szCs w:val="24"/>
                          </w:rPr>
                          <w:t xml:space="preserve">1.3.4. Burnos higienos  užsiėmimų organizavimas tikslinėse grupėse. Mokinių, dalyvavusių  užsiėmimuose, skaičius/ užsiėmimų skaičius.</w:t>
                        </w:r>
                      </w:p>
                    </w:tc>
                    <w:tc>
                      <w:tcPr>
                        <w:tcW w:w="1276" w:type="dxa"/>
                      </w:tcPr>
                      <w:p>
                        <w:pPr>
                          <w:rPr>
                            <w:szCs w:val="24"/>
                          </w:rPr>
                        </w:pPr>
                        <w:r>
                          <w:rPr>
                            <w:color w:val="000000"/>
                            <w:szCs w:val="24"/>
                          </w:rPr>
                          <w:t>2779/135</w:t>
                        </w:r>
                      </w:p>
                    </w:tc>
                    <w:tc>
                      <w:tcPr>
                        <w:tcW w:w="992" w:type="dxa"/>
                      </w:tcPr>
                      <w:p>
                        <w:pPr>
                          <w:rPr>
                            <w:szCs w:val="24"/>
                          </w:rPr>
                        </w:pPr>
                        <w:r>
                          <w:rPr>
                            <w:szCs w:val="24"/>
                          </w:rPr>
                          <w:t>3065/169</w:t>
                        </w:r>
                      </w:p>
                    </w:tc>
                    <w:tc>
                      <w:tcPr>
                        <w:tcW w:w="3260" w:type="dxa"/>
                      </w:tcPr>
                      <w:p>
                        <w:pPr>
                          <w:rPr>
                            <w:szCs w:val="24"/>
                          </w:rPr>
                        </w:pPr>
                        <w:r>
                          <w:rPr>
                            <w:szCs w:val="24"/>
                          </w:rPr>
                          <w:t>Įvykdymas siekia 110/125 proc. Išaugus poreikiui, organizuota daugiau renginių.</w:t>
                        </w:r>
                      </w:p>
                    </w:tc>
                  </w:tr>
                  <w:tr>
                    <w:tc>
                      <w:tcPr>
                        <w:tcW w:w="4508" w:type="dxa"/>
                      </w:tcPr>
                      <w:p>
                        <w:pPr>
                          <w:rPr>
                            <w:color w:val="000000"/>
                            <w:szCs w:val="24"/>
                          </w:rPr>
                        </w:pPr>
                        <w:r>
                          <w:rPr>
                            <w:szCs w:val="24"/>
                          </w:rPr>
                          <w:t xml:space="preserve">1.3.5. Pagalbos mokinių savirūpai organizavimas ugdymo įstaigose. Lėtinėmis neinfekcinėmis ligomis  sergančių mokinių, kuriems suteikta savirūpai reikalinga pagalba  ugdymo įstaigoje, skaičius.</w:t>
                        </w:r>
                      </w:p>
                    </w:tc>
                    <w:tc>
                      <w:tcPr>
                        <w:tcW w:w="1276" w:type="dxa"/>
                      </w:tcPr>
                      <w:p>
                        <w:pPr>
                          <w:rPr>
                            <w:color w:val="000000"/>
                            <w:szCs w:val="24"/>
                          </w:rPr>
                        </w:pPr>
                        <w:r>
                          <w:rPr>
                            <w:color w:val="000000"/>
                            <w:szCs w:val="24"/>
                          </w:rPr>
                          <w:t>Pagal poreikį</w:t>
                        </w:r>
                      </w:p>
                      <w:p>
                        <w:pPr>
                          <w:rPr>
                            <w:szCs w:val="24"/>
                          </w:rPr>
                        </w:pPr>
                      </w:p>
                    </w:tc>
                    <w:tc>
                      <w:tcPr>
                        <w:tcW w:w="992" w:type="dxa"/>
                      </w:tcPr>
                      <w:p>
                        <w:pPr>
                          <w:rPr>
                            <w:color w:val="808080"/>
                            <w:szCs w:val="24"/>
                          </w:rPr>
                        </w:pPr>
                        <w:r>
                          <w:rPr>
                            <w:szCs w:val="24"/>
                          </w:rPr>
                          <w:t>8</w:t>
                        </w:r>
                      </w:p>
                    </w:tc>
                    <w:tc>
                      <w:tcPr>
                        <w:tcW w:w="3260" w:type="dxa"/>
                      </w:tcPr>
                      <w:p>
                        <w:pPr>
                          <w:rPr>
                            <w:szCs w:val="24"/>
                          </w:rPr>
                        </w:pPr>
                        <w:r>
                          <w:rPr>
                            <w:szCs w:val="24"/>
                          </w:rPr>
                          <w:t>Įvykdymas siekia 100 proc. poreikį.</w:t>
                        </w:r>
                      </w:p>
                    </w:tc>
                  </w:tr>
                  <w:tr>
                    <w:trPr>
                      <w:trHeight w:val="473"/>
                    </w:trPr>
                    <w:tc>
                      <w:tcPr>
                        <w:tcW w:w="4508" w:type="dxa"/>
                      </w:tcPr>
                      <w:p>
                        <w:pPr>
                          <w:rPr>
                            <w:color w:val="000000"/>
                            <w:szCs w:val="24"/>
                          </w:rPr>
                        </w:pPr>
                        <w:r>
                          <w:rPr>
                            <w:szCs w:val="24"/>
                          </w:rPr>
                          <w:t>1.3.6. Užkrečiamų ligų prevencijos skatinimas ir supratimo apie mikroorganizmų atsparumą antimikrobinėms medžiagoms didinimas.</w:t>
                        </w:r>
                      </w:p>
                    </w:tc>
                    <w:tc>
                      <w:tcPr>
                        <w:tcW w:w="1276" w:type="dxa"/>
                      </w:tcPr>
                      <w:p>
                        <w:pPr>
                          <w:rPr>
                            <w:szCs w:val="24"/>
                          </w:rPr>
                        </w:pPr>
                        <w:r>
                          <w:rPr>
                            <w:color w:val="000000"/>
                            <w:szCs w:val="24"/>
                          </w:rPr>
                          <w:t>3000/125</w:t>
                        </w:r>
                      </w:p>
                    </w:tc>
                    <w:tc>
                      <w:tcPr>
                        <w:tcW w:w="992" w:type="dxa"/>
                      </w:tcPr>
                      <w:p>
                        <w:pPr>
                          <w:rPr>
                            <w:color w:val="808080"/>
                            <w:szCs w:val="24"/>
                          </w:rPr>
                        </w:pPr>
                        <w:r>
                          <w:rPr>
                            <w:szCs w:val="24"/>
                          </w:rPr>
                          <w:t>3523/181</w:t>
                        </w:r>
                      </w:p>
                    </w:tc>
                    <w:tc>
                      <w:tcPr>
                        <w:tcW w:w="3260" w:type="dxa"/>
                      </w:tcPr>
                      <w:p>
                        <w:pPr>
                          <w:rPr>
                            <w:szCs w:val="24"/>
                          </w:rPr>
                        </w:pPr>
                        <w:r>
                          <w:rPr>
                            <w:szCs w:val="24"/>
                          </w:rPr>
                          <w:t>Įvykdymas siekia 117/145 proc. Išaugus poreikiui, organizuota daugiau renginių.</w:t>
                        </w:r>
                      </w:p>
                    </w:tc>
                  </w:tr>
                  <w:tr>
                    <w:tc>
                      <w:tcPr>
                        <w:tcW w:w="4508" w:type="dxa"/>
                      </w:tcPr>
                      <w:p>
                        <w:pPr>
                          <w:rPr>
                            <w:color w:val="000000"/>
                            <w:szCs w:val="24"/>
                          </w:rPr>
                        </w:pPr>
                        <w:r>
                          <w:rPr>
                            <w:szCs w:val="24"/>
                          </w:rPr>
                          <w:t>1.3.7. Mokinių asmens, įskaitant sveikatos, duomenų rinkimas, kaupimas ir analizavimas Vaikų sveikatos informacinėje sistemoje. Peržiūrėtų pažymėjimų (forma Nr. 027-1) skaičius/teiktų išvadų ir rekomendacijų skaičius.</w:t>
                        </w:r>
                      </w:p>
                    </w:tc>
                    <w:tc>
                      <w:tcPr>
                        <w:tcW w:w="1276" w:type="dxa"/>
                      </w:tcPr>
                      <w:p>
                        <w:pPr>
                          <w:rPr>
                            <w:szCs w:val="24"/>
                          </w:rPr>
                        </w:pPr>
                        <w:r>
                          <w:rPr>
                            <w:color w:val="000000"/>
                            <w:szCs w:val="24"/>
                          </w:rPr>
                          <w:t>Pagal poreikį</w:t>
                        </w:r>
                      </w:p>
                    </w:tc>
                    <w:tc>
                      <w:tcPr>
                        <w:tcW w:w="992" w:type="dxa"/>
                      </w:tcPr>
                      <w:p>
                        <w:pPr>
                          <w:rPr>
                            <w:szCs w:val="24"/>
                          </w:rPr>
                        </w:pPr>
                        <w:r>
                          <w:rPr>
                            <w:szCs w:val="24"/>
                          </w:rPr>
                          <w:t>4701/4701</w:t>
                        </w:r>
                      </w:p>
                    </w:tc>
                    <w:tc>
                      <w:tcPr>
                        <w:tcW w:w="3260" w:type="dxa"/>
                      </w:tcPr>
                      <w:p>
                        <w:pPr>
                          <w:rPr>
                            <w:szCs w:val="24"/>
                          </w:rPr>
                        </w:pPr>
                        <w:r>
                          <w:rPr>
                            <w:szCs w:val="24"/>
                          </w:rPr>
                          <w:t>Įvykdymas siekia 100 proc.</w:t>
                        </w:r>
                      </w:p>
                    </w:tc>
                  </w:tr>
                  <w:tr>
                    <w:tc>
                      <w:tcPr>
                        <w:tcW w:w="4508" w:type="dxa"/>
                      </w:tcPr>
                      <w:p>
                        <w:pPr>
                          <w:rPr>
                            <w:color w:val="000000"/>
                            <w:szCs w:val="24"/>
                          </w:rPr>
                        </w:pPr>
                        <w:r>
                          <w:rPr>
                            <w:szCs w:val="24"/>
                          </w:rPr>
                          <w:t>1.3.8. PP koordinavimas ir teikimas mokyklose. Suteiktų PP teikimo atvejų skaičius/konsultacijų, teiktų mokyklos bendruomenei (mokiniams, tėvams, pedagogams, darbuotojams) PP klausimais, skaičius.</w:t>
                        </w:r>
                      </w:p>
                    </w:tc>
                    <w:tc>
                      <w:tcPr>
                        <w:tcW w:w="1276" w:type="dxa"/>
                      </w:tcPr>
                      <w:p>
                        <w:pPr>
                          <w:rPr>
                            <w:szCs w:val="24"/>
                          </w:rPr>
                        </w:pPr>
                        <w:r>
                          <w:rPr>
                            <w:color w:val="000000"/>
                            <w:szCs w:val="24"/>
                          </w:rPr>
                          <w:t>Pagal poreikį</w:t>
                        </w:r>
                      </w:p>
                    </w:tc>
                    <w:tc>
                      <w:tcPr>
                        <w:tcW w:w="992" w:type="dxa"/>
                      </w:tcPr>
                      <w:p>
                        <w:pPr>
                          <w:rPr>
                            <w:szCs w:val="24"/>
                          </w:rPr>
                        </w:pPr>
                        <w:r>
                          <w:rPr>
                            <w:szCs w:val="24"/>
                          </w:rPr>
                          <w:t>710/2176</w:t>
                        </w:r>
                      </w:p>
                    </w:tc>
                    <w:tc>
                      <w:tcPr>
                        <w:tcW w:w="3260" w:type="dxa"/>
                      </w:tcPr>
                      <w:p>
                        <w:pPr>
                          <w:rPr>
                            <w:szCs w:val="24"/>
                          </w:rPr>
                        </w:pPr>
                        <w:r>
                          <w:rPr>
                            <w:szCs w:val="24"/>
                          </w:rPr>
                          <w:t>Įvykdymas siekia 100 proc.</w:t>
                        </w:r>
                      </w:p>
                    </w:tc>
                  </w:tr>
                  <w:tr>
                    <w:tc>
                      <w:tcPr>
                        <w:tcW w:w="4508" w:type="dxa"/>
                      </w:tcPr>
                      <w:p>
                        <w:pPr>
                          <w:rPr>
                            <w:color w:val="000000"/>
                            <w:szCs w:val="24"/>
                          </w:rPr>
                        </w:pPr>
                        <w:r>
                          <w:rPr>
                            <w:szCs w:val="24"/>
                          </w:rPr>
                          <w:t>1.3.9. Mokinių maitinimo organizavimo atitikties Maitinimo organizavimo ugdymo įstaigose aprašo priežiūra. Atliktų mokinių maitinimo organizavimo patikrinimų skaičius.</w:t>
                        </w:r>
                      </w:p>
                    </w:tc>
                    <w:tc>
                      <w:tcPr>
                        <w:tcW w:w="1276" w:type="dxa"/>
                      </w:tcPr>
                      <w:p>
                        <w:pPr>
                          <w:rPr>
                            <w:szCs w:val="24"/>
                          </w:rPr>
                        </w:pPr>
                        <w:r>
                          <w:rPr>
                            <w:color w:val="000000"/>
                            <w:szCs w:val="24"/>
                          </w:rPr>
                          <w:t>Pagal poreikį</w:t>
                        </w:r>
                      </w:p>
                    </w:tc>
                    <w:tc>
                      <w:tcPr>
                        <w:tcW w:w="992" w:type="dxa"/>
                      </w:tcPr>
                      <w:p>
                        <w:pPr>
                          <w:rPr>
                            <w:szCs w:val="24"/>
                          </w:rPr>
                        </w:pPr>
                        <w:r>
                          <w:rPr>
                            <w:szCs w:val="24"/>
                          </w:rPr>
                          <w:t>316</w:t>
                        </w:r>
                      </w:p>
                    </w:tc>
                    <w:tc>
                      <w:tcPr>
                        <w:tcW w:w="3260" w:type="dxa"/>
                      </w:tcPr>
                      <w:p>
                        <w:pPr>
                          <w:rPr>
                            <w:szCs w:val="24"/>
                          </w:rPr>
                        </w:pPr>
                        <w:r>
                          <w:rPr>
                            <w:szCs w:val="24"/>
                          </w:rPr>
                          <w:t>Įvykdymas siekia 100 proc.</w:t>
                        </w:r>
                      </w:p>
                    </w:tc>
                  </w:tr>
                  <w:tr>
                    <w:tc>
                      <w:tcPr>
                        <w:tcW w:w="4508" w:type="dxa"/>
                      </w:tcPr>
                      <w:p>
                        <w:pPr>
                          <w:rPr>
                            <w:color w:val="000000"/>
                            <w:szCs w:val="24"/>
                          </w:rPr>
                        </w:pPr>
                        <w:r>
                          <w:rPr>
                            <w:szCs w:val="24"/>
                          </w:rPr>
                          <w:t xml:space="preserve">1.3.10. </w:t>
                        </w:r>
                        <w:r>
                          <w:rPr>
                            <w:b/>
                            <w:szCs w:val="24"/>
                          </w:rPr>
                          <w:t xml:space="preserve"> </w:t>
                        </w:r>
                        <w:r>
                          <w:rPr>
                            <w:szCs w:val="24"/>
                          </w:rPr>
                          <w:t>Mokyklos aplinkos rizikos veiksnių vertinimas pagal higienos normas. Atliktų mokyklos aplinkos rizikos veiksnių vertinimų skaičius.</w:t>
                        </w:r>
                      </w:p>
                    </w:tc>
                    <w:tc>
                      <w:tcPr>
                        <w:tcW w:w="1276" w:type="dxa"/>
                      </w:tcPr>
                      <w:p>
                        <w:pPr>
                          <w:rPr>
                            <w:szCs w:val="24"/>
                          </w:rPr>
                        </w:pPr>
                        <w:r>
                          <w:rPr>
                            <w:color w:val="000000"/>
                            <w:szCs w:val="24"/>
                          </w:rPr>
                          <w:t>Pagal poreikį</w:t>
                        </w:r>
                      </w:p>
                    </w:tc>
                    <w:tc>
                      <w:tcPr>
                        <w:tcW w:w="992" w:type="dxa"/>
                      </w:tcPr>
                      <w:p>
                        <w:pPr>
                          <w:rPr>
                            <w:szCs w:val="24"/>
                          </w:rPr>
                        </w:pPr>
                        <w:r>
                          <w:rPr>
                            <w:szCs w:val="24"/>
                          </w:rPr>
                          <w:t>28</w:t>
                        </w:r>
                      </w:p>
                    </w:tc>
                    <w:tc>
                      <w:tcPr>
                        <w:tcW w:w="3260" w:type="dxa"/>
                      </w:tcPr>
                      <w:p>
                        <w:pPr>
                          <w:rPr>
                            <w:szCs w:val="24"/>
                          </w:rPr>
                        </w:pPr>
                        <w:r>
                          <w:rPr>
                            <w:szCs w:val="24"/>
                          </w:rPr>
                          <w:t>Įvykdymas siekia 100 proc.</w:t>
                        </w:r>
                      </w:p>
                    </w:tc>
                  </w:tr>
                  <w:tr>
                    <w:trPr>
                      <w:trHeight w:val="108"/>
                    </w:trPr>
                    <w:tc>
                      <w:tcPr>
                        <w:tcW w:w="10036" w:type="dxa"/>
                        <w:gridSpan w:val="4"/>
                      </w:tcPr>
                      <w:p>
                        <w:pPr>
                          <w:rPr>
                            <w:b/>
                            <w:color w:val="000000"/>
                            <w:szCs w:val="24"/>
                          </w:rPr>
                        </w:pPr>
                        <w:r>
                          <w:rPr>
                            <w:b/>
                            <w:color w:val="000000"/>
                            <w:szCs w:val="24"/>
                          </w:rPr>
                          <w:t xml:space="preserve">1.4.  Visuomenės sveikatos stiprinimas ir stebėsena.</w:t>
                        </w:r>
                      </w:p>
                    </w:tc>
                  </w:tr>
                  <w:tr>
                    <w:tc>
                      <w:tcPr>
                        <w:tcW w:w="4508" w:type="dxa"/>
                      </w:tcPr>
                      <w:p>
                        <w:pPr>
                          <w:rPr>
                            <w:szCs w:val="24"/>
                          </w:rPr>
                        </w:pPr>
                        <w:r>
                          <w:rPr>
                            <w:bCs/>
                            <w:iCs/>
                            <w:szCs w:val="24"/>
                          </w:rPr>
                          <w:t>1.4.1.</w:t>
                        </w:r>
                        <w:r>
                          <w:rPr>
                            <w:szCs w:val="24"/>
                          </w:rPr>
                          <w:t xml:space="preserve"> </w:t>
                        </w:r>
                        <w:r>
                          <w:rPr>
                            <w:bCs/>
                            <w:iCs/>
                            <w:szCs w:val="24"/>
                          </w:rPr>
                          <w:t xml:space="preserve">Gyventojų sveikos mitybos įgūdžių formavimas ir skatinimas. Asmenų, dalyvavusių  užsiėmimuose, skaičius/</w:t>
                        </w:r>
                        <w:r>
                          <w:rPr>
                            <w:szCs w:val="24"/>
                          </w:rPr>
                          <w:t>u</w:t>
                        </w:r>
                        <w:r>
                          <w:rPr>
                            <w:bCs/>
                            <w:iCs/>
                            <w:szCs w:val="24"/>
                          </w:rPr>
                          <w:t>žsiėmimų skaičius.</w:t>
                        </w:r>
                      </w:p>
                    </w:tc>
                    <w:tc>
                      <w:tcPr>
                        <w:tcW w:w="1276" w:type="dxa"/>
                      </w:tcPr>
                      <w:p>
                        <w:pPr>
                          <w:rPr>
                            <w:szCs w:val="24"/>
                          </w:rPr>
                        </w:pPr>
                        <w:r>
                          <w:rPr>
                            <w:szCs w:val="24"/>
                          </w:rPr>
                          <w:t>230/10</w:t>
                        </w:r>
                      </w:p>
                    </w:tc>
                    <w:tc>
                      <w:tcPr>
                        <w:tcW w:w="992" w:type="dxa"/>
                      </w:tcPr>
                      <w:p>
                        <w:pPr>
                          <w:rPr>
                            <w:szCs w:val="24"/>
                          </w:rPr>
                        </w:pPr>
                        <w:r>
                          <w:rPr>
                            <w:szCs w:val="24"/>
                          </w:rPr>
                          <w:t>236/10</w:t>
                        </w:r>
                      </w:p>
                    </w:tc>
                    <w:tc>
                      <w:tcPr>
                        <w:tcW w:w="3260" w:type="dxa"/>
                      </w:tcPr>
                      <w:p>
                        <w:pPr>
                          <w:rPr>
                            <w:i/>
                            <w:color w:val="808080"/>
                            <w:szCs w:val="24"/>
                          </w:rPr>
                        </w:pPr>
                        <w:r>
                          <w:rPr>
                            <w:szCs w:val="24"/>
                          </w:rPr>
                          <w:t>Įvykdymas siekia 102,6 /100 proc. Išaugus poreikiui, užsiėmimuose dalyvavo daugiau asmenų.</w:t>
                        </w:r>
                      </w:p>
                    </w:tc>
                  </w:tr>
                  <w:tr>
                    <w:tc>
                      <w:tcPr>
                        <w:tcW w:w="4508" w:type="dxa"/>
                      </w:tcPr>
                      <w:p>
                        <w:pPr>
                          <w:rPr>
                            <w:szCs w:val="24"/>
                          </w:rPr>
                        </w:pPr>
                        <w:r>
                          <w:rPr>
                            <w:bCs/>
                            <w:iCs/>
                            <w:szCs w:val="24"/>
                          </w:rPr>
                          <w:t>1.4.2. Sveikatai palankesnių maisto produktų, pažymėtų „Rakto skylutės“ simboliu, skaičius (žr. išlygą).</w:t>
                        </w:r>
                      </w:p>
                    </w:tc>
                    <w:tc>
                      <w:tcPr>
                        <w:tcW w:w="1276" w:type="dxa"/>
                      </w:tcPr>
                      <w:p>
                        <w:pPr>
                          <w:rPr>
                            <w:szCs w:val="24"/>
                          </w:rPr>
                        </w:pPr>
                        <w:r>
                          <w:rPr>
                            <w:szCs w:val="24"/>
                          </w:rPr>
                          <w:t>1</w:t>
                        </w:r>
                      </w:p>
                    </w:tc>
                    <w:tc>
                      <w:tcPr>
                        <w:tcW w:w="992" w:type="dxa"/>
                      </w:tcPr>
                      <w:p>
                        <w:pPr>
                          <w:rPr>
                            <w:szCs w:val="24"/>
                          </w:rPr>
                        </w:pPr>
                        <w:r>
                          <w:rPr>
                            <w:szCs w:val="24"/>
                          </w:rPr>
                          <w:t>0</w:t>
                        </w:r>
                      </w:p>
                    </w:tc>
                    <w:tc>
                      <w:tcPr>
                        <w:tcW w:w="3260" w:type="dxa"/>
                      </w:tcPr>
                      <w:p>
                        <w:pPr>
                          <w:rPr>
                            <w:szCs w:val="24"/>
                          </w:rPr>
                        </w:pPr>
                        <w:r>
                          <w:rPr>
                            <w:szCs w:val="24"/>
                          </w:rPr>
                          <w:t>Įvykdymas siekia 0 proc. Neatsirado poreikio.</w:t>
                        </w:r>
                      </w:p>
                    </w:tc>
                  </w:tr>
                  <w:tr>
                    <w:trPr>
                      <w:trHeight w:val="203"/>
                    </w:trPr>
                    <w:tc>
                      <w:tcPr>
                        <w:tcW w:w="4508" w:type="dxa"/>
                      </w:tcPr>
                      <w:p>
                        <w:pPr>
                          <w:rPr>
                            <w:szCs w:val="24"/>
                          </w:rPr>
                        </w:pPr>
                        <w:r>
                          <w:rPr>
                            <w:bCs/>
                            <w:iCs/>
                            <w:szCs w:val="24"/>
                          </w:rPr>
                          <w:t>1.4.3.</w:t>
                        </w:r>
                        <w:r>
                          <w:rPr>
                            <w:szCs w:val="24"/>
                          </w:rPr>
                          <w:t xml:space="preserve"> </w:t>
                        </w:r>
                        <w:r>
                          <w:rPr>
                            <w:bCs/>
                            <w:iCs/>
                            <w:szCs w:val="24"/>
                          </w:rPr>
                          <w:t xml:space="preserve">Traumų  ir sužalojimų prevencijos skatinimas bendruomenėse. Asmenų, dalyvavusių užsiėmimuose, skaičius/</w:t>
                        </w:r>
                        <w:r>
                          <w:rPr>
                            <w:szCs w:val="24"/>
                          </w:rPr>
                          <w:t xml:space="preserve"> </w:t>
                        </w:r>
                        <w:r>
                          <w:rPr>
                            <w:bCs/>
                            <w:iCs/>
                            <w:szCs w:val="24"/>
                          </w:rPr>
                          <w:t>užsiėmimų skaičius.</w:t>
                        </w:r>
                      </w:p>
                    </w:tc>
                    <w:tc>
                      <w:tcPr>
                        <w:tcW w:w="1276" w:type="dxa"/>
                      </w:tcPr>
                      <w:p>
                        <w:pPr>
                          <w:rPr>
                            <w:szCs w:val="24"/>
                          </w:rPr>
                        </w:pPr>
                        <w:r>
                          <w:rPr>
                            <w:szCs w:val="24"/>
                          </w:rPr>
                          <w:t>200/12</w:t>
                        </w:r>
                      </w:p>
                    </w:tc>
                    <w:tc>
                      <w:tcPr>
                        <w:tcW w:w="992" w:type="dxa"/>
                      </w:tcPr>
                      <w:p>
                        <w:pPr>
                          <w:rPr>
                            <w:szCs w:val="24"/>
                          </w:rPr>
                        </w:pPr>
                        <w:r>
                          <w:rPr>
                            <w:szCs w:val="24"/>
                          </w:rPr>
                          <w:t>472/25</w:t>
                        </w:r>
                      </w:p>
                    </w:tc>
                    <w:tc>
                      <w:tcPr>
                        <w:tcW w:w="3260" w:type="dxa"/>
                      </w:tcPr>
                      <w:p>
                        <w:pPr>
                          <w:rPr>
                            <w:i/>
                            <w:color w:val="808080"/>
                            <w:szCs w:val="24"/>
                          </w:rPr>
                        </w:pPr>
                        <w:r>
                          <w:rPr>
                            <w:szCs w:val="24"/>
                          </w:rPr>
                          <w:t>Įvykdymas siekia 236/208 proc. Išaugus poreikiui, organizuota daugiau renginių.</w:t>
                        </w:r>
                      </w:p>
                    </w:tc>
                  </w:tr>
                  <w:tr>
                    <w:trPr>
                      <w:trHeight w:val="414"/>
                    </w:trPr>
                    <w:tc>
                      <w:tcPr>
                        <w:tcW w:w="4508" w:type="dxa"/>
                      </w:tcPr>
                      <w:p>
                        <w:pPr>
                          <w:rPr>
                            <w:szCs w:val="24"/>
                          </w:rPr>
                        </w:pPr>
                        <w:r>
                          <w:rPr>
                            <w:bCs/>
                            <w:iCs/>
                            <w:szCs w:val="24"/>
                          </w:rPr>
                          <w:t xml:space="preserve">1.4.4. Gyventojų  (iki 64 m. amžiaus) fizinio aktyvumo skatinimas. Asmenų (18-64 m.), dalyvavusių užsiėmimuose, skaičius/</w:t>
                        </w:r>
                        <w:r>
                          <w:rPr>
                            <w:szCs w:val="24"/>
                          </w:rPr>
                          <w:t xml:space="preserve"> </w:t>
                        </w:r>
                        <w:r>
                          <w:rPr>
                            <w:bCs/>
                            <w:iCs/>
                            <w:szCs w:val="24"/>
                          </w:rPr>
                          <w:t>užsiėmimų skaičius.</w:t>
                        </w:r>
                      </w:p>
                    </w:tc>
                    <w:tc>
                      <w:tcPr>
                        <w:tcW w:w="1276" w:type="dxa"/>
                      </w:tcPr>
                      <w:p>
                        <w:pPr>
                          <w:rPr>
                            <w:szCs w:val="24"/>
                          </w:rPr>
                        </w:pPr>
                        <w:r>
                          <w:rPr>
                            <w:szCs w:val="24"/>
                          </w:rPr>
                          <w:t>125/50</w:t>
                        </w:r>
                      </w:p>
                    </w:tc>
                    <w:tc>
                      <w:tcPr>
                        <w:tcW w:w="992" w:type="dxa"/>
                      </w:tcPr>
                      <w:p>
                        <w:pPr>
                          <w:rPr>
                            <w:szCs w:val="24"/>
                          </w:rPr>
                        </w:pPr>
                        <w:r>
                          <w:rPr>
                            <w:szCs w:val="24"/>
                          </w:rPr>
                          <w:t>184/60</w:t>
                        </w:r>
                      </w:p>
                    </w:tc>
                    <w:tc>
                      <w:tcPr>
                        <w:tcW w:w="3260" w:type="dxa"/>
                      </w:tcPr>
                      <w:p>
                        <w:pPr>
                          <w:rPr>
                            <w:szCs w:val="24"/>
                          </w:rPr>
                        </w:pPr>
                        <w:r>
                          <w:rPr>
                            <w:szCs w:val="24"/>
                          </w:rPr>
                          <w:t>Įvykdymas siekia 147,2/120proc. Išaugus poreikiui, organizuota daugiau renginių.</w:t>
                        </w:r>
                      </w:p>
                    </w:tc>
                  </w:tr>
                  <w:tr>
                    <w:tc>
                      <w:tcPr>
                        <w:tcW w:w="4508" w:type="dxa"/>
                      </w:tcPr>
                      <w:p>
                        <w:pPr>
                          <w:rPr>
                            <w:szCs w:val="24"/>
                          </w:rPr>
                        </w:pPr>
                        <w:r>
                          <w:rPr>
                            <w:bCs/>
                            <w:iCs/>
                            <w:szCs w:val="24"/>
                          </w:rPr>
                          <w:t>1.4.5. Vyresnio amžiaus žmonių (65 metų ir daugiau) fizinio aktyvumo skatinimas. Asmenų, dalyvavusių užsiėmimuose, skaičius/</w:t>
                        </w:r>
                        <w:r>
                          <w:rPr>
                            <w:szCs w:val="24"/>
                          </w:rPr>
                          <w:t xml:space="preserve"> </w:t>
                        </w:r>
                        <w:r>
                          <w:rPr>
                            <w:bCs/>
                            <w:iCs/>
                            <w:szCs w:val="24"/>
                          </w:rPr>
                          <w:t>užsiėmimų skaičius.</w:t>
                        </w:r>
                      </w:p>
                    </w:tc>
                    <w:tc>
                      <w:tcPr>
                        <w:tcW w:w="1276" w:type="dxa"/>
                      </w:tcPr>
                      <w:p>
                        <w:pPr>
                          <w:rPr>
                            <w:szCs w:val="24"/>
                          </w:rPr>
                        </w:pPr>
                        <w:r>
                          <w:rPr>
                            <w:szCs w:val="24"/>
                          </w:rPr>
                          <w:t>40/50</w:t>
                        </w:r>
                      </w:p>
                    </w:tc>
                    <w:tc>
                      <w:tcPr>
                        <w:tcW w:w="992" w:type="dxa"/>
                      </w:tcPr>
                      <w:p>
                        <w:pPr>
                          <w:rPr>
                            <w:szCs w:val="24"/>
                          </w:rPr>
                        </w:pPr>
                        <w:r>
                          <w:rPr>
                            <w:szCs w:val="24"/>
                          </w:rPr>
                          <w:t>41/50</w:t>
                        </w:r>
                      </w:p>
                    </w:tc>
                    <w:tc>
                      <w:tcPr>
                        <w:tcW w:w="3260" w:type="dxa"/>
                      </w:tcPr>
                      <w:p>
                        <w:pPr>
                          <w:rPr>
                            <w:szCs w:val="24"/>
                          </w:rPr>
                        </w:pPr>
                        <w:r>
                          <w:rPr>
                            <w:szCs w:val="24"/>
                          </w:rPr>
                          <w:t>Įvykdymas siekia 102,5/100 proc. Išaugo poreikis.</w:t>
                        </w:r>
                      </w:p>
                    </w:tc>
                  </w:tr>
                  <w:tr>
                    <w:trPr>
                      <w:trHeight w:val="500"/>
                    </w:trPr>
                    <w:tc>
                      <w:tcPr>
                        <w:tcW w:w="4508" w:type="dxa"/>
                      </w:tcPr>
                      <w:p>
                        <w:pPr>
                          <w:rPr>
                            <w:szCs w:val="24"/>
                          </w:rPr>
                        </w:pPr>
                        <w:r>
                          <w:rPr>
                            <w:bCs/>
                            <w:iCs/>
                            <w:szCs w:val="24"/>
                          </w:rPr>
                          <w:t>1.4.6.</w:t>
                        </w:r>
                        <w:r>
                          <w:rPr>
                            <w:szCs w:val="24"/>
                          </w:rPr>
                          <w:t xml:space="preserve"> </w:t>
                        </w:r>
                        <w:r>
                          <w:rPr>
                            <w:bCs/>
                            <w:iCs/>
                            <w:szCs w:val="24"/>
                          </w:rPr>
                          <w:t xml:space="preserve">Širdies ir kraujagyslių ligų ir cukrinio diabeto  prevencija.</w:t>
                        </w:r>
                        <w:r>
                          <w:rPr>
                            <w:szCs w:val="24"/>
                          </w:rPr>
                          <w:t xml:space="preserve"> </w:t>
                        </w:r>
                        <w:r>
                          <w:rPr>
                            <w:bCs/>
                            <w:iCs/>
                            <w:szCs w:val="24"/>
                          </w:rPr>
                          <w:t xml:space="preserve">Asmenų (65+), baigusių  Sveikatos stiprinimo programą, skaičius/</w:t>
                        </w:r>
                        <w:r>
                          <w:rPr>
                            <w:szCs w:val="24"/>
                          </w:rPr>
                          <w:t xml:space="preserve"> </w:t>
                        </w:r>
                        <w:r>
                          <w:rPr>
                            <w:bCs/>
                            <w:iCs/>
                            <w:szCs w:val="24"/>
                          </w:rPr>
                          <w:t>grupinių užsiėmimų skaičius.</w:t>
                        </w:r>
                      </w:p>
                    </w:tc>
                    <w:tc>
                      <w:tcPr>
                        <w:tcW w:w="1276" w:type="dxa"/>
                      </w:tcPr>
                      <w:p>
                        <w:pPr>
                          <w:rPr>
                            <w:szCs w:val="24"/>
                          </w:rPr>
                        </w:pPr>
                        <w:r>
                          <w:rPr>
                            <w:szCs w:val="24"/>
                          </w:rPr>
                          <w:t>56/16</w:t>
                        </w:r>
                      </w:p>
                    </w:tc>
                    <w:tc>
                      <w:tcPr>
                        <w:tcW w:w="992" w:type="dxa"/>
                      </w:tcPr>
                      <w:p>
                        <w:pPr>
                          <w:rPr>
                            <w:szCs w:val="24"/>
                          </w:rPr>
                        </w:pPr>
                        <w:r>
                          <w:rPr>
                            <w:szCs w:val="24"/>
                          </w:rPr>
                          <w:t>58/15</w:t>
                        </w:r>
                      </w:p>
                    </w:tc>
                    <w:tc>
                      <w:tcPr>
                        <w:tcW w:w="3260" w:type="dxa"/>
                      </w:tcPr>
                      <w:p>
                        <w:pPr>
                          <w:ind w:firstLine="62"/>
                          <w:rPr>
                            <w:color w:val="000000"/>
                            <w:szCs w:val="24"/>
                          </w:rPr>
                        </w:pPr>
                        <w:r>
                          <w:rPr>
                            <w:szCs w:val="24"/>
                          </w:rPr>
                          <w:t xml:space="preserve">Įvykdymas siekia 103,6/93,75 proc. Išaugus poreikiui, </w:t>
                        </w:r>
                        <w:r>
                          <w:rPr>
                            <w:color w:val="000000"/>
                            <w:szCs w:val="24"/>
                          </w:rPr>
                          <w:t>programoje dalyvavo didesnis skaičius žmonių nei planuota.</w:t>
                        </w:r>
                      </w:p>
                    </w:tc>
                  </w:tr>
                  <w:tr>
                    <w:tc>
                      <w:tcPr>
                        <w:tcW w:w="4508" w:type="dxa"/>
                      </w:tcPr>
                      <w:p>
                        <w:pPr>
                          <w:rPr>
                            <w:szCs w:val="24"/>
                          </w:rPr>
                        </w:pPr>
                        <w:r>
                          <w:rPr>
                            <w:bCs/>
                            <w:iCs/>
                            <w:szCs w:val="24"/>
                          </w:rPr>
                          <w:t>1.4.7. Burnos higienos užsiėmimų organizavimas.</w:t>
                        </w:r>
                      </w:p>
                    </w:tc>
                    <w:tc>
                      <w:tcPr>
                        <w:tcW w:w="1276" w:type="dxa"/>
                      </w:tcPr>
                      <w:p>
                        <w:pPr>
                          <w:rPr>
                            <w:szCs w:val="24"/>
                          </w:rPr>
                        </w:pPr>
                        <w:r>
                          <w:rPr>
                            <w:szCs w:val="24"/>
                          </w:rPr>
                          <w:t>40/2</w:t>
                        </w:r>
                      </w:p>
                    </w:tc>
                    <w:tc>
                      <w:tcPr>
                        <w:tcW w:w="992" w:type="dxa"/>
                      </w:tcPr>
                      <w:p>
                        <w:pPr>
                          <w:rPr>
                            <w:szCs w:val="24"/>
                          </w:rPr>
                        </w:pPr>
                        <w:r>
                          <w:rPr>
                            <w:szCs w:val="24"/>
                          </w:rPr>
                          <w:t>56/2</w:t>
                        </w:r>
                      </w:p>
                    </w:tc>
                    <w:tc>
                      <w:tcPr>
                        <w:tcW w:w="3260" w:type="dxa"/>
                      </w:tcPr>
                      <w:p>
                        <w:pPr>
                          <w:ind w:firstLine="62"/>
                          <w:rPr>
                            <w:szCs w:val="24"/>
                          </w:rPr>
                        </w:pPr>
                        <w:r>
                          <w:rPr>
                            <w:szCs w:val="24"/>
                          </w:rPr>
                          <w:t>Įvykdymas siekia 140/100proc. Išaugus poreikiui, užsiėmimuose dalyvavo didesnis skaičius dalyvių nei planuota.</w:t>
                        </w:r>
                      </w:p>
                    </w:tc>
                  </w:tr>
                  <w:tr>
                    <w:trPr>
                      <w:trHeight w:val="467"/>
                    </w:trPr>
                    <w:tc>
                      <w:tcPr>
                        <w:tcW w:w="4508" w:type="dxa"/>
                      </w:tcPr>
                      <w:p>
                        <w:pPr>
                          <w:rPr>
                            <w:szCs w:val="24"/>
                          </w:rPr>
                        </w:pPr>
                        <w:r>
                          <w:rPr>
                            <w:bCs/>
                            <w:iCs/>
                            <w:szCs w:val="24"/>
                          </w:rPr>
                          <w:t>1.4.8. Užkrečiamųjų ligų prevencijos skatinimas ir supratimo apie mikroorganizmų atsparumą antimikrobinėms medžiagoms didinimas. Asmenų, dalyvavusių užsiėmimuose, skaičius/ užsiėmimų skaičius.</w:t>
                        </w:r>
                      </w:p>
                    </w:tc>
                    <w:tc>
                      <w:tcPr>
                        <w:tcW w:w="1276" w:type="dxa"/>
                      </w:tcPr>
                      <w:p>
                        <w:pPr>
                          <w:rPr>
                            <w:szCs w:val="24"/>
                          </w:rPr>
                        </w:pPr>
                        <w:r>
                          <w:rPr>
                            <w:szCs w:val="24"/>
                          </w:rPr>
                          <w:t>200/8</w:t>
                        </w:r>
                      </w:p>
                    </w:tc>
                    <w:tc>
                      <w:tcPr>
                        <w:tcW w:w="992" w:type="dxa"/>
                      </w:tcPr>
                      <w:p>
                        <w:pPr>
                          <w:rPr>
                            <w:szCs w:val="24"/>
                          </w:rPr>
                        </w:pPr>
                        <w:r>
                          <w:rPr>
                            <w:szCs w:val="24"/>
                          </w:rPr>
                          <w:t>465/9</w:t>
                        </w:r>
                      </w:p>
                    </w:tc>
                    <w:tc>
                      <w:tcPr>
                        <w:tcW w:w="3260" w:type="dxa"/>
                      </w:tcPr>
                      <w:p>
                        <w:pPr>
                          <w:rPr>
                            <w:szCs w:val="24"/>
                          </w:rPr>
                        </w:pPr>
                        <w:r>
                          <w:rPr>
                            <w:szCs w:val="24"/>
                          </w:rPr>
                          <w:t xml:space="preserve">Įvykdymas siekia 232,5/112,5 proc. </w:t>
                        </w:r>
                      </w:p>
                      <w:p>
                        <w:pPr>
                          <w:rPr>
                            <w:color w:val="000000"/>
                            <w:szCs w:val="24"/>
                          </w:rPr>
                        </w:pPr>
                        <w:r>
                          <w:rPr>
                            <w:szCs w:val="24"/>
                          </w:rPr>
                          <w:t>Renginiai sulaukė didelio dalyvių susidomėjimo, dalyvavo daugiau dalyvių nei planuota.</w:t>
                        </w:r>
                      </w:p>
                    </w:tc>
                  </w:tr>
                  <w:tr>
                    <w:trPr>
                      <w:trHeight w:val="201"/>
                    </w:trPr>
                    <w:tc>
                      <w:tcPr>
                        <w:tcW w:w="4508" w:type="dxa"/>
                      </w:tcPr>
                      <w:p>
                        <w:pPr>
                          <w:rPr>
                            <w:szCs w:val="24"/>
                          </w:rPr>
                        </w:pPr>
                        <w:r>
                          <w:rPr>
                            <w:bCs/>
                            <w:iCs/>
                            <w:szCs w:val="24"/>
                          </w:rPr>
                          <w:t>1.4.9. Visuomenės sveikatos stebėsenos vykdymas. Tyrimo ataskaitų skaičius.</w:t>
                        </w:r>
                      </w:p>
                    </w:tc>
                    <w:tc>
                      <w:tcPr>
                        <w:tcW w:w="1276" w:type="dxa"/>
                      </w:tcPr>
                      <w:p>
                        <w:pPr>
                          <w:rPr>
                            <w:szCs w:val="24"/>
                          </w:rPr>
                        </w:pPr>
                        <w:r>
                          <w:rPr>
                            <w:szCs w:val="24"/>
                          </w:rPr>
                          <w:t>1</w:t>
                        </w:r>
                      </w:p>
                    </w:tc>
                    <w:tc>
                      <w:tcPr>
                        <w:tcW w:w="992" w:type="dxa"/>
                      </w:tcPr>
                      <w:p>
                        <w:pPr>
                          <w:rPr>
                            <w:szCs w:val="24"/>
                          </w:rPr>
                        </w:pPr>
                        <w:r>
                          <w:rPr>
                            <w:szCs w:val="24"/>
                          </w:rPr>
                          <w:t>1</w:t>
                        </w:r>
                      </w:p>
                    </w:tc>
                    <w:tc>
                      <w:tcPr>
                        <w:tcW w:w="3260" w:type="dxa"/>
                      </w:tcPr>
                      <w:p>
                        <w:pPr>
                          <w:rPr>
                            <w:szCs w:val="24"/>
                          </w:rPr>
                        </w:pPr>
                        <w:r>
                          <w:rPr>
                            <w:szCs w:val="24"/>
                          </w:rPr>
                          <w:t>Įvykdymas siekia 100 proc.</w:t>
                        </w:r>
                      </w:p>
                    </w:tc>
                  </w:tr>
                  <w:tr>
                    <w:tc>
                      <w:tcPr>
                        <w:tcW w:w="10036" w:type="dxa"/>
                        <w:gridSpan w:val="4"/>
                      </w:tcPr>
                      <w:p>
                        <w:pPr>
                          <w:rPr>
                            <w:b/>
                            <w:szCs w:val="24"/>
                          </w:rPr>
                        </w:pPr>
                        <w:r>
                          <w:rPr>
                            <w:b/>
                            <w:color w:val="000000"/>
                            <w:szCs w:val="24"/>
                          </w:rPr>
                          <w:t xml:space="preserve">1.5. Kita. </w:t>
                        </w:r>
                      </w:p>
                    </w:tc>
                  </w:tr>
                  <w:tr>
                    <w:tc>
                      <w:tcPr>
                        <w:tcW w:w="4508" w:type="dxa"/>
                      </w:tcPr>
                      <w:p>
                        <w:pPr>
                          <w:rPr>
                            <w:szCs w:val="24"/>
                          </w:rPr>
                        </w:pPr>
                        <w:r>
                          <w:rPr>
                            <w:color w:val="000000"/>
                            <w:szCs w:val="24"/>
                          </w:rPr>
                          <w:t>1.5.1. Visuomenės sveikatos specialistų, dirbančių ugdymo įstaigose ir kėlusių kvalifikaciją skaičius/dalis</w:t>
                        </w:r>
                      </w:p>
                    </w:tc>
                    <w:tc>
                      <w:tcPr>
                        <w:tcW w:w="1276" w:type="dxa"/>
                      </w:tcPr>
                      <w:p>
                        <w:pPr>
                          <w:rPr>
                            <w:szCs w:val="24"/>
                          </w:rPr>
                        </w:pPr>
                        <w:r>
                          <w:rPr>
                            <w:szCs w:val="24"/>
                          </w:rPr>
                          <w:t>11/100</w:t>
                        </w:r>
                      </w:p>
                    </w:tc>
                    <w:tc>
                      <w:tcPr>
                        <w:tcW w:w="992" w:type="dxa"/>
                      </w:tcPr>
                      <w:p>
                        <w:pPr>
                          <w:suppressAutoHyphens/>
                          <w:spacing w:line="276" w:lineRule="auto"/>
                          <w:textAlignment w:val="baseline"/>
                          <w:rPr>
                            <w:szCs w:val="24"/>
                          </w:rPr>
                        </w:pPr>
                        <w:r>
                          <w:rPr>
                            <w:szCs w:val="24"/>
                          </w:rPr>
                          <w:t>11/100</w:t>
                        </w:r>
                      </w:p>
                    </w:tc>
                    <w:tc>
                      <w:tcPr>
                        <w:tcW w:w="3260" w:type="dxa"/>
                      </w:tcPr>
                      <w:p>
                        <w:pPr>
                          <w:rPr>
                            <w:szCs w:val="24"/>
                          </w:rPr>
                        </w:pPr>
                        <w:r>
                          <w:rPr>
                            <w:szCs w:val="24"/>
                          </w:rPr>
                          <w:t>Įvykdymas siekia 100 proc.</w:t>
                        </w:r>
                      </w:p>
                    </w:tc>
                  </w:tr>
                  <w:tr>
                    <w:trPr>
                      <w:trHeight w:val="387"/>
                    </w:trPr>
                    <w:tc>
                      <w:tcPr>
                        <w:tcW w:w="4508" w:type="dxa"/>
                      </w:tcPr>
                      <w:p>
                        <w:pPr>
                          <w:rPr>
                            <w:szCs w:val="24"/>
                          </w:rPr>
                        </w:pPr>
                        <w:r>
                          <w:rPr>
                            <w:color w:val="000000"/>
                            <w:szCs w:val="24"/>
                          </w:rPr>
                          <w:t xml:space="preserve">1.5.2. Visuomenės sveikatos specialistų, išskyrus dirbančius ugdymo įstaigose,  kėlusių kvalifikaciją skaičius</w:t>
                        </w:r>
                      </w:p>
                    </w:tc>
                    <w:tc>
                      <w:tcPr>
                        <w:tcW w:w="1276" w:type="dxa"/>
                      </w:tcPr>
                      <w:p>
                        <w:pPr>
                          <w:rPr>
                            <w:szCs w:val="24"/>
                          </w:rPr>
                        </w:pPr>
                        <w:r>
                          <w:rPr>
                            <w:szCs w:val="24"/>
                          </w:rPr>
                          <w:t>6/100</w:t>
                        </w:r>
                      </w:p>
                    </w:tc>
                    <w:tc>
                      <w:tcPr>
                        <w:tcW w:w="992" w:type="dxa"/>
                      </w:tcPr>
                      <w:p>
                        <w:pPr>
                          <w:rPr>
                            <w:szCs w:val="24"/>
                          </w:rPr>
                        </w:pPr>
                        <w:r>
                          <w:rPr>
                            <w:szCs w:val="24"/>
                          </w:rPr>
                          <w:t>5/83</w:t>
                        </w:r>
                      </w:p>
                    </w:tc>
                    <w:tc>
                      <w:tcPr>
                        <w:tcW w:w="3260" w:type="dxa"/>
                      </w:tcPr>
                      <w:p>
                        <w:pPr>
                          <w:rPr>
                            <w:szCs w:val="24"/>
                          </w:rPr>
                        </w:pPr>
                        <w:r>
                          <w:rPr>
                            <w:szCs w:val="24"/>
                          </w:rPr>
                          <w:t>Įvykdymas siekia 83/83 proc.</w:t>
                        </w:r>
                      </w:p>
                      <w:p>
                        <w:pPr>
                          <w:rPr>
                            <w:szCs w:val="24"/>
                          </w:rPr>
                        </w:pPr>
                      </w:p>
                    </w:tc>
                  </w:tr>
                  <w:tr>
                    <w:trPr>
                      <w:trHeight w:val="70"/>
                    </w:trPr>
                    <w:tc>
                      <w:tcPr>
                        <w:tcW w:w="4508" w:type="dxa"/>
                      </w:tcPr>
                      <w:p>
                        <w:pPr>
                          <w:rPr>
                            <w:szCs w:val="24"/>
                          </w:rPr>
                        </w:pPr>
                        <w:r>
                          <w:rPr>
                            <w:color w:val="000000"/>
                            <w:szCs w:val="24"/>
                          </w:rPr>
                          <w:t xml:space="preserve">1.5.3. Visuomenės sveikatos  biuro darbuotojų, išskyrus nurodytus 4.1.1.1. ir 4.1.1.3.  punktuose,  kėlusių kvalifikaciją skaičius/dalis.</w:t>
                        </w:r>
                      </w:p>
                    </w:tc>
                    <w:tc>
                      <w:tcPr>
                        <w:tcW w:w="1276" w:type="dxa"/>
                      </w:tcPr>
                      <w:p>
                        <w:pPr>
                          <w:rPr>
                            <w:szCs w:val="24"/>
                          </w:rPr>
                        </w:pPr>
                        <w:r>
                          <w:rPr>
                            <w:szCs w:val="24"/>
                          </w:rPr>
                          <w:t>6/75</w:t>
                        </w:r>
                      </w:p>
                    </w:tc>
                    <w:tc>
                      <w:tcPr>
                        <w:tcW w:w="992" w:type="dxa"/>
                      </w:tcPr>
                      <w:p>
                        <w:pPr>
                          <w:rPr>
                            <w:szCs w:val="24"/>
                          </w:rPr>
                        </w:pPr>
                        <w:r>
                          <w:rPr>
                            <w:szCs w:val="24"/>
                          </w:rPr>
                          <w:t>6/75</w:t>
                        </w:r>
                      </w:p>
                    </w:tc>
                    <w:tc>
                      <w:tcPr>
                        <w:tcW w:w="3260" w:type="dxa"/>
                      </w:tcPr>
                      <w:p>
                        <w:pPr>
                          <w:rPr>
                            <w:szCs w:val="24"/>
                          </w:rPr>
                        </w:pPr>
                        <w:r>
                          <w:rPr>
                            <w:szCs w:val="24"/>
                          </w:rPr>
                          <w:t>Įvykdymas siekia 100 proc.</w:t>
                        </w:r>
                      </w:p>
                    </w:tc>
                  </w:tr>
                  <w:tr>
                    <w:trPr>
                      <w:trHeight w:val="70"/>
                    </w:trPr>
                    <w:tc>
                      <w:tcPr>
                        <w:tcW w:w="4508" w:type="dxa"/>
                      </w:tcPr>
                      <w:p>
                        <w:pPr>
                          <w:rPr>
                            <w:szCs w:val="24"/>
                          </w:rPr>
                        </w:pPr>
                        <w:r>
                          <w:rPr>
                            <w:color w:val="000000"/>
                            <w:szCs w:val="24"/>
                          </w:rPr>
                          <w:t xml:space="preserve">1.5.4. Sveikos gyvensenos viešinimas.  Informacijos pateikčių** skaičius</w:t>
                        </w:r>
                      </w:p>
                    </w:tc>
                    <w:tc>
                      <w:tcPr>
                        <w:tcW w:w="1276" w:type="dxa"/>
                      </w:tcPr>
                      <w:p>
                        <w:pPr>
                          <w:rPr>
                            <w:szCs w:val="24"/>
                          </w:rPr>
                        </w:pPr>
                        <w:r>
                          <w:rPr>
                            <w:szCs w:val="24"/>
                          </w:rPr>
                          <w:t>400</w:t>
                        </w:r>
                      </w:p>
                    </w:tc>
                    <w:tc>
                      <w:tcPr>
                        <w:tcW w:w="992" w:type="dxa"/>
                      </w:tcPr>
                      <w:p>
                        <w:pPr>
                          <w:rPr>
                            <w:szCs w:val="24"/>
                          </w:rPr>
                        </w:pPr>
                        <w:r>
                          <w:rPr>
                            <w:szCs w:val="24"/>
                          </w:rPr>
                          <w:t>1280</w:t>
                        </w:r>
                      </w:p>
                    </w:tc>
                    <w:tc>
                      <w:tcPr>
                        <w:tcW w:w="3260" w:type="dxa"/>
                      </w:tcPr>
                      <w:p>
                        <w:pPr>
                          <w:rPr>
                            <w:szCs w:val="24"/>
                          </w:rPr>
                        </w:pPr>
                        <w:r>
                          <w:rPr>
                            <w:szCs w:val="24"/>
                          </w:rPr>
                          <w:t>Įvykdymas siekia 320 proc.</w:t>
                        </w:r>
                      </w:p>
                    </w:tc>
                  </w:tr>
                </w:tbl>
                <w:p>
                  <w:pPr>
                    <w:suppressAutoHyphens/>
                    <w:spacing w:line="276" w:lineRule="auto"/>
                    <w:textAlignment w:val="baseline"/>
                    <w:rPr>
                      <w:rFonts w:eastAsia="Calibri"/>
                      <w:szCs w:val="24"/>
                    </w:rPr>
                  </w:pPr>
                  <w:r>
                    <w:rPr>
                      <w:rFonts w:eastAsia="Calibri"/>
                      <w:szCs w:val="24"/>
                    </w:rPr>
                    <w:t>Pastabos:</w:t>
                  </w:r>
                </w:p>
                <w:p>
                  <w:pPr>
                    <w:suppressAutoHyphens/>
                    <w:spacing w:line="276" w:lineRule="auto"/>
                    <w:textAlignment w:val="baseline"/>
                    <w:rPr>
                      <w:rFonts w:eastAsia="Calibri"/>
                      <w:szCs w:val="24"/>
                    </w:rPr>
                  </w:pPr>
                  <w:r>
                    <w:rPr>
                      <w:rFonts w:eastAsia="Calibri"/>
                      <w:szCs w:val="24"/>
                    </w:rPr>
                    <w:t>*Radviliškio rajono savivaldybės valstybinių (valstybės perduotų savivaldybėms) visuomenės sveikatos priežiūros funkcijų bazinių visuomenės sveikatos priežiūros paslaugų teikimo plano įgyvendinimo 2025 metų ataskaita.</w:t>
                  </w:r>
                </w:p>
                <w:p>
                  <w:pPr>
                    <w:suppressAutoHyphens/>
                    <w:spacing w:line="276" w:lineRule="auto"/>
                    <w:textAlignment w:val="baseline"/>
                    <w:rPr>
                      <w:rFonts w:eastAsia="Calibri"/>
                      <w:szCs w:val="24"/>
                    </w:rPr>
                  </w:pPr>
                </w:p>
                <w:p>
                  <w:pPr>
                    <w:suppressAutoHyphens/>
                    <w:ind w:firstLine="567"/>
                    <w:textAlignment w:val="baseline"/>
                    <w:rPr>
                      <w:rFonts w:eastAsia="Calibri"/>
                      <w:szCs w:val="24"/>
                    </w:rPr>
                  </w:pPr>
                  <w:r>
                    <w:rPr>
                      <w:rFonts w:eastAsia="Calibri"/>
                      <w:szCs w:val="24"/>
                    </w:rPr>
                    <w:t>2025 metai Radviliškio rajono visuomenės sveikatos biurui buvo aktyvūs ir rezultatyvūs – įgyvendinti svarbūs visuomenės sveikatos stiprinimo projektai. Biuras sėkmingai vykdė tiek valstybines, tiek savarankiškas visuomenės sveikatos priežiūros funkcijas, siekdamas didinti sveikatos paslaugų prieinamumą ir gerinti gyventojų gyvenimo kokybę.</w:t>
                  </w:r>
                </w:p>
                <w:p>
                  <w:pPr>
                    <w:suppressAutoHyphens/>
                    <w:ind w:firstLine="567"/>
                    <w:textAlignment w:val="baseline"/>
                    <w:rPr>
                      <w:rFonts w:eastAsia="Calibri"/>
                      <w:szCs w:val="24"/>
                    </w:rPr>
                  </w:pPr>
                  <w:r>
                    <w:rPr>
                      <w:rFonts w:eastAsia="Calibri"/>
                      <w:szCs w:val="24"/>
                    </w:rPr>
                    <w:t>Siekiant toliau gerinti veiklą ir plėsti paslaugų apimtis, būtina užtikrinti pakankamą ir stabiliai augantį finansavimą. Tai leistų ne tik išlaikyti esamą veiklos kokybę, bet ir kurti naujas sveikatinimo programas, stiprinti prevencines iniciatyvas. Dėl to svarbu aktyviai siekti papildomų finansavimo šaltinių tiek iš valstybės, tiek iš savivaldybės, taip pat dalyvauti įvairiuose projektuose bei iniciatyvose, kurios padėtų pritraukti papildomas lėšas.</w:t>
                  </w:r>
                </w:p>
                <w:p>
                  <w:pPr>
                    <w:suppressAutoHyphens/>
                    <w:ind w:firstLine="567"/>
                    <w:textAlignment w:val="baseline"/>
                    <w:rPr>
                      <w:rFonts w:eastAsia="Calibri"/>
                      <w:szCs w:val="24"/>
                    </w:rPr>
                  </w:pPr>
                  <w:r>
                    <w:rPr>
                      <w:rFonts w:eastAsia="Calibri"/>
                      <w:szCs w:val="24"/>
                    </w:rPr>
                    <w:t xml:space="preserve">Apibendrinant, Biuro veikla 2025 metais užtikrino kokybiškas visuomenės sveikatos priežiūros paslaugas, skatino bendruomenės sveikatos raštingumą ir aktyvų įsitraukimą.                                                                                       </w:t>
                  </w:r>
                </w:p>
                <w:p>
                  <w:pPr>
                    <w:shd w:val="clear" w:color="auto" w:fill="FFFFFF"/>
                    <w:ind w:firstLine="2852"/>
                    <w:rPr>
                      <w:rFonts w:eastAsia="Calibri"/>
                      <w:szCs w:val="24"/>
                    </w:rPr>
                  </w:pPr>
                </w:p>
              </w:sdtContent>
            </w:sdt>
            <w:sdt>
              <w:sdtPr>
                <w:alias w:val="poskyris"/>
                <w:tag w:val="part_28294d274e6a4ab29b37111b9c6853c1"/>
                <w:lock w:val="sdtLocked"/>
                <w:richText/>
              </w:sdtPr>
              <w:sdtContent>
                <w:p>
                  <w:pPr>
                    <w:shd w:val="clear" w:color="auto" w:fill="FFFFFF"/>
                    <w:jc w:val="center"/>
                    <w:rPr>
                      <w:b/>
                      <w:bCs/>
                      <w:color w:val="212529"/>
                      <w:szCs w:val="24"/>
                      <w:lang w:eastAsia="lt-LT"/>
                    </w:rPr>
                  </w:pPr>
                  <w:sdt>
                    <w:sdtPr>
                      <w:alias w:val="Pavadinimas"/>
                      <w:tag w:val="title_28294d274e6a4ab29b37111b9c6853c1"/>
                      <w:lock w:val="sdtLocked"/>
                      <w:richText/>
                    </w:sdtPr>
                    <w:sdtContent>
                      <w:r>
                        <w:rPr>
                          <w:b/>
                          <w:bCs/>
                          <w:color w:val="212529"/>
                          <w:szCs w:val="24"/>
                          <w:lang w:eastAsia="lt-LT"/>
                        </w:rPr>
                        <w:t>VIEŠOJI ĮSTAIGA ŠEDUVOS PIRMINĖS SVEIKATOS PRIEŽIŪROS CENTRAS</w:t>
                      </w:r>
                    </w:sdtContent>
                  </w:sdt>
                </w:p>
                <w:p>
                  <w:pPr>
                    <w:rPr>
                      <w:rFonts w:eastAsia="Calibri"/>
                      <w:b/>
                      <w:szCs w:val="24"/>
                    </w:rPr>
                  </w:pPr>
                </w:p>
                <w:p>
                  <w:pPr>
                    <w:ind w:firstLine="620"/>
                    <w:rPr>
                      <w:szCs w:val="24"/>
                      <w:lang w:eastAsia="lt-LT"/>
                    </w:rPr>
                  </w:pPr>
                  <w:r>
                    <w:rPr>
                      <w:szCs w:val="24"/>
                      <w:lang w:eastAsia="lt-LT"/>
                    </w:rPr>
                    <w:t>2025 metai VšĮ Šeduvos pirminės sveikatos priežiūros centrui buvo stabilios veiklos ir nuoseklaus paslaugų teikimo metai. Įstaiga užtikrino kokybišką ir prieinamą pirminę asmens sveikatos priežiūrą bei, būdama Radviliškio rajono sveikatos centro dalimi, prisidėjo prie gyventojų sveikatos rodiklių gerinimo.</w:t>
                  </w:r>
                </w:p>
                <w:p>
                  <w:pPr>
                    <w:ind w:firstLine="620"/>
                    <w:rPr>
                      <w:szCs w:val="24"/>
                      <w:lang w:eastAsia="lt-LT"/>
                    </w:rPr>
                  </w:pPr>
                  <w:r>
                    <w:rPr>
                      <w:szCs w:val="24"/>
                      <w:lang w:eastAsia="lt-LT"/>
                    </w:rPr>
                    <w:t>Didelis dėmesys skirtas paslaugų organizavimo efektyvumui, prevencinių programų plėtrai, ankstyvajai diagnostikai ir lėtinių ligų stebėsenai. Taip pat gerintos veiklos sąlygos – atnaujinta infrastruktūra, tobulinti darbo procesai, stiprintos darbuotojų kompetencijos.</w:t>
                  </w:r>
                </w:p>
                <w:p>
                  <w:pPr>
                    <w:ind w:firstLine="620"/>
                    <w:rPr>
                      <w:szCs w:val="24"/>
                      <w:lang w:eastAsia="lt-LT"/>
                    </w:rPr>
                  </w:pPr>
                  <w:r>
                    <w:rPr>
                      <w:szCs w:val="24"/>
                      <w:lang w:eastAsia="lt-LT"/>
                    </w:rPr>
                    <w:t>Įstaiga išlaikė finansinį stabilumą ir veiklos efektyvumą – 2025 metų rezultatas teigiamas, užfiksuotas 12 715,38 Eur perviršis. Toliau bus siekiama užtikrinti kokybiškas, saugias ir pacientų lūkesčius atitinkančias paslaugas bei stiprinti prevencinę veiklą.</w:t>
                  </w:r>
                </w:p>
                <w:p>
                  <w:pPr>
                    <w:rPr>
                      <w:sz w:val="8"/>
                      <w:szCs w:val="8"/>
                    </w:rPr>
                  </w:pPr>
                </w:p>
              </w:sdtContent>
            </w:sdt>
            <w:sdt>
              <w:sdtPr>
                <w:alias w:val="poskyris"/>
                <w:tag w:val="part_56bc1d50f0b6471bbfbd650168a6632e"/>
                <w:lock w:val="sdtLocked"/>
                <w:richText/>
              </w:sdtPr>
              <w:sdtContent>
                <w:p>
                  <w:pPr>
                    <w:jc w:val="center"/>
                    <w:rPr>
                      <w:b/>
                      <w:bCs/>
                      <w:szCs w:val="24"/>
                    </w:rPr>
                  </w:pPr>
                  <w:sdt>
                    <w:sdtPr>
                      <w:alias w:val="Pavadinimas"/>
                      <w:tag w:val="title_56bc1d50f0b6471bbfbd650168a6632e"/>
                      <w:lock w:val="sdtLocked"/>
                      <w:richText/>
                    </w:sdtPr>
                    <w:sdtContent>
                      <w:r>
                        <w:rPr>
                          <w:b/>
                          <w:bCs/>
                          <w:szCs w:val="24"/>
                        </w:rPr>
                        <w:t>Bendroji informacija</w:t>
                      </w:r>
                    </w:sdtContent>
                  </w:sdt>
                </w:p>
                <w:p>
                  <w:pPr>
                    <w:rPr>
                      <w:b/>
                      <w:bCs/>
                      <w:szCs w:val="24"/>
                    </w:rPr>
                  </w:pPr>
                </w:p>
                <w:p>
                  <w:pPr>
                    <w:ind w:firstLine="682"/>
                    <w:rPr>
                      <w:szCs w:val="24"/>
                    </w:rPr>
                  </w:pPr>
                  <w:r>
                    <w:rPr>
                      <w:szCs w:val="24"/>
                    </w:rPr>
                    <w:t>Viešoji įstaiga Šeduvos pirminės sveikatos priežiūros centras, įstaigos kodas 171649910, yra Lietuvos nacionalinės sveikatos sistemos viešoji asmens sveikatos priežiūros įstaiga, vykdanti pirminės asmens sveikatos priežiūros veiklą.</w:t>
                  </w:r>
                </w:p>
                <w:p>
                  <w:pPr>
                    <w:ind w:firstLine="567"/>
                    <w:rPr>
                      <w:szCs w:val="24"/>
                    </w:rPr>
                  </w:pPr>
                  <w:r>
                    <w:rPr>
                      <w:szCs w:val="24"/>
                    </w:rPr>
                    <w:t>Įstaigos steigėjas – Radviliškio rajono savivaldybė.</w:t>
                  </w:r>
                </w:p>
                <w:p>
                  <w:pPr>
                    <w:ind w:firstLine="567"/>
                    <w:rPr>
                      <w:szCs w:val="24"/>
                    </w:rPr>
                  </w:pPr>
                  <w:r>
                    <w:rPr>
                      <w:szCs w:val="24"/>
                    </w:rPr>
                    <w:t>Įstaigos buveinės ir veiklos adresai:</w:t>
                    <w:br/>
                    <w:t>– Laisvės a. 29, Šeduva, Radviliškio r.</w:t>
                    <w:br/>
                    <w:t>– Alksniupių ambulatorija – Algirdo g. 24, Alksniupiai, Radviliškio r.</w:t>
                    <w:br/>
                    <w:t>– Sidabravo ambulatorija – Vaižganto g. 4, Sidabravas, Radviliškio r.</w:t>
                  </w:r>
                </w:p>
                <w:p>
                  <w:pPr>
                    <w:ind w:firstLine="567"/>
                    <w:rPr>
                      <w:color w:val="000000"/>
                      <w:szCs w:val="24"/>
                    </w:rPr>
                  </w:pPr>
                  <w:r>
                    <w:rPr>
                      <w:szCs w:val="24"/>
                    </w:rPr>
                    <w:t>Įstaigos kontaktiniai duomenys:</w:t>
                    <w:br/>
                    <w:t>Telefonas: (8 422) 56 435</w:t>
                    <w:br/>
                    <w:t xml:space="preserve">El. paštas: </w:t>
                  </w:r>
                  <w:r>
                    <w:rPr>
                      <w:color w:val="000000"/>
                      <w:szCs w:val="24"/>
                      <w:u w:val="single"/>
                    </w:rPr>
                    <w:t>info@seduvospspc.lt</w:t>
                  </w:r>
                </w:p>
                <w:p>
                  <w:pPr>
                    <w:rPr>
                      <w:szCs w:val="24"/>
                    </w:rPr>
                  </w:pPr>
                  <w:r>
                    <w:rPr>
                      <w:color w:val="000000"/>
                      <w:szCs w:val="24"/>
                    </w:rPr>
                    <w:t xml:space="preserve">Svetainė: </w:t>
                  </w:r>
                  <w:r>
                    <w:rPr>
                      <w:color w:val="000000"/>
                      <w:szCs w:val="24"/>
                    </w:rPr>
                    <w:t>www.seduvospspc.lt</w:t>
                  </w:r>
                </w:p>
                <w:p>
                  <w:pPr>
                    <w:ind w:firstLine="567"/>
                    <w:rPr>
                      <w:szCs w:val="24"/>
                    </w:rPr>
                  </w:pPr>
                  <w:r>
                    <w:rPr>
                      <w:szCs w:val="24"/>
                    </w:rPr>
                    <w:t>Įstaigos vadovo pasikeitimas: 2025 metais VšĮ Šeduvos pirminės sveikatos priežiūros centre direktorės pareigas ėjo Vilma Plaušinaitienė, o nuo 2025 m. rugsėjo 15 d. laikinai direktorės funkcijas pradėjo vykdyti patarėja medicinai Greta Gudžiūnienė.</w:t>
                  </w:r>
                </w:p>
                <w:p>
                  <w:pPr>
                    <w:rPr>
                      <w:szCs w:val="24"/>
                    </w:rPr>
                  </w:pPr>
                  <w:r>
                    <w:rPr>
                      <w:szCs w:val="24"/>
                    </w:rPr>
                    <w:t>Finansiniai metai sutampa su kalendoriniais metais (2025 m.).</w:t>
                  </w:r>
                </w:p>
                <w:p>
                  <w:pPr>
                    <w:rPr>
                      <w:b/>
                      <w:bCs/>
                      <w:szCs w:val="24"/>
                    </w:rPr>
                  </w:pPr>
                </w:p>
              </w:sdtContent>
            </w:sdt>
            <w:sdt>
              <w:sdtPr>
                <w:alias w:val="poskyris"/>
                <w:tag w:val="part_d96d3eba637c415d82ad01c199adcaba"/>
                <w:lock w:val="sdtLocked"/>
                <w:richText/>
              </w:sdtPr>
              <w:sdtContent>
                <w:p>
                  <w:pPr>
                    <w:jc w:val="center"/>
                    <w:rPr>
                      <w:b/>
                      <w:bCs/>
                      <w:szCs w:val="24"/>
                    </w:rPr>
                  </w:pPr>
                  <w:sdt>
                    <w:sdtPr>
                      <w:alias w:val="Pavadinimas"/>
                      <w:tag w:val="title_d96d3eba637c415d82ad01c199adcaba"/>
                      <w:lock w:val="sdtLocked"/>
                      <w:richText/>
                    </w:sdtPr>
                    <w:sdtContent>
                      <w:r>
                        <w:rPr>
                          <w:b/>
                          <w:bCs/>
                          <w:szCs w:val="24"/>
                        </w:rPr>
                        <w:t>Žmogiškųjų išteklių valdymas</w:t>
                      </w:r>
                    </w:sdtContent>
                  </w:sdt>
                </w:p>
                <w:p>
                  <w:pPr>
                    <w:rPr>
                      <w:sz w:val="8"/>
                      <w:szCs w:val="8"/>
                    </w:rPr>
                  </w:pPr>
                </w:p>
                <w:p>
                  <w:pPr>
                    <w:spacing w:line="276" w:lineRule="auto"/>
                    <w:ind w:firstLine="434"/>
                    <w:rPr>
                      <w:szCs w:val="24"/>
                      <w:lang w:eastAsia="lt-LT"/>
                    </w:rPr>
                  </w:pPr>
                  <w:r>
                    <w:rPr>
                      <w:szCs w:val="24"/>
                      <w:lang w:eastAsia="lt-LT"/>
                    </w:rPr>
                    <w:t xml:space="preserve">Analizuojant įstaigoje dirbančių darbuotojų skaičių matyti, kad bendras personalo skaičius iš esmės išlieka stabilus. 2025 m. gruodžio 31 d. duomenimis, VšĮ Šeduvos PSPC dirbo 46 darbuotojai. Per ataskaitinį laikotarpį su įstaiga darbo santykius nutraukė </w:t>
                  </w:r>
                  <w:r>
                    <w:rPr>
                      <w:color w:val="000000"/>
                      <w:szCs w:val="24"/>
                      <w:lang w:eastAsia="lt-LT"/>
                    </w:rPr>
                    <w:t>IT specialistas</w:t>
                  </w:r>
                  <w:r>
                    <w:rPr>
                      <w:szCs w:val="24"/>
                      <w:lang w:eastAsia="lt-LT"/>
                    </w:rPr>
                    <w:t xml:space="preserve">, odontologo padėjėja, biomedicinos technologė, </w:t>
                  </w:r>
                  <w:r>
                    <w:rPr>
                      <w:color w:val="000000"/>
                      <w:szCs w:val="24"/>
                      <w:lang w:eastAsia="lt-LT"/>
                    </w:rPr>
                    <w:t xml:space="preserve">valytoja, </w:t>
                  </w:r>
                  <w:r>
                    <w:rPr>
                      <w:szCs w:val="24"/>
                      <w:lang w:eastAsia="lt-LT"/>
                    </w:rPr>
                    <w:t xml:space="preserve">šeimos gydytoja ir  direktorius. Tuo pačiu laikotarpiu į darbą buvo priimti: vyr. finansininko pavaduotoja, patarėja medicinai, </w:t>
                  </w:r>
                  <w:r>
                    <w:rPr>
                      <w:color w:val="000000"/>
                      <w:szCs w:val="24"/>
                      <w:lang w:eastAsia="lt-LT"/>
                    </w:rPr>
                    <w:t xml:space="preserve">IT specialistas, </w:t>
                  </w:r>
                  <w:r>
                    <w:rPr>
                      <w:szCs w:val="24"/>
                      <w:lang w:eastAsia="lt-LT"/>
                    </w:rPr>
                    <w:t>apylinkės administratorė, burnos higienistė. Dvi darbuotojos išėjo vaiko priežiūros atostogų, todėl personalo struktūroje fiksuoti natūralūs pokyčiai.</w:t>
                  </w:r>
                </w:p>
                <w:p>
                  <w:pPr>
                    <w:rPr>
                      <w:sz w:val="8"/>
                      <w:szCs w:val="8"/>
                    </w:rPr>
                  </w:pPr>
                </w:p>
              </w:sdtContent>
            </w:sdt>
            <w:sdt>
              <w:sdtPr>
                <w:alias w:val="poskyris"/>
                <w:tag w:val="part_5dc639e9dda34669a24047bc5e83ec23"/>
                <w:lock w:val="sdtLocked"/>
                <w:richText/>
              </w:sdtPr>
              <w:sdtContent>
                <w:p>
                  <w:pPr>
                    <w:spacing w:line="276" w:lineRule="auto"/>
                    <w:rPr>
                      <w:b/>
                      <w:bCs/>
                      <w:szCs w:val="24"/>
                    </w:rPr>
                  </w:pPr>
                  <w:sdt>
                    <w:sdtPr>
                      <w:alias w:val="Pavadinimas"/>
                      <w:tag w:val="title_5dc639e9dda34669a24047bc5e83ec23"/>
                      <w:lock w:val="sdtLocked"/>
                      <w:richText/>
                    </w:sdtPr>
                    <w:sdtContent>
                      <w:r>
                        <w:rPr>
                          <w:b/>
                          <w:bCs/>
                          <w:szCs w:val="24"/>
                        </w:rPr>
                        <w:t xml:space="preserve">Duomenys apie darbo užmokesčio 1 mėnesio pokytį 2024-2025 m.                                                 </w:t>
                      </w:r>
                    </w:sdtContent>
                  </w:sdt>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843"/>
                    <w:gridCol w:w="1701"/>
                    <w:gridCol w:w="2126"/>
                  </w:tblGrid>
                  <w:tr>
                    <w:trPr>
                      <w:trHeight w:val="371"/>
                      <w:jc w:val="center"/>
                    </w:trPr>
                    <w:tc>
                      <w:tcPr>
                        <w:tcW w:w="3964" w:type="dxa"/>
                        <w:vMerge w:val="restart"/>
                        <w:vAlign w:val="center"/>
                      </w:tcPr>
                      <w:p>
                        <w:pPr>
                          <w:spacing w:line="276" w:lineRule="auto"/>
                          <w:rPr>
                            <w:b/>
                            <w:bCs/>
                            <w:szCs w:val="24"/>
                          </w:rPr>
                        </w:pPr>
                        <w:r>
                          <w:rPr>
                            <w:b/>
                            <w:bCs/>
                            <w:szCs w:val="24"/>
                          </w:rPr>
                          <w:t>Personalas</w:t>
                        </w:r>
                      </w:p>
                    </w:tc>
                    <w:tc>
                      <w:tcPr>
                        <w:tcW w:w="5670" w:type="dxa"/>
                        <w:gridSpan w:val="3"/>
                        <w:vAlign w:val="center"/>
                      </w:tcPr>
                      <w:p>
                        <w:pPr>
                          <w:spacing w:line="276" w:lineRule="auto"/>
                          <w:rPr>
                            <w:b/>
                            <w:bCs/>
                            <w:szCs w:val="24"/>
                          </w:rPr>
                        </w:pPr>
                        <w:r>
                          <w:rPr>
                            <w:b/>
                            <w:bCs/>
                            <w:szCs w:val="24"/>
                          </w:rPr>
                          <w:t xml:space="preserve">Vidutinis  1 mėnesio darbo užmokestis (vienam etatui)</w:t>
                        </w:r>
                      </w:p>
                    </w:tc>
                  </w:tr>
                  <w:tr>
                    <w:trPr>
                      <w:trHeight w:val="420"/>
                      <w:jc w:val="center"/>
                    </w:trPr>
                    <w:tc>
                      <w:tcPr>
                        <w:tcW w:w="3964" w:type="dxa"/>
                        <w:vMerge/>
                      </w:tcPr>
                      <w:p>
                        <w:pPr>
                          <w:spacing w:line="276" w:lineRule="auto"/>
                          <w:rPr>
                            <w:b/>
                            <w:bCs/>
                            <w:szCs w:val="24"/>
                          </w:rPr>
                        </w:pPr>
                      </w:p>
                    </w:tc>
                    <w:tc>
                      <w:tcPr>
                        <w:tcW w:w="1843" w:type="dxa"/>
                        <w:vAlign w:val="center"/>
                      </w:tcPr>
                      <w:p>
                        <w:pPr>
                          <w:spacing w:line="276" w:lineRule="auto"/>
                          <w:rPr>
                            <w:b/>
                            <w:bCs/>
                            <w:szCs w:val="24"/>
                          </w:rPr>
                        </w:pPr>
                        <w:r>
                          <w:rPr>
                            <w:b/>
                            <w:bCs/>
                            <w:szCs w:val="24"/>
                          </w:rPr>
                          <w:t>2024 m. (Eur)</w:t>
                        </w:r>
                      </w:p>
                    </w:tc>
                    <w:tc>
                      <w:tcPr>
                        <w:tcW w:w="1701" w:type="dxa"/>
                        <w:vAlign w:val="center"/>
                      </w:tcPr>
                      <w:p>
                        <w:pPr>
                          <w:spacing w:line="276" w:lineRule="auto"/>
                          <w:rPr>
                            <w:b/>
                            <w:bCs/>
                            <w:szCs w:val="24"/>
                          </w:rPr>
                        </w:pPr>
                        <w:r>
                          <w:rPr>
                            <w:b/>
                            <w:bCs/>
                            <w:szCs w:val="24"/>
                          </w:rPr>
                          <w:t>2025 m. (Eur)</w:t>
                        </w:r>
                      </w:p>
                    </w:tc>
                    <w:tc>
                      <w:tcPr>
                        <w:tcW w:w="2126" w:type="dxa"/>
                        <w:vAlign w:val="center"/>
                      </w:tcPr>
                      <w:p>
                        <w:pPr>
                          <w:spacing w:line="276" w:lineRule="auto"/>
                          <w:rPr>
                            <w:b/>
                            <w:bCs/>
                            <w:szCs w:val="24"/>
                          </w:rPr>
                        </w:pPr>
                        <w:r>
                          <w:rPr>
                            <w:b/>
                            <w:bCs/>
                            <w:szCs w:val="24"/>
                          </w:rPr>
                          <w:t>Pokytis (proc.)</w:t>
                        </w:r>
                      </w:p>
                    </w:tc>
                  </w:tr>
                  <w:tr>
                    <w:trPr>
                      <w:jc w:val="center"/>
                    </w:trPr>
                    <w:tc>
                      <w:tcPr>
                        <w:tcW w:w="3964" w:type="dxa"/>
                      </w:tcPr>
                      <w:p>
                        <w:pPr>
                          <w:spacing w:line="276" w:lineRule="auto"/>
                          <w:rPr>
                            <w:b/>
                            <w:bCs/>
                            <w:szCs w:val="24"/>
                          </w:rPr>
                        </w:pPr>
                        <w:r>
                          <w:rPr>
                            <w:b/>
                            <w:bCs/>
                            <w:szCs w:val="24"/>
                          </w:rPr>
                          <w:t>Įstaigos darbuotojai</w:t>
                        </w:r>
                      </w:p>
                    </w:tc>
                    <w:tc>
                      <w:tcPr>
                        <w:tcW w:w="1843" w:type="dxa"/>
                        <w:vAlign w:val="center"/>
                      </w:tcPr>
                      <w:p>
                        <w:pPr>
                          <w:spacing w:line="276" w:lineRule="auto"/>
                          <w:rPr>
                            <w:b/>
                            <w:bCs/>
                            <w:szCs w:val="24"/>
                          </w:rPr>
                        </w:pPr>
                        <w:r>
                          <w:rPr>
                            <w:b/>
                            <w:bCs/>
                            <w:szCs w:val="24"/>
                          </w:rPr>
                          <w:t>3249</w:t>
                        </w:r>
                      </w:p>
                    </w:tc>
                    <w:tc>
                      <w:tcPr>
                        <w:tcW w:w="1701" w:type="dxa"/>
                        <w:vAlign w:val="center"/>
                      </w:tcPr>
                      <w:p>
                        <w:pPr>
                          <w:spacing w:line="276" w:lineRule="auto"/>
                          <w:rPr>
                            <w:b/>
                            <w:bCs/>
                            <w:szCs w:val="24"/>
                          </w:rPr>
                        </w:pPr>
                        <w:r>
                          <w:rPr>
                            <w:b/>
                            <w:bCs/>
                            <w:szCs w:val="24"/>
                          </w:rPr>
                          <w:t>3602</w:t>
                        </w:r>
                      </w:p>
                    </w:tc>
                    <w:tc>
                      <w:tcPr>
                        <w:tcW w:w="2126" w:type="dxa"/>
                        <w:vAlign w:val="center"/>
                      </w:tcPr>
                      <w:p>
                        <w:pPr>
                          <w:spacing w:line="276" w:lineRule="auto"/>
                          <w:rPr>
                            <w:b/>
                            <w:bCs/>
                            <w:szCs w:val="24"/>
                          </w:rPr>
                        </w:pPr>
                        <w:r>
                          <w:rPr>
                            <w:b/>
                            <w:bCs/>
                            <w:szCs w:val="24"/>
                          </w:rPr>
                          <w:t>+10,86</w:t>
                        </w:r>
                      </w:p>
                    </w:tc>
                  </w:tr>
                  <w:tr>
                    <w:trPr>
                      <w:jc w:val="center"/>
                    </w:trPr>
                    <w:tc>
                      <w:tcPr>
                        <w:tcW w:w="3964" w:type="dxa"/>
                      </w:tcPr>
                      <w:p>
                        <w:pPr>
                          <w:spacing w:line="276" w:lineRule="auto"/>
                          <w:rPr>
                            <w:b/>
                            <w:bCs/>
                            <w:szCs w:val="24"/>
                          </w:rPr>
                        </w:pPr>
                        <w:r>
                          <w:rPr>
                            <w:szCs w:val="24"/>
                          </w:rPr>
                          <w:t>gydytojai</w:t>
                        </w:r>
                      </w:p>
                    </w:tc>
                    <w:tc>
                      <w:tcPr>
                        <w:tcW w:w="1843" w:type="dxa"/>
                      </w:tcPr>
                      <w:p>
                        <w:pPr>
                          <w:spacing w:line="276" w:lineRule="auto"/>
                          <w:rPr>
                            <w:szCs w:val="24"/>
                            <w:lang w:val="en-US"/>
                          </w:rPr>
                        </w:pPr>
                        <w:r>
                          <w:rPr>
                            <w:szCs w:val="24"/>
                            <w:lang w:val="en-US"/>
                          </w:rPr>
                          <w:t>8522</w:t>
                        </w:r>
                      </w:p>
                    </w:tc>
                    <w:tc>
                      <w:tcPr>
                        <w:tcW w:w="1701" w:type="dxa"/>
                      </w:tcPr>
                      <w:p>
                        <w:pPr>
                          <w:spacing w:line="276" w:lineRule="auto"/>
                          <w:rPr>
                            <w:szCs w:val="24"/>
                          </w:rPr>
                        </w:pPr>
                        <w:r>
                          <w:rPr>
                            <w:szCs w:val="24"/>
                          </w:rPr>
                          <w:t>8408</w:t>
                        </w:r>
                      </w:p>
                    </w:tc>
                    <w:tc>
                      <w:tcPr>
                        <w:tcW w:w="2126" w:type="dxa"/>
                      </w:tcPr>
                      <w:p>
                        <w:pPr>
                          <w:spacing w:line="276" w:lineRule="auto"/>
                          <w:rPr>
                            <w:szCs w:val="24"/>
                          </w:rPr>
                        </w:pPr>
                        <w:r>
                          <w:rPr>
                            <w:szCs w:val="24"/>
                          </w:rPr>
                          <w:t>-1,33</w:t>
                        </w:r>
                      </w:p>
                    </w:tc>
                  </w:tr>
                  <w:tr>
                    <w:trPr>
                      <w:jc w:val="center"/>
                    </w:trPr>
                    <w:tc>
                      <w:tcPr>
                        <w:tcW w:w="3964" w:type="dxa"/>
                      </w:tcPr>
                      <w:p>
                        <w:pPr>
                          <w:spacing w:line="276" w:lineRule="auto"/>
                          <w:rPr>
                            <w:b/>
                            <w:bCs/>
                            <w:szCs w:val="24"/>
                          </w:rPr>
                        </w:pPr>
                        <w:r>
                          <w:rPr>
                            <w:szCs w:val="24"/>
                          </w:rPr>
                          <w:t>slaugytojai</w:t>
                        </w:r>
                      </w:p>
                    </w:tc>
                    <w:tc>
                      <w:tcPr>
                        <w:tcW w:w="1843" w:type="dxa"/>
                      </w:tcPr>
                      <w:p>
                        <w:pPr>
                          <w:spacing w:line="276" w:lineRule="auto"/>
                          <w:rPr>
                            <w:szCs w:val="24"/>
                          </w:rPr>
                        </w:pPr>
                        <w:r>
                          <w:rPr>
                            <w:szCs w:val="24"/>
                          </w:rPr>
                          <w:t>2369</w:t>
                        </w:r>
                      </w:p>
                    </w:tc>
                    <w:tc>
                      <w:tcPr>
                        <w:tcW w:w="1701" w:type="dxa"/>
                      </w:tcPr>
                      <w:p>
                        <w:pPr>
                          <w:spacing w:line="276" w:lineRule="auto"/>
                          <w:rPr>
                            <w:szCs w:val="24"/>
                          </w:rPr>
                        </w:pPr>
                        <w:r>
                          <w:rPr>
                            <w:szCs w:val="24"/>
                          </w:rPr>
                          <w:t>2342</w:t>
                        </w:r>
                      </w:p>
                    </w:tc>
                    <w:tc>
                      <w:tcPr>
                        <w:tcW w:w="2126" w:type="dxa"/>
                      </w:tcPr>
                      <w:p>
                        <w:pPr>
                          <w:spacing w:line="276" w:lineRule="auto"/>
                          <w:rPr>
                            <w:szCs w:val="24"/>
                          </w:rPr>
                        </w:pPr>
                        <w:r>
                          <w:rPr>
                            <w:szCs w:val="24"/>
                          </w:rPr>
                          <w:t>-1,13</w:t>
                        </w:r>
                      </w:p>
                    </w:tc>
                  </w:tr>
                  <w:tr>
                    <w:trPr>
                      <w:jc w:val="center"/>
                    </w:trPr>
                    <w:tc>
                      <w:tcPr>
                        <w:tcW w:w="3964" w:type="dxa"/>
                      </w:tcPr>
                      <w:p>
                        <w:pPr>
                          <w:spacing w:line="276" w:lineRule="auto"/>
                          <w:rPr>
                            <w:szCs w:val="24"/>
                          </w:rPr>
                        </w:pPr>
                        <w:r>
                          <w:rPr>
                            <w:szCs w:val="24"/>
                          </w:rPr>
                          <w:t>kitas personalas, teikiantis ASPS</w:t>
                        </w:r>
                      </w:p>
                    </w:tc>
                    <w:tc>
                      <w:tcPr>
                        <w:tcW w:w="1843" w:type="dxa"/>
                      </w:tcPr>
                      <w:p>
                        <w:pPr>
                          <w:spacing w:line="276" w:lineRule="auto"/>
                          <w:rPr>
                            <w:szCs w:val="24"/>
                          </w:rPr>
                        </w:pPr>
                        <w:r>
                          <w:rPr>
                            <w:szCs w:val="24"/>
                          </w:rPr>
                          <w:t>2214</w:t>
                        </w:r>
                      </w:p>
                    </w:tc>
                    <w:tc>
                      <w:tcPr>
                        <w:tcW w:w="1701" w:type="dxa"/>
                      </w:tcPr>
                      <w:p>
                        <w:pPr>
                          <w:spacing w:line="276" w:lineRule="auto"/>
                          <w:rPr>
                            <w:szCs w:val="24"/>
                          </w:rPr>
                        </w:pPr>
                        <w:r>
                          <w:rPr>
                            <w:szCs w:val="24"/>
                          </w:rPr>
                          <w:t>2336</w:t>
                        </w:r>
                      </w:p>
                    </w:tc>
                    <w:tc>
                      <w:tcPr>
                        <w:tcW w:w="2126" w:type="dxa"/>
                      </w:tcPr>
                      <w:p>
                        <w:pPr>
                          <w:spacing w:line="276" w:lineRule="auto"/>
                          <w:rPr>
                            <w:szCs w:val="24"/>
                          </w:rPr>
                        </w:pPr>
                        <w:r>
                          <w:rPr>
                            <w:szCs w:val="24"/>
                          </w:rPr>
                          <w:t>+5,51</w:t>
                        </w:r>
                      </w:p>
                    </w:tc>
                  </w:tr>
                  <w:tr>
                    <w:trPr>
                      <w:jc w:val="center"/>
                    </w:trPr>
                    <w:tc>
                      <w:tcPr>
                        <w:tcW w:w="3964" w:type="dxa"/>
                      </w:tcPr>
                      <w:p>
                        <w:pPr>
                          <w:spacing w:line="276" w:lineRule="auto"/>
                          <w:rPr>
                            <w:szCs w:val="24"/>
                          </w:rPr>
                        </w:pPr>
                        <w:r>
                          <w:rPr>
                            <w:szCs w:val="24"/>
                          </w:rPr>
                          <w:t>kitas personalas</w:t>
                        </w:r>
                      </w:p>
                    </w:tc>
                    <w:tc>
                      <w:tcPr>
                        <w:tcW w:w="1843" w:type="dxa"/>
                      </w:tcPr>
                      <w:p>
                        <w:pPr>
                          <w:spacing w:line="276" w:lineRule="auto"/>
                          <w:rPr>
                            <w:szCs w:val="24"/>
                          </w:rPr>
                        </w:pPr>
                        <w:r>
                          <w:rPr>
                            <w:szCs w:val="24"/>
                          </w:rPr>
                          <w:t>1760</w:t>
                        </w:r>
                      </w:p>
                    </w:tc>
                    <w:tc>
                      <w:tcPr>
                        <w:tcW w:w="1701" w:type="dxa"/>
                      </w:tcPr>
                      <w:p>
                        <w:pPr>
                          <w:spacing w:line="276" w:lineRule="auto"/>
                          <w:rPr>
                            <w:szCs w:val="24"/>
                          </w:rPr>
                        </w:pPr>
                        <w:r>
                          <w:rPr>
                            <w:szCs w:val="24"/>
                          </w:rPr>
                          <w:t>1726</w:t>
                        </w:r>
                      </w:p>
                    </w:tc>
                    <w:tc>
                      <w:tcPr>
                        <w:tcW w:w="2126" w:type="dxa"/>
                      </w:tcPr>
                      <w:p>
                        <w:pPr>
                          <w:spacing w:line="276" w:lineRule="auto"/>
                          <w:rPr>
                            <w:szCs w:val="24"/>
                          </w:rPr>
                        </w:pPr>
                        <w:r>
                          <w:rPr>
                            <w:szCs w:val="24"/>
                          </w:rPr>
                          <w:t>-1,93</w:t>
                        </w:r>
                      </w:p>
                    </w:tc>
                  </w:tr>
                  <w:tr>
                    <w:trPr>
                      <w:jc w:val="center"/>
                    </w:trPr>
                    <w:tc>
                      <w:tcPr>
                        <w:tcW w:w="3964" w:type="dxa"/>
                      </w:tcPr>
                      <w:p>
                        <w:pPr>
                          <w:spacing w:line="276" w:lineRule="auto"/>
                          <w:rPr>
                            <w:b/>
                            <w:bCs/>
                            <w:szCs w:val="24"/>
                          </w:rPr>
                        </w:pPr>
                        <w:r>
                          <w:rPr>
                            <w:szCs w:val="24"/>
                          </w:rPr>
                          <w:t>administracija</w:t>
                        </w:r>
                      </w:p>
                    </w:tc>
                    <w:tc>
                      <w:tcPr>
                        <w:tcW w:w="1843" w:type="dxa"/>
                      </w:tcPr>
                      <w:p>
                        <w:pPr>
                          <w:spacing w:line="276" w:lineRule="auto"/>
                          <w:rPr>
                            <w:szCs w:val="24"/>
                          </w:rPr>
                        </w:pPr>
                        <w:r>
                          <w:rPr>
                            <w:szCs w:val="24"/>
                          </w:rPr>
                          <w:t>3549</w:t>
                        </w:r>
                      </w:p>
                    </w:tc>
                    <w:tc>
                      <w:tcPr>
                        <w:tcW w:w="1701" w:type="dxa"/>
                      </w:tcPr>
                      <w:p>
                        <w:pPr>
                          <w:spacing w:line="276" w:lineRule="auto"/>
                          <w:rPr>
                            <w:szCs w:val="24"/>
                          </w:rPr>
                        </w:pPr>
                        <w:r>
                          <w:rPr>
                            <w:szCs w:val="24"/>
                          </w:rPr>
                          <w:t>3199</w:t>
                        </w:r>
                      </w:p>
                    </w:tc>
                    <w:tc>
                      <w:tcPr>
                        <w:tcW w:w="2126" w:type="dxa"/>
                      </w:tcPr>
                      <w:p>
                        <w:pPr>
                          <w:spacing w:line="276" w:lineRule="auto"/>
                          <w:rPr>
                            <w:szCs w:val="24"/>
                          </w:rPr>
                        </w:pPr>
                        <w:r>
                          <w:rPr>
                            <w:szCs w:val="24"/>
                          </w:rPr>
                          <w:t>-9,86</w:t>
                        </w:r>
                      </w:p>
                    </w:tc>
                  </w:tr>
                </w:tbl>
                <w:p>
                  <w:pPr>
                    <w:ind w:firstLine="558"/>
                    <w:rPr>
                      <w:b/>
                      <w:bCs/>
                      <w:kern w:val="2"/>
                      <w:szCs w:val="24"/>
                      <w14:ligatures w14:val="standardContextual"/>
                    </w:rPr>
                  </w:pPr>
                </w:p>
                <w:p>
                  <w:pPr>
                    <w:ind w:firstLine="682"/>
                    <w:rPr>
                      <w:szCs w:val="24"/>
                      <w14:ligatures w14:val="standardContextual"/>
                    </w:rPr>
                  </w:pPr>
                  <w:r>
                    <w:rPr>
                      <w:szCs w:val="24"/>
                      <w14:ligatures w14:val="standardContextual"/>
                    </w:rPr>
                    <w:t>VšĮ Šeduvos pirminės sveikatos priežiūros centre 2025 metais buvo sudarytos palankios sąlygos darbuotojų kvalifikacijos kėlimui tiek organizuojant mokymus įstaigos viduje, tiek dalyvaujant išvykstančiuose tobulinimosi kursuose ar konferencijose. Ši veikla buvo orientuota į profesionalumo stiprinimą, kokybišką pacientų aptarnavimą ir prevencinės veiklos gerinimą.</w:t>
                  </w:r>
                </w:p>
                <w:p>
                  <w:pPr>
                    <w:rPr>
                      <w:szCs w:val="24"/>
                      <w14:ligatures w14:val="standardContextual"/>
                    </w:rPr>
                  </w:pPr>
                  <w:r>
                    <w:rPr>
                      <w:szCs w:val="24"/>
                      <w14:ligatures w14:val="standardContextual"/>
                    </w:rPr>
                    <w:t>Šeduvos PSPC darbuotojai dalyvavo 2025 m. birželio 11 d. savižudybių prevencijos mokymuose, kuriuos organizavo Radviliškio rajono savivaldybės visuomenės sveikatos biuras. Šie mokymai buvo ypač svarbūs, siekiant užtikrinti saugią ir etišką darbo aplinką, stiprinti komandinį darbą ir darbuotojų gebėjimą tinkamai reaguoti įvairiose situacijose. Kvalifikacijos kėlimo išlaidos 2025 metais sudarė 3169 eurų.</w:t>
                  </w:r>
                </w:p>
                <w:p>
                  <w:pPr>
                    <w:rPr>
                      <w:b/>
                      <w:bCs/>
                      <w:kern w:val="2"/>
                      <w:szCs w:val="24"/>
                      <w14:ligatures w14:val="standardContextual"/>
                    </w:rPr>
                  </w:pPr>
                </w:p>
              </w:sdtContent>
            </w:sdt>
            <w:sdt>
              <w:sdtPr>
                <w:alias w:val="poskyris"/>
                <w:tag w:val="part_7e347f2fd79742c696304a15afbb8a76"/>
                <w:lock w:val="sdtLocked"/>
                <w:richText/>
              </w:sdtPr>
              <w:sdtContent>
                <w:p>
                  <w:pPr>
                    <w:jc w:val="center"/>
                    <w:rPr>
                      <w:b/>
                      <w:bCs/>
                      <w:szCs w:val="24"/>
                      <w14:ligatures w14:val="standardContextual"/>
                    </w:rPr>
                  </w:pPr>
                  <w:sdt>
                    <w:sdtPr>
                      <w:alias w:val="Pavadinimas"/>
                      <w:tag w:val="title_7e347f2fd79742c696304a15afbb8a76"/>
                      <w:lock w:val="sdtLocked"/>
                      <w:richText/>
                    </w:sdtPr>
                    <w:sdtContent>
                      <w:r>
                        <w:rPr>
                          <w:b/>
                          <w:bCs/>
                          <w:szCs w:val="24"/>
                          <w14:ligatures w14:val="standardContextual"/>
                        </w:rPr>
                        <w:t>Veiklos rezultatai</w:t>
                      </w:r>
                    </w:sdtContent>
                  </w:sdt>
                </w:p>
                <w:p>
                  <w:pPr>
                    <w:rPr>
                      <w:rFonts w:eastAsia="Calibri"/>
                      <w:b/>
                      <w:color w:val="FF0000"/>
                      <w:szCs w:val="24"/>
                    </w:rPr>
                  </w:pPr>
                </w:p>
              </w:sdtContent>
            </w:sdt>
            <w:sdt>
              <w:sdtPr>
                <w:alias w:val="poskyris"/>
                <w:tag w:val="part_87b5444df4d74f178428f69d5f545ab9"/>
                <w:lock w:val="sdtLocked"/>
                <w:richText/>
              </w:sdtPr>
              <w:sdtContent>
                <w:p>
                  <w:pPr>
                    <w:rPr>
                      <w:rFonts w:eastAsia="Calibri"/>
                      <w:b/>
                      <w:iCs/>
                      <w:szCs w:val="24"/>
                    </w:rPr>
                  </w:pPr>
                  <w:sdt>
                    <w:sdtPr>
                      <w:alias w:val="Pavadinimas"/>
                      <w:tag w:val="title_87b5444df4d74f178428f69d5f545ab9"/>
                      <w:lock w:val="sdtLocked"/>
                      <w:richText/>
                    </w:sdtPr>
                    <w:sdtContent>
                      <w:r>
                        <w:rPr>
                          <w:rFonts w:eastAsia="Calibri"/>
                          <w:b/>
                          <w:iCs/>
                          <w:szCs w:val="24"/>
                        </w:rPr>
                        <w:t xml:space="preserve">Duomenys apie prisirašiusius gyventojus prie ASPĮ                                                          </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596"/>
                    <w:gridCol w:w="567"/>
                    <w:gridCol w:w="567"/>
                    <w:gridCol w:w="567"/>
                    <w:gridCol w:w="538"/>
                    <w:gridCol w:w="566"/>
                    <w:gridCol w:w="542"/>
                    <w:gridCol w:w="622"/>
                    <w:gridCol w:w="462"/>
                    <w:gridCol w:w="672"/>
                    <w:gridCol w:w="567"/>
                    <w:gridCol w:w="708"/>
                    <w:gridCol w:w="567"/>
                    <w:gridCol w:w="709"/>
                    <w:gridCol w:w="992"/>
                  </w:tblGrid>
                  <w:tr>
                    <w:tc>
                      <w:tcPr>
                        <w:tcW w:w="392" w:type="dxa"/>
                        <w:vMerge w:val="restart"/>
                        <w:shd w:val="clear" w:color="auto" w:fill="D9D9D9"/>
                        <w:textDirection w:val="btLr"/>
                      </w:tcPr>
                      <w:p>
                        <w:pPr>
                          <w:spacing w:line="276" w:lineRule="auto"/>
                          <w:ind w:left="113" w:right="113"/>
                          <w:rPr>
                            <w:rFonts w:eastAsia="Calibri"/>
                            <w:b/>
                            <w:szCs w:val="24"/>
                          </w:rPr>
                        </w:pPr>
                        <w:r>
                          <w:rPr>
                            <w:rFonts w:eastAsia="Calibri"/>
                            <w:b/>
                            <w:szCs w:val="24"/>
                          </w:rPr>
                          <w:t>Metai</w:t>
                        </w:r>
                      </w:p>
                    </w:tc>
                    <w:tc>
                      <w:tcPr>
                        <w:tcW w:w="8250" w:type="dxa"/>
                        <w:gridSpan w:val="14"/>
                        <w:shd w:val="clear" w:color="auto" w:fill="D9D9D9"/>
                        <w:vAlign w:val="center"/>
                      </w:tcPr>
                      <w:p>
                        <w:pPr>
                          <w:spacing w:line="276" w:lineRule="auto"/>
                          <w:rPr>
                            <w:rFonts w:eastAsia="Calibri"/>
                            <w:b/>
                            <w:szCs w:val="24"/>
                          </w:rPr>
                        </w:pPr>
                      </w:p>
                      <w:p>
                        <w:pPr>
                          <w:spacing w:line="276" w:lineRule="auto"/>
                          <w:rPr>
                            <w:rFonts w:eastAsia="Calibri"/>
                            <w:b/>
                            <w:szCs w:val="24"/>
                          </w:rPr>
                        </w:pPr>
                        <w:r>
                          <w:rPr>
                            <w:rFonts w:eastAsia="Calibri"/>
                            <w:b/>
                            <w:szCs w:val="24"/>
                          </w:rPr>
                          <w:t>Gyventojų amžiaus grupės</w:t>
                        </w:r>
                      </w:p>
                    </w:tc>
                    <w:tc>
                      <w:tcPr>
                        <w:tcW w:w="992" w:type="dxa"/>
                        <w:vMerge w:val="restart"/>
                        <w:shd w:val="clear" w:color="auto" w:fill="D9D9D9"/>
                        <w:vAlign w:val="center"/>
                      </w:tcPr>
                      <w:p>
                        <w:pPr>
                          <w:spacing w:line="276" w:lineRule="auto"/>
                          <w:rPr>
                            <w:rFonts w:eastAsia="Calibri"/>
                            <w:b/>
                            <w:szCs w:val="24"/>
                          </w:rPr>
                        </w:pPr>
                        <w:r>
                          <w:rPr>
                            <w:rFonts w:eastAsia="Calibri"/>
                            <w:b/>
                            <w:szCs w:val="24"/>
                          </w:rPr>
                          <w:t>Iš viso prisirašiusiųjų</w:t>
                        </w:r>
                      </w:p>
                    </w:tc>
                  </w:tr>
                  <w:tr>
                    <w:tc>
                      <w:tcPr>
                        <w:tcW w:w="392" w:type="dxa"/>
                        <w:vMerge/>
                        <w:shd w:val="clear" w:color="auto" w:fill="D9D9D9"/>
                        <w:textDirection w:val="btLr"/>
                      </w:tcPr>
                      <w:p>
                        <w:pPr>
                          <w:spacing w:line="276" w:lineRule="auto"/>
                          <w:ind w:left="113" w:right="113"/>
                          <w:rPr>
                            <w:rFonts w:eastAsia="Calibri"/>
                            <w:b/>
                            <w:szCs w:val="24"/>
                          </w:rPr>
                        </w:pPr>
                      </w:p>
                    </w:tc>
                    <w:tc>
                      <w:tcPr>
                        <w:tcW w:w="1163" w:type="dxa"/>
                        <w:gridSpan w:val="2"/>
                        <w:shd w:val="clear" w:color="auto" w:fill="D9D9D9"/>
                        <w:vAlign w:val="center"/>
                      </w:tcPr>
                      <w:p>
                        <w:pPr>
                          <w:spacing w:line="276" w:lineRule="auto"/>
                          <w:rPr>
                            <w:rFonts w:eastAsia="Calibri"/>
                            <w:b/>
                            <w:szCs w:val="24"/>
                          </w:rPr>
                        </w:pPr>
                        <w:r>
                          <w:rPr>
                            <w:rFonts w:eastAsia="Calibri"/>
                            <w:b/>
                            <w:szCs w:val="24"/>
                          </w:rPr>
                          <w:t>Iki 1 m.</w:t>
                        </w:r>
                      </w:p>
                    </w:tc>
                    <w:tc>
                      <w:tcPr>
                        <w:tcW w:w="1134" w:type="dxa"/>
                        <w:gridSpan w:val="2"/>
                        <w:shd w:val="clear" w:color="auto" w:fill="D9D9D9"/>
                        <w:vAlign w:val="center"/>
                      </w:tcPr>
                      <w:p>
                        <w:pPr>
                          <w:spacing w:line="276" w:lineRule="auto"/>
                          <w:rPr>
                            <w:rFonts w:eastAsia="Calibri"/>
                            <w:b/>
                            <w:szCs w:val="24"/>
                          </w:rPr>
                        </w:pPr>
                        <w:r>
                          <w:rPr>
                            <w:rFonts w:eastAsia="Calibri"/>
                            <w:b/>
                            <w:szCs w:val="24"/>
                          </w:rPr>
                          <w:t>1-7 m.</w:t>
                        </w:r>
                      </w:p>
                    </w:tc>
                    <w:tc>
                      <w:tcPr>
                        <w:tcW w:w="1104" w:type="dxa"/>
                        <w:gridSpan w:val="2"/>
                        <w:shd w:val="clear" w:color="auto" w:fill="D9D9D9"/>
                        <w:vAlign w:val="center"/>
                      </w:tcPr>
                      <w:p>
                        <w:pPr>
                          <w:spacing w:line="276" w:lineRule="auto"/>
                          <w:rPr>
                            <w:rFonts w:eastAsia="Calibri"/>
                            <w:b/>
                            <w:szCs w:val="24"/>
                          </w:rPr>
                        </w:pPr>
                        <w:r>
                          <w:rPr>
                            <w:rFonts w:eastAsia="Calibri"/>
                            <w:b/>
                            <w:szCs w:val="24"/>
                          </w:rPr>
                          <w:t>8-17 m.</w:t>
                        </w:r>
                      </w:p>
                    </w:tc>
                    <w:tc>
                      <w:tcPr>
                        <w:tcW w:w="1164" w:type="dxa"/>
                        <w:gridSpan w:val="2"/>
                        <w:shd w:val="clear" w:color="auto" w:fill="D9D9D9"/>
                        <w:vAlign w:val="center"/>
                      </w:tcPr>
                      <w:p>
                        <w:pPr>
                          <w:spacing w:line="276" w:lineRule="auto"/>
                          <w:rPr>
                            <w:rFonts w:eastAsia="Calibri"/>
                            <w:b/>
                            <w:szCs w:val="24"/>
                          </w:rPr>
                        </w:pPr>
                        <w:r>
                          <w:rPr>
                            <w:rFonts w:eastAsia="Calibri"/>
                            <w:b/>
                            <w:szCs w:val="24"/>
                          </w:rPr>
                          <w:t>18-34 m.</w:t>
                        </w:r>
                      </w:p>
                    </w:tc>
                    <w:tc>
                      <w:tcPr>
                        <w:tcW w:w="1134" w:type="dxa"/>
                        <w:gridSpan w:val="2"/>
                        <w:shd w:val="clear" w:color="auto" w:fill="D9D9D9"/>
                        <w:vAlign w:val="center"/>
                      </w:tcPr>
                      <w:p>
                        <w:pPr>
                          <w:spacing w:line="276" w:lineRule="auto"/>
                          <w:rPr>
                            <w:rFonts w:eastAsia="Calibri"/>
                            <w:b/>
                            <w:szCs w:val="24"/>
                          </w:rPr>
                        </w:pPr>
                        <w:r>
                          <w:rPr>
                            <w:rFonts w:eastAsia="Calibri"/>
                            <w:b/>
                            <w:szCs w:val="24"/>
                          </w:rPr>
                          <w:t>35-49 m.</w:t>
                        </w:r>
                      </w:p>
                    </w:tc>
                    <w:tc>
                      <w:tcPr>
                        <w:tcW w:w="1275" w:type="dxa"/>
                        <w:gridSpan w:val="2"/>
                        <w:shd w:val="clear" w:color="auto" w:fill="D9D9D9"/>
                        <w:vAlign w:val="center"/>
                      </w:tcPr>
                      <w:p>
                        <w:pPr>
                          <w:spacing w:line="276" w:lineRule="auto"/>
                          <w:rPr>
                            <w:rFonts w:eastAsia="Calibri"/>
                            <w:b/>
                            <w:szCs w:val="24"/>
                          </w:rPr>
                        </w:pPr>
                        <w:r>
                          <w:rPr>
                            <w:rFonts w:eastAsia="Calibri"/>
                            <w:b/>
                            <w:szCs w:val="24"/>
                          </w:rPr>
                          <w:t>50-65 m.</w:t>
                        </w:r>
                      </w:p>
                    </w:tc>
                    <w:tc>
                      <w:tcPr>
                        <w:tcW w:w="1276" w:type="dxa"/>
                        <w:gridSpan w:val="2"/>
                        <w:shd w:val="clear" w:color="auto" w:fill="D9D9D9"/>
                        <w:vAlign w:val="center"/>
                      </w:tcPr>
                      <w:p>
                        <w:pPr>
                          <w:spacing w:line="276" w:lineRule="auto"/>
                          <w:rPr>
                            <w:rFonts w:eastAsia="Calibri"/>
                            <w:b/>
                            <w:szCs w:val="24"/>
                          </w:rPr>
                        </w:pPr>
                        <w:r>
                          <w:rPr>
                            <w:rFonts w:eastAsia="Calibri"/>
                            <w:b/>
                            <w:szCs w:val="24"/>
                          </w:rPr>
                          <w:t>Virš 65 m.</w:t>
                        </w:r>
                      </w:p>
                    </w:tc>
                    <w:tc>
                      <w:tcPr>
                        <w:tcW w:w="992" w:type="dxa"/>
                        <w:vMerge/>
                        <w:shd w:val="clear" w:color="auto" w:fill="D9D9D9"/>
                        <w:vAlign w:val="center"/>
                      </w:tcPr>
                      <w:p>
                        <w:pPr>
                          <w:spacing w:line="276" w:lineRule="auto"/>
                          <w:rPr>
                            <w:rFonts w:eastAsia="Calibri"/>
                            <w:b/>
                            <w:szCs w:val="24"/>
                          </w:rPr>
                        </w:pPr>
                      </w:p>
                    </w:tc>
                  </w:tr>
                  <w:tr>
                    <w:trPr>
                      <w:cantSplit/>
                      <w:trHeight w:val="564"/>
                    </w:trPr>
                    <w:tc>
                      <w:tcPr>
                        <w:tcW w:w="392" w:type="dxa"/>
                        <w:vMerge/>
                        <w:shd w:val="clear" w:color="auto" w:fill="D9D9D9"/>
                        <w:textDirection w:val="btLr"/>
                      </w:tcPr>
                      <w:p>
                        <w:pPr>
                          <w:spacing w:line="276" w:lineRule="auto"/>
                          <w:ind w:left="113" w:right="113"/>
                          <w:rPr>
                            <w:rFonts w:eastAsia="Calibri"/>
                            <w:b/>
                            <w:szCs w:val="24"/>
                          </w:rPr>
                        </w:pPr>
                      </w:p>
                    </w:tc>
                    <w:tc>
                      <w:tcPr>
                        <w:tcW w:w="596"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567"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567"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567"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538"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566"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542"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622"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462"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672"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567"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708"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567" w:type="dxa"/>
                        <w:shd w:val="clear" w:color="auto" w:fill="D9D9D9"/>
                        <w:textDirection w:val="btLr"/>
                        <w:vAlign w:val="center"/>
                      </w:tcPr>
                      <w:p>
                        <w:pPr>
                          <w:spacing w:line="276" w:lineRule="auto"/>
                          <w:ind w:left="113" w:right="113"/>
                          <w:rPr>
                            <w:rFonts w:eastAsia="Calibri"/>
                            <w:szCs w:val="24"/>
                          </w:rPr>
                        </w:pPr>
                        <w:r>
                          <w:rPr>
                            <w:rFonts w:eastAsia="Calibri"/>
                            <w:szCs w:val="24"/>
                          </w:rPr>
                          <w:t>Abs. sk.</w:t>
                        </w:r>
                      </w:p>
                    </w:tc>
                    <w:tc>
                      <w:tcPr>
                        <w:tcW w:w="709" w:type="dxa"/>
                        <w:shd w:val="clear" w:color="auto" w:fill="D9D9D9"/>
                        <w:textDirection w:val="btLr"/>
                        <w:vAlign w:val="center"/>
                      </w:tcPr>
                      <w:p>
                        <w:pPr>
                          <w:spacing w:line="276" w:lineRule="auto"/>
                          <w:ind w:left="113" w:right="113"/>
                          <w:rPr>
                            <w:rFonts w:eastAsia="Calibri"/>
                            <w:szCs w:val="24"/>
                          </w:rPr>
                        </w:pPr>
                        <w:r>
                          <w:rPr>
                            <w:rFonts w:eastAsia="Calibri"/>
                            <w:szCs w:val="24"/>
                          </w:rPr>
                          <w:t>%</w:t>
                        </w:r>
                      </w:p>
                    </w:tc>
                    <w:tc>
                      <w:tcPr>
                        <w:tcW w:w="992" w:type="dxa"/>
                        <w:vMerge/>
                        <w:shd w:val="clear" w:color="auto" w:fill="D9D9D9"/>
                        <w:vAlign w:val="center"/>
                      </w:tcPr>
                      <w:p>
                        <w:pPr>
                          <w:spacing w:line="276" w:lineRule="auto"/>
                          <w:rPr>
                            <w:rFonts w:eastAsia="Calibri"/>
                            <w:b/>
                            <w:szCs w:val="24"/>
                          </w:rPr>
                        </w:pPr>
                      </w:p>
                    </w:tc>
                  </w:tr>
                  <w:tr>
                    <w:trPr>
                      <w:cantSplit/>
                      <w:trHeight w:val="699"/>
                    </w:trPr>
                    <w:tc>
                      <w:tcPr>
                        <w:tcW w:w="392" w:type="dxa"/>
                        <w:shd w:val="clear" w:color="auto" w:fill="D9D9D9"/>
                        <w:textDirection w:val="btLr"/>
                      </w:tcPr>
                      <w:p>
                        <w:pPr>
                          <w:spacing w:line="276" w:lineRule="auto"/>
                          <w:ind w:left="113" w:right="113"/>
                          <w:rPr>
                            <w:rFonts w:eastAsia="Calibri"/>
                            <w:bCs/>
                            <w:color w:val="000000"/>
                            <w:szCs w:val="24"/>
                          </w:rPr>
                        </w:pPr>
                        <w:r>
                          <w:rPr>
                            <w:rFonts w:eastAsia="Calibri"/>
                            <w:bCs/>
                            <w:color w:val="000000"/>
                            <w:szCs w:val="24"/>
                          </w:rPr>
                          <w:t>2024 m.</w:t>
                        </w:r>
                      </w:p>
                    </w:tc>
                    <w:tc>
                      <w:tcPr>
                        <w:tcW w:w="596" w:type="dxa"/>
                        <w:vAlign w:val="center"/>
                      </w:tcPr>
                      <w:p>
                        <w:pPr>
                          <w:spacing w:line="276" w:lineRule="auto"/>
                          <w:rPr>
                            <w:rFonts w:eastAsia="Calibri"/>
                            <w:bCs/>
                            <w:color w:val="000000"/>
                            <w:szCs w:val="24"/>
                          </w:rPr>
                        </w:pPr>
                        <w:r>
                          <w:rPr>
                            <w:rFonts w:eastAsia="Calibri"/>
                            <w:bCs/>
                            <w:color w:val="000000"/>
                            <w:szCs w:val="24"/>
                          </w:rPr>
                          <w:t>23</w:t>
                        </w:r>
                      </w:p>
                    </w:tc>
                    <w:tc>
                      <w:tcPr>
                        <w:tcW w:w="567" w:type="dxa"/>
                        <w:vAlign w:val="center"/>
                      </w:tcPr>
                      <w:p>
                        <w:pPr>
                          <w:spacing w:line="276" w:lineRule="auto"/>
                          <w:rPr>
                            <w:rFonts w:eastAsia="Calibri"/>
                            <w:bCs/>
                            <w:color w:val="000000"/>
                            <w:szCs w:val="24"/>
                          </w:rPr>
                        </w:pPr>
                        <w:r>
                          <w:rPr>
                            <w:rFonts w:eastAsia="Calibri"/>
                            <w:bCs/>
                            <w:color w:val="000000"/>
                            <w:szCs w:val="24"/>
                          </w:rPr>
                          <w:t>0,42</w:t>
                        </w:r>
                      </w:p>
                    </w:tc>
                    <w:tc>
                      <w:tcPr>
                        <w:tcW w:w="567" w:type="dxa"/>
                        <w:vAlign w:val="center"/>
                      </w:tcPr>
                      <w:p>
                        <w:pPr>
                          <w:spacing w:line="276" w:lineRule="auto"/>
                          <w:rPr>
                            <w:rFonts w:eastAsia="Calibri"/>
                            <w:bCs/>
                            <w:color w:val="000000"/>
                            <w:szCs w:val="24"/>
                          </w:rPr>
                        </w:pPr>
                        <w:r>
                          <w:rPr>
                            <w:rFonts w:eastAsia="Calibri"/>
                            <w:bCs/>
                            <w:color w:val="000000"/>
                            <w:szCs w:val="24"/>
                          </w:rPr>
                          <w:t>244</w:t>
                        </w:r>
                      </w:p>
                    </w:tc>
                    <w:tc>
                      <w:tcPr>
                        <w:tcW w:w="567" w:type="dxa"/>
                        <w:vAlign w:val="center"/>
                      </w:tcPr>
                      <w:p>
                        <w:pPr>
                          <w:spacing w:line="276" w:lineRule="auto"/>
                          <w:rPr>
                            <w:rFonts w:eastAsia="Calibri"/>
                            <w:bCs/>
                            <w:color w:val="000000"/>
                            <w:szCs w:val="24"/>
                          </w:rPr>
                        </w:pPr>
                        <w:r>
                          <w:rPr>
                            <w:rFonts w:eastAsia="Calibri"/>
                            <w:bCs/>
                            <w:color w:val="000000"/>
                            <w:szCs w:val="24"/>
                          </w:rPr>
                          <w:t>4,48</w:t>
                        </w:r>
                      </w:p>
                    </w:tc>
                    <w:tc>
                      <w:tcPr>
                        <w:tcW w:w="538" w:type="dxa"/>
                        <w:vAlign w:val="center"/>
                      </w:tcPr>
                      <w:p>
                        <w:pPr>
                          <w:spacing w:line="276" w:lineRule="auto"/>
                          <w:rPr>
                            <w:rFonts w:eastAsia="Calibri"/>
                            <w:bCs/>
                            <w:color w:val="000000"/>
                            <w:szCs w:val="24"/>
                          </w:rPr>
                        </w:pPr>
                        <w:r>
                          <w:rPr>
                            <w:rFonts w:eastAsia="Calibri"/>
                            <w:bCs/>
                            <w:color w:val="000000"/>
                            <w:szCs w:val="24"/>
                          </w:rPr>
                          <w:t>529</w:t>
                        </w:r>
                      </w:p>
                    </w:tc>
                    <w:tc>
                      <w:tcPr>
                        <w:tcW w:w="566" w:type="dxa"/>
                        <w:vAlign w:val="center"/>
                      </w:tcPr>
                      <w:p>
                        <w:pPr>
                          <w:spacing w:line="276" w:lineRule="auto"/>
                          <w:rPr>
                            <w:rFonts w:eastAsia="Calibri"/>
                            <w:bCs/>
                            <w:color w:val="000000"/>
                            <w:szCs w:val="24"/>
                          </w:rPr>
                        </w:pPr>
                        <w:r>
                          <w:rPr>
                            <w:rFonts w:eastAsia="Calibri"/>
                            <w:bCs/>
                            <w:color w:val="000000"/>
                            <w:szCs w:val="24"/>
                          </w:rPr>
                          <w:t>9,71</w:t>
                        </w:r>
                      </w:p>
                    </w:tc>
                    <w:tc>
                      <w:tcPr>
                        <w:tcW w:w="542" w:type="dxa"/>
                        <w:vAlign w:val="center"/>
                      </w:tcPr>
                      <w:p>
                        <w:pPr>
                          <w:spacing w:line="276" w:lineRule="auto"/>
                          <w:rPr>
                            <w:rFonts w:eastAsia="Calibri"/>
                            <w:bCs/>
                            <w:color w:val="000000"/>
                            <w:szCs w:val="24"/>
                          </w:rPr>
                        </w:pPr>
                        <w:r>
                          <w:rPr>
                            <w:rFonts w:eastAsia="Calibri"/>
                            <w:bCs/>
                            <w:color w:val="000000"/>
                            <w:szCs w:val="24"/>
                          </w:rPr>
                          <w:t>827</w:t>
                        </w:r>
                      </w:p>
                    </w:tc>
                    <w:tc>
                      <w:tcPr>
                        <w:tcW w:w="622" w:type="dxa"/>
                        <w:vAlign w:val="center"/>
                      </w:tcPr>
                      <w:p>
                        <w:pPr>
                          <w:spacing w:line="276" w:lineRule="auto"/>
                          <w:rPr>
                            <w:rFonts w:eastAsia="Calibri"/>
                            <w:bCs/>
                            <w:color w:val="000000"/>
                            <w:szCs w:val="24"/>
                          </w:rPr>
                        </w:pPr>
                        <w:r>
                          <w:rPr>
                            <w:rFonts w:eastAsia="Calibri"/>
                            <w:bCs/>
                            <w:color w:val="000000"/>
                            <w:szCs w:val="24"/>
                          </w:rPr>
                          <w:t>15,18</w:t>
                        </w:r>
                      </w:p>
                    </w:tc>
                    <w:tc>
                      <w:tcPr>
                        <w:tcW w:w="462" w:type="dxa"/>
                        <w:vAlign w:val="center"/>
                      </w:tcPr>
                      <w:p>
                        <w:pPr>
                          <w:spacing w:line="276" w:lineRule="auto"/>
                          <w:rPr>
                            <w:rFonts w:eastAsia="Calibri"/>
                            <w:bCs/>
                            <w:color w:val="000000"/>
                            <w:szCs w:val="24"/>
                          </w:rPr>
                        </w:pPr>
                        <w:r>
                          <w:rPr>
                            <w:rFonts w:eastAsia="Calibri"/>
                            <w:bCs/>
                            <w:color w:val="000000"/>
                            <w:szCs w:val="24"/>
                          </w:rPr>
                          <w:t>837</w:t>
                        </w:r>
                      </w:p>
                    </w:tc>
                    <w:tc>
                      <w:tcPr>
                        <w:tcW w:w="672" w:type="dxa"/>
                        <w:vAlign w:val="center"/>
                      </w:tcPr>
                      <w:p>
                        <w:pPr>
                          <w:spacing w:line="276" w:lineRule="auto"/>
                          <w:rPr>
                            <w:rFonts w:eastAsia="Calibri"/>
                            <w:bCs/>
                            <w:color w:val="000000"/>
                            <w:szCs w:val="24"/>
                          </w:rPr>
                        </w:pPr>
                        <w:r>
                          <w:rPr>
                            <w:rFonts w:eastAsia="Calibri"/>
                            <w:bCs/>
                            <w:color w:val="000000"/>
                            <w:szCs w:val="24"/>
                          </w:rPr>
                          <w:t>15,36</w:t>
                        </w:r>
                      </w:p>
                    </w:tc>
                    <w:tc>
                      <w:tcPr>
                        <w:tcW w:w="567" w:type="dxa"/>
                        <w:vAlign w:val="center"/>
                      </w:tcPr>
                      <w:p>
                        <w:pPr>
                          <w:spacing w:line="276" w:lineRule="auto"/>
                          <w:rPr>
                            <w:rFonts w:eastAsia="Calibri"/>
                            <w:bCs/>
                            <w:color w:val="000000"/>
                            <w:szCs w:val="24"/>
                          </w:rPr>
                        </w:pPr>
                        <w:r>
                          <w:rPr>
                            <w:rFonts w:eastAsia="Calibri"/>
                            <w:bCs/>
                            <w:color w:val="000000"/>
                            <w:szCs w:val="24"/>
                          </w:rPr>
                          <w:t>1487</w:t>
                        </w:r>
                      </w:p>
                    </w:tc>
                    <w:tc>
                      <w:tcPr>
                        <w:tcW w:w="708" w:type="dxa"/>
                        <w:vAlign w:val="center"/>
                      </w:tcPr>
                      <w:p>
                        <w:pPr>
                          <w:spacing w:line="276" w:lineRule="auto"/>
                          <w:rPr>
                            <w:rFonts w:eastAsia="Calibri"/>
                            <w:bCs/>
                            <w:color w:val="000000"/>
                            <w:szCs w:val="24"/>
                          </w:rPr>
                        </w:pPr>
                        <w:r>
                          <w:rPr>
                            <w:rFonts w:eastAsia="Calibri"/>
                            <w:bCs/>
                            <w:color w:val="000000"/>
                            <w:szCs w:val="24"/>
                          </w:rPr>
                          <w:t>27,29</w:t>
                        </w:r>
                      </w:p>
                    </w:tc>
                    <w:tc>
                      <w:tcPr>
                        <w:tcW w:w="567" w:type="dxa"/>
                        <w:vAlign w:val="center"/>
                      </w:tcPr>
                      <w:p>
                        <w:pPr>
                          <w:spacing w:line="276" w:lineRule="auto"/>
                          <w:rPr>
                            <w:rFonts w:eastAsia="Calibri"/>
                            <w:bCs/>
                            <w:color w:val="000000"/>
                            <w:szCs w:val="24"/>
                          </w:rPr>
                        </w:pPr>
                        <w:r>
                          <w:rPr>
                            <w:rFonts w:eastAsia="Calibri"/>
                            <w:bCs/>
                            <w:color w:val="000000"/>
                            <w:szCs w:val="24"/>
                          </w:rPr>
                          <w:t>1501</w:t>
                        </w:r>
                      </w:p>
                    </w:tc>
                    <w:tc>
                      <w:tcPr>
                        <w:tcW w:w="709" w:type="dxa"/>
                        <w:vAlign w:val="center"/>
                      </w:tcPr>
                      <w:p>
                        <w:pPr>
                          <w:spacing w:line="276" w:lineRule="auto"/>
                          <w:rPr>
                            <w:rFonts w:eastAsia="Calibri"/>
                            <w:bCs/>
                            <w:color w:val="000000"/>
                            <w:szCs w:val="24"/>
                          </w:rPr>
                        </w:pPr>
                        <w:r>
                          <w:rPr>
                            <w:rFonts w:eastAsia="Calibri"/>
                            <w:bCs/>
                            <w:color w:val="000000"/>
                            <w:szCs w:val="24"/>
                          </w:rPr>
                          <w:t>27,56</w:t>
                        </w:r>
                      </w:p>
                    </w:tc>
                    <w:tc>
                      <w:tcPr>
                        <w:tcW w:w="992" w:type="dxa"/>
                        <w:vAlign w:val="center"/>
                      </w:tcPr>
                      <w:p>
                        <w:pPr>
                          <w:spacing w:line="276" w:lineRule="auto"/>
                          <w:rPr>
                            <w:rFonts w:eastAsia="Calibri"/>
                            <w:bCs/>
                            <w:color w:val="000000"/>
                            <w:szCs w:val="24"/>
                          </w:rPr>
                        </w:pPr>
                        <w:r>
                          <w:rPr>
                            <w:rFonts w:eastAsia="Calibri"/>
                            <w:bCs/>
                            <w:color w:val="000000"/>
                            <w:szCs w:val="24"/>
                          </w:rPr>
                          <w:t>5448</w:t>
                        </w:r>
                      </w:p>
                    </w:tc>
                  </w:tr>
                  <w:tr>
                    <w:trPr>
                      <w:cantSplit/>
                      <w:trHeight w:val="553"/>
                    </w:trPr>
                    <w:tc>
                      <w:tcPr>
                        <w:tcW w:w="392" w:type="dxa"/>
                        <w:shd w:val="clear" w:color="auto" w:fill="D9D9D9"/>
                        <w:textDirection w:val="btLr"/>
                      </w:tcPr>
                      <w:p>
                        <w:pPr>
                          <w:spacing w:line="276" w:lineRule="auto"/>
                          <w:ind w:left="113" w:right="113"/>
                          <w:rPr>
                            <w:rFonts w:eastAsia="Calibri"/>
                            <w:bCs/>
                            <w:color w:val="000000"/>
                            <w:szCs w:val="24"/>
                          </w:rPr>
                        </w:pPr>
                        <w:r>
                          <w:rPr>
                            <w:rFonts w:eastAsia="Calibri"/>
                            <w:bCs/>
                            <w:color w:val="000000"/>
                            <w:szCs w:val="24"/>
                          </w:rPr>
                          <w:t>2025m.</w:t>
                        </w:r>
                      </w:p>
                    </w:tc>
                    <w:tc>
                      <w:tcPr>
                        <w:tcW w:w="596" w:type="dxa"/>
                        <w:vAlign w:val="center"/>
                      </w:tcPr>
                      <w:p>
                        <w:pPr>
                          <w:spacing w:line="276" w:lineRule="auto"/>
                          <w:rPr>
                            <w:rFonts w:eastAsia="Calibri"/>
                            <w:bCs/>
                            <w:color w:val="000000"/>
                            <w:szCs w:val="24"/>
                          </w:rPr>
                        </w:pPr>
                        <w:r>
                          <w:rPr>
                            <w:rFonts w:eastAsia="Calibri"/>
                            <w:bCs/>
                            <w:color w:val="000000"/>
                            <w:szCs w:val="24"/>
                          </w:rPr>
                          <w:t>16</w:t>
                        </w:r>
                      </w:p>
                    </w:tc>
                    <w:tc>
                      <w:tcPr>
                        <w:tcW w:w="567" w:type="dxa"/>
                        <w:vAlign w:val="center"/>
                      </w:tcPr>
                      <w:p>
                        <w:pPr>
                          <w:spacing w:line="276" w:lineRule="auto"/>
                          <w:rPr>
                            <w:rFonts w:eastAsia="Calibri"/>
                            <w:bCs/>
                            <w:color w:val="000000"/>
                            <w:szCs w:val="24"/>
                          </w:rPr>
                        </w:pPr>
                        <w:r>
                          <w:rPr>
                            <w:rFonts w:eastAsia="Calibri"/>
                            <w:bCs/>
                            <w:color w:val="000000"/>
                            <w:szCs w:val="24"/>
                          </w:rPr>
                          <w:t>0,30</w:t>
                        </w:r>
                      </w:p>
                    </w:tc>
                    <w:tc>
                      <w:tcPr>
                        <w:tcW w:w="567" w:type="dxa"/>
                        <w:vAlign w:val="center"/>
                      </w:tcPr>
                      <w:p>
                        <w:pPr>
                          <w:spacing w:line="276" w:lineRule="auto"/>
                          <w:rPr>
                            <w:rFonts w:eastAsia="Calibri"/>
                            <w:bCs/>
                            <w:color w:val="000000"/>
                            <w:szCs w:val="24"/>
                          </w:rPr>
                        </w:pPr>
                        <w:r>
                          <w:rPr>
                            <w:rFonts w:eastAsia="Calibri"/>
                            <w:bCs/>
                            <w:color w:val="000000"/>
                            <w:szCs w:val="24"/>
                          </w:rPr>
                          <w:t>231</w:t>
                        </w:r>
                      </w:p>
                    </w:tc>
                    <w:tc>
                      <w:tcPr>
                        <w:tcW w:w="567" w:type="dxa"/>
                        <w:vAlign w:val="center"/>
                      </w:tcPr>
                      <w:p>
                        <w:pPr>
                          <w:spacing w:line="276" w:lineRule="auto"/>
                          <w:rPr>
                            <w:rFonts w:eastAsia="Calibri"/>
                            <w:bCs/>
                            <w:color w:val="000000"/>
                            <w:szCs w:val="24"/>
                          </w:rPr>
                        </w:pPr>
                        <w:r>
                          <w:rPr>
                            <w:rFonts w:eastAsia="Calibri"/>
                            <w:bCs/>
                            <w:color w:val="000000"/>
                            <w:szCs w:val="24"/>
                          </w:rPr>
                          <w:t>4,37</w:t>
                        </w:r>
                      </w:p>
                    </w:tc>
                    <w:tc>
                      <w:tcPr>
                        <w:tcW w:w="538" w:type="dxa"/>
                        <w:vAlign w:val="center"/>
                      </w:tcPr>
                      <w:p>
                        <w:pPr>
                          <w:spacing w:line="276" w:lineRule="auto"/>
                          <w:rPr>
                            <w:rFonts w:eastAsia="Calibri"/>
                            <w:bCs/>
                            <w:color w:val="000000"/>
                            <w:szCs w:val="24"/>
                          </w:rPr>
                        </w:pPr>
                        <w:r>
                          <w:rPr>
                            <w:rFonts w:eastAsia="Calibri"/>
                            <w:bCs/>
                            <w:color w:val="000000"/>
                            <w:szCs w:val="24"/>
                          </w:rPr>
                          <w:t>499</w:t>
                        </w:r>
                      </w:p>
                    </w:tc>
                    <w:tc>
                      <w:tcPr>
                        <w:tcW w:w="566" w:type="dxa"/>
                        <w:vAlign w:val="center"/>
                      </w:tcPr>
                      <w:p>
                        <w:pPr>
                          <w:spacing w:line="276" w:lineRule="auto"/>
                          <w:rPr>
                            <w:rFonts w:eastAsia="Calibri"/>
                            <w:bCs/>
                            <w:color w:val="000000"/>
                            <w:szCs w:val="24"/>
                          </w:rPr>
                        </w:pPr>
                        <w:r>
                          <w:rPr>
                            <w:rFonts w:eastAsia="Calibri"/>
                            <w:bCs/>
                            <w:color w:val="000000"/>
                            <w:szCs w:val="24"/>
                          </w:rPr>
                          <w:t>9,44</w:t>
                        </w:r>
                      </w:p>
                    </w:tc>
                    <w:tc>
                      <w:tcPr>
                        <w:tcW w:w="542" w:type="dxa"/>
                        <w:vAlign w:val="center"/>
                      </w:tcPr>
                      <w:p>
                        <w:pPr>
                          <w:spacing w:line="276" w:lineRule="auto"/>
                          <w:rPr>
                            <w:rFonts w:eastAsia="Calibri"/>
                            <w:bCs/>
                            <w:color w:val="000000"/>
                            <w:szCs w:val="24"/>
                          </w:rPr>
                        </w:pPr>
                        <w:r>
                          <w:rPr>
                            <w:rFonts w:eastAsia="Calibri"/>
                            <w:bCs/>
                            <w:color w:val="000000"/>
                            <w:szCs w:val="24"/>
                          </w:rPr>
                          <w:t>795</w:t>
                        </w:r>
                      </w:p>
                    </w:tc>
                    <w:tc>
                      <w:tcPr>
                        <w:tcW w:w="622" w:type="dxa"/>
                        <w:vAlign w:val="center"/>
                      </w:tcPr>
                      <w:p>
                        <w:pPr>
                          <w:spacing w:line="276" w:lineRule="auto"/>
                          <w:rPr>
                            <w:rFonts w:eastAsia="Calibri"/>
                            <w:bCs/>
                            <w:color w:val="000000"/>
                            <w:szCs w:val="24"/>
                          </w:rPr>
                        </w:pPr>
                        <w:r>
                          <w:rPr>
                            <w:rFonts w:eastAsia="Calibri"/>
                            <w:bCs/>
                            <w:color w:val="000000"/>
                            <w:szCs w:val="24"/>
                          </w:rPr>
                          <w:t>15,05</w:t>
                        </w:r>
                      </w:p>
                    </w:tc>
                    <w:tc>
                      <w:tcPr>
                        <w:tcW w:w="462" w:type="dxa"/>
                        <w:vAlign w:val="center"/>
                      </w:tcPr>
                      <w:p>
                        <w:pPr>
                          <w:spacing w:line="276" w:lineRule="auto"/>
                          <w:rPr>
                            <w:rFonts w:eastAsia="Calibri"/>
                            <w:bCs/>
                            <w:color w:val="000000"/>
                            <w:szCs w:val="24"/>
                          </w:rPr>
                        </w:pPr>
                        <w:r>
                          <w:rPr>
                            <w:rFonts w:eastAsia="Calibri"/>
                            <w:bCs/>
                            <w:color w:val="000000"/>
                            <w:szCs w:val="24"/>
                          </w:rPr>
                          <w:t>802</w:t>
                        </w:r>
                      </w:p>
                    </w:tc>
                    <w:tc>
                      <w:tcPr>
                        <w:tcW w:w="672" w:type="dxa"/>
                        <w:vAlign w:val="center"/>
                      </w:tcPr>
                      <w:p>
                        <w:pPr>
                          <w:spacing w:line="276" w:lineRule="auto"/>
                          <w:rPr>
                            <w:rFonts w:eastAsia="Calibri"/>
                            <w:bCs/>
                            <w:color w:val="000000"/>
                            <w:szCs w:val="24"/>
                          </w:rPr>
                        </w:pPr>
                        <w:r>
                          <w:rPr>
                            <w:rFonts w:eastAsia="Calibri"/>
                            <w:bCs/>
                            <w:color w:val="000000"/>
                            <w:szCs w:val="24"/>
                          </w:rPr>
                          <w:t>15,18</w:t>
                        </w:r>
                      </w:p>
                    </w:tc>
                    <w:tc>
                      <w:tcPr>
                        <w:tcW w:w="567" w:type="dxa"/>
                        <w:vAlign w:val="center"/>
                      </w:tcPr>
                      <w:p>
                        <w:pPr>
                          <w:spacing w:line="276" w:lineRule="auto"/>
                          <w:rPr>
                            <w:rFonts w:eastAsia="Calibri"/>
                            <w:bCs/>
                            <w:color w:val="000000"/>
                            <w:szCs w:val="24"/>
                          </w:rPr>
                        </w:pPr>
                        <w:r>
                          <w:rPr>
                            <w:rFonts w:eastAsia="Calibri"/>
                            <w:bCs/>
                            <w:color w:val="000000"/>
                            <w:szCs w:val="24"/>
                          </w:rPr>
                          <w:t>1413</w:t>
                        </w:r>
                      </w:p>
                    </w:tc>
                    <w:tc>
                      <w:tcPr>
                        <w:tcW w:w="708" w:type="dxa"/>
                        <w:vAlign w:val="center"/>
                      </w:tcPr>
                      <w:p>
                        <w:pPr>
                          <w:spacing w:line="276" w:lineRule="auto"/>
                          <w:rPr>
                            <w:rFonts w:eastAsia="Calibri"/>
                            <w:bCs/>
                            <w:color w:val="000000"/>
                            <w:szCs w:val="24"/>
                          </w:rPr>
                        </w:pPr>
                        <w:r>
                          <w:rPr>
                            <w:rFonts w:eastAsia="Calibri"/>
                            <w:bCs/>
                            <w:color w:val="000000"/>
                            <w:szCs w:val="24"/>
                          </w:rPr>
                          <w:t>26,73</w:t>
                        </w:r>
                      </w:p>
                    </w:tc>
                    <w:tc>
                      <w:tcPr>
                        <w:tcW w:w="567" w:type="dxa"/>
                        <w:vAlign w:val="center"/>
                      </w:tcPr>
                      <w:p>
                        <w:pPr>
                          <w:spacing w:line="276" w:lineRule="auto"/>
                          <w:rPr>
                            <w:rFonts w:eastAsia="Calibri"/>
                            <w:bCs/>
                            <w:color w:val="000000"/>
                            <w:szCs w:val="24"/>
                          </w:rPr>
                        </w:pPr>
                        <w:r>
                          <w:rPr>
                            <w:rFonts w:eastAsia="Calibri"/>
                            <w:bCs/>
                            <w:color w:val="000000"/>
                            <w:szCs w:val="24"/>
                          </w:rPr>
                          <w:t>1529</w:t>
                        </w:r>
                      </w:p>
                    </w:tc>
                    <w:tc>
                      <w:tcPr>
                        <w:tcW w:w="709" w:type="dxa"/>
                        <w:vAlign w:val="center"/>
                      </w:tcPr>
                      <w:p>
                        <w:pPr>
                          <w:spacing w:line="276" w:lineRule="auto"/>
                          <w:rPr>
                            <w:rFonts w:eastAsia="Calibri"/>
                            <w:bCs/>
                            <w:color w:val="000000"/>
                            <w:szCs w:val="24"/>
                          </w:rPr>
                        </w:pPr>
                        <w:r>
                          <w:rPr>
                            <w:rFonts w:eastAsia="Calibri"/>
                            <w:bCs/>
                            <w:color w:val="000000"/>
                            <w:szCs w:val="24"/>
                          </w:rPr>
                          <w:t>28,93</w:t>
                        </w:r>
                      </w:p>
                    </w:tc>
                    <w:tc>
                      <w:tcPr>
                        <w:tcW w:w="992" w:type="dxa"/>
                        <w:vAlign w:val="center"/>
                      </w:tcPr>
                      <w:p>
                        <w:pPr>
                          <w:spacing w:line="276" w:lineRule="auto"/>
                          <w:rPr>
                            <w:rFonts w:eastAsia="Calibri"/>
                            <w:bCs/>
                            <w:color w:val="000000"/>
                            <w:szCs w:val="24"/>
                          </w:rPr>
                        </w:pPr>
                        <w:r>
                          <w:rPr>
                            <w:rFonts w:eastAsia="Calibri"/>
                            <w:bCs/>
                            <w:color w:val="000000"/>
                            <w:szCs w:val="24"/>
                          </w:rPr>
                          <w:t>5285</w:t>
                        </w:r>
                      </w:p>
                    </w:tc>
                  </w:tr>
                </w:tbl>
                <w:p>
                  <w:pPr>
                    <w:spacing w:line="276" w:lineRule="auto"/>
                    <w:rPr>
                      <w:rFonts w:eastAsia="Calibri"/>
                      <w:bCs/>
                      <w:color w:val="000000"/>
                      <w:szCs w:val="24"/>
                    </w:rPr>
                  </w:pPr>
                </w:p>
                <w:p>
                  <w:pPr>
                    <w:ind w:firstLine="567"/>
                    <w:rPr>
                      <w:rFonts w:eastAsia="Calibri"/>
                      <w:bCs/>
                      <w:color w:val="000000"/>
                      <w:szCs w:val="24"/>
                    </w:rPr>
                  </w:pPr>
                  <w:r>
                    <w:rPr>
                      <w:rFonts w:eastAsia="Calibri"/>
                      <w:bCs/>
                      <w:color w:val="000000"/>
                      <w:szCs w:val="24"/>
                    </w:rPr>
                    <w:t xml:space="preserve">2025 m. prisirašiusiųjų prie įstaigos gyventojų skaičius buvo 5285, iš kurių 4539 (85,91%) suaugusiųjų, 746  (14,11%) vaikų. Per 2025 m. prie įstaigos prisirašė 222 pacientai (2024 m. </w:t>
                  </w:r>
                  <w:r>
                    <w:rPr>
                      <w:bCs/>
                      <w:color w:val="000000"/>
                      <w:szCs w:val="24"/>
                    </w:rPr>
                    <w:t xml:space="preserve">– </w:t>
                  </w:r>
                  <w:r>
                    <w:rPr>
                      <w:rFonts w:eastAsia="Calibri"/>
                      <w:bCs/>
                      <w:color w:val="000000"/>
                      <w:szCs w:val="24"/>
                    </w:rPr>
                    <w:t xml:space="preserve">226), 245 išsirašė pagal prašymus (2024 m. 291),  112 mirė (2024 m. </w:t>
                  </w:r>
                  <w:r>
                    <w:rPr>
                      <w:bCs/>
                      <w:color w:val="000000"/>
                      <w:szCs w:val="24"/>
                    </w:rPr>
                    <w:t xml:space="preserve">– </w:t>
                  </w:r>
                  <w:r>
                    <w:rPr>
                      <w:rFonts w:eastAsia="Calibri"/>
                      <w:bCs/>
                      <w:color w:val="000000"/>
                      <w:szCs w:val="24"/>
                    </w:rPr>
                    <w:t xml:space="preserve">119). 21 gyventojas neteko draudžiamojo statuso. Poliklinikoje virš 65 m. gyventojų buvo 1539, tai sudaro 28,93 % nuo visų prisirašiusių. Prisirašiusių pokytį 3% įtakoja mažėjantis gimstamumas, gyvenamosios vietos pakeitimas, didėjantis mirtingumas. </w:t>
                  </w:r>
                </w:p>
                <w:p>
                  <w:pPr>
                    <w:spacing w:line="276" w:lineRule="auto"/>
                    <w:ind w:firstLine="567"/>
                    <w:rPr>
                      <w:rFonts w:eastAsia="Calibri"/>
                      <w:bCs/>
                      <w:color w:val="000000"/>
                      <w:szCs w:val="24"/>
                    </w:rPr>
                  </w:pPr>
                </w:p>
              </w:sdtContent>
            </w:sdt>
            <w:sdt>
              <w:sdtPr>
                <w:alias w:val="poskyris"/>
                <w:tag w:val="part_633af3331e5a4f1ca80ecf4c6950aab1"/>
                <w:lock w:val="sdtLocked"/>
                <w:richText/>
              </w:sdtPr>
              <w:sdtContent>
                <w:p>
                  <w:pPr>
                    <w:ind w:firstLine="62"/>
                    <w:rPr>
                      <w:b/>
                      <w:bCs/>
                      <w:szCs w:val="24"/>
                      <w:lang w:eastAsia="lt-LT"/>
                    </w:rPr>
                  </w:pPr>
                  <w:sdt>
                    <w:sdtPr>
                      <w:alias w:val="Pavadinimas"/>
                      <w:tag w:val="title_633af3331e5a4f1ca80ecf4c6950aab1"/>
                      <w:lock w:val="sdtLocked"/>
                      <w:richText/>
                    </w:sdtPr>
                    <w:sdtContent>
                      <w:r>
                        <w:rPr>
                          <w:b/>
                          <w:bCs/>
                          <w:szCs w:val="24"/>
                          <w:lang w:eastAsia="lt-LT"/>
                        </w:rPr>
                        <w:t xml:space="preserve">Duomenys apie pacientų apsilankymo skaičių  ASPĮ                                                                                                                                                                                                                                 </w:t>
                      </w:r>
                    </w:sdtContent>
                  </w:sdt>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2977"/>
                    <w:gridCol w:w="2976"/>
                  </w:tblGrid>
                  <w:tr>
                    <w:tc>
                      <w:tcPr>
                        <w:tcW w:w="3681" w:type="dxa"/>
                        <w:vMerge w:val="restart"/>
                        <w:vAlign w:val="center"/>
                      </w:tcPr>
                      <w:p>
                        <w:pPr>
                          <w:spacing w:line="276" w:lineRule="auto"/>
                          <w:rPr>
                            <w:b/>
                            <w:szCs w:val="24"/>
                          </w:rPr>
                        </w:pPr>
                        <w:r>
                          <w:rPr>
                            <w:b/>
                            <w:szCs w:val="24"/>
                          </w:rPr>
                          <w:t>APSILANKYMO VIETA</w:t>
                        </w:r>
                      </w:p>
                    </w:tc>
                    <w:tc>
                      <w:tcPr>
                        <w:tcW w:w="5953" w:type="dxa"/>
                        <w:gridSpan w:val="2"/>
                        <w:vAlign w:val="center"/>
                      </w:tcPr>
                      <w:p>
                        <w:pPr>
                          <w:spacing w:line="276" w:lineRule="auto"/>
                          <w:rPr>
                            <w:b/>
                            <w:szCs w:val="24"/>
                          </w:rPr>
                        </w:pPr>
                        <w:r>
                          <w:rPr>
                            <w:b/>
                            <w:szCs w:val="24"/>
                          </w:rPr>
                          <w:t xml:space="preserve">Vieno gyventojo apsilankymų skaičius </w:t>
                        </w:r>
                      </w:p>
                      <w:p>
                        <w:pPr>
                          <w:spacing w:line="276" w:lineRule="auto"/>
                          <w:rPr>
                            <w:b/>
                            <w:szCs w:val="24"/>
                          </w:rPr>
                        </w:pPr>
                        <w:r>
                          <w:rPr>
                            <w:b/>
                            <w:szCs w:val="24"/>
                          </w:rPr>
                          <w:t>(absoliutus skaičius)</w:t>
                        </w:r>
                      </w:p>
                    </w:tc>
                  </w:tr>
                  <w:tr>
                    <w:tc>
                      <w:tcPr>
                        <w:tcW w:w="3681" w:type="dxa"/>
                        <w:vMerge/>
                        <w:vAlign w:val="center"/>
                      </w:tcPr>
                      <w:p>
                        <w:pPr>
                          <w:spacing w:line="276" w:lineRule="auto"/>
                          <w:rPr>
                            <w:b/>
                            <w:szCs w:val="24"/>
                          </w:rPr>
                        </w:pPr>
                      </w:p>
                    </w:tc>
                    <w:tc>
                      <w:tcPr>
                        <w:tcW w:w="2977" w:type="dxa"/>
                        <w:vAlign w:val="center"/>
                      </w:tcPr>
                      <w:p>
                        <w:pPr>
                          <w:spacing w:line="276" w:lineRule="auto"/>
                          <w:rPr>
                            <w:b/>
                            <w:szCs w:val="24"/>
                          </w:rPr>
                        </w:pPr>
                        <w:r>
                          <w:rPr>
                            <w:b/>
                            <w:szCs w:val="24"/>
                          </w:rPr>
                          <w:t>2024 m.</w:t>
                        </w:r>
                      </w:p>
                    </w:tc>
                    <w:tc>
                      <w:tcPr>
                        <w:tcW w:w="2976" w:type="dxa"/>
                        <w:vAlign w:val="center"/>
                      </w:tcPr>
                      <w:p>
                        <w:pPr>
                          <w:spacing w:line="276" w:lineRule="auto"/>
                          <w:ind w:firstLine="682"/>
                          <w:rPr>
                            <w:b/>
                            <w:szCs w:val="24"/>
                          </w:rPr>
                        </w:pPr>
                        <w:r>
                          <w:rPr>
                            <w:b/>
                            <w:szCs w:val="24"/>
                          </w:rPr>
                          <w:t>2025 m.</w:t>
                        </w:r>
                      </w:p>
                    </w:tc>
                  </w:tr>
                  <w:tr>
                    <w:tc>
                      <w:tcPr>
                        <w:tcW w:w="3681" w:type="dxa"/>
                        <w:vAlign w:val="center"/>
                      </w:tcPr>
                      <w:p>
                        <w:pPr>
                          <w:spacing w:line="276" w:lineRule="auto"/>
                          <w:rPr>
                            <w:szCs w:val="24"/>
                          </w:rPr>
                        </w:pPr>
                        <w:r>
                          <w:rPr>
                            <w:szCs w:val="24"/>
                          </w:rPr>
                          <w:t>Sveikatos priežiūros įstaigoje</w:t>
                        </w:r>
                      </w:p>
                    </w:tc>
                    <w:tc>
                      <w:tcPr>
                        <w:tcW w:w="2977" w:type="dxa"/>
                        <w:vAlign w:val="center"/>
                      </w:tcPr>
                      <w:p>
                        <w:pPr>
                          <w:spacing w:line="276" w:lineRule="auto"/>
                          <w:rPr>
                            <w:color w:val="000000"/>
                            <w:szCs w:val="24"/>
                          </w:rPr>
                        </w:pPr>
                        <w:r>
                          <w:rPr>
                            <w:color w:val="000000"/>
                            <w:szCs w:val="24"/>
                          </w:rPr>
                          <w:t xml:space="preserve">11,82 (64451 paslaugų) </w:t>
                        </w:r>
                      </w:p>
                    </w:tc>
                    <w:tc>
                      <w:tcPr>
                        <w:tcW w:w="2976" w:type="dxa"/>
                        <w:vAlign w:val="center"/>
                      </w:tcPr>
                      <w:p>
                        <w:pPr>
                          <w:spacing w:line="276" w:lineRule="auto"/>
                          <w:ind w:firstLine="620"/>
                          <w:rPr>
                            <w:color w:val="000000"/>
                            <w:szCs w:val="24"/>
                          </w:rPr>
                        </w:pPr>
                        <w:r>
                          <w:rPr>
                            <w:color w:val="000000"/>
                            <w:szCs w:val="24"/>
                          </w:rPr>
                          <w:t>12,11 (64025 paslaugų)</w:t>
                        </w:r>
                      </w:p>
                    </w:tc>
                  </w:tr>
                  <w:tr>
                    <w:tc>
                      <w:tcPr>
                        <w:tcW w:w="3681" w:type="dxa"/>
                        <w:vAlign w:val="center"/>
                      </w:tcPr>
                      <w:p>
                        <w:pPr>
                          <w:spacing w:line="276" w:lineRule="auto"/>
                          <w:rPr>
                            <w:szCs w:val="24"/>
                          </w:rPr>
                        </w:pPr>
                        <w:r>
                          <w:rPr>
                            <w:szCs w:val="24"/>
                          </w:rPr>
                          <w:t xml:space="preserve">Ambulatorinių slaugos paslaugų suteikimas namuose ( komanda) </w:t>
                        </w:r>
                      </w:p>
                    </w:tc>
                    <w:tc>
                      <w:tcPr>
                        <w:tcW w:w="2977" w:type="dxa"/>
                        <w:vAlign w:val="center"/>
                      </w:tcPr>
                      <w:p>
                        <w:pPr>
                          <w:spacing w:line="276" w:lineRule="auto"/>
                          <w:rPr>
                            <w:szCs w:val="24"/>
                          </w:rPr>
                        </w:pPr>
                        <w:r>
                          <w:rPr>
                            <w:szCs w:val="24"/>
                          </w:rPr>
                          <w:t xml:space="preserve">3,87 (21068 paslaugų) </w:t>
                        </w:r>
                      </w:p>
                    </w:tc>
                    <w:tc>
                      <w:tcPr>
                        <w:tcW w:w="2976" w:type="dxa"/>
                        <w:vAlign w:val="center"/>
                      </w:tcPr>
                      <w:p>
                        <w:pPr>
                          <w:spacing w:line="276" w:lineRule="auto"/>
                          <w:ind w:firstLine="744"/>
                          <w:rPr>
                            <w:color w:val="000000"/>
                            <w:szCs w:val="24"/>
                          </w:rPr>
                        </w:pPr>
                        <w:r>
                          <w:rPr>
                            <w:color w:val="000000"/>
                            <w:szCs w:val="24"/>
                          </w:rPr>
                          <w:t xml:space="preserve">3,63 (19177 paslaugų ) </w:t>
                        </w:r>
                      </w:p>
                    </w:tc>
                  </w:tr>
                </w:tbl>
                <w:p>
                  <w:pPr>
                    <w:ind w:firstLine="558"/>
                    <w:rPr>
                      <w:szCs w:val="24"/>
                    </w:rPr>
                  </w:pPr>
                  <w:r>
                    <w:rPr>
                      <w:szCs w:val="24"/>
                    </w:rPr>
                    <w:t>Nors namuose teikiamų ambulatorinių slaugos paslaugų skaičius šiek tiek sumažėjo, paslaugų sveikatos priežiūros įstaigoje vidutinis skaičius padidėjo, rodydamas, kad paslaugos teikiamos apgalvotai, efektyviai ir tiksliai pagal gyventojų poreikius, užtikrinant saugią ir kokybišką pagalbą.</w:t>
                  </w:r>
                  <w:r>
                    <w:rPr>
                      <w:color w:val="000000"/>
                      <w:szCs w:val="24"/>
                    </w:rPr>
                    <w:t xml:space="preserve"> Šeimos gydytojo konsultacijai ūmiai susirgę pacientai patenka tą pačią dieną. Registruojantis planiniam vizitui laukimo terminas gali būti iki 7 dienų.</w:t>
                  </w:r>
                  <w:r>
                    <w:rPr>
                      <w:szCs w:val="24"/>
                    </w:rPr>
                    <w:t xml:space="preserve"> </w:t>
                  </w:r>
                </w:p>
                <w:p>
                  <w:pPr>
                    <w:ind w:firstLine="567"/>
                    <w:rPr>
                      <w:szCs w:val="24"/>
                    </w:rPr>
                  </w:pPr>
                  <w:r>
                    <w:rPr>
                      <w:szCs w:val="24"/>
                    </w:rPr>
                    <w:t>VšĮ Šeduvos pirminės sveikatos priežiūros centras išplėtė ir sustiprino skatinamąsias bei prevencines paslaugas. Išaugo ankstyvosios piktybinių navikų diagnostikos rezultatai (19 I-os stadijos atvejų, 2024 m. – 10), padidėjo HbA1c tyrimų ir slaugos paslaugų namuose apimtys. Ženkliai augo odontologinių profilaktinių paslaugų skaičius, pradėta nauja vaikų dantų dengimo fluoridais paslauga. Taip pat sustiprinta tuberkuliozės profilaktika – atlikta daugiau tyrimų, padidėjo išgydytų atvejų skaičius. Rodikliai rodo aktyvią prevencinę veiklą ir augantį paslaugų poreikį.</w:t>
                  </w:r>
                </w:p>
                <w:p>
                  <w:pPr>
                    <w:rPr>
                      <w:sz w:val="20"/>
                    </w:rPr>
                  </w:pPr>
                </w:p>
              </w:sdtContent>
            </w:sdt>
            <w:sdt>
              <w:sdtPr>
                <w:alias w:val="poskyris"/>
                <w:tag w:val="part_43e0eecdb2914a18bb829ea879df44a3"/>
                <w:lock w:val="sdtLocked"/>
                <w:richText/>
              </w:sdtPr>
              <w:sdtContent>
                <w:p>
                  <w:pPr>
                    <w:rPr>
                      <w:szCs w:val="24"/>
                    </w:rPr>
                  </w:pPr>
                  <w:sdt>
                    <w:sdtPr>
                      <w:alias w:val="Pavadinimas"/>
                      <w:tag w:val="title_43e0eecdb2914a18bb829ea879df44a3"/>
                      <w:lock w:val="sdtLocked"/>
                      <w:richText/>
                    </w:sdtPr>
                    <w:sdtContent>
                      <w:r>
                        <w:rPr>
                          <w:b/>
                          <w:bCs/>
                          <w:szCs w:val="24"/>
                        </w:rPr>
                        <w:t xml:space="preserve">Duomenys apie medicinos punktuose teikiamas paslaugas                                                     </w:t>
                      </w:r>
                      <w:r>
                        <w:rPr>
                          <w:szCs w:val="24"/>
                        </w:rPr>
                        <w:t xml:space="preserve"> </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5"/>
                    <w:gridCol w:w="1925"/>
                    <w:gridCol w:w="1926"/>
                    <w:gridCol w:w="1926"/>
                    <w:gridCol w:w="1926"/>
                  </w:tblGrid>
                  <w:tr>
                    <w:tc>
                      <w:tcPr>
                        <w:tcW w:w="1925" w:type="dxa"/>
                        <w:vMerge w:val="restart"/>
                      </w:tcPr>
                      <w:p>
                        <w:pPr>
                          <w:rPr>
                            <w:b/>
                            <w:bCs/>
                            <w:szCs w:val="24"/>
                          </w:rPr>
                        </w:pPr>
                        <w:r>
                          <w:rPr>
                            <w:b/>
                            <w:bCs/>
                            <w:szCs w:val="24"/>
                          </w:rPr>
                          <w:t>Medicinos punktas</w:t>
                        </w:r>
                      </w:p>
                    </w:tc>
                    <w:tc>
                      <w:tcPr>
                        <w:tcW w:w="3851" w:type="dxa"/>
                        <w:gridSpan w:val="2"/>
                      </w:tcPr>
                      <w:p>
                        <w:pPr>
                          <w:rPr>
                            <w:b/>
                            <w:bCs/>
                            <w:szCs w:val="24"/>
                          </w:rPr>
                        </w:pPr>
                        <w:r>
                          <w:rPr>
                            <w:b/>
                            <w:bCs/>
                            <w:szCs w:val="24"/>
                          </w:rPr>
                          <w:t>Apsilankymų punkte skaičius</w:t>
                        </w:r>
                      </w:p>
                    </w:tc>
                    <w:tc>
                      <w:tcPr>
                        <w:tcW w:w="3852" w:type="dxa"/>
                        <w:gridSpan w:val="2"/>
                      </w:tcPr>
                      <w:p>
                        <w:pPr>
                          <w:rPr>
                            <w:b/>
                            <w:bCs/>
                            <w:szCs w:val="24"/>
                          </w:rPr>
                        </w:pPr>
                        <w:r>
                          <w:rPr>
                            <w:b/>
                            <w:bCs/>
                            <w:szCs w:val="24"/>
                          </w:rPr>
                          <w:t>Apsilankymų namuose skaičius</w:t>
                        </w:r>
                      </w:p>
                    </w:tc>
                  </w:tr>
                  <w:tr>
                    <w:tc>
                      <w:tcPr>
                        <w:tcW w:w="1925" w:type="dxa"/>
                        <w:vMerge/>
                      </w:tcPr>
                      <w:p>
                        <w:pPr>
                          <w:rPr>
                            <w:b/>
                            <w:bCs/>
                            <w:szCs w:val="24"/>
                          </w:rPr>
                        </w:pPr>
                      </w:p>
                    </w:tc>
                    <w:tc>
                      <w:tcPr>
                        <w:tcW w:w="1925" w:type="dxa"/>
                      </w:tcPr>
                      <w:p>
                        <w:pPr>
                          <w:rPr>
                            <w:b/>
                            <w:bCs/>
                            <w:szCs w:val="24"/>
                          </w:rPr>
                        </w:pPr>
                        <w:r>
                          <w:rPr>
                            <w:b/>
                            <w:bCs/>
                            <w:szCs w:val="24"/>
                          </w:rPr>
                          <w:t>2024 m.</w:t>
                        </w:r>
                      </w:p>
                    </w:tc>
                    <w:tc>
                      <w:tcPr>
                        <w:tcW w:w="1926" w:type="dxa"/>
                      </w:tcPr>
                      <w:p>
                        <w:pPr>
                          <w:rPr>
                            <w:b/>
                            <w:bCs/>
                            <w:szCs w:val="24"/>
                          </w:rPr>
                        </w:pPr>
                        <w:r>
                          <w:rPr>
                            <w:b/>
                            <w:bCs/>
                            <w:szCs w:val="24"/>
                          </w:rPr>
                          <w:t>2025 m.</w:t>
                        </w:r>
                      </w:p>
                    </w:tc>
                    <w:tc>
                      <w:tcPr>
                        <w:tcW w:w="1926" w:type="dxa"/>
                      </w:tcPr>
                      <w:p>
                        <w:pPr>
                          <w:rPr>
                            <w:b/>
                            <w:bCs/>
                            <w:szCs w:val="24"/>
                          </w:rPr>
                        </w:pPr>
                        <w:r>
                          <w:rPr>
                            <w:b/>
                            <w:bCs/>
                            <w:szCs w:val="24"/>
                          </w:rPr>
                          <w:t>2024 m.</w:t>
                        </w:r>
                      </w:p>
                    </w:tc>
                    <w:tc>
                      <w:tcPr>
                        <w:tcW w:w="1926" w:type="dxa"/>
                      </w:tcPr>
                      <w:p>
                        <w:pPr>
                          <w:rPr>
                            <w:b/>
                            <w:bCs/>
                            <w:szCs w:val="24"/>
                          </w:rPr>
                        </w:pPr>
                        <w:r>
                          <w:rPr>
                            <w:b/>
                            <w:bCs/>
                            <w:szCs w:val="24"/>
                          </w:rPr>
                          <w:t>2025 m.</w:t>
                        </w:r>
                      </w:p>
                    </w:tc>
                  </w:tr>
                  <w:tr>
                    <w:tc>
                      <w:tcPr>
                        <w:tcW w:w="1925" w:type="dxa"/>
                      </w:tcPr>
                      <w:p>
                        <w:pPr>
                          <w:rPr>
                            <w:szCs w:val="24"/>
                          </w:rPr>
                        </w:pPr>
                        <w:r>
                          <w:rPr>
                            <w:szCs w:val="24"/>
                          </w:rPr>
                          <w:t xml:space="preserve">Būtėnų </w:t>
                        </w:r>
                      </w:p>
                    </w:tc>
                    <w:tc>
                      <w:tcPr>
                        <w:tcW w:w="1925" w:type="dxa"/>
                      </w:tcPr>
                      <w:p>
                        <w:pPr>
                          <w:rPr>
                            <w:szCs w:val="24"/>
                          </w:rPr>
                        </w:pPr>
                        <w:r>
                          <w:rPr>
                            <w:szCs w:val="24"/>
                          </w:rPr>
                          <w:t>419</w:t>
                        </w:r>
                      </w:p>
                    </w:tc>
                    <w:tc>
                      <w:tcPr>
                        <w:tcW w:w="1926" w:type="dxa"/>
                      </w:tcPr>
                      <w:p>
                        <w:pPr>
                          <w:rPr>
                            <w:szCs w:val="24"/>
                          </w:rPr>
                        </w:pPr>
                        <w:r>
                          <w:rPr>
                            <w:szCs w:val="24"/>
                          </w:rPr>
                          <w:t>359</w:t>
                        </w:r>
                      </w:p>
                    </w:tc>
                    <w:tc>
                      <w:tcPr>
                        <w:tcW w:w="1926" w:type="dxa"/>
                      </w:tcPr>
                      <w:p>
                        <w:pPr>
                          <w:rPr>
                            <w:szCs w:val="24"/>
                          </w:rPr>
                        </w:pPr>
                        <w:r>
                          <w:rPr>
                            <w:szCs w:val="24"/>
                          </w:rPr>
                          <w:t>431</w:t>
                        </w:r>
                      </w:p>
                    </w:tc>
                    <w:tc>
                      <w:tcPr>
                        <w:tcW w:w="1926" w:type="dxa"/>
                      </w:tcPr>
                      <w:p>
                        <w:pPr>
                          <w:rPr>
                            <w:szCs w:val="24"/>
                          </w:rPr>
                        </w:pPr>
                        <w:r>
                          <w:rPr>
                            <w:szCs w:val="24"/>
                          </w:rPr>
                          <w:t>399</w:t>
                        </w:r>
                      </w:p>
                    </w:tc>
                  </w:tr>
                  <w:tr>
                    <w:trPr>
                      <w:trHeight w:val="70"/>
                    </w:trPr>
                    <w:tc>
                      <w:tcPr>
                        <w:tcW w:w="1925" w:type="dxa"/>
                      </w:tcPr>
                      <w:p>
                        <w:pPr>
                          <w:rPr>
                            <w:szCs w:val="24"/>
                          </w:rPr>
                        </w:pPr>
                        <w:r>
                          <w:rPr>
                            <w:szCs w:val="24"/>
                          </w:rPr>
                          <w:t>Vėriškių</w:t>
                        </w:r>
                      </w:p>
                    </w:tc>
                    <w:tc>
                      <w:tcPr>
                        <w:tcW w:w="1925" w:type="dxa"/>
                      </w:tcPr>
                      <w:p>
                        <w:pPr>
                          <w:rPr>
                            <w:szCs w:val="24"/>
                          </w:rPr>
                        </w:pPr>
                        <w:r>
                          <w:rPr>
                            <w:szCs w:val="24"/>
                          </w:rPr>
                          <w:t>590</w:t>
                        </w:r>
                      </w:p>
                    </w:tc>
                    <w:tc>
                      <w:tcPr>
                        <w:tcW w:w="1926" w:type="dxa"/>
                      </w:tcPr>
                      <w:p>
                        <w:pPr>
                          <w:rPr>
                            <w:szCs w:val="24"/>
                          </w:rPr>
                        </w:pPr>
                        <w:r>
                          <w:rPr>
                            <w:szCs w:val="24"/>
                          </w:rPr>
                          <w:t>521</w:t>
                        </w:r>
                      </w:p>
                    </w:tc>
                    <w:tc>
                      <w:tcPr>
                        <w:tcW w:w="1926" w:type="dxa"/>
                      </w:tcPr>
                      <w:p>
                        <w:pPr>
                          <w:rPr>
                            <w:szCs w:val="24"/>
                          </w:rPr>
                        </w:pPr>
                        <w:r>
                          <w:rPr>
                            <w:szCs w:val="24"/>
                          </w:rPr>
                          <w:t>449</w:t>
                        </w:r>
                      </w:p>
                    </w:tc>
                    <w:tc>
                      <w:tcPr>
                        <w:tcW w:w="1926" w:type="dxa"/>
                      </w:tcPr>
                      <w:p>
                        <w:pPr>
                          <w:rPr>
                            <w:szCs w:val="24"/>
                          </w:rPr>
                        </w:pPr>
                        <w:r>
                          <w:rPr>
                            <w:szCs w:val="24"/>
                          </w:rPr>
                          <w:t>450</w:t>
                        </w:r>
                      </w:p>
                    </w:tc>
                  </w:tr>
                  <w:tr>
                    <w:tc>
                      <w:tcPr>
                        <w:tcW w:w="1925" w:type="dxa"/>
                      </w:tcPr>
                      <w:p>
                        <w:pPr>
                          <w:rPr>
                            <w:szCs w:val="24"/>
                          </w:rPr>
                        </w:pPr>
                        <w:r>
                          <w:rPr>
                            <w:szCs w:val="24"/>
                          </w:rPr>
                          <w:t>Viso</w:t>
                        </w:r>
                      </w:p>
                    </w:tc>
                    <w:tc>
                      <w:tcPr>
                        <w:tcW w:w="1925" w:type="dxa"/>
                      </w:tcPr>
                      <w:p>
                        <w:pPr>
                          <w:rPr>
                            <w:szCs w:val="24"/>
                          </w:rPr>
                        </w:pPr>
                        <w:r>
                          <w:rPr>
                            <w:szCs w:val="24"/>
                          </w:rPr>
                          <w:t>1009</w:t>
                        </w:r>
                      </w:p>
                    </w:tc>
                    <w:tc>
                      <w:tcPr>
                        <w:tcW w:w="1926" w:type="dxa"/>
                      </w:tcPr>
                      <w:p>
                        <w:pPr>
                          <w:rPr>
                            <w:szCs w:val="24"/>
                          </w:rPr>
                        </w:pPr>
                        <w:r>
                          <w:rPr>
                            <w:szCs w:val="24"/>
                          </w:rPr>
                          <w:t>880</w:t>
                        </w:r>
                      </w:p>
                    </w:tc>
                    <w:tc>
                      <w:tcPr>
                        <w:tcW w:w="1926" w:type="dxa"/>
                      </w:tcPr>
                      <w:p>
                        <w:pPr>
                          <w:rPr>
                            <w:szCs w:val="24"/>
                          </w:rPr>
                        </w:pPr>
                        <w:r>
                          <w:rPr>
                            <w:szCs w:val="24"/>
                          </w:rPr>
                          <w:t>880</w:t>
                        </w:r>
                      </w:p>
                    </w:tc>
                    <w:tc>
                      <w:tcPr>
                        <w:tcW w:w="1926" w:type="dxa"/>
                      </w:tcPr>
                      <w:p>
                        <w:pPr>
                          <w:rPr>
                            <w:szCs w:val="24"/>
                          </w:rPr>
                        </w:pPr>
                        <w:r>
                          <w:rPr>
                            <w:szCs w:val="24"/>
                          </w:rPr>
                          <w:t>849</w:t>
                        </w:r>
                      </w:p>
                    </w:tc>
                  </w:tr>
                </w:tbl>
                <w:p>
                  <w:pPr>
                    <w:rPr>
                      <w:rFonts w:eastAsia="Calibri"/>
                      <w:b/>
                      <w:color w:val="0070C0"/>
                      <w:szCs w:val="24"/>
                    </w:rPr>
                  </w:pPr>
                </w:p>
              </w:sdtContent>
            </w:sdt>
            <w:sdt>
              <w:sdtPr>
                <w:alias w:val="poskyris"/>
                <w:tag w:val="part_63752a03553747858fa0cd269eb38b32"/>
                <w:lock w:val="sdtLocked"/>
                <w:richText/>
              </w:sdtPr>
              <w:sdtContent>
                <w:p>
                  <w:pPr>
                    <w:ind w:firstLine="682"/>
                    <w:rPr>
                      <w:rFonts w:eastAsia="Calibri"/>
                      <w:b/>
                      <w:szCs w:val="24"/>
                    </w:rPr>
                  </w:pPr>
                  <w:sdt>
                    <w:sdtPr>
                      <w:alias w:val="Pavadinimas"/>
                      <w:tag w:val="title_63752a03553747858fa0cd269eb38b32"/>
                      <w:lock w:val="sdtLocked"/>
                      <w:richText/>
                    </w:sdtPr>
                    <w:sdtContent>
                      <w:r>
                        <w:rPr>
                          <w:rFonts w:eastAsia="Calibri"/>
                          <w:b/>
                          <w:szCs w:val="24"/>
                        </w:rPr>
                        <w:t xml:space="preserve">Duomenys apie prevencinių programų vykdymą </w:t>
                      </w:r>
                    </w:sdtContent>
                  </w:sdt>
                </w:p>
                <w:p>
                  <w:pPr>
                    <w:ind w:firstLine="720"/>
                    <w:rPr>
                      <w:rFonts w:eastAsia="Calibri"/>
                      <w:b/>
                      <w:color w:val="0070C0"/>
                      <w:szCs w:val="24"/>
                    </w:rPr>
                  </w:pPr>
                  <w:r>
                    <w:rPr>
                      <w:color w:val="000000"/>
                      <w:szCs w:val="24"/>
                    </w:rPr>
                    <w:t>Šeduvos PSPC vykdo ligų prevencijos programas: gimdos kaklelio vėžio, krūties vėžio, prostatos (priešinės liaukos) vėžio, storosios žarnos vėžio ir širdies bei kraujagyslių ligų prevencines programas. Valstybinė ligonių kasa iš Privalomojo sveikatos draudimo fondo skiria lėšas už šių programų vykdymą.</w:t>
                  </w:r>
                  <w:r>
                    <w:rPr>
                      <w:rFonts w:eastAsia="Calibri"/>
                      <w:b/>
                      <w:color w:val="0070C0"/>
                      <w:szCs w:val="24"/>
                    </w:rPr>
                    <w:t xml:space="preserve"> </w:t>
                  </w:r>
                  <w:r>
                    <w:rPr>
                      <w:szCs w:val="24"/>
                    </w:rPr>
                    <w:t>2025 metais VšĮ Šeduvos pirminės sveikatos priežiūros centras aktyviai vykdė prevencines programas, užtikrindamas aukštą gyventojų įsitraukimą į ankstyvosios diagnostikos ir ligų prevencijos priemones. Daugelyje programų įstaigos rodikliai viršijo savivaldybės, apskrities ir Lietuvos vidurkius. Ypač aukštas dalyvavimas fiksuotas gimdos kaklelio piktybinių navikų prevencinėje programoje. Pasiekti rezultatai rodo kryptingą prevencinę veiklą, nuoseklų pacientų informavimą ir organizuotą kvietimą dalyvauti programose.</w:t>
                  </w:r>
                </w:p>
              </w:sdtContent>
            </w:sdt>
            <w:sdt>
              <w:sdtPr>
                <w:alias w:val="poskyris"/>
                <w:tag w:val="part_8853cf953d7b4ebdaa36ba6f7de65871"/>
                <w:lock w:val="sdtLocked"/>
                <w:richText/>
              </w:sdtPr>
              <w:sdtContent>
                <w:p>
                  <w:pPr>
                    <w:ind w:firstLine="720"/>
                    <w:rPr>
                      <w:b/>
                      <w:bCs/>
                      <w:szCs w:val="24"/>
                    </w:rPr>
                  </w:pPr>
                  <w:sdt>
                    <w:sdtPr>
                      <w:alias w:val="Pavadinimas"/>
                      <w:tag w:val="title_8853cf953d7b4ebdaa36ba6f7de65871"/>
                      <w:lock w:val="sdtLocked"/>
                      <w:richText/>
                    </w:sdtPr>
                    <w:sdtContent>
                      <w:r>
                        <w:rPr>
                          <w:b/>
                          <w:bCs/>
                          <w:szCs w:val="24"/>
                        </w:rPr>
                        <w:t>Duomenys apie vaikų profilaktinius skiepijimus</w:t>
                      </w:r>
                    </w:sdtContent>
                  </w:sdt>
                </w:p>
                <w:p>
                  <w:pPr>
                    <w:ind w:firstLine="720"/>
                    <w:rPr>
                      <w:szCs w:val="24"/>
                    </w:rPr>
                  </w:pPr>
                  <w:r>
                    <w:rPr>
                      <w:szCs w:val="24"/>
                    </w:rPr>
                    <w:t>Per ataskaitinį laikotarpį įstaiga vykdė profilaktinių skiepijimų veiklą pagal Lietuvos Respublikos vaikų profilaktinių skiepijimų kalendorių. Daugumos skiepų apimtys 2025 metais išliko aukštos, o dalies amžiaus grupių rodikliai reikšmingai pagerėjo.</w:t>
                  </w:r>
                </w:p>
              </w:sdtContent>
            </w:sdt>
            <w:sdt>
              <w:sdtPr>
                <w:alias w:val="poskyris"/>
                <w:tag w:val="part_d57c037fb7d849beaf217d93a0ff4afc"/>
                <w:lock w:val="sdtLocked"/>
                <w:richText/>
              </w:sdtPr>
              <w:sdtContent>
                <w:p>
                  <w:pPr>
                    <w:ind w:firstLine="720"/>
                    <w:rPr>
                      <w:rFonts w:eastAsia="Calibri"/>
                      <w:b/>
                      <w:bCs/>
                      <w:szCs w:val="24"/>
                    </w:rPr>
                  </w:pPr>
                  <w:sdt>
                    <w:sdtPr>
                      <w:alias w:val="Pavadinimas"/>
                      <w:tag w:val="title_d57c037fb7d849beaf217d93a0ff4afc"/>
                      <w:lock w:val="sdtLocked"/>
                      <w:richText/>
                    </w:sdtPr>
                    <w:sdtContent>
                      <w:r>
                        <w:rPr>
                          <w:rFonts w:eastAsia="Calibri"/>
                          <w:b/>
                          <w:bCs/>
                          <w:szCs w:val="24"/>
                        </w:rPr>
                        <w:t>Infrastruktūros gerinimas (plėtra) bei projektų įgyvendinimas</w:t>
                      </w:r>
                    </w:sdtContent>
                  </w:sdt>
                </w:p>
                <w:p>
                  <w:pPr>
                    <w:ind w:firstLine="806"/>
                    <w:rPr>
                      <w:szCs w:val="24"/>
                    </w:rPr>
                  </w:pPr>
                  <w:r>
                    <w:rPr>
                      <w:szCs w:val="24"/>
                    </w:rPr>
                    <w:t>2025 metais įstaiga įgyvendino ir vykdė svarbius projektus Radviliškis rajone, siekdama gerinti paslaugų kokybę, prieinamumą ir infrastruktūrą. Buvo sėkmingai įgyvendintas mobilių komandų aprūpinimo įranga ir automobiliais projektas, tęsiamas sveikatos priežiūros paslaugų kokybės ir prieinamumo gerinimas, pradėtas infrastruktūros modernizavimas (patalpų remontas, įrangos atnaujinimas). Taip pat pasirašyta bendradarbiavimo sutartis su Radviliškio rajono visuomenės sveikatos biuru dėl tuberkuliozės profilaktikos projekto – 44 asmenims atlikti tyrimai, aktyvių ligos atvejų nenustatyta.</w:t>
                  </w:r>
                </w:p>
              </w:sdtContent>
            </w:sdt>
            <w:sdt>
              <w:sdtPr>
                <w:alias w:val="poskyris"/>
                <w:tag w:val="part_e2bb79097413471099c85f3ef0ba3736"/>
                <w:lock w:val="sdtLocked"/>
                <w:richText/>
              </w:sdtPr>
              <w:sdtContent>
                <w:p>
                  <w:pPr>
                    <w:ind w:firstLine="720"/>
                    <w:rPr>
                      <w:rFonts w:eastAsia="Calibri"/>
                      <w:b/>
                      <w:bCs/>
                      <w:szCs w:val="24"/>
                    </w:rPr>
                  </w:pPr>
                  <w:sdt>
                    <w:sdtPr>
                      <w:alias w:val="Pavadinimas"/>
                      <w:tag w:val="title_e2bb79097413471099c85f3ef0ba3736"/>
                      <w:lock w:val="sdtLocked"/>
                      <w:richText/>
                    </w:sdtPr>
                    <w:sdtContent>
                      <w:r>
                        <w:rPr>
                          <w:rFonts w:eastAsia="Calibri"/>
                          <w:b/>
                          <w:bCs/>
                          <w:szCs w:val="24"/>
                        </w:rPr>
                        <w:t xml:space="preserve">Pacientų pasitenkinimo teikiamomis paslaugomis lygis </w:t>
                      </w:r>
                    </w:sdtContent>
                  </w:sdt>
                </w:p>
                <w:p>
                  <w:pPr>
                    <w:ind w:firstLine="782"/>
                    <w:rPr>
                      <w:color w:val="3A7C22"/>
                      <w:szCs w:val="24"/>
                      <w14:ligatures w14:val="standardContextual"/>
                    </w:rPr>
                  </w:pPr>
                  <w:r>
                    <w:rPr>
                      <w:szCs w:val="24"/>
                    </w:rPr>
                    <w:t>2025 metais VšĮ Šeduvos pirminės sveikatos priežiūros centras pacientų pasitenkinimo lygis išliko aukštas – siekė 95 proc. Pacientai teigiamai vertina paslaugų prieinamumą, personalo profesionalumą ir draugišką bendravimą. Gauti žodiniai pastebėjimai aptariami kolektyve ir operatyviai sprendžiami. Rašytinių skundų nebuvo gauta, pacientai dažniausiai reiškia padėkas žodžiu, telefonu ar raštu.</w:t>
                  </w:r>
                </w:p>
                <w:p>
                  <w:pPr>
                    <w:rPr>
                      <w:b/>
                      <w:bCs/>
                      <w:szCs w:val="24"/>
                      <w14:ligatures w14:val="standardContextual"/>
                    </w:rPr>
                  </w:pPr>
                </w:p>
              </w:sdtContent>
            </w:sdt>
            <w:sdt>
              <w:sdtPr>
                <w:alias w:val="poskyris"/>
                <w:tag w:val="part_f6c1a5108b31444b967639b80313f558"/>
                <w:lock w:val="sdtLocked"/>
                <w:richText/>
              </w:sdtPr>
              <w:sdtContent>
                <w:p>
                  <w:pPr>
                    <w:jc w:val="center"/>
                    <w:rPr>
                      <w:b/>
                      <w:bCs/>
                      <w:szCs w:val="24"/>
                      <w14:ligatures w14:val="standardContextual"/>
                    </w:rPr>
                  </w:pPr>
                  <w:sdt>
                    <w:sdtPr>
                      <w:alias w:val="Pavadinimas"/>
                      <w:tag w:val="title_f6c1a5108b31444b967639b80313f558"/>
                      <w:lock w:val="sdtLocked"/>
                      <w:richText/>
                    </w:sdtPr>
                    <w:sdtContent>
                      <w:r>
                        <w:rPr>
                          <w:b/>
                          <w:bCs/>
                          <w:szCs w:val="24"/>
                          <w14:ligatures w14:val="standardContextual"/>
                        </w:rPr>
                        <w:t>Finansinė informacija</w:t>
                      </w:r>
                    </w:sdtContent>
                  </w:sdt>
                </w:p>
                <w:p>
                  <w:pPr>
                    <w:rPr>
                      <w:b/>
                      <w:bCs/>
                      <w:szCs w:val="24"/>
                      <w14:ligatures w14:val="standardContextual"/>
                    </w:rPr>
                  </w:pPr>
                </w:p>
                <w:sdt>
                  <w:sdtPr>
                    <w:alias w:val="lentele"/>
                    <w:tag w:val="part_84766f1619bc4cc1af813f3a879e1398"/>
                    <w:lock w:val="sdtLocked"/>
                    <w:richText/>
                  </w:sdtPr>
                  <w:sdtContent>
                    <w:p>
                      <w:pPr>
                        <w:rPr>
                          <w:szCs w:val="24"/>
                          <w:highlight w:val="yellow"/>
                        </w:rPr>
                      </w:pPr>
                      <w:r>
                        <w:rPr>
                          <w:rFonts w:eastAsia="Calibri"/>
                          <w:b/>
                          <w:bCs/>
                          <w:szCs w:val="24"/>
                        </w:rPr>
                        <w:t xml:space="preserve">Įstaigos pajamos pagal šaltinius ir jų panaudojimas pagal išlaidų rūšis                                    </w:t>
                      </w:r>
                      <w:sdt>
                        <w:sdtPr>
                          <w:alias w:val="Numeris"/>
                          <w:tag w:val="nr_84766f1619bc4cc1af813f3a879e1398"/>
                          <w:lock w:val="sdtLocked"/>
                          <w:richText/>
                        </w:sdtPr>
                        <w:sdtContent>
                          <w:r>
                            <w:rPr>
                              <w:rFonts w:eastAsia="Calibri"/>
                              <w:szCs w:val="24"/>
                            </w:rPr>
                            <w:t>5</w:t>
                          </w:r>
                        </w:sdtContent>
                      </w:sdt>
                      <w:r>
                        <w:rPr>
                          <w:rFonts w:eastAsia="Calibri"/>
                          <w:szCs w:val="24"/>
                        </w:rPr>
                        <w:t xml:space="preserve"> lentelė</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0"/>
                        <w:gridCol w:w="1701"/>
                        <w:gridCol w:w="1842"/>
                        <w:gridCol w:w="1560"/>
                      </w:tblGrid>
                      <w:tr>
                        <w:trPr>
                          <w:trHeight w:val="458"/>
                          <w:jc w:val="center"/>
                        </w:trPr>
                        <w:tc>
                          <w:tcPr>
                            <w:tcW w:w="4390" w:type="dxa"/>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Straipsniai</w:t>
                            </w:r>
                          </w:p>
                        </w:tc>
                        <w:tc>
                          <w:tcPr>
                            <w:tcW w:w="1701" w:type="dxa"/>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2024 m</w:t>
                            </w:r>
                          </w:p>
                        </w:tc>
                        <w:tc>
                          <w:tcPr>
                            <w:tcW w:w="1842" w:type="dxa"/>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 xml:space="preserve">2025 m. </w:t>
                            </w:r>
                          </w:p>
                        </w:tc>
                        <w:tc>
                          <w:tcPr>
                            <w:tcW w:w="1560" w:type="dxa"/>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Pokytis</w:t>
                            </w:r>
                          </w:p>
                          <w:p>
                            <w:pPr>
                              <w:rPr>
                                <w:b/>
                                <w:bCs/>
                                <w:szCs w:val="24"/>
                              </w:rPr>
                            </w:pPr>
                            <w:r>
                              <w:rPr>
                                <w:b/>
                                <w:bCs/>
                                <w:szCs w:val="24"/>
                              </w:rPr>
                              <w:t>(proc.)</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b/>
                                <w:bCs/>
                                <w:szCs w:val="24"/>
                              </w:rPr>
                              <w:t xml:space="preserve">PAGRINDINĖS VEIKLOS </w:t>
                            </w:r>
                          </w:p>
                          <w:p>
                            <w:pPr>
                              <w:spacing w:line="276" w:lineRule="auto"/>
                              <w:rPr>
                                <w:szCs w:val="24"/>
                              </w:rPr>
                            </w:pPr>
                            <w:r>
                              <w:rPr>
                                <w:b/>
                                <w:bCs/>
                                <w:szCs w:val="24"/>
                              </w:rPr>
                              <w:t>PAJAMOS</w:t>
                            </w:r>
                            <w:r>
                              <w:rPr>
                                <w:szCs w:val="24"/>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76" w:lineRule="auto"/>
                              <w:rPr>
                                <w:b/>
                                <w:bCs/>
                                <w:szCs w:val="24"/>
                              </w:rPr>
                            </w:pPr>
                          </w:p>
                          <w:p>
                            <w:pPr>
                              <w:spacing w:line="276" w:lineRule="auto"/>
                              <w:rPr>
                                <w:b/>
                                <w:bCs/>
                                <w:szCs w:val="24"/>
                              </w:rPr>
                            </w:pPr>
                            <w:r>
                              <w:rPr>
                                <w:b/>
                                <w:bCs/>
                                <w:szCs w:val="24"/>
                              </w:rPr>
                              <w:t>1630286</w:t>
                            </w:r>
                          </w:p>
                        </w:tc>
                        <w:tc>
                          <w:tcPr>
                            <w:tcW w:w="1842" w:type="dxa"/>
                            <w:tcBorders>
                              <w:top w:val="single" w:sz="4" w:space="0" w:color="auto"/>
                              <w:left w:val="single" w:sz="4" w:space="0" w:color="auto"/>
                              <w:bottom w:val="single" w:sz="4" w:space="0" w:color="auto"/>
                              <w:right w:val="single" w:sz="4" w:space="0" w:color="auto"/>
                            </w:tcBorders>
                            <w:vAlign w:val="center"/>
                          </w:tcPr>
                          <w:p>
                            <w:pPr>
                              <w:spacing w:line="276" w:lineRule="auto"/>
                              <w:rPr>
                                <w:b/>
                                <w:bCs/>
                                <w:szCs w:val="24"/>
                              </w:rPr>
                            </w:pPr>
                          </w:p>
                          <w:p>
                            <w:pPr>
                              <w:spacing w:line="276" w:lineRule="auto"/>
                              <w:rPr>
                                <w:b/>
                                <w:bCs/>
                                <w:szCs w:val="24"/>
                              </w:rPr>
                            </w:pPr>
                            <w:r>
                              <w:rPr>
                                <w:b/>
                                <w:bCs/>
                                <w:szCs w:val="24"/>
                              </w:rPr>
                              <w:t>1767024,66</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p>
                          <w:p>
                            <w:pPr>
                              <w:spacing w:line="276" w:lineRule="auto"/>
                              <w:rPr>
                                <w:szCs w:val="24"/>
                              </w:rPr>
                            </w:pPr>
                            <w:r>
                              <w:rPr>
                                <w:szCs w:val="24"/>
                              </w:rPr>
                              <w:t>+8,39</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ind w:left="720" w:hanging="360"/>
                              <w:rPr>
                                <w:b/>
                                <w:bCs/>
                                <w:szCs w:val="24"/>
                              </w:rPr>
                            </w:pPr>
                            <w:r>
                              <w:rPr>
                                <w:b/>
                                <w:bCs/>
                                <w:szCs w:val="24"/>
                              </w:rPr>
                              <w:t>1.</w:t>
                              <w:tab/>
                              <w:t>Finansavimo pajamos:</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76" w:lineRule="auto"/>
                              <w:rPr>
                                <w:b/>
                                <w:bCs/>
                                <w:szCs w:val="24"/>
                              </w:rPr>
                            </w:pPr>
                            <w:r>
                              <w:rPr>
                                <w:b/>
                                <w:bCs/>
                                <w:szCs w:val="24"/>
                              </w:rPr>
                              <w:t>48547,81</w:t>
                            </w:r>
                          </w:p>
                        </w:tc>
                        <w:tc>
                          <w:tcPr>
                            <w:tcW w:w="1842" w:type="dxa"/>
                            <w:tcBorders>
                              <w:top w:val="single" w:sz="4" w:space="0" w:color="auto"/>
                              <w:left w:val="single" w:sz="4" w:space="0" w:color="auto"/>
                              <w:bottom w:val="single" w:sz="4" w:space="0" w:color="auto"/>
                              <w:right w:val="single" w:sz="4" w:space="0" w:color="auto"/>
                            </w:tcBorders>
                            <w:vAlign w:val="center"/>
                          </w:tcPr>
                          <w:p>
                            <w:pPr>
                              <w:spacing w:line="276" w:lineRule="auto"/>
                              <w:rPr>
                                <w:b/>
                                <w:bCs/>
                                <w:szCs w:val="24"/>
                              </w:rPr>
                            </w:pPr>
                            <w:r>
                              <w:rPr>
                                <w:b/>
                                <w:bCs/>
                                <w:szCs w:val="24"/>
                              </w:rPr>
                              <w:t>77999,23</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+60,66</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1.1 Iš valstybės biudžeto</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r>
                              <w:rPr>
                                <w:szCs w:val="24"/>
                              </w:rPr>
                              <w:t>442,48</w:t>
                            </w:r>
                          </w:p>
                        </w:tc>
                        <w:tc>
                          <w:tcPr>
                            <w:tcW w:w="1842" w:type="dxa"/>
                            <w:tcBorders>
                              <w:top w:val="single" w:sz="4" w:space="0" w:color="auto"/>
                              <w:left w:val="single" w:sz="4" w:space="0" w:color="auto"/>
                              <w:bottom w:val="single" w:sz="4" w:space="0" w:color="auto"/>
                              <w:right w:val="single" w:sz="4" w:space="0" w:color="auto"/>
                            </w:tcBorders>
                            <w:vAlign w:val="center"/>
                          </w:tcPr>
                          <w:p>
                            <w:pPr>
                              <w:spacing w:line="276" w:lineRule="auto"/>
                              <w:rPr>
                                <w:szCs w:val="24"/>
                              </w:rPr>
                            </w:pPr>
                            <w:r>
                              <w:rPr>
                                <w:szCs w:val="24"/>
                              </w:rPr>
                              <w:t>13659,66</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+2987,07</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1.2 Iš savivaldybių biudžetų</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r>
                              <w:rPr>
                                <w:szCs w:val="24"/>
                              </w:rPr>
                              <w:t>20148,86</w:t>
                            </w:r>
                          </w:p>
                        </w:tc>
                        <w:tc>
                          <w:tcPr>
                            <w:tcW w:w="1842" w:type="dxa"/>
                            <w:tcBorders>
                              <w:top w:val="single" w:sz="4" w:space="0" w:color="auto"/>
                              <w:left w:val="single" w:sz="4" w:space="0" w:color="auto"/>
                              <w:bottom w:val="single" w:sz="4" w:space="0" w:color="auto"/>
                              <w:right w:val="single" w:sz="4" w:space="0" w:color="auto"/>
                            </w:tcBorders>
                            <w:vAlign w:val="center"/>
                          </w:tcPr>
                          <w:p>
                            <w:pPr>
                              <w:spacing w:line="276" w:lineRule="auto"/>
                              <w:rPr>
                                <w:szCs w:val="24"/>
                              </w:rPr>
                            </w:pPr>
                            <w:r>
                              <w:rPr>
                                <w:szCs w:val="24"/>
                              </w:rPr>
                              <w:t>22008,32</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+9,23</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1.3 Iš ES organizacijų lėšų</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r>
                              <w:rPr>
                                <w:szCs w:val="24"/>
                              </w:rPr>
                              <w:t>4351,51</w:t>
                            </w:r>
                          </w:p>
                        </w:tc>
                        <w:tc>
                          <w:tcPr>
                            <w:tcW w:w="1842" w:type="dxa"/>
                            <w:tcBorders>
                              <w:top w:val="single" w:sz="4" w:space="0" w:color="auto"/>
                              <w:left w:val="single" w:sz="4" w:space="0" w:color="auto"/>
                              <w:bottom w:val="single" w:sz="4" w:space="0" w:color="auto"/>
                              <w:right w:val="single" w:sz="4" w:space="0" w:color="auto"/>
                            </w:tcBorders>
                            <w:vAlign w:val="center"/>
                          </w:tcPr>
                          <w:p>
                            <w:pPr>
                              <w:spacing w:line="276" w:lineRule="auto"/>
                              <w:rPr>
                                <w:szCs w:val="24"/>
                              </w:rPr>
                            </w:pPr>
                            <w:r>
                              <w:rPr>
                                <w:szCs w:val="24"/>
                              </w:rPr>
                              <w:t>21961,15</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+404,67</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1.4 Iš kitų finansavimo šaltinių</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rPr>
                            </w:pPr>
                            <w:r>
                              <w:rPr>
                                <w:szCs w:val="24"/>
                              </w:rPr>
                              <w:t>23604,96</w:t>
                            </w:r>
                          </w:p>
                        </w:tc>
                        <w:tc>
                          <w:tcPr>
                            <w:tcW w:w="1842" w:type="dxa"/>
                            <w:tcBorders>
                              <w:top w:val="single" w:sz="4" w:space="0" w:color="auto"/>
                              <w:left w:val="single" w:sz="4" w:space="0" w:color="auto"/>
                              <w:bottom w:val="single" w:sz="4" w:space="0" w:color="auto"/>
                              <w:right w:val="single" w:sz="4" w:space="0" w:color="auto"/>
                            </w:tcBorders>
                            <w:vAlign w:val="center"/>
                          </w:tcPr>
                          <w:p>
                            <w:pPr>
                              <w:spacing w:line="276" w:lineRule="auto"/>
                              <w:rPr>
                                <w:szCs w:val="24"/>
                              </w:rPr>
                            </w:pPr>
                            <w:r>
                              <w:rPr>
                                <w:szCs w:val="24"/>
                              </w:rPr>
                              <w:t>20370,10</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-13,70</w:t>
                            </w:r>
                          </w:p>
                        </w:tc>
                      </w:tr>
                      <w:tr>
                        <w:trPr>
                          <w:trHeight w:val="216"/>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b/>
                                <w:bCs/>
                                <w:szCs w:val="24"/>
                              </w:rPr>
                              <w:t>2. Pajamos už suteiktas paslaugas:</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b/>
                                <w:bCs/>
                                <w:szCs w:val="24"/>
                              </w:rPr>
                              <w:t>1581738,62</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b/>
                                <w:bCs/>
                                <w:szCs w:val="24"/>
                              </w:rPr>
                            </w:pPr>
                            <w:r>
                              <w:rPr>
                                <w:b/>
                                <w:bCs/>
                                <w:szCs w:val="24"/>
                              </w:rPr>
                              <w:t>1689025,43</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+6,78</w:t>
                            </w:r>
                          </w:p>
                        </w:tc>
                      </w:tr>
                      <w:tr>
                        <w:trPr>
                          <w:trHeight w:val="288"/>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2.1. Pajamos apmokamos iš PSDF</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1581738,62</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1683470,80</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+6,43</w:t>
                            </w:r>
                          </w:p>
                        </w:tc>
                      </w:tr>
                      <w:tr>
                        <w:trPr>
                          <w:trHeight w:val="240"/>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2.2. Pajamos iš kitų juridinių ir fizinių asmenų</w:t>
                            </w:r>
                          </w:p>
                        </w:tc>
                        <w:tc>
                          <w:tcPr>
                            <w:tcW w:w="170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5554,63</w:t>
                            </w:r>
                          </w:p>
                        </w:tc>
                        <w:tc>
                          <w:tcPr>
                            <w:tcW w:w="1560"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b/>
                                <w:bCs/>
                                <w:szCs w:val="24"/>
                              </w:rPr>
                              <w:t>PAGRINDINĖS VEIKLOS SĄNAUDOS</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b/>
                                <w:bCs/>
                                <w:szCs w:val="24"/>
                              </w:rPr>
                              <w:t>-1636946,27</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b/>
                                <w:bCs/>
                                <w:szCs w:val="24"/>
                              </w:rPr>
                            </w:pPr>
                            <w:r>
                              <w:rPr>
                                <w:b/>
                                <w:bCs/>
                                <w:szCs w:val="24"/>
                              </w:rPr>
                              <w:t>-1748754,65</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b/>
                                <w:bCs/>
                                <w:szCs w:val="24"/>
                              </w:rPr>
                              <w:t>+6,83</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 xml:space="preserve">Darbo užmokesčio ir socialinio draudimo </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-1426771,89</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-1506573,60</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+5,59</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Nusidėvėjimo ir amortizacijos</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-34039,81</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-29145,74</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-14,38</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Komunalinių paslaugų ir ryšių</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-28771,78</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-29562,40</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+2,75</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Komandiruočių</w:t>
                            </w:r>
                          </w:p>
                        </w:tc>
                        <w:tc>
                          <w:tcPr>
                            <w:tcW w:w="170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560"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Transporto</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-17967,05</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-21509,88</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+19,72</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Kvalifikacijos kėlimo</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-3861,14</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-3169,00</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-17,93</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Paprastojo remonto ir eksploatavimo</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-5217,60</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Nuvertėjimo ir nurašytų sumų</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-65,05</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-297,12</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+356,75</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Sunaudotų atsargų</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-64531,34</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-78160,53</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+21,12</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Socialinių išmokų</w:t>
                            </w:r>
                          </w:p>
                        </w:tc>
                        <w:tc>
                          <w:tcPr>
                            <w:tcW w:w="170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560"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Kitų sąnaudų</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-16850,64</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-68307,79</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+305,37</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Kitos</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-38869,97</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-11751,57</w:t>
                            </w: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-69,77</w:t>
                            </w: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Finansinės investicinės veiklos rezultatas</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-110,71</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1560"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p>
                        </w:tc>
                      </w:tr>
                      <w:tr>
                        <w:trPr>
                          <w:jc w:val="center"/>
                        </w:trPr>
                        <w:tc>
                          <w:tcPr>
                            <w:tcW w:w="4390"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b/>
                                <w:bCs/>
                                <w:szCs w:val="24"/>
                              </w:rPr>
                              <w:t>VEIKLOS REZULTATAS</w:t>
                            </w:r>
                          </w:p>
                        </w:tc>
                        <w:tc>
                          <w:tcPr>
                            <w:tcW w:w="1701" w:type="dxa"/>
                            <w:tcBorders>
                              <w:top w:val="single" w:sz="4" w:space="0" w:color="auto"/>
                              <w:left w:val="single" w:sz="4" w:space="0" w:color="auto"/>
                              <w:bottom w:val="single" w:sz="4" w:space="0" w:color="auto"/>
                              <w:right w:val="single" w:sz="4" w:space="0" w:color="auto"/>
                            </w:tcBorders>
                            <w:hideMark/>
                          </w:tcPr>
                          <w:p>
                            <w:pPr>
                              <w:spacing w:line="276" w:lineRule="auto"/>
                              <w:rPr>
                                <w:b/>
                                <w:bCs/>
                                <w:szCs w:val="24"/>
                              </w:rPr>
                            </w:pPr>
                            <w:r>
                              <w:rPr>
                                <w:szCs w:val="24"/>
                              </w:rPr>
                              <w:t>-6771,00</w:t>
                            </w:r>
                          </w:p>
                        </w:tc>
                        <w:tc>
                          <w:tcPr>
                            <w:tcW w:w="1842" w:type="dxa"/>
                            <w:tcBorders>
                              <w:top w:val="single" w:sz="4" w:space="0" w:color="auto"/>
                              <w:left w:val="single" w:sz="4" w:space="0" w:color="auto"/>
                              <w:bottom w:val="single" w:sz="4" w:space="0" w:color="auto"/>
                              <w:right w:val="single" w:sz="4" w:space="0" w:color="auto"/>
                            </w:tcBorders>
                          </w:tcPr>
                          <w:p>
                            <w:pPr>
                              <w:spacing w:line="276" w:lineRule="auto"/>
                              <w:rPr>
                                <w:b/>
                                <w:bCs/>
                                <w:szCs w:val="24"/>
                              </w:rPr>
                            </w:pPr>
                            <w:r>
                              <w:rPr>
                                <w:b/>
                                <w:bCs/>
                                <w:szCs w:val="24"/>
                              </w:rPr>
                              <w:t>12715,38</w:t>
                            </w:r>
                          </w:p>
                        </w:tc>
                        <w:tc>
                          <w:tcPr>
                            <w:tcW w:w="1560"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+87,79</w:t>
                            </w:r>
                          </w:p>
                        </w:tc>
                      </w:tr>
                    </w:tbl>
                    <w:p>
                      <w:pPr>
                        <w:rPr>
                          <w:color w:val="0070C0"/>
                          <w:szCs w:val="24"/>
                          <w14:ligatures w14:val="standardContextual"/>
                        </w:rPr>
                      </w:pPr>
                    </w:p>
                  </w:sdtContent>
                </w:sdt>
                <w:sdt>
                  <w:sdtPr>
                    <w:alias w:val="skirsnis"/>
                    <w:tag w:val="part_483b2d1132d34d12943c3452379ac209"/>
                    <w:lock w:val="sdtLocked"/>
                    <w:richText/>
                  </w:sdtPr>
                  <w:sdtContent>
                    <w:p>
                      <w:pPr>
                        <w:jc w:val="center"/>
                        <w:rPr>
                          <w:b/>
                          <w:bCs/>
                          <w:szCs w:val="24"/>
                          <w14:ligatures w14:val="standardContextual"/>
                        </w:rPr>
                      </w:pPr>
                      <w:sdt>
                        <w:sdtPr>
                          <w:alias w:val="Pavadinimas"/>
                          <w:tag w:val="title_483b2d1132d34d12943c3452379ac209"/>
                          <w:lock w:val="sdtLocked"/>
                          <w:richText/>
                        </w:sdtPr>
                        <w:sdtContent>
                          <w:r>
                            <w:rPr>
                              <w:b/>
                              <w:bCs/>
                              <w:szCs w:val="24"/>
                              <w14:ligatures w14:val="standardContextual"/>
                            </w:rPr>
                            <w:t>Ateinančiais metais planuojamos veiklos gairės</w:t>
                          </w:r>
                        </w:sdtContent>
                      </w:sdt>
                    </w:p>
                    <w:p>
                      <w:pPr>
                        <w:rPr>
                          <w:sz w:val="8"/>
                          <w:szCs w:val="8"/>
                        </w:rPr>
                      </w:pPr>
                    </w:p>
                    <w:p>
                      <w:pPr>
                        <w:ind w:firstLine="434"/>
                        <w:rPr>
                          <w:szCs w:val="24"/>
                          <w:lang w:eastAsia="lt-LT"/>
                        </w:rPr>
                      </w:pPr>
                      <w:r>
                        <w:rPr>
                          <w:szCs w:val="24"/>
                          <w:lang w:eastAsia="lt-LT"/>
                        </w:rPr>
                        <w:t xml:space="preserve">2026 metais  VšĮ Šeduvos pirminės sveikatos priežiūros centras tęs veiklą, orientuotą į kokybiškų, saugių ir pacientų poreikius atitinkančių paslaugų užtikrinimą. Prioritetais išliks paslaugų prieinamumo didinimas, veiklos efektyvumo gerinimas, prevencinės veiklos stiprinimas ir tvari įstaigos plėtra. Numatoma tobulinti pacientų aptarnavimo procesus, stiprinti darbuotojų kompetencijas, gerinti darbo aplinką bei atsakingai valdyti finansinius ir materialinius išteklius, tęsiant infrastruktūros atnaujinimą. Bus tęsiamos tuberkuliozės prevencijos priemonės, ypatingą dėmesį skiriant vaikų ir rizikos grupių stebėsenai bei bendradarbiavimui su Radviliškio rajono visuomenės sveikatos biuras, koordinuojant profilaktines ir informacines veiklas.</w:t>
                      </w:r>
                    </w:p>
                    <w:p>
                      <w:pPr>
                        <w:rPr>
                          <w:sz w:val="8"/>
                          <w:szCs w:val="8"/>
                        </w:rPr>
                      </w:pPr>
                    </w:p>
                  </w:sdtContent>
                </w:sdt>
                <w:sdt>
                  <w:sdtPr>
                    <w:alias w:val="skirsnis"/>
                    <w:tag w:val="part_b6c35adb043d431d888d3a33e13a5f01"/>
                    <w:lock w:val="sdtLocked"/>
                    <w:richText/>
                  </w:sdtPr>
                  <w:sdtContent>
                    <w:p>
                      <w:pPr>
                        <w:rPr>
                          <w:rFonts w:eastAsia="Calibri"/>
                          <w:b/>
                          <w:szCs w:val="24"/>
                        </w:rPr>
                      </w:pPr>
                      <w:sdt>
                        <w:sdtPr>
                          <w:alias w:val="Pavadinimas"/>
                          <w:tag w:val="title_b6c35adb043d431d888d3a33e13a5f01"/>
                          <w:lock w:val="sdtLocked"/>
                          <w:richText/>
                        </w:sdtPr>
                        <w:sdtContent>
                          <w:r>
                            <w:rPr>
                              <w:rFonts w:eastAsia="Calibri"/>
                              <w:b/>
                              <w:szCs w:val="24"/>
                            </w:rPr>
                            <w:t>VIEŠOJI ĮSTAIGA BAISOGALOS PIRMININĖS SVEIKATOS PRIEŽIŪROS CENTRAS</w:t>
                          </w:r>
                        </w:sdtContent>
                      </w:sdt>
                    </w:p>
                    <w:p>
                      <w:pPr>
                        <w:rPr>
                          <w:rFonts w:eastAsia="Calibri"/>
                          <w:b/>
                          <w:szCs w:val="24"/>
                        </w:rPr>
                      </w:pPr>
                    </w:p>
                    <w:p>
                      <w:pPr>
                        <w:ind w:firstLine="720"/>
                        <w:rPr>
                          <w:color w:val="000000"/>
                          <w:szCs w:val="24"/>
                        </w:rPr>
                      </w:pPr>
                      <w:r>
                        <w:rPr>
                          <w:color w:val="000000"/>
                          <w:szCs w:val="24"/>
                        </w:rPr>
                        <w:t xml:space="preserve">Viešoji įstaiga Baisogalos pirminės sveikatos priežiūros centras (toliau – VšĮ Baisogalos PSPC, Įstaiga) yra Radviliškio  rajono savivaldybės sprendimu įsteigta sveikatos priežiūros įstaiga, teikianti asmens sveikatos priežiūros paslaugas, slaugos ir palaikomojo gydymo paslaugas pagal suteiktą licenciją. </w:t>
                      </w:r>
                    </w:p>
                    <w:p>
                      <w:pPr>
                        <w:ind w:firstLine="720"/>
                        <w:rPr>
                          <w:color w:val="000000"/>
                          <w:szCs w:val="24"/>
                        </w:rPr>
                      </w:pPr>
                      <w:r>
                        <w:rPr>
                          <w:color w:val="000000"/>
                          <w:szCs w:val="24"/>
                        </w:rPr>
                        <w:t xml:space="preserve">Nuo 2023 m. Įstaiga yra viena iš Radviliškio rajono sveikatos centro (toliau – Centras), kuris buvo įsteigtas  funkcinio bendradarbiavimo būdu, sudėtinė dalis ir prisideda prie pagrindinio Centro tikslo – bendradarbiaujant su asmens ir visuomenės sveikatos priežiūros įstaigomis gerinti gyventojų sveikatos rodiklius bei užtikrinti pacientams prieinamas ir kokybiškas sveikatos priežiūros paslaugas ir jų tęstinumą</w:t>
                      </w:r>
                    </w:p>
                    <w:p>
                      <w:pPr>
                        <w:ind w:firstLine="709"/>
                        <w:rPr>
                          <w:color w:val="000000"/>
                          <w:szCs w:val="24"/>
                        </w:rPr>
                      </w:pPr>
                      <w:r>
                        <w:rPr>
                          <w:szCs w:val="24"/>
                        </w:rPr>
                        <w:t xml:space="preserve">Įstaigoje prisirašiusių 3529 pacientai. Per metus vidutinis apsilankymų skaičius 46115. </w:t>
                      </w:r>
                    </w:p>
                    <w:p>
                      <w:pPr>
                        <w:ind w:firstLine="709"/>
                        <w:rPr>
                          <w:szCs w:val="24"/>
                        </w:rPr>
                      </w:pPr>
                      <w:r>
                        <w:rPr>
                          <w:szCs w:val="24"/>
                        </w:rPr>
                        <w:t xml:space="preserve">Darbuotojų motyvacijai skatinti buvo didinamas darbo užmokestis, mokami skatinamieji priedai, suteikiamos visos sąlygos kvalifikacijos tobulinimui ir kėlimui. </w:t>
                      </w:r>
                    </w:p>
                    <w:p>
                      <w:pPr>
                        <w:ind w:firstLine="709"/>
                        <w:rPr>
                          <w:szCs w:val="24"/>
                        </w:rPr>
                      </w:pPr>
                      <w:r>
                        <w:rPr>
                          <w:szCs w:val="24"/>
                        </w:rPr>
                        <w:t xml:space="preserve">Darbo užmokestis vienam etatui vidutiniškai didėjo 6,8 proc. Nepamirštama paminėti šventinių akimirkų, kurių metu pasveikinami darbuotojai. </w:t>
                      </w:r>
                    </w:p>
                    <w:p>
                      <w:pPr>
                        <w:ind w:firstLine="709"/>
                        <w:rPr>
                          <w:szCs w:val="24"/>
                        </w:rPr>
                      </w:pPr>
                      <w:r>
                        <w:rPr>
                          <w:szCs w:val="24"/>
                        </w:rPr>
                        <w:t xml:space="preserve">Įstaiga metus pabaigė su teigiamu finansiniu rezultatu </w:t>
                      </w:r>
                      <w:r>
                        <w:rPr>
                          <w:rFonts w:eastAsia="Calibri"/>
                          <w:szCs w:val="24"/>
                        </w:rPr>
                        <w:t xml:space="preserve">15105 </w:t>
                      </w:r>
                      <w:r>
                        <w:rPr>
                          <w:rFonts w:eastAsia="Calibri"/>
                          <w:color w:val="000000"/>
                          <w:szCs w:val="24"/>
                        </w:rPr>
                        <w:t>eur.</w:t>
                      </w:r>
                      <w:r>
                        <w:rPr>
                          <w:szCs w:val="24"/>
                        </w:rPr>
                        <w:t xml:space="preserve"> </w:t>
                      </w:r>
                    </w:p>
                    <w:p>
                      <w:pPr>
                        <w:ind w:firstLine="720"/>
                        <w:rPr>
                          <w:szCs w:val="24"/>
                        </w:rPr>
                      </w:pPr>
                      <w:r>
                        <w:rPr>
                          <w:szCs w:val="24"/>
                        </w:rPr>
                        <w:t>Slaugos ir palaikomojo gydymo skyriuje gydėsi 138 pacientai. Lovadienių skaičius 7527. Dauguma pacientų labai gerai vertina ir palankiai atsiliepia apie Įstaigoje teikiamų paslaugų kokybę. Tokio rezultato galime pasiekti tik didžiuliu darbuotojų indėliu, profesionalumu, iniciatyvumu ir atsidavimu savo darbui, kuris grįstas pasitikėjimu, sąžiningumu, komandiniu darbu ir gerais santykiais.</w:t>
                      </w:r>
                    </w:p>
                    <w:p>
                      <w:pPr>
                        <w:rPr>
                          <w:b/>
                          <w:bCs/>
                          <w:color w:val="000000"/>
                          <w:szCs w:val="24"/>
                        </w:rPr>
                      </w:pPr>
                    </w:p>
                  </w:sdtContent>
                </w:sdt>
                <w:sdt>
                  <w:sdtPr>
                    <w:alias w:val="skirsnis"/>
                    <w:tag w:val="part_d8400efb624944e5aea5baed977dd445"/>
                    <w:lock w:val="sdtLocked"/>
                    <w:richText/>
                  </w:sdtPr>
                  <w:sdtContent>
                    <w:p>
                      <w:pPr>
                        <w:jc w:val="center"/>
                        <w:rPr>
                          <w:b/>
                          <w:bCs/>
                          <w:color w:val="000000"/>
                          <w:szCs w:val="24"/>
                        </w:rPr>
                      </w:pPr>
                      <w:sdt>
                        <w:sdtPr>
                          <w:alias w:val="Pavadinimas"/>
                          <w:tag w:val="title_d8400efb624944e5aea5baed977dd445"/>
                          <w:lock w:val="sdtLocked"/>
                          <w:richText/>
                        </w:sdtPr>
                        <w:sdtContent>
                          <w:r>
                            <w:rPr>
                              <w:b/>
                              <w:bCs/>
                              <w:color w:val="000000"/>
                              <w:szCs w:val="24"/>
                            </w:rPr>
                            <w:t>Bendroji informacija</w:t>
                          </w:r>
                        </w:sdtContent>
                      </w:sdt>
                    </w:p>
                    <w:p>
                      <w:pPr>
                        <w:rPr>
                          <w:b/>
                          <w:bCs/>
                          <w:color w:val="000000"/>
                          <w:szCs w:val="24"/>
                        </w:rPr>
                      </w:pPr>
                    </w:p>
                    <w:p>
                      <w:pPr>
                        <w:ind w:firstLine="709"/>
                        <w:rPr>
                          <w:rFonts w:eastAsia="Calibri"/>
                          <w:szCs w:val="24"/>
                        </w:rPr>
                      </w:pPr>
                      <w:r>
                        <w:rPr>
                          <w:rFonts w:eastAsia="Calibri"/>
                          <w:b/>
                          <w:szCs w:val="24"/>
                        </w:rPr>
                        <w:t>Viešoji įstaiga</w:t>
                      </w:r>
                      <w:r>
                        <w:rPr>
                          <w:rFonts w:eastAsia="Calibri"/>
                          <w:szCs w:val="24"/>
                        </w:rPr>
                        <w:t xml:space="preserve"> Baisogalos pirminės sveikatos priežiūros centras įregistruotas 2001 m., įstaigos kodas 171649910 teikiamų paslaugų pobūdis - asmens sveikatos priežiūros veikla. </w:t>
                      </w:r>
                    </w:p>
                    <w:p>
                      <w:pPr>
                        <w:ind w:firstLine="709"/>
                        <w:rPr>
                          <w:rFonts w:eastAsia="Calibri"/>
                          <w:szCs w:val="24"/>
                        </w:rPr>
                      </w:pPr>
                      <w:r>
                        <w:rPr>
                          <w:rFonts w:eastAsia="Calibri"/>
                          <w:b/>
                          <w:szCs w:val="24"/>
                        </w:rPr>
                        <w:t>Steigėjas</w:t>
                      </w:r>
                      <w:r>
                        <w:rPr>
                          <w:rFonts w:eastAsia="Calibri"/>
                          <w:szCs w:val="24"/>
                        </w:rPr>
                        <w:t xml:space="preserve"> – Radviliškio rajono savivaldybė</w:t>
                      </w:r>
                    </w:p>
                    <w:p>
                      <w:pPr>
                        <w:ind w:firstLine="720"/>
                        <w:rPr>
                          <w:b/>
                          <w:bCs/>
                          <w:color w:val="000000"/>
                          <w:szCs w:val="24"/>
                        </w:rPr>
                      </w:pPr>
                      <w:r>
                        <w:rPr>
                          <w:rFonts w:eastAsia="Calibri"/>
                          <w:b/>
                          <w:color w:val="000000"/>
                          <w:szCs w:val="24"/>
                        </w:rPr>
                        <w:t xml:space="preserve">Finansiniai įstaigos metai </w:t>
                      </w:r>
                      <w:r>
                        <w:rPr>
                          <w:rFonts w:eastAsia="Calibri"/>
                          <w:color w:val="000000"/>
                          <w:szCs w:val="24"/>
                        </w:rPr>
                        <w:t>sutampa su kalendoriniais metais</w:t>
                      </w:r>
                    </w:p>
                    <w:p>
                      <w:pPr>
                        <w:ind w:firstLine="709"/>
                        <w:rPr>
                          <w:szCs w:val="24"/>
                        </w:rPr>
                      </w:pPr>
                      <w:r>
                        <w:rPr>
                          <w:b/>
                          <w:bCs/>
                          <w:szCs w:val="24"/>
                        </w:rPr>
                        <w:t>Įstaiga veiklą vykdo adresu</w:t>
                      </w:r>
                      <w:r>
                        <w:rPr>
                          <w:szCs w:val="24"/>
                        </w:rPr>
                        <w:t>: R. Žebenkos g. 2, Baisogala, Radviliškio raj. Telefonai: 8 -422- 65818, 067125667, elektroninis paštas: ausra.juskiene@baisogalospspc.lt internetinės svetainės adresas http://www.baisogalospspc.lt/</w:t>
                      </w:r>
                    </w:p>
                    <w:p>
                      <w:pPr>
                        <w:ind w:firstLine="709"/>
                        <w:rPr>
                          <w:rFonts w:eastAsia="Calibri"/>
                          <w:color w:val="000000"/>
                          <w:szCs w:val="24"/>
                        </w:rPr>
                      </w:pPr>
                      <w:r>
                        <w:rPr>
                          <w:b/>
                          <w:bCs/>
                          <w:color w:val="000000"/>
                          <w:szCs w:val="24"/>
                        </w:rPr>
                        <w:t>Vadovas:</w:t>
                      </w:r>
                      <w:r>
                        <w:rPr>
                          <w:color w:val="000000"/>
                          <w:szCs w:val="24"/>
                        </w:rPr>
                        <w:t xml:space="preserve"> direktorė Aušra Juškienė</w:t>
                      </w:r>
                      <w:r>
                        <w:rPr>
                          <w:rFonts w:eastAsia="Calibri"/>
                          <w:color w:val="000000"/>
                          <w:szCs w:val="24"/>
                        </w:rPr>
                        <w:t xml:space="preserve">. </w:t>
                      </w:r>
                    </w:p>
                    <w:p>
                      <w:pPr>
                        <w:ind w:firstLine="1296"/>
                        <w:rPr>
                          <w:szCs w:val="24"/>
                        </w:rPr>
                      </w:pPr>
                    </w:p>
                  </w:sdtContent>
                </w:sdt>
                <w:sdt>
                  <w:sdtPr>
                    <w:alias w:val="skirsnis"/>
                    <w:tag w:val="part_5a6eaa1ffeb74debbc2fd70123f395eb"/>
                    <w:lock w:val="sdtLocked"/>
                    <w:richText/>
                  </w:sdtPr>
                  <w:sdtContent>
                    <w:p>
                      <w:pPr>
                        <w:jc w:val="center"/>
                        <w:rPr>
                          <w:b/>
                          <w:bCs/>
                          <w:szCs w:val="24"/>
                        </w:rPr>
                      </w:pPr>
                      <w:sdt>
                        <w:sdtPr>
                          <w:alias w:val="Pavadinimas"/>
                          <w:tag w:val="title_5a6eaa1ffeb74debbc2fd70123f395eb"/>
                          <w:lock w:val="sdtLocked"/>
                          <w:richText/>
                        </w:sdtPr>
                        <w:sdtContent>
                          <w:r>
                            <w:rPr>
                              <w:b/>
                              <w:bCs/>
                              <w:szCs w:val="24"/>
                            </w:rPr>
                            <w:t>Žmogiškųjų išteklių valdymas</w:t>
                          </w:r>
                        </w:sdtContent>
                      </w:sdt>
                    </w:p>
                    <w:p>
                      <w:pPr>
                        <w:ind w:firstLine="1296"/>
                        <w:rPr>
                          <w:b/>
                          <w:bCs/>
                          <w:szCs w:val="24"/>
                        </w:rPr>
                      </w:pPr>
                    </w:p>
                    <w:sdt>
                      <w:sdtPr>
                        <w:alias w:val="1 p."/>
                        <w:tag w:val="part_a90dd15d0f2c406cad18fb7e454a84cf"/>
                        <w:lock w:val="sdtLocked"/>
                        <w:richText/>
                      </w:sdtPr>
                      <w:sdtContent>
                        <w:p>
                          <w:pPr>
                            <w:ind w:left="720" w:hanging="360"/>
                            <w:rPr>
                              <w:b/>
                              <w:bCs/>
                              <w:color w:val="000000"/>
                              <w:szCs w:val="24"/>
                            </w:rPr>
                          </w:pPr>
                          <w:sdt>
                            <w:sdtPr>
                              <w:alias w:val="Numeris"/>
                              <w:tag w:val="nr_a90dd15d0f2c406cad18fb7e454a84cf"/>
                              <w:lock w:val="sdtLocked"/>
                              <w:richText/>
                            </w:sdtPr>
                            <w:sdtContent>
                              <w:r>
                                <w:rPr>
                                  <w:b/>
                                  <w:bCs/>
                                  <w:color w:val="000000"/>
                                  <w:szCs w:val="24"/>
                                </w:rPr>
                                <w:t>1</w:t>
                              </w:r>
                            </w:sdtContent>
                          </w:sdt>
                          <w:r>
                            <w:rPr>
                              <w:b/>
                              <w:bCs/>
                              <w:color w:val="000000"/>
                              <w:szCs w:val="24"/>
                            </w:rPr>
                            <w:t>.</w:t>
                            <w:tab/>
                            <w:t xml:space="preserve">Informacija apie įstaigos darbuotojus </w:t>
                          </w:r>
                        </w:p>
                        <w:p>
                          <w:pPr>
                            <w:ind w:firstLine="709"/>
                            <w:rPr>
                              <w:szCs w:val="24"/>
                            </w:rPr>
                          </w:pPr>
                          <w:r>
                            <w:rPr>
                              <w:szCs w:val="24"/>
                            </w:rPr>
                            <w:t xml:space="preserve">2025 m. Įstaigoje darbuotojų kaita buvo nedidelė, kas rodo, kad darbuotojai patenkinti darbo sąlygomis ir nusistovėjusia darbo tvarka. Darbuotojų skaičius išliko 52. </w:t>
                          </w:r>
                        </w:p>
                        <w:p>
                          <w:pPr>
                            <w:ind w:firstLine="709"/>
                            <w:rPr>
                              <w:szCs w:val="24"/>
                            </w:rPr>
                          </w:pPr>
                          <w:r>
                            <w:rPr>
                              <w:szCs w:val="24"/>
                            </w:rPr>
                            <w:t>Vidutinis darbuotojų darbo užmokestis vienam etatui sudaro 2451 Eur ir palyginus su 2024 m. padidėjo 6,8 proc. (157,00 Eur.).</w:t>
                          </w:r>
                        </w:p>
                      </w:sdtContent>
                    </w:sdt>
                    <w:sdt>
                      <w:sdtPr>
                        <w:alias w:val="2 p."/>
                        <w:tag w:val="part_fc7aa1ae66794b199a54038a6946bded"/>
                        <w:lock w:val="sdtLocked"/>
                        <w:richText/>
                      </w:sdtPr>
                      <w:sdtContent>
                        <w:p>
                          <w:pPr>
                            <w:ind w:left="720" w:hanging="360"/>
                            <w:rPr>
                              <w:b/>
                              <w:bCs/>
                              <w:szCs w:val="24"/>
                            </w:rPr>
                          </w:pPr>
                          <w:sdt>
                            <w:sdtPr>
                              <w:alias w:val="Numeris"/>
                              <w:tag w:val="nr_fc7aa1ae66794b199a54038a6946bded"/>
                              <w:lock w:val="sdtLocked"/>
                              <w:richText/>
                            </w:sdtPr>
                            <w:sdtContent>
                              <w:r>
                                <w:rPr>
                                  <w:b/>
                                  <w:bCs/>
                                  <w:szCs w:val="24"/>
                                </w:rPr>
                                <w:t>2</w:t>
                              </w:r>
                            </w:sdtContent>
                          </w:sdt>
                          <w:r>
                            <w:rPr>
                              <w:b/>
                              <w:bCs/>
                              <w:szCs w:val="24"/>
                            </w:rPr>
                            <w:t>.</w:t>
                            <w:tab/>
                            <w:t>Kvalifikacijos kėlimas ir tobulinimasis.</w:t>
                          </w:r>
                        </w:p>
                        <w:p>
                          <w:pPr>
                            <w:ind w:firstLine="709"/>
                            <w:rPr>
                              <w:szCs w:val="24"/>
                            </w:rPr>
                          </w:pPr>
                          <w:r>
                            <w:rPr>
                              <w:color w:val="000000"/>
                              <w:szCs w:val="24"/>
                            </w:rPr>
                            <w:t xml:space="preserve">Įstaigoje dirba kvalifikuoti, kompetentingi, specialistai, nuolat keliantys savo kvalifikaciją. </w:t>
                          </w:r>
                          <w:r>
                            <w:rPr>
                              <w:color w:val="1E1B1B"/>
                              <w:szCs w:val="24"/>
                            </w:rPr>
                            <w:t xml:space="preserve">2025 m. visi įstaigos darbuotojai išklausė mokymus tema: </w:t>
                          </w:r>
                          <w:r>
                            <w:rPr>
                              <w:szCs w:val="24"/>
                            </w:rPr>
                            <w:t xml:space="preserve">„Psichologinio smurto prevencija asmens sveikatos priežiūros įstaigose“; „Pacientų smurto prieš sveikatos priežiūros specialistus prevencijos iššūkiai darbo aplinkoje“; „Psichologinio atsparumo stiprinimas. Kaip atpažinti stresą“; </w:t>
                          </w:r>
                        </w:p>
                        <w:p>
                          <w:pPr>
                            <w:ind w:firstLine="709"/>
                            <w:rPr>
                              <w:szCs w:val="24"/>
                            </w:rPr>
                          </w:pPr>
                          <w:r>
                            <w:rPr>
                              <w:szCs w:val="24"/>
                            </w:rPr>
                            <w:t>Dalyvavo bazinių savižudybių prevencijos mokymuose; Civilinės saugos mokymuose, stalo pratybose.</w:t>
                          </w:r>
                        </w:p>
                        <w:p>
                          <w:pPr>
                            <w:ind w:firstLine="709"/>
                            <w:rPr>
                              <w:b/>
                              <w:bCs/>
                              <w:szCs w:val="24"/>
                            </w:rPr>
                          </w:pPr>
                          <w:r>
                            <w:rPr>
                              <w:szCs w:val="24"/>
                            </w:rPr>
                            <w:t xml:space="preserve">Visi darbuotojai norintys kelti kvalifikaciją ir įgyti naujų žinių skatinami dalyvauti bei išleidžiami į jų pasirinktas organizuojamas konferencijas bei tobulinimosi kursus.  </w:t>
                          </w:r>
                        </w:p>
                        <w:p>
                          <w:pPr>
                            <w:ind w:firstLine="360"/>
                            <w:rPr>
                              <w:color w:val="1E1B1B"/>
                              <w:szCs w:val="24"/>
                            </w:rPr>
                          </w:pPr>
                        </w:p>
                      </w:sdtContent>
                    </w:sdt>
                  </w:sdtContent>
                </w:sdt>
                <w:sdt>
                  <w:sdtPr>
                    <w:alias w:val="skirsnis"/>
                    <w:tag w:val="part_a52d6163c63e4985b41ea41be17789f1"/>
                    <w:lock w:val="sdtLocked"/>
                    <w:richText/>
                  </w:sdtPr>
                  <w:sdtContent>
                    <w:sdt>
                      <w:sdtPr>
                        <w:alias w:val="Pavadinimas"/>
                        <w:tag w:val="title_a52d6163c63e4985b41ea41be17789f1"/>
                        <w:lock w:val="sdtLocked"/>
                        <w:richText/>
                      </w:sdtPr>
                      <w:sdtContent>
                        <w:p>
                          <w:pPr>
                            <w:jc w:val="center"/>
                            <w:rPr>
                              <w:b/>
                              <w:bCs/>
                              <w:szCs w:val="24"/>
                            </w:rPr>
                          </w:pPr>
                          <w:r>
                            <w:rPr>
                              <w:b/>
                              <w:bCs/>
                              <w:szCs w:val="24"/>
                            </w:rPr>
                            <w:t>Veiklos rezultatai</w:t>
                          </w:r>
                        </w:p>
                        <w:p>
                          <w:pPr>
                            <w:ind w:left="709"/>
                            <w:jc w:val="center"/>
                            <w:rPr>
                              <w:rFonts w:eastAsia="Calibri"/>
                              <w:b/>
                              <w:szCs w:val="24"/>
                            </w:rPr>
                          </w:pPr>
                          <w:r>
                            <w:rPr>
                              <w:rFonts w:eastAsia="Calibri"/>
                              <w:b/>
                              <w:szCs w:val="24"/>
                            </w:rPr>
                            <w:t>Pagrindiniai veiklos rodikliai</w:t>
                          </w:r>
                        </w:p>
                      </w:sdtContent>
                    </w:sdt>
                    <w:p>
                      <w:pPr>
                        <w:ind w:left="709"/>
                        <w:rPr>
                          <w:rFonts w:eastAsia="Calibri"/>
                          <w:b/>
                          <w:szCs w:val="24"/>
                        </w:rPr>
                      </w:pPr>
                    </w:p>
                    <w:sdt>
                      <w:sdtPr>
                        <w:alias w:val="1 p."/>
                        <w:tag w:val="part_fe011600e42848978a41c7812fec4972"/>
                        <w:lock w:val="sdtLocked"/>
                        <w:richText/>
                      </w:sdtPr>
                      <w:sdtContent>
                        <w:p>
                          <w:pPr>
                            <w:ind w:firstLine="426"/>
                            <w:rPr>
                              <w:rFonts w:eastAsia="Calibri"/>
                              <w:b/>
                              <w:szCs w:val="24"/>
                            </w:rPr>
                          </w:pPr>
                          <w:sdt>
                            <w:sdtPr>
                              <w:alias w:val="Numeris"/>
                              <w:tag w:val="nr_fe011600e42848978a41c7812fec4972"/>
                              <w:lock w:val="sdtLocked"/>
                              <w:richText/>
                            </w:sdtPr>
                            <w:sdtContent>
                              <w:r>
                                <w:rPr>
                                  <w:rFonts w:eastAsia="Calibri"/>
                                  <w:b/>
                                  <w:szCs w:val="24"/>
                                </w:rPr>
                                <w:t>1</w:t>
                              </w:r>
                            </w:sdtContent>
                          </w:sdt>
                          <w:r>
                            <w:rPr>
                              <w:rFonts w:eastAsia="Calibri"/>
                              <w:b/>
                              <w:szCs w:val="24"/>
                            </w:rPr>
                            <w:t>. Duomenys apie prisirašiusius gyventojus prie ASPĮ.</w:t>
                          </w:r>
                        </w:p>
                        <w:p>
                          <w:pPr>
                            <w:ind w:firstLine="26"/>
                            <w:rPr>
                              <w:rFonts w:eastAsia="Calibri"/>
                              <w:iCs/>
                              <w:color w:val="EE0000"/>
                              <w:szCs w:val="24"/>
                            </w:rPr>
                          </w:pPr>
                          <w:r>
                            <w:rPr>
                              <w:rFonts w:eastAsia="Calibri"/>
                              <w:bCs/>
                              <w:szCs w:val="24"/>
                            </w:rPr>
                            <w:t xml:space="preserve">2025 m. </w:t>
                          </w:r>
                          <w:r>
                            <w:rPr>
                              <w:rFonts w:eastAsia="Calibri"/>
                              <w:iCs/>
                              <w:szCs w:val="24"/>
                            </w:rPr>
                            <w:t>prisirašiusių prie įstaigos pacientų skaičius – 3529, iš kurių 409 (11,59 %) vaikai iki 18 metų</w:t>
                          </w:r>
                          <w:r>
                            <w:rPr>
                              <w:rFonts w:eastAsia="Calibri"/>
                              <w:iCs/>
                              <w:color w:val="000000"/>
                              <w:szCs w:val="24"/>
                            </w:rPr>
                            <w:t>, suaugusių iki 65 m. 2015 (57,1%), virš 65 m. 1105 (31,3 %)</w:t>
                          </w:r>
                        </w:p>
                        <w:p>
                          <w:pPr>
                            <w:rPr>
                              <w:rFonts w:eastAsia="Calibri"/>
                              <w:szCs w:val="24"/>
                            </w:rPr>
                          </w:pPr>
                          <w:r>
                            <w:rPr>
                              <w:rFonts w:eastAsia="Calibri"/>
                              <w:iCs/>
                              <w:szCs w:val="24"/>
                            </w:rPr>
                            <w:t xml:space="preserve">2025 m. prie įstaigos prisirašė 108 pacientai, išsirašė 107 pacientai, sumažėjo 124.  Nedraustų 2024 m. buvo 145 pacientai, 2025 m. 161 pacientai, tai 9,9 </w:t>
                          </w:r>
                          <w:r>
                            <w:rPr>
                              <w:rFonts w:eastAsia="Calibri"/>
                              <w:iCs/>
                              <w:szCs w:val="24"/>
                              <w:lang w:val="en-US"/>
                            </w:rPr>
                            <w:t xml:space="preserve">% </w:t>
                          </w:r>
                          <w:r>
                            <w:rPr>
                              <w:rFonts w:eastAsia="Calibri"/>
                              <w:iCs/>
                              <w:szCs w:val="24"/>
                            </w:rPr>
                            <w:t>daugiau</w:t>
                          </w:r>
                          <w:r>
                            <w:rPr>
                              <w:rFonts w:eastAsia="Calibri"/>
                              <w:i/>
                              <w:szCs w:val="24"/>
                            </w:rPr>
                            <w:t>.</w:t>
                          </w:r>
                        </w:p>
                      </w:sdtContent>
                    </w:sdt>
                    <w:sdt>
                      <w:sdtPr>
                        <w:alias w:val="2 p."/>
                        <w:tag w:val="part_f9e36bc2723a4652909a32c82f8bc6d5"/>
                        <w:lock w:val="sdtLocked"/>
                        <w:richText/>
                      </w:sdtPr>
                      <w:sdtContent>
                        <w:p>
                          <w:pPr>
                            <w:ind w:firstLine="310"/>
                            <w:rPr>
                              <w:rFonts w:eastAsia="Calibri"/>
                              <w:b/>
                              <w:szCs w:val="24"/>
                            </w:rPr>
                          </w:pPr>
                          <w:sdt>
                            <w:sdtPr>
                              <w:alias w:val="Numeris"/>
                              <w:tag w:val="nr_f9e36bc2723a4652909a32c82f8bc6d5"/>
                              <w:lock w:val="sdtLocked"/>
                              <w:richText/>
                            </w:sdtPr>
                            <w:sdtContent>
                              <w:r>
                                <w:rPr>
                                  <w:rFonts w:eastAsia="Calibri"/>
                                  <w:b/>
                                  <w:szCs w:val="24"/>
                                </w:rPr>
                                <w:t>2</w:t>
                              </w:r>
                            </w:sdtContent>
                          </w:sdt>
                          <w:r>
                            <w:rPr>
                              <w:rFonts w:eastAsia="Calibri"/>
                              <w:b/>
                              <w:szCs w:val="24"/>
                            </w:rPr>
                            <w:t>. Duomenys apie pacientų apsilankymų skaičių ASPĮ.</w:t>
                          </w:r>
                        </w:p>
                        <w:p>
                          <w:pPr>
                            <w:tabs>
                              <w:tab w:val="left" w:pos="0"/>
                              <w:tab w:val="left" w:pos="284"/>
                            </w:tabs>
                            <w:rPr>
                              <w:rFonts w:eastAsia="Calibri"/>
                              <w:szCs w:val="24"/>
                            </w:rPr>
                          </w:pPr>
                          <w:r>
                            <w:rPr>
                              <w:rFonts w:eastAsia="Calibri"/>
                              <w:szCs w:val="24"/>
                            </w:rPr>
                            <w:t xml:space="preserve">Sveikatos priežiūros įstaigoje suteiktos 46115 paslaugos, lyginant su 2024 m.  apsilankymų padidėjo 1 %. Ambulatorinių slaugos paslaugų namuose suteikta 11577.Paslaugų padidėjo 1,1</w:t>
                          </w:r>
                          <w:r>
                            <w:rPr>
                              <w:rFonts w:eastAsia="Calibri"/>
                              <w:bCs/>
                              <w:szCs w:val="24"/>
                            </w:rPr>
                            <w:t xml:space="preserve">%. </w:t>
                          </w:r>
                        </w:p>
                      </w:sdtContent>
                    </w:sdt>
                    <w:sdt>
                      <w:sdtPr>
                        <w:alias w:val="3 p."/>
                        <w:tag w:val="part_982fe4a6325544fd8d451153f5d9f844"/>
                        <w:lock w:val="sdtLocked"/>
                        <w:richText/>
                      </w:sdtPr>
                      <w:sdtContent>
                        <w:p>
                          <w:pPr>
                            <w:ind w:firstLine="284"/>
                            <w:rPr>
                              <w:rFonts w:eastAsia="Calibri"/>
                              <w:b/>
                              <w:bCs/>
                              <w:szCs w:val="24"/>
                            </w:rPr>
                          </w:pPr>
                          <w:sdt>
                            <w:sdtPr>
                              <w:alias w:val="Numeris"/>
                              <w:tag w:val="nr_982fe4a6325544fd8d451153f5d9f844"/>
                              <w:lock w:val="sdtLocked"/>
                              <w:richText/>
                            </w:sdtPr>
                            <w:sdtContent>
                              <w:r>
                                <w:rPr>
                                  <w:rFonts w:eastAsia="Calibri"/>
                                  <w:b/>
                                  <w:bCs/>
                                  <w:szCs w:val="24"/>
                                </w:rPr>
                                <w:t>3</w:t>
                              </w:r>
                            </w:sdtContent>
                          </w:sdt>
                          <w:r>
                            <w:rPr>
                              <w:rFonts w:eastAsia="Calibri"/>
                              <w:b/>
                              <w:bCs/>
                              <w:szCs w:val="24"/>
                            </w:rPr>
                            <w:t>. Duomenys apie skatinamųjų paslaugų vykdymą.</w:t>
                          </w:r>
                        </w:p>
                        <w:p>
                          <w:pPr>
                            <w:tabs>
                              <w:tab w:val="left" w:pos="709"/>
                              <w:tab w:val="left" w:pos="1276"/>
                            </w:tabs>
                            <w:rPr>
                              <w:color w:val="000000"/>
                              <w:szCs w:val="24"/>
                            </w:rPr>
                          </w:pPr>
                          <w:r>
                            <w:rPr>
                              <w:szCs w:val="24"/>
                            </w:rPr>
                            <w:t xml:space="preserve">2025 m. skatinamųjų pirminės ambulatorinės asmens sveikatos priežiūros paslaugų teikimas nežymiai augo.  Didėjo šeimos gydytojo profilaktinis asmens sveikatos tikrinimas dėl neinfekcinių ligų, slaugos procedūros namuose (kraujo paėmimas tirti, lašelinė infuzija), odontologo paslaugos.</w:t>
                          </w:r>
                          <w:r>
                            <w:rPr>
                              <w:color w:val="000000"/>
                              <w:szCs w:val="24"/>
                            </w:rPr>
                            <w:t xml:space="preserve"> Ambulatorinės slaugos paslaugos namuose suteiktos vidutiniškai 231 pacientui. Per 2024 m. suteikta buvo 10642 paslaugos, 2025 m. 11577 paslaugas. Paslaugų suteikimas padidėjo 1,2 %.</w:t>
                          </w:r>
                        </w:p>
                      </w:sdtContent>
                    </w:sdt>
                    <w:sdt>
                      <w:sdtPr>
                        <w:alias w:val="4 p."/>
                        <w:tag w:val="part_aa3934f89f6242aeb40cf45ebbb15ae7"/>
                        <w:lock w:val="sdtLocked"/>
                        <w:richText/>
                      </w:sdtPr>
                      <w:sdtContent>
                        <w:p>
                          <w:pPr>
                            <w:ind w:firstLine="284"/>
                            <w:rPr>
                              <w:b/>
                              <w:bCs/>
                              <w:color w:val="000000"/>
                              <w:szCs w:val="24"/>
                            </w:rPr>
                          </w:pPr>
                          <w:sdt>
                            <w:sdtPr>
                              <w:alias w:val="Numeris"/>
                              <w:tag w:val="nr_aa3934f89f6242aeb40cf45ebbb15ae7"/>
                              <w:lock w:val="sdtLocked"/>
                              <w:richText/>
                            </w:sdtPr>
                            <w:sdtContent>
                              <w:r>
                                <w:rPr>
                                  <w:b/>
                                  <w:bCs/>
                                  <w:color w:val="000000"/>
                                  <w:szCs w:val="24"/>
                                </w:rPr>
                                <w:t>4</w:t>
                              </w:r>
                            </w:sdtContent>
                          </w:sdt>
                          <w:r>
                            <w:rPr>
                              <w:b/>
                              <w:bCs/>
                              <w:color w:val="000000"/>
                              <w:szCs w:val="24"/>
                            </w:rPr>
                            <w:t>. Duomenys apie vaikų profilaktinius skiepijimus.</w:t>
                          </w:r>
                        </w:p>
                        <w:p>
                          <w:pPr>
                            <w:rPr>
                              <w:rFonts w:eastAsia="Calibri"/>
                              <w:bCs/>
                              <w:szCs w:val="24"/>
                            </w:rPr>
                          </w:pPr>
                          <w:r>
                            <w:rPr>
                              <w:rFonts w:eastAsia="Calibri"/>
                              <w:bCs/>
                              <w:szCs w:val="24"/>
                            </w:rPr>
                            <w:t xml:space="preserve">Imunizacijos planas 2024 m. vykdomas 97,6%, 2025 m. 97,5% Sumažėjo labai nežymiai      0,1%. Pasitaiko atvejų, kai tėvai raštiškai atsisako skiepijimo paslaugos, kartais atidedama vakcinacija dėl vaiko ligos arba pakeitus gydymo įstaigą.</w:t>
                          </w:r>
                        </w:p>
                      </w:sdtContent>
                    </w:sdt>
                    <w:sdt>
                      <w:sdtPr>
                        <w:alias w:val="5 p."/>
                        <w:tag w:val="part_877bf6de1d8e47cdb6cebf1f1a4bcc73"/>
                        <w:lock w:val="sdtLocked"/>
                        <w:richText/>
                      </w:sdtPr>
                      <w:sdtContent>
                        <w:p>
                          <w:pPr>
                            <w:ind w:firstLine="284"/>
                            <w:rPr>
                              <w:rFonts w:eastAsia="Calibri"/>
                              <w:b/>
                              <w:bCs/>
                              <w:szCs w:val="24"/>
                            </w:rPr>
                          </w:pPr>
                          <w:sdt>
                            <w:sdtPr>
                              <w:alias w:val="Numeris"/>
                              <w:tag w:val="nr_877bf6de1d8e47cdb6cebf1f1a4bcc73"/>
                              <w:lock w:val="sdtLocked"/>
                              <w:richText/>
                            </w:sdtPr>
                            <w:sdtContent>
                              <w:r>
                                <w:rPr>
                                  <w:rFonts w:eastAsia="Calibri"/>
                                  <w:b/>
                                  <w:bCs/>
                                  <w:szCs w:val="24"/>
                                </w:rPr>
                                <w:t>5</w:t>
                              </w:r>
                            </w:sdtContent>
                          </w:sdt>
                          <w:r>
                            <w:rPr>
                              <w:rFonts w:eastAsia="Calibri"/>
                              <w:b/>
                              <w:bCs/>
                              <w:szCs w:val="24"/>
                            </w:rPr>
                            <w:t>. Infrastruktūros gerinimas (plėtra) bei projektų įgyvendinimas.</w:t>
                          </w:r>
                        </w:p>
                        <w:sdt>
                          <w:sdtPr>
                            <w:alias w:val="5.1 pp."/>
                            <w:tag w:val="part_933b3110706b4332b63e09cb51e807ff"/>
                            <w:lock w:val="sdtLocked"/>
                            <w:richText/>
                          </w:sdtPr>
                          <w:sdtContent>
                            <w:p>
                              <w:pPr>
                                <w:ind w:firstLine="310"/>
                                <w:rPr>
                                  <w:color w:val="EE0000"/>
                                  <w:szCs w:val="24"/>
                                </w:rPr>
                              </w:pPr>
                              <w:sdt>
                                <w:sdtPr>
                                  <w:alias w:val="Numeris"/>
                                  <w:tag w:val="nr_933b3110706b4332b63e09cb51e807ff"/>
                                  <w:lock w:val="sdtLocked"/>
                                  <w:richText/>
                                </w:sdtPr>
                                <w:sdtContent>
                                  <w:r>
                                    <w:rPr>
                                      <w:szCs w:val="24"/>
                                    </w:rPr>
                                    <w:t>5.1</w:t>
                                  </w:r>
                                </w:sdtContent>
                              </w:sdt>
                              <w:r>
                                <w:rPr>
                                  <w:szCs w:val="24"/>
                                </w:rPr>
                                <w:t>. VšĮ Baisogalos PSPC už projektų gautas lėšas, įsigyta priemonių už 48 960 Eur. (5 elektrokardiografai, 14 kraujospūdžio matavimo aparatai, tonometras akispūdžiui matuoti, ergonomiškos kėdės darbuotojams, lankytojų kėdės, vystymo stalai, kušetės, kraujo paėmimo kėdės, ginekologinė kėdė ir kt. įranga). Atliktas Grinkiškio ambulatorijos remontas, įsigytas elektromobilis</w:t>
                              </w:r>
                              <w:r>
                                <w:rPr>
                                  <w:color w:val="EE0000"/>
                                  <w:szCs w:val="24"/>
                                </w:rPr>
                                <w:t>.</w:t>
                              </w:r>
                            </w:p>
                          </w:sdtContent>
                        </w:sdt>
                        <w:sdt>
                          <w:sdtPr>
                            <w:alias w:val="5.2 pp."/>
                            <w:tag w:val="part_701ca0b5e63f4aba8efe1c3360dee0bd"/>
                            <w:lock w:val="sdtLocked"/>
                            <w:richText/>
                          </w:sdtPr>
                          <w:sdtContent>
                            <w:p>
                              <w:pPr>
                                <w:ind w:firstLine="310"/>
                                <w:rPr>
                                  <w:rFonts w:eastAsia="Calibri"/>
                                  <w:szCs w:val="24"/>
                                </w:rPr>
                              </w:pPr>
                              <w:sdt>
                                <w:sdtPr>
                                  <w:alias w:val="Numeris"/>
                                  <w:tag w:val="nr_701ca0b5e63f4aba8efe1c3360dee0bd"/>
                                  <w:lock w:val="sdtLocked"/>
                                  <w:richText/>
                                </w:sdtPr>
                                <w:sdtContent>
                                  <w:r>
                                    <w:rPr>
                                      <w:szCs w:val="24"/>
                                    </w:rPr>
                                    <w:t>5.2</w:t>
                                  </w:r>
                                </w:sdtContent>
                              </w:sdt>
                              <w:r>
                                <w:rPr>
                                  <w:szCs w:val="24"/>
                                </w:rPr>
                                <w:t xml:space="preserve">. </w:t>
                              </w:r>
                              <w:r>
                                <w:rPr>
                                  <w:rFonts w:eastAsia="Calibri"/>
                                  <w:szCs w:val="24"/>
                                </w:rPr>
                                <w:t>Įgyvendintas VšĮ Baisogalos PSPC darbuotojų psichikos sveikatos stiprinimo projektas „Stresas ir įtampa: greiti ir efektyvūs atsipalaidavimo būdai“.</w:t>
                              </w:r>
                            </w:p>
                            <w:p>
                              <w:pPr>
                                <w:rPr>
                                  <w:rFonts w:eastAsia="Calibri"/>
                                  <w:szCs w:val="24"/>
                                </w:rPr>
                              </w:pPr>
                              <w:r>
                                <w:rPr>
                                  <w:rFonts w:eastAsia="Calibri"/>
                                  <w:szCs w:val="24"/>
                                </w:rPr>
                                <w:t>Vykdomas projektas „Sveikatos centro sudėtyje teikiamų sveikatos priežiūros paslaugų infrastruktūros modernizavimas Radviliškio rajone“.</w:t>
                              </w:r>
                            </w:p>
                            <w:p>
                              <w:pPr>
                                <w:rPr>
                                  <w:rFonts w:eastAsia="Calibri"/>
                                  <w:szCs w:val="24"/>
                                </w:rPr>
                              </w:pPr>
                              <w:r>
                                <w:rPr>
                                  <w:rFonts w:eastAsia="Calibri"/>
                                  <w:szCs w:val="24"/>
                                </w:rPr>
                                <w:t>Vykdomas projektas „Mobiliųjų komandų aprūpinimas darbui reikalinga įranga ir priemonių komplektais bei automobiliais Radviliškio rajone“.</w:t>
                              </w:r>
                            </w:p>
                            <w:p>
                              <w:pPr>
                                <w:rPr>
                                  <w:rFonts w:eastAsia="Calibri"/>
                                  <w:szCs w:val="24"/>
                                </w:rPr>
                              </w:pPr>
                              <w:r>
                                <w:rPr>
                                  <w:rFonts w:eastAsia="Calibri"/>
                                  <w:szCs w:val="24"/>
                                </w:rPr>
                                <w:t>Vykdomas projektas „ Radviliškio rajono sveikatos centro teikiamų sveikatos priežiūros paslaugų kokybės ir prieinamumo gerinimas“.</w:t>
                              </w:r>
                            </w:p>
                          </w:sdtContent>
                        </w:sdt>
                      </w:sdtContent>
                    </w:sdt>
                    <w:sdt>
                      <w:sdtPr>
                        <w:alias w:val="6 p."/>
                        <w:tag w:val="part_4f12c9bfe1844d75bd8c1701bfa319a1"/>
                        <w:lock w:val="sdtLocked"/>
                        <w:richText/>
                      </w:sdtPr>
                      <w:sdtContent>
                        <w:p>
                          <w:pPr>
                            <w:ind w:firstLine="284"/>
                            <w:rPr>
                              <w:rFonts w:eastAsia="Calibri"/>
                              <w:b/>
                              <w:bCs/>
                              <w:szCs w:val="24"/>
                            </w:rPr>
                          </w:pPr>
                          <w:sdt>
                            <w:sdtPr>
                              <w:alias w:val="Numeris"/>
                              <w:tag w:val="nr_4f12c9bfe1844d75bd8c1701bfa319a1"/>
                              <w:lock w:val="sdtLocked"/>
                              <w:richText/>
                            </w:sdtPr>
                            <w:sdtContent>
                              <w:r>
                                <w:rPr>
                                  <w:rFonts w:eastAsia="Calibri"/>
                                  <w:b/>
                                  <w:bCs/>
                                  <w:szCs w:val="24"/>
                                </w:rPr>
                                <w:t>6</w:t>
                              </w:r>
                            </w:sdtContent>
                          </w:sdt>
                          <w:r>
                            <w:rPr>
                              <w:rFonts w:eastAsia="Calibri"/>
                              <w:b/>
                              <w:bCs/>
                              <w:szCs w:val="24"/>
                            </w:rPr>
                            <w:t xml:space="preserve">. Pacientų pasitenkinimo teikiamomis paslaugomis lygis. </w:t>
                          </w:r>
                        </w:p>
                        <w:p>
                          <w:pPr>
                            <w:ind w:firstLine="720"/>
                            <w:rPr>
                              <w:szCs w:val="24"/>
                              <w:lang w:eastAsia="lt-LT"/>
                            </w:rPr>
                          </w:pPr>
                          <w:r>
                            <w:rPr>
                              <w:szCs w:val="24"/>
                            </w:rPr>
                            <w:t>Įstaigos paslaugų kokybei įvertinti 2025 m. buvo atliktas tyrimas. Įvertinus bendrą pasitenkinimą suteiktų sveikatos priežiūros paslaugų kokybę pagal apklausos duomenis pacientų pasitenkinimo Įstaigoje teikiamomis asmens sveikatos priežiūros paslaugomis visų apklausoje dalyvavusių anketų skaičiaus santykis lygus 0,96 (iš 1 galimo maksimalaus balo). Todėl galima teigti, kad bendras pasitenkinimas Įstaigoje teikiamų sveikatos priežiūros paslaugų kokybe yra labai geras.</w:t>
                          </w:r>
                          <w:r>
                            <w:rPr>
                              <w:szCs w:val="24"/>
                              <w:lang w:eastAsia="lt-LT"/>
                            </w:rPr>
                            <w:t> </w:t>
                          </w:r>
                          <w:r>
                            <w:rPr>
                              <w:szCs w:val="24"/>
                            </w:rPr>
                            <w:t>2025 m. įvairiomis priemonėmis (internetinėje svetainėje, el. paštu, telefonu, žodžiu) gauta</w:t>
                          </w:r>
                        </w:p>
                        <w:p>
                          <w:pPr>
                            <w:rPr>
                              <w:szCs w:val="24"/>
                            </w:rPr>
                          </w:pPr>
                          <w:r>
                            <w:rPr>
                              <w:szCs w:val="24"/>
                            </w:rPr>
                            <w:t>gerų atsiliepimų, nuoširdžių padėkų už suteiktas paslaugas ir skirtą dėmesį. 2025 m. skundų nebuvo gauta.</w:t>
                          </w:r>
                        </w:p>
                      </w:sdtContent>
                    </w:sdt>
                    <w:sdt>
                      <w:sdtPr>
                        <w:alias w:val="7 p."/>
                        <w:tag w:val="part_d4b208dda5ae4e0dbfeb29ae48a2537e"/>
                        <w:lock w:val="sdtLocked"/>
                        <w:richText/>
                      </w:sdtPr>
                      <w:sdtContent>
                        <w:p>
                          <w:pPr>
                            <w:tabs>
                              <w:tab w:val="left" w:pos="0"/>
                              <w:tab w:val="left" w:pos="284"/>
                            </w:tabs>
                            <w:ind w:firstLine="310"/>
                            <w:rPr>
                              <w:rFonts w:eastAsia="Calibri"/>
                              <w:b/>
                              <w:szCs w:val="24"/>
                            </w:rPr>
                          </w:pPr>
                          <w:sdt>
                            <w:sdtPr>
                              <w:alias w:val="Numeris"/>
                              <w:tag w:val="nr_d4b208dda5ae4e0dbfeb29ae48a2537e"/>
                              <w:lock w:val="sdtLocked"/>
                              <w:richText/>
                            </w:sdtPr>
                            <w:sdtContent>
                              <w:r>
                                <w:rPr>
                                  <w:b/>
                                  <w:bCs/>
                                  <w:szCs w:val="24"/>
                                </w:rPr>
                                <w:t>7</w:t>
                              </w:r>
                            </w:sdtContent>
                          </w:sdt>
                          <w:r>
                            <w:rPr>
                              <w:b/>
                              <w:bCs/>
                              <w:szCs w:val="24"/>
                            </w:rPr>
                            <w:t xml:space="preserve">. </w:t>
                          </w:r>
                          <w:r>
                            <w:rPr>
                              <w:rFonts w:eastAsia="Calibri"/>
                              <w:b/>
                              <w:szCs w:val="24"/>
                            </w:rPr>
                            <w:t xml:space="preserve"> Duomenys apie slaugos ir palaikomojo gydymo skyrių </w:t>
                          </w:r>
                        </w:p>
                        <w:p>
                          <w:pPr>
                            <w:ind w:firstLine="567"/>
                            <w:rPr>
                              <w:rFonts w:eastAsia="Calibri"/>
                              <w:bCs/>
                              <w:i/>
                              <w:iCs/>
                              <w:szCs w:val="24"/>
                            </w:rPr>
                          </w:pPr>
                          <w:r>
                            <w:rPr>
                              <w:rFonts w:eastAsia="Calibri"/>
                              <w:bCs/>
                              <w:szCs w:val="24"/>
                            </w:rPr>
                            <w:t xml:space="preserve">Slaugos ir palaikomojo gydymo skyriuje lovų skaičius 20. Lovadienių skaičius 7527, ligonių skaičius 138.  Mokamų paslaugų slaugos ir palaikomojo gydymo skyriuje suteikta už 428,8 eur.</w:t>
                          </w:r>
                          <w:r>
                            <w:rPr>
                              <w:rFonts w:eastAsia="Calibri"/>
                              <w:bCs/>
                              <w:i/>
                              <w:iCs/>
                              <w:szCs w:val="24"/>
                            </w:rPr>
                            <w:t xml:space="preserve"> </w:t>
                          </w:r>
                        </w:p>
                        <w:p>
                          <w:pPr>
                            <w:rPr>
                              <w:b/>
                              <w:bCs/>
                              <w:szCs w:val="24"/>
                            </w:rPr>
                          </w:pPr>
                        </w:p>
                      </w:sdtContent>
                    </w:sdt>
                  </w:sdtContent>
                </w:sdt>
                <w:sdt>
                  <w:sdtPr>
                    <w:alias w:val="skirsnis"/>
                    <w:tag w:val="part_1f4c8c6ae20844c4953e0ea632f1cdfb"/>
                    <w:lock w:val="sdtLocked"/>
                    <w:richText/>
                  </w:sdtPr>
                  <w:sdtContent>
                    <w:p>
                      <w:pPr>
                        <w:jc w:val="center"/>
                        <w:rPr>
                          <w:rFonts w:eastAsia="Calibri"/>
                          <w:szCs w:val="24"/>
                        </w:rPr>
                      </w:pPr>
                      <w:sdt>
                        <w:sdtPr>
                          <w:alias w:val="Pavadinimas"/>
                          <w:tag w:val="title_1f4c8c6ae20844c4953e0ea632f1cdfb"/>
                          <w:lock w:val="sdtLocked"/>
                          <w:richText/>
                        </w:sdtPr>
                        <w:sdtContent>
                          <w:r>
                            <w:rPr>
                              <w:b/>
                              <w:bCs/>
                              <w:szCs w:val="24"/>
                            </w:rPr>
                            <w:t>Finansinė informacija</w:t>
                          </w:r>
                        </w:sdtContent>
                      </w:sdt>
                    </w:p>
                    <w:p>
                      <w:pPr>
                        <w:rPr>
                          <w:rFonts w:eastAsia="Calibri"/>
                          <w:szCs w:val="24"/>
                        </w:rPr>
                      </w:pPr>
                    </w:p>
                    <w:sdt>
                      <w:sdtPr>
                        <w:alias w:val="1 p."/>
                        <w:tag w:val="part_4cfa605caf33487aa3a002ac28affc0c"/>
                        <w:lock w:val="sdtLocked"/>
                        <w:richText/>
                      </w:sdtPr>
                      <w:sdtContent>
                        <w:p>
                          <w:pPr>
                            <w:ind w:left="644" w:hanging="360"/>
                            <w:rPr>
                              <w:b/>
                              <w:bCs/>
                              <w:szCs w:val="24"/>
                            </w:rPr>
                          </w:pPr>
                          <w:sdt>
                            <w:sdtPr>
                              <w:alias w:val="Numeris"/>
                              <w:tag w:val="nr_4cfa605caf33487aa3a002ac28affc0c"/>
                              <w:lock w:val="sdtLocked"/>
                              <w:richText/>
                            </w:sdtPr>
                            <w:sdtContent>
                              <w:r>
                                <w:rPr>
                                  <w:b/>
                                  <w:bCs/>
                                  <w:szCs w:val="24"/>
                                </w:rPr>
                                <w:t>1</w:t>
                              </w:r>
                            </w:sdtContent>
                          </w:sdt>
                          <w:r>
                            <w:rPr>
                              <w:b/>
                              <w:bCs/>
                              <w:szCs w:val="24"/>
                            </w:rPr>
                            <w:t>.</w:t>
                            <w:tab/>
                            <w:t xml:space="preserve">Įstaigos pajamos pagal šaltinius ir jų panaudojimas pagal išlaidų rūšis </w:t>
                          </w:r>
                        </w:p>
                        <w:p>
                          <w:pPr>
                            <w:rPr>
                              <w:szCs w:val="24"/>
                            </w:rPr>
                          </w:pPr>
                          <w:r>
                            <w:rPr>
                              <w:szCs w:val="24"/>
                            </w:rPr>
                            <w:t xml:space="preserve">2025 m. pagrindinės veiklos pajamos didėjo 8 proc. </w:t>
                          </w:r>
                        </w:p>
                        <w:p>
                          <w:pPr>
                            <w:rPr>
                              <w:szCs w:val="24"/>
                            </w:rPr>
                          </w:pPr>
                          <w:r>
                            <w:rPr>
                              <w:szCs w:val="24"/>
                            </w:rPr>
                            <w:t>2025 m. pagrindinės veiklos sąnaudų vertes palyginus su 2024 m. vertėmis sąnaudos padidėjo 13 proc. Jų didėjimui įtakos turėjo padidėjusios darbo užmokesčio sąnaudos (12 proc.).</w:t>
                          </w:r>
                        </w:p>
                        <w:p>
                          <w:pPr>
                            <w:rPr>
                              <w:szCs w:val="24"/>
                            </w:rPr>
                          </w:pPr>
                          <w:r>
                            <w:rPr>
                              <w:szCs w:val="24"/>
                            </w:rPr>
                            <w:t>Finansinis veiklos rezultatas sumažėjo 82 proc.</w:t>
                          </w:r>
                        </w:p>
                        <w:p>
                          <w:pPr>
                            <w:ind w:left="720"/>
                            <w:rPr>
                              <w:b/>
                              <w:bCs/>
                              <w:szCs w:val="24"/>
                            </w:rPr>
                          </w:pPr>
                        </w:p>
                      </w:sdtContent>
                    </w:sdt>
                  </w:sdtContent>
                </w:sdt>
                <w:sdt>
                  <w:sdtPr>
                    <w:alias w:val="skirsnis"/>
                    <w:tag w:val="part_672f3791cdbd405fb99fc8416b253e98"/>
                    <w:lock w:val="sdtLocked"/>
                    <w:richText/>
                  </w:sdtPr>
                  <w:sdtContent>
                    <w:p>
                      <w:pPr>
                        <w:jc w:val="center"/>
                        <w:rPr>
                          <w:b/>
                          <w:bCs/>
                          <w:color w:val="000000"/>
                          <w:szCs w:val="24"/>
                        </w:rPr>
                      </w:pPr>
                      <w:sdt>
                        <w:sdtPr>
                          <w:alias w:val="Pavadinimas"/>
                          <w:tag w:val="title_672f3791cdbd405fb99fc8416b253e98"/>
                          <w:lock w:val="sdtLocked"/>
                          <w:richText/>
                        </w:sdtPr>
                        <w:sdtContent>
                          <w:r>
                            <w:rPr>
                              <w:b/>
                              <w:bCs/>
                              <w:color w:val="000000"/>
                              <w:szCs w:val="24"/>
                            </w:rPr>
                            <w:t>2025 m. tikslai ir uždaviniai</w:t>
                          </w:r>
                        </w:sdtContent>
                      </w:sdt>
                    </w:p>
                    <w:p>
                      <w:pPr>
                        <w:rPr>
                          <w:b/>
                          <w:bCs/>
                          <w:color w:val="000000"/>
                          <w:szCs w:val="24"/>
                        </w:rPr>
                      </w:pPr>
                    </w:p>
                    <w:p>
                      <w:pPr>
                        <w:ind w:firstLine="567"/>
                        <w:rPr>
                          <w:color w:val="000000"/>
                          <w:szCs w:val="24"/>
                        </w:rPr>
                      </w:pPr>
                      <w:r>
                        <w:rPr>
                          <w:szCs w:val="24"/>
                        </w:rPr>
                        <w:t xml:space="preserve">2025 m. Įstaiga siekė LR sveikatos apsaugos ministro </w:t>
                      </w:r>
                      <w:r>
                        <w:rPr>
                          <w:rFonts w:eastAsia="Calibri"/>
                          <w:bCs/>
                          <w:color w:val="000000"/>
                          <w:szCs w:val="24"/>
                        </w:rPr>
                        <w:t xml:space="preserve">2025 m. gegužės  21 d. įsakymu Nr. V-482 „Dėl Lietuvos nacionalinės sveikatos sistemos viešųjų ir biudžetinių įstaigų, teikiančių asmens sveikatos priežiūros paslaugas, veiklos rezultatų vertinimo rodiklių 2025 metų siektinų reikšmių  sąrašo patvirtinimo“</w:t>
                      </w:r>
                      <w:r>
                        <w:rPr>
                          <w:rFonts w:eastAsia="Calibri"/>
                          <w:b/>
                          <w:color w:val="000000"/>
                          <w:szCs w:val="24"/>
                        </w:rPr>
                        <w:t xml:space="preserve"> </w:t>
                      </w:r>
                      <w:r>
                        <w:rPr>
                          <w:color w:val="000000"/>
                          <w:szCs w:val="24"/>
                        </w:rPr>
                        <w:t xml:space="preserve">nustatytų siektinų veiklos užduočių. </w:t>
                      </w:r>
                    </w:p>
                    <w:p>
                      <w:pPr>
                        <w:ind w:firstLine="720"/>
                        <w:rPr>
                          <w:szCs w:val="24"/>
                        </w:rPr>
                      </w:pPr>
                      <w:r>
                        <w:rPr>
                          <w:szCs w:val="24"/>
                        </w:rPr>
                        <w:t>Įstaigos pagrindinis tikslas</w:t>
                      </w:r>
                      <w:r>
                        <w:rPr>
                          <w:b/>
                          <w:bCs/>
                          <w:szCs w:val="24"/>
                        </w:rPr>
                        <w:t xml:space="preserve"> </w:t>
                      </w:r>
                      <w:r>
                        <w:rPr>
                          <w:szCs w:val="24"/>
                        </w:rPr>
                        <w:t>- užtikrinti prieinamą, tinkamą saugų bei kokybišką, įstaigos licencijoje išvardintų asmens sveikatos paslaugų teikimą. Didinti teikiamų paslaugų efektyvumą, siekiant pacientų gyvenimo trukmės pailgėjimo, gyvenimo kokybės pagerėjimo bei mirties atvejų sumažėjimo. Skatinti pacientus rūpintis savo sveikata (sveikatos stiprinimas, ligų profilaktika, profilaktinės programos ir kt.).</w:t>
                      </w:r>
                    </w:p>
                    <w:p>
                      <w:pPr>
                        <w:ind w:firstLine="720"/>
                        <w:rPr>
                          <w:b/>
                          <w:bCs/>
                          <w:szCs w:val="24"/>
                        </w:rPr>
                      </w:pPr>
                    </w:p>
                  </w:sdtContent>
                </w:sdt>
                <w:sdt>
                  <w:sdtPr>
                    <w:alias w:val="skirsnis"/>
                    <w:tag w:val="part_a9eaed1884414ba8a3d6be48d7601a6f"/>
                    <w:lock w:val="sdtLocked"/>
                    <w:richText/>
                  </w:sdtPr>
                  <w:sdtContent>
                    <w:p>
                      <w:pPr>
                        <w:jc w:val="center"/>
                        <w:rPr>
                          <w:b/>
                          <w:bCs/>
                          <w:szCs w:val="24"/>
                        </w:rPr>
                      </w:pPr>
                      <w:sdt>
                        <w:sdtPr>
                          <w:alias w:val="Pavadinimas"/>
                          <w:tag w:val="title_a9eaed1884414ba8a3d6be48d7601a6f"/>
                          <w:lock w:val="sdtLocked"/>
                          <w:richText/>
                        </w:sdtPr>
                        <w:sdtContent>
                          <w:r>
                            <w:rPr>
                              <w:b/>
                              <w:bCs/>
                              <w:szCs w:val="24"/>
                            </w:rPr>
                            <w:t>Ateinančiais metais planuojamos veiklos gairės</w:t>
                          </w:r>
                        </w:sdtContent>
                      </w:sdt>
                    </w:p>
                    <w:p>
                      <w:pPr>
                        <w:ind w:firstLine="709"/>
                        <w:rPr>
                          <w:szCs w:val="24"/>
                        </w:rPr>
                      </w:pPr>
                    </w:p>
                    <w:p>
                      <w:pPr>
                        <w:ind w:firstLine="709"/>
                        <w:rPr>
                          <w:szCs w:val="24"/>
                        </w:rPr>
                      </w:pPr>
                      <w:r>
                        <w:rPr>
                          <w:szCs w:val="24"/>
                        </w:rPr>
                        <w:t>2026 m. Įstaiga planuoja:</w:t>
                      </w:r>
                    </w:p>
                    <w:p>
                      <w:pPr>
                        <w:ind w:firstLine="993"/>
                        <w:rPr>
                          <w:szCs w:val="24"/>
                        </w:rPr>
                      </w:pPr>
                      <w:r>
                        <w:rPr>
                          <w:szCs w:val="24"/>
                        </w:rPr>
                        <w:t>- aktyvinti profilaktinius sveikatos tikrinimus, didinti skatinamųjų paslaugų apimtis bei gerinti prevencinių programų vykdymą;</w:t>
                      </w:r>
                    </w:p>
                    <w:p>
                      <w:pPr>
                        <w:ind w:firstLine="993"/>
                        <w:rPr>
                          <w:szCs w:val="24"/>
                        </w:rPr>
                      </w:pPr>
                      <w:r>
                        <w:rPr>
                          <w:szCs w:val="24"/>
                        </w:rPr>
                        <w:t>- užtikrinti asmens sveikatos priežiūros paslaugų kokybę, plečiant šeimos gydytojo komandos narių skaičių;</w:t>
                      </w:r>
                    </w:p>
                    <w:p>
                      <w:pPr>
                        <w:tabs>
                          <w:tab w:val="left" w:pos="993"/>
                        </w:tabs>
                        <w:ind w:firstLine="993"/>
                        <w:rPr>
                          <w:szCs w:val="24"/>
                        </w:rPr>
                      </w:pPr>
                      <w:r>
                        <w:rPr>
                          <w:szCs w:val="24"/>
                        </w:rPr>
                        <w:t>- gerinti pacientų elektroninės registracijos sistema lygį, tobulinti elektroninių paslaugų teikimą bei informacinių technologijų diegimą, pagal poreikį atnaujinti kompiuterines darbo vietas;</w:t>
                      </w:r>
                    </w:p>
                    <w:p>
                      <w:pPr>
                        <w:tabs>
                          <w:tab w:val="left" w:pos="1701"/>
                        </w:tabs>
                        <w:ind w:firstLine="993"/>
                        <w:rPr>
                          <w:szCs w:val="24"/>
                        </w:rPr>
                      </w:pPr>
                      <w:r>
                        <w:rPr>
                          <w:b/>
                          <w:bCs/>
                          <w:szCs w:val="24"/>
                        </w:rPr>
                        <w:t xml:space="preserve">- </w:t>
                      </w:r>
                      <w:r>
                        <w:rPr>
                          <w:szCs w:val="24"/>
                        </w:rPr>
                        <w:t xml:space="preserve">skatinti darbuotojų motyvaciją, pagal galimybes ne tik didinti darbo užmokestį, bet ir skatinti priedais už atliktas paslaugas bei gerus darbo rezultatus. </w:t>
                      </w:r>
                    </w:p>
                    <w:p>
                      <w:pPr>
                        <w:tabs>
                          <w:tab w:val="left" w:pos="993"/>
                        </w:tabs>
                        <w:ind w:firstLine="993"/>
                        <w:rPr>
                          <w:szCs w:val="24"/>
                        </w:rPr>
                      </w:pPr>
                      <w:r>
                        <w:rPr>
                          <w:szCs w:val="24"/>
                        </w:rPr>
                        <w:t xml:space="preserve">- siekti išlaikyti teigiamą finansinį rezultatą. </w:t>
                      </w:r>
                    </w:p>
                    <w:p>
                      <w:pPr>
                        <w:ind w:firstLine="1296"/>
                        <w:rPr>
                          <w:szCs w:val="24"/>
                        </w:rPr>
                      </w:pPr>
                      <w:r>
                        <w:rPr>
                          <w:szCs w:val="24"/>
                        </w:rPr>
                        <w:t xml:space="preserve">Atsižvelgiant į Radviliškio rajono visuomenės sveikatos biuro nustatytas Radviliškio rajono savivaldybės prioritetines sritis siekti, kad vaikų bei rizikos grupių vaikų tikrinimo apimtys dėl tuberkuliozės (tuberkulino testas) siektų 100 proc., skatinti žmones kreiptis į sveikatos priežiūros įstaigą ir gauti informaciją apie tuberkuliozės simptomus, profilaktiką ir gydymą. Aktyviai bendradarbiauti su Radviliškio rajono visuomenės sveikatos biuru, kelti Įstaigos darbuotojų kvalifikaciją savižudybių srityje, ugdyti sveikos gyvensenos sampratą, sveikos aplinkos sudarymą. Atskirą dėmesį skirti asmenims sergantiems II tipo cukriniu diabetu, mokyti juos valdyti ligą siekiant išvengti komplikacijų. </w:t>
                      </w:r>
                    </w:p>
                    <w:p>
                      <w:pPr>
                        <w:rPr>
                          <w:szCs w:val="24"/>
                        </w:rPr>
                      </w:pPr>
                    </w:p>
                  </w:sdtContent>
                </w:sdt>
                <w:sdt>
                  <w:sdtPr>
                    <w:alias w:val="skirsnis"/>
                    <w:tag w:val="part_0b96a6d635fb4ba9a390d3ba129e6201"/>
                    <w:lock w:val="sdtLocked"/>
                    <w:richText/>
                  </w:sdtPr>
                  <w:sdtContent>
                    <w:p>
                      <w:pPr>
                        <w:jc w:val="center"/>
                        <w:rPr>
                          <w:rFonts w:eastAsia="Calibri"/>
                          <w:b/>
                          <w:bCs/>
                          <w:caps/>
                          <w:szCs w:val="24"/>
                        </w:rPr>
                      </w:pPr>
                      <w:sdt>
                        <w:sdtPr>
                          <w:alias w:val="Pavadinimas"/>
                          <w:tag w:val="title_0b96a6d635fb4ba9a390d3ba129e6201"/>
                          <w:lock w:val="sdtLocked"/>
                          <w:richText/>
                        </w:sdtPr>
                        <w:sdtContent>
                          <w:r>
                            <w:rPr>
                              <w:rFonts w:eastAsia="Calibri"/>
                              <w:b/>
                              <w:bCs/>
                              <w:caps/>
                              <w:szCs w:val="24"/>
                            </w:rPr>
                            <w:t>VšĮ Radviliškio rajono pirminės sveikatos priežiūros centras</w:t>
                          </w:r>
                        </w:sdtContent>
                      </w:sdt>
                    </w:p>
                    <w:p>
                      <w:pPr>
                        <w:ind w:firstLine="720"/>
                        <w:rPr>
                          <w:color w:val="000000"/>
                          <w:szCs w:val="24"/>
                        </w:rPr>
                      </w:pPr>
                    </w:p>
                    <w:p>
                      <w:pPr>
                        <w:ind w:firstLine="782"/>
                        <w:rPr>
                          <w:color w:val="000000"/>
                          <w:szCs w:val="24"/>
                        </w:rPr>
                      </w:pPr>
                      <w:r>
                        <w:rPr>
                          <w:color w:val="000000"/>
                          <w:szCs w:val="24"/>
                        </w:rPr>
                        <w:t xml:space="preserve">Viešoji įstaiga Radviliškio rajono pirminės sveikatos priežiūros centras (toliau - Įstaiga) pagal Lietuvos Respublikos sveikatos priežiūros įstaigų įstatyme nustatytą nomenklatūrą yra Lietuvos nacionalinės sveikatos sistemos iš Radviliškio rajono savivaldybės turto ir lėšų įsteigta viešoji asmens sveikatos priežiūros ne pelno siekianti įstaiga, teikianti asmens sveikatos priežiūros paslaugas Radviliškio rajono gyventojams ir juridiniams asmenims. Įstaiga siekia užtikrinti aukštos kokybės ir profesionalias pirminės asmens sveikatos priežiūros paslaugas, kurios atitiktų pacientų poreikius ir lūkesčius. Siekiama nuosekliai tobulinti veiklą bei stiprinti darbuotojų kompetencijas. </w:t>
                      </w:r>
                    </w:p>
                    <w:p>
                      <w:pPr>
                        <w:ind w:firstLine="720"/>
                        <w:rPr>
                          <w:szCs w:val="24"/>
                        </w:rPr>
                      </w:pPr>
                      <w:r>
                        <w:rPr>
                          <w:szCs w:val="24"/>
                        </w:rPr>
                        <w:t xml:space="preserve">Įstaiga per 2025 metus turėjo </w:t>
                      </w:r>
                      <w:r>
                        <w:rPr>
                          <w:rFonts w:eastAsia="Calibri"/>
                          <w:szCs w:val="24"/>
                        </w:rPr>
                        <w:t>3 780 914</w:t>
                      </w:r>
                      <w:r>
                        <w:rPr>
                          <w:rFonts w:eastAsia="Calibri"/>
                          <w:b/>
                          <w:bCs/>
                          <w:szCs w:val="24"/>
                        </w:rPr>
                        <w:t xml:space="preserve"> </w:t>
                      </w:r>
                      <w:r>
                        <w:rPr>
                          <w:szCs w:val="24"/>
                        </w:rPr>
                        <w:t xml:space="preserve">Eur pagrindinės veiklos pajamų, iš kurių pagrindinės veiklos pajamos sudarė – </w:t>
                      </w:r>
                      <w:r>
                        <w:rPr>
                          <w:rFonts w:eastAsia="Calibri"/>
                          <w:szCs w:val="24"/>
                        </w:rPr>
                        <w:t xml:space="preserve">3 616 658 </w:t>
                      </w:r>
                      <w:r>
                        <w:rPr>
                          <w:szCs w:val="24"/>
                        </w:rPr>
                        <w:t xml:space="preserve">Eur, tai yra 95,6 proc. pajamų. Per ataskaitinius metus viso įtaiga patyrė </w:t>
                      </w:r>
                      <w:r>
                        <w:rPr>
                          <w:rFonts w:eastAsia="Calibri"/>
                          <w:szCs w:val="24"/>
                        </w:rPr>
                        <w:t>3 754 749 Eur</w:t>
                      </w:r>
                      <w:r>
                        <w:rPr>
                          <w:szCs w:val="24"/>
                        </w:rPr>
                        <w:t xml:space="preserve"> sąnaudų, finansinis rezultatas – </w:t>
                      </w:r>
                      <w:r>
                        <w:rPr>
                          <w:rFonts w:eastAsia="Calibri"/>
                          <w:szCs w:val="24"/>
                        </w:rPr>
                        <w:t>26 524</w:t>
                      </w:r>
                      <w:r>
                        <w:rPr>
                          <w:szCs w:val="24"/>
                        </w:rPr>
                        <w:t xml:space="preserve"> Eur grynasis perviršis. Per 2025 m. prie Įstaigos prisirašiusiųjų skaičius sumažėjo 356 gyventojais. </w:t>
                      </w:r>
                    </w:p>
                    <w:p>
                      <w:pPr>
                        <w:ind w:firstLine="720"/>
                        <w:rPr>
                          <w:szCs w:val="24"/>
                        </w:rPr>
                      </w:pPr>
                      <w:r>
                        <w:rPr>
                          <w:szCs w:val="24"/>
                        </w:rPr>
                        <w:t xml:space="preserve">Siekiant įgyvendinti 2021 m. lapkričio 15 d. Lietuvos nacionalinės sveikatos sistemos šakos kolektyvinėje sutartyje Nr. S-234 įtvirtintą siekiamybę nuosekliai didinti asmens sveikatos priežiūros įstaigose dirbančių darbuotojų darbo užmokestį, Įstaiga 2025 m. didino darbuotojų darbo užmokestį -  15,4 proc. (skaičiuojant vidutinį etatinį dydį).</w:t>
                      </w:r>
                    </w:p>
                    <w:p>
                      <w:pPr>
                        <w:rPr>
                          <w:szCs w:val="24"/>
                        </w:rPr>
                      </w:pPr>
                    </w:p>
                  </w:sdtContent>
                </w:sdt>
                <w:sdt>
                  <w:sdtPr>
                    <w:alias w:val="skirsnis"/>
                    <w:tag w:val="part_7e22fbd64ae04562acb8ad148f5fa9cc"/>
                    <w:lock w:val="sdtLocked"/>
                    <w:richText/>
                  </w:sdtPr>
                  <w:sdtContent>
                    <w:p>
                      <w:pPr>
                        <w:jc w:val="center"/>
                        <w:rPr>
                          <w:b/>
                          <w:bCs/>
                          <w:color w:val="000000"/>
                          <w:szCs w:val="24"/>
                        </w:rPr>
                      </w:pPr>
                      <w:sdt>
                        <w:sdtPr>
                          <w:alias w:val="Pavadinimas"/>
                          <w:tag w:val="title_7e22fbd64ae04562acb8ad148f5fa9cc"/>
                          <w:lock w:val="sdtLocked"/>
                          <w:richText/>
                        </w:sdtPr>
                        <w:sdtContent>
                          <w:r>
                            <w:rPr>
                              <w:b/>
                              <w:bCs/>
                              <w:color w:val="000000"/>
                              <w:szCs w:val="24"/>
                            </w:rPr>
                            <w:t>Bendroji informacija</w:t>
                          </w:r>
                        </w:sdtContent>
                      </w:sdt>
                    </w:p>
                    <w:p>
                      <w:pPr>
                        <w:rPr>
                          <w:b/>
                          <w:bCs/>
                          <w:color w:val="000000"/>
                          <w:szCs w:val="24"/>
                        </w:rPr>
                      </w:pPr>
                    </w:p>
                    <w:p>
                      <w:pPr>
                        <w:ind w:firstLine="720"/>
                        <w:rPr>
                          <w:szCs w:val="24"/>
                        </w:rPr>
                      </w:pPr>
                      <w:r>
                        <w:rPr>
                          <w:i/>
                          <w:iCs/>
                          <w:szCs w:val="24"/>
                        </w:rPr>
                        <w:t>Radviliškio rajono pirminės sveikatos priežiūros centras</w:t>
                      </w:r>
                      <w:r>
                        <w:rPr>
                          <w:szCs w:val="24"/>
                        </w:rPr>
                        <w:t xml:space="preserve"> yra viešoji įstaiga (kodas - 171448918), įregistruota adresu: Gedimino g. 9B, LT-82174, Radviliškis, telefonas: (0 422) 51 672, elektroninis paštas: radviliskiopspc@radviliskiopoliklinika.lt, internetinės svetainės adresas: </w:t>
                      </w:r>
                      <w:r>
                        <w:rPr>
                          <w:color w:val="467886"/>
                          <w:szCs w:val="24"/>
                          <w:u w:val="single"/>
                        </w:rPr>
                        <w:t>https://www.radviliskiopoliklinika.lt/</w:t>
                      </w:r>
                      <w:r>
                        <w:rPr>
                          <w:szCs w:val="24"/>
                        </w:rPr>
                        <w:t>.</w:t>
                      </w:r>
                    </w:p>
                    <w:p>
                      <w:pPr>
                        <w:ind w:firstLine="720"/>
                        <w:rPr>
                          <w:szCs w:val="24"/>
                        </w:rPr>
                      </w:pPr>
                      <w:r>
                        <w:rPr>
                          <w:i/>
                          <w:iCs/>
                          <w:szCs w:val="24"/>
                        </w:rPr>
                        <w:t>Įstaigos steigėjas</w:t>
                      </w:r>
                      <w:r>
                        <w:rPr>
                          <w:szCs w:val="24"/>
                        </w:rPr>
                        <w:t xml:space="preserve"> – Radviliškio rajono savivaldybės taryba, adresas: Aušros al. 10, LT- 82196, Radviliškis, Radviliškio rajono savivaldybė (kodas - 111101539).</w:t>
                      </w:r>
                    </w:p>
                    <w:p>
                      <w:pPr>
                        <w:ind w:firstLine="720"/>
                        <w:rPr>
                          <w:szCs w:val="24"/>
                        </w:rPr>
                      </w:pPr>
                      <w:r>
                        <w:rPr>
                          <w:i/>
                          <w:iCs/>
                          <w:szCs w:val="24"/>
                        </w:rPr>
                        <w:t>Paskutinė ataskaitinio laikotarpio diena</w:t>
                      </w:r>
                      <w:r>
                        <w:rPr>
                          <w:szCs w:val="24"/>
                        </w:rPr>
                        <w:t xml:space="preserve"> – 2025-12-31.</w:t>
                      </w:r>
                    </w:p>
                    <w:p>
                      <w:pPr>
                        <w:ind w:firstLine="720"/>
                        <w:rPr>
                          <w:szCs w:val="24"/>
                        </w:rPr>
                      </w:pPr>
                      <w:r>
                        <w:rPr>
                          <w:i/>
                          <w:iCs/>
                          <w:szCs w:val="24"/>
                        </w:rPr>
                        <w:t>Laikotarpis, už kurį teikiama veiklos ataskaita</w:t>
                      </w:r>
                      <w:r>
                        <w:rPr>
                          <w:szCs w:val="24"/>
                        </w:rPr>
                        <w:t xml:space="preserve"> – 2025-01-01 – 2025-12-31.</w:t>
                      </w:r>
                    </w:p>
                    <w:p>
                      <w:pPr>
                        <w:ind w:firstLine="720"/>
                        <w:rPr>
                          <w:szCs w:val="24"/>
                        </w:rPr>
                      </w:pPr>
                      <w:r>
                        <w:rPr>
                          <w:i/>
                          <w:iCs/>
                          <w:szCs w:val="24"/>
                        </w:rPr>
                        <w:t>Įstaigos vadovas</w:t>
                      </w:r>
                      <w:r>
                        <w:rPr>
                          <w:szCs w:val="24"/>
                        </w:rPr>
                        <w:t>: direktorė Agnė Šlekienė, dirba nuo 2023-09-07.</w:t>
                      </w:r>
                    </w:p>
                    <w:p>
                      <w:pPr>
                        <w:ind w:firstLine="1296"/>
                        <w:rPr>
                          <w:szCs w:val="24"/>
                        </w:rPr>
                      </w:pPr>
                    </w:p>
                  </w:sdtContent>
                </w:sdt>
                <w:sdt>
                  <w:sdtPr>
                    <w:alias w:val="skirsnis"/>
                    <w:tag w:val="part_854fe56059b242869f7c33efdfc97969"/>
                    <w:lock w:val="sdtLocked"/>
                    <w:richText/>
                  </w:sdtPr>
                  <w:sdtContent>
                    <w:p>
                      <w:pPr>
                        <w:tabs>
                          <w:tab w:val="left" w:pos="2835"/>
                        </w:tabs>
                        <w:jc w:val="center"/>
                        <w:rPr>
                          <w:b/>
                          <w:bCs/>
                          <w:szCs w:val="24"/>
                        </w:rPr>
                      </w:pPr>
                      <w:sdt>
                        <w:sdtPr>
                          <w:alias w:val="Pavadinimas"/>
                          <w:tag w:val="title_854fe56059b242869f7c33efdfc97969"/>
                          <w:lock w:val="sdtLocked"/>
                          <w:richText/>
                        </w:sdtPr>
                        <w:sdtContent>
                          <w:r>
                            <w:rPr>
                              <w:b/>
                              <w:bCs/>
                              <w:szCs w:val="24"/>
                            </w:rPr>
                            <w:t>Žmogiškųjų išteklių valdymas</w:t>
                          </w:r>
                        </w:sdtContent>
                      </w:sdt>
                    </w:p>
                    <w:p>
                      <w:pPr>
                        <w:ind w:firstLine="1298"/>
                        <w:rPr>
                          <w:b/>
                          <w:bCs/>
                          <w:szCs w:val="24"/>
                        </w:rPr>
                      </w:pPr>
                    </w:p>
                    <w:p>
                      <w:pPr>
                        <w:ind w:firstLine="720"/>
                        <w:rPr>
                          <w:szCs w:val="24"/>
                        </w:rPr>
                      </w:pPr>
                      <w:r>
                        <w:rPr>
                          <w:b/>
                          <w:bCs/>
                          <w:color w:val="000000"/>
                          <w:szCs w:val="24"/>
                        </w:rPr>
                        <w:t xml:space="preserve">Informacija apie darbuotojus. </w:t>
                      </w:r>
                      <w:r>
                        <w:rPr>
                          <w:szCs w:val="24"/>
                        </w:rPr>
                        <w:t xml:space="preserve">2025 m. pabaigoje (IV ketv. duomenys) Įstaigoje dirbo 103 darbuotojai (89,54 et.), iš jų 19,42 et. užėmė gydytojai, 31 et. slaugos specialistų, 11,47 et. užėmė kitas personalas teikiantis asmens sveikatos priežiūros paslaugas ir kitas personalas sudarė 18,65 et. (žr. 1 lentelė).  </w:t>
                      </w:r>
                    </w:p>
                    <w:p>
                      <w:pPr>
                        <w:rPr>
                          <w:szCs w:val="24"/>
                        </w:rPr>
                      </w:pPr>
                    </w:p>
                    <w:p>
                      <w:pPr>
                        <w:rPr>
                          <w:i/>
                          <w:iCs/>
                          <w:szCs w:val="24"/>
                        </w:rPr>
                      </w:pPr>
                      <w:r>
                        <w:rPr>
                          <w:i/>
                          <w:iCs/>
                          <w:szCs w:val="24"/>
                        </w:rPr>
                        <w:t>1 lentelė. Informacija apie 2024-2025 m. Įstaigoje užimtus etatus, atsižvelgiant į darbuotojų grupę</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1"/>
                        <w:gridCol w:w="992"/>
                        <w:gridCol w:w="1304"/>
                      </w:tblGrid>
                      <w:tr>
                        <w:trPr>
                          <w:trHeight w:val="209"/>
                          <w:jc w:val="center"/>
                        </w:trPr>
                        <w:tc>
                          <w:tcPr>
                            <w:tcW w:w="6771" w:type="dxa"/>
                            <w:vMerge w:val="restart"/>
                            <w:tcBorders>
                              <w:top w:val="single" w:sz="4" w:space="0" w:color="auto"/>
                              <w:left w:val="single" w:sz="4" w:space="0" w:color="auto"/>
                              <w:bottom w:val="single" w:sz="4" w:space="0" w:color="auto"/>
                              <w:right w:val="single" w:sz="4" w:space="0" w:color="auto"/>
                            </w:tcBorders>
                            <w:shd w:val="clear" w:color="auto" w:fill="E8E8E8" w:themeFill="background2"/>
                            <w:noWrap/>
                            <w:vAlign w:val="center"/>
                            <w:hideMark/>
                          </w:tcPr>
                          <w:p>
                            <w:pPr>
                              <w:rPr>
                                <w:b/>
                                <w:bCs/>
                                <w:iCs/>
                                <w:szCs w:val="24"/>
                              </w:rPr>
                            </w:pPr>
                            <w:r>
                              <w:rPr>
                                <w:b/>
                                <w:iCs/>
                                <w:szCs w:val="24"/>
                              </w:rPr>
                              <w:t>Darbuotojų grupė</w:t>
                            </w:r>
                          </w:p>
                        </w:tc>
                        <w:tc>
                          <w:tcPr>
                            <w:tcW w:w="2296" w:type="dxa"/>
                            <w:gridSpan w:val="2"/>
                            <w:tcBorders>
                              <w:top w:val="single" w:sz="4" w:space="0" w:color="auto"/>
                              <w:left w:val="single" w:sz="4" w:space="0" w:color="auto"/>
                              <w:bottom w:val="single" w:sz="4" w:space="0" w:color="auto"/>
                              <w:right w:val="single" w:sz="4" w:space="0" w:color="auto"/>
                            </w:tcBorders>
                            <w:shd w:val="clear" w:color="auto" w:fill="E8E8E8" w:themeFill="background2"/>
                            <w:noWrap/>
                            <w:hideMark/>
                          </w:tcPr>
                          <w:p>
                            <w:pPr>
                              <w:rPr>
                                <w:b/>
                                <w:iCs/>
                                <w:szCs w:val="24"/>
                              </w:rPr>
                            </w:pPr>
                            <w:r>
                              <w:rPr>
                                <w:b/>
                                <w:iCs/>
                                <w:szCs w:val="24"/>
                              </w:rPr>
                              <w:t>Etatų sk.</w:t>
                            </w:r>
                          </w:p>
                        </w:tc>
                      </w:tr>
                      <w:tr>
                        <w:trPr>
                          <w:trHeight w:val="180"/>
                          <w:jc w:val="center"/>
                        </w:trPr>
                        <w:tc>
                          <w:tcPr>
                            <w:tcW w:w="6771" w:type="dxa"/>
                            <w:vMerge/>
                            <w:tcBorders>
                              <w:top w:val="single" w:sz="4" w:space="0" w:color="auto"/>
                              <w:left w:val="single" w:sz="4" w:space="0" w:color="auto"/>
                              <w:bottom w:val="single" w:sz="4" w:space="0" w:color="auto"/>
                              <w:right w:val="single" w:sz="4" w:space="0" w:color="auto"/>
                            </w:tcBorders>
                            <w:shd w:val="clear" w:color="auto" w:fill="E8E8E8" w:themeFill="background2"/>
                            <w:vAlign w:val="center"/>
                            <w:hideMark/>
                          </w:tcPr>
                          <w:p>
                            <w:pPr>
                              <w:rPr>
                                <w:b/>
                                <w:bCs/>
                                <w:i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E8E8E8" w:themeFill="background2"/>
                            <w:hideMark/>
                          </w:tcPr>
                          <w:p>
                            <w:pPr>
                              <w:rPr>
                                <w:b/>
                                <w:bCs/>
                                <w:szCs w:val="24"/>
                              </w:rPr>
                            </w:pPr>
                            <w:r>
                              <w:rPr>
                                <w:b/>
                                <w:bCs/>
                                <w:szCs w:val="24"/>
                              </w:rPr>
                              <w:t>2024 m.</w:t>
                            </w:r>
                          </w:p>
                        </w:tc>
                        <w:tc>
                          <w:tcPr>
                            <w:tcW w:w="1304" w:type="dxa"/>
                            <w:tcBorders>
                              <w:top w:val="single" w:sz="4" w:space="0" w:color="auto"/>
                              <w:left w:val="single" w:sz="4" w:space="0" w:color="auto"/>
                              <w:bottom w:val="single" w:sz="4" w:space="0" w:color="auto"/>
                              <w:right w:val="single" w:sz="4" w:space="0" w:color="auto"/>
                            </w:tcBorders>
                            <w:shd w:val="clear" w:color="auto" w:fill="E8E8E8" w:themeFill="background2"/>
                            <w:hideMark/>
                          </w:tcPr>
                          <w:p>
                            <w:pPr>
                              <w:rPr>
                                <w:b/>
                                <w:bCs/>
                                <w:szCs w:val="24"/>
                              </w:rPr>
                            </w:pPr>
                            <w:r>
                              <w:rPr>
                                <w:b/>
                                <w:bCs/>
                                <w:szCs w:val="24"/>
                              </w:rPr>
                              <w:t>2025 m.</w:t>
                            </w:r>
                          </w:p>
                        </w:tc>
                      </w:tr>
                      <w:tr>
                        <w:trPr>
                          <w:trHeight w:val="70"/>
                          <w:jc w:val="center"/>
                        </w:trPr>
                        <w:tc>
                          <w:tcPr>
                            <w:tcW w:w="6771" w:type="dxa"/>
                            <w:tcBorders>
                              <w:top w:val="single" w:sz="4" w:space="0" w:color="auto"/>
                              <w:left w:val="single" w:sz="4" w:space="0" w:color="auto"/>
                              <w:bottom w:val="single" w:sz="4" w:space="0" w:color="auto"/>
                              <w:right w:val="single" w:sz="4" w:space="0" w:color="auto"/>
                            </w:tcBorders>
                            <w:hideMark/>
                          </w:tcPr>
                          <w:p>
                            <w:pPr>
                              <w:rPr>
                                <w:b/>
                                <w:bCs/>
                                <w:szCs w:val="24"/>
                              </w:rPr>
                            </w:pPr>
                            <w:r>
                              <w:rPr>
                                <w:szCs w:val="24"/>
                              </w:rPr>
                              <w:t>1.1. Administracija ir kitų bendrųjų funkcijų specialistai</w:t>
                            </w:r>
                          </w:p>
                        </w:tc>
                        <w:tc>
                          <w:tcPr>
                            <w:tcW w:w="992" w:type="dxa"/>
                            <w:tcBorders>
                              <w:top w:val="single" w:sz="4" w:space="0" w:color="auto"/>
                              <w:left w:val="single" w:sz="4" w:space="0" w:color="auto"/>
                              <w:bottom w:val="single" w:sz="4" w:space="0" w:color="auto"/>
                              <w:right w:val="single" w:sz="4" w:space="0" w:color="auto"/>
                            </w:tcBorders>
                          </w:tcPr>
                          <w:p>
                            <w:pPr>
                              <w:rPr>
                                <w:szCs w:val="24"/>
                              </w:rPr>
                            </w:pPr>
                            <w:r>
                              <w:rPr>
                                <w:szCs w:val="24"/>
                              </w:rPr>
                              <w:t>9,25</w:t>
                            </w:r>
                          </w:p>
                        </w:tc>
                        <w:tc>
                          <w:tcPr>
                            <w:tcW w:w="1304" w:type="dxa"/>
                            <w:tcBorders>
                              <w:top w:val="single" w:sz="4" w:space="0" w:color="auto"/>
                              <w:left w:val="single" w:sz="4" w:space="0" w:color="auto"/>
                              <w:bottom w:val="single" w:sz="4" w:space="0" w:color="auto"/>
                              <w:right w:val="single" w:sz="4" w:space="0" w:color="auto"/>
                            </w:tcBorders>
                          </w:tcPr>
                          <w:p>
                            <w:pPr>
                              <w:rPr>
                                <w:szCs w:val="24"/>
                              </w:rPr>
                            </w:pPr>
                            <w:r>
                              <w:rPr>
                                <w:iCs/>
                                <w:szCs w:val="24"/>
                              </w:rPr>
                              <w:t>9</w:t>
                            </w:r>
                          </w:p>
                        </w:tc>
                      </w:tr>
                      <w:tr>
                        <w:trPr>
                          <w:trHeight w:val="235"/>
                          <w:jc w:val="center"/>
                        </w:trPr>
                        <w:tc>
                          <w:tcPr>
                            <w:tcW w:w="677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1.2. Gydytojai</w:t>
                            </w:r>
                          </w:p>
                        </w:tc>
                        <w:tc>
                          <w:tcPr>
                            <w:tcW w:w="992" w:type="dxa"/>
                            <w:tcBorders>
                              <w:top w:val="single" w:sz="4" w:space="0" w:color="auto"/>
                              <w:left w:val="single" w:sz="4" w:space="0" w:color="auto"/>
                              <w:bottom w:val="single" w:sz="4" w:space="0" w:color="auto"/>
                              <w:right w:val="single" w:sz="4" w:space="0" w:color="auto"/>
                            </w:tcBorders>
                          </w:tcPr>
                          <w:p>
                            <w:pPr>
                              <w:rPr>
                                <w:szCs w:val="24"/>
                              </w:rPr>
                            </w:pPr>
                            <w:r>
                              <w:rPr>
                                <w:iCs/>
                                <w:szCs w:val="24"/>
                              </w:rPr>
                              <w:t>21</w:t>
                            </w:r>
                          </w:p>
                        </w:tc>
                        <w:tc>
                          <w:tcPr>
                            <w:tcW w:w="1304" w:type="dxa"/>
                            <w:tcBorders>
                              <w:top w:val="single" w:sz="4" w:space="0" w:color="auto"/>
                              <w:left w:val="single" w:sz="4" w:space="0" w:color="auto"/>
                              <w:bottom w:val="single" w:sz="4" w:space="0" w:color="auto"/>
                              <w:right w:val="single" w:sz="4" w:space="0" w:color="auto"/>
                            </w:tcBorders>
                          </w:tcPr>
                          <w:p>
                            <w:pPr>
                              <w:rPr>
                                <w:iCs/>
                                <w:szCs w:val="24"/>
                              </w:rPr>
                            </w:pPr>
                            <w:r>
                              <w:rPr>
                                <w:iCs/>
                                <w:szCs w:val="24"/>
                              </w:rPr>
                              <w:t>19,42</w:t>
                            </w:r>
                          </w:p>
                        </w:tc>
                      </w:tr>
                      <w:tr>
                        <w:trPr>
                          <w:trHeight w:val="283"/>
                          <w:jc w:val="center"/>
                        </w:trPr>
                        <w:tc>
                          <w:tcPr>
                            <w:tcW w:w="6771" w:type="dxa"/>
                            <w:tcBorders>
                              <w:top w:val="single" w:sz="4" w:space="0" w:color="auto"/>
                              <w:left w:val="single" w:sz="4" w:space="0" w:color="auto"/>
                              <w:bottom w:val="single" w:sz="4" w:space="0" w:color="auto"/>
                              <w:right w:val="single" w:sz="4" w:space="0" w:color="auto"/>
                            </w:tcBorders>
                            <w:hideMark/>
                          </w:tcPr>
                          <w:p>
                            <w:pPr>
                              <w:rPr>
                                <w:b/>
                                <w:bCs/>
                                <w:szCs w:val="24"/>
                              </w:rPr>
                            </w:pPr>
                            <w:r>
                              <w:rPr>
                                <w:szCs w:val="24"/>
                              </w:rPr>
                              <w:t xml:space="preserve">1.3. Slaugytojos </w:t>
                            </w:r>
                          </w:p>
                        </w:tc>
                        <w:tc>
                          <w:tcPr>
                            <w:tcW w:w="992" w:type="dxa"/>
                            <w:tcBorders>
                              <w:top w:val="single" w:sz="4" w:space="0" w:color="auto"/>
                              <w:left w:val="single" w:sz="4" w:space="0" w:color="auto"/>
                              <w:bottom w:val="single" w:sz="4" w:space="0" w:color="auto"/>
                              <w:right w:val="single" w:sz="4" w:space="0" w:color="auto"/>
                            </w:tcBorders>
                          </w:tcPr>
                          <w:p>
                            <w:pPr>
                              <w:rPr>
                                <w:szCs w:val="24"/>
                              </w:rPr>
                            </w:pPr>
                            <w:r>
                              <w:rPr>
                                <w:iCs/>
                                <w:szCs w:val="24"/>
                              </w:rPr>
                              <w:t>33,85</w:t>
                            </w:r>
                          </w:p>
                        </w:tc>
                        <w:tc>
                          <w:tcPr>
                            <w:tcW w:w="1304" w:type="dxa"/>
                            <w:tcBorders>
                              <w:top w:val="single" w:sz="4" w:space="0" w:color="auto"/>
                              <w:left w:val="single" w:sz="4" w:space="0" w:color="auto"/>
                              <w:bottom w:val="single" w:sz="4" w:space="0" w:color="auto"/>
                              <w:right w:val="single" w:sz="4" w:space="0" w:color="auto"/>
                            </w:tcBorders>
                          </w:tcPr>
                          <w:p>
                            <w:pPr>
                              <w:rPr>
                                <w:iCs/>
                                <w:szCs w:val="24"/>
                              </w:rPr>
                            </w:pPr>
                            <w:r>
                              <w:rPr>
                                <w:iCs/>
                                <w:szCs w:val="24"/>
                              </w:rPr>
                              <w:t>31</w:t>
                            </w:r>
                          </w:p>
                        </w:tc>
                      </w:tr>
                      <w:tr>
                        <w:trPr>
                          <w:trHeight w:val="274"/>
                          <w:jc w:val="center"/>
                        </w:trPr>
                        <w:tc>
                          <w:tcPr>
                            <w:tcW w:w="677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 Kitas personalas teikiantis asmens sveikatos priežiūros paslaugas</w:t>
                            </w:r>
                          </w:p>
                        </w:tc>
                        <w:tc>
                          <w:tcPr>
                            <w:tcW w:w="992" w:type="dxa"/>
                            <w:tcBorders>
                              <w:top w:val="single" w:sz="4" w:space="0" w:color="auto"/>
                              <w:left w:val="single" w:sz="4" w:space="0" w:color="auto"/>
                              <w:bottom w:val="single" w:sz="4" w:space="0" w:color="auto"/>
                              <w:right w:val="single" w:sz="4" w:space="0" w:color="auto"/>
                            </w:tcBorders>
                          </w:tcPr>
                          <w:p>
                            <w:pPr>
                              <w:rPr>
                                <w:iCs/>
                                <w:szCs w:val="24"/>
                              </w:rPr>
                            </w:pPr>
                            <w:r>
                              <w:rPr>
                                <w:iCs/>
                                <w:szCs w:val="24"/>
                              </w:rPr>
                              <w:t>12,6</w:t>
                            </w:r>
                          </w:p>
                        </w:tc>
                        <w:tc>
                          <w:tcPr>
                            <w:tcW w:w="1304" w:type="dxa"/>
                            <w:tcBorders>
                              <w:top w:val="single" w:sz="4" w:space="0" w:color="auto"/>
                              <w:left w:val="single" w:sz="4" w:space="0" w:color="auto"/>
                              <w:bottom w:val="single" w:sz="4" w:space="0" w:color="auto"/>
                              <w:right w:val="single" w:sz="4" w:space="0" w:color="auto"/>
                            </w:tcBorders>
                          </w:tcPr>
                          <w:p>
                            <w:pPr>
                              <w:rPr>
                                <w:iCs/>
                                <w:szCs w:val="24"/>
                              </w:rPr>
                            </w:pPr>
                            <w:r>
                              <w:rPr>
                                <w:iCs/>
                                <w:szCs w:val="24"/>
                              </w:rPr>
                              <w:t>11,47</w:t>
                            </w:r>
                          </w:p>
                        </w:tc>
                      </w:tr>
                      <w:tr>
                        <w:trPr>
                          <w:trHeight w:val="174"/>
                          <w:jc w:val="center"/>
                        </w:trPr>
                        <w:tc>
                          <w:tcPr>
                            <w:tcW w:w="6771"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1.5. Kitas personalas </w:t>
                            </w:r>
                          </w:p>
                        </w:tc>
                        <w:tc>
                          <w:tcPr>
                            <w:tcW w:w="992" w:type="dxa"/>
                            <w:tcBorders>
                              <w:top w:val="single" w:sz="4" w:space="0" w:color="auto"/>
                              <w:left w:val="single" w:sz="4" w:space="0" w:color="auto"/>
                              <w:bottom w:val="single" w:sz="4" w:space="0" w:color="auto"/>
                              <w:right w:val="single" w:sz="4" w:space="0" w:color="auto"/>
                            </w:tcBorders>
                          </w:tcPr>
                          <w:p>
                            <w:pPr>
                              <w:rPr>
                                <w:szCs w:val="24"/>
                              </w:rPr>
                            </w:pPr>
                            <w:r>
                              <w:rPr>
                                <w:iCs/>
                                <w:szCs w:val="24"/>
                              </w:rPr>
                              <w:t>18,65</w:t>
                            </w:r>
                          </w:p>
                        </w:tc>
                        <w:tc>
                          <w:tcPr>
                            <w:tcW w:w="1304" w:type="dxa"/>
                            <w:tcBorders>
                              <w:top w:val="single" w:sz="4" w:space="0" w:color="auto"/>
                              <w:left w:val="single" w:sz="4" w:space="0" w:color="auto"/>
                              <w:bottom w:val="single" w:sz="4" w:space="0" w:color="auto"/>
                              <w:right w:val="single" w:sz="4" w:space="0" w:color="auto"/>
                            </w:tcBorders>
                          </w:tcPr>
                          <w:p>
                            <w:pPr>
                              <w:rPr>
                                <w:iCs/>
                                <w:szCs w:val="24"/>
                              </w:rPr>
                            </w:pPr>
                            <w:r>
                              <w:rPr>
                                <w:iCs/>
                                <w:szCs w:val="24"/>
                              </w:rPr>
                              <w:t>18,65</w:t>
                            </w:r>
                          </w:p>
                        </w:tc>
                      </w:tr>
                      <w:tr>
                        <w:trPr>
                          <w:trHeight w:val="174"/>
                          <w:jc w:val="center"/>
                        </w:trPr>
                        <w:tc>
                          <w:tcPr>
                            <w:tcW w:w="6771" w:type="dxa"/>
                            <w:tcBorders>
                              <w:top w:val="single" w:sz="4" w:space="0" w:color="auto"/>
                              <w:left w:val="single" w:sz="4" w:space="0" w:color="auto"/>
                              <w:bottom w:val="single" w:sz="4" w:space="0" w:color="auto"/>
                              <w:right w:val="single" w:sz="4" w:space="0" w:color="auto"/>
                            </w:tcBorders>
                            <w:shd w:val="clear" w:color="auto" w:fill="E8E8E8" w:themeFill="background2"/>
                          </w:tcPr>
                          <w:p>
                            <w:pPr>
                              <w:rPr>
                                <w:b/>
                                <w:bCs/>
                                <w:szCs w:val="24"/>
                              </w:rPr>
                            </w:pPr>
                            <w:r>
                              <w:rPr>
                                <w:b/>
                                <w:bCs/>
                                <w:szCs w:val="24"/>
                              </w:rPr>
                              <w:t>Iš viso:</w:t>
                            </w:r>
                          </w:p>
                        </w:tc>
                        <w:tc>
                          <w:tcPr>
                            <w:tcW w:w="992" w:type="dxa"/>
                            <w:tcBorders>
                              <w:top w:val="single" w:sz="4" w:space="0" w:color="auto"/>
                              <w:left w:val="single" w:sz="4" w:space="0" w:color="auto"/>
                              <w:bottom w:val="single" w:sz="4" w:space="0" w:color="auto"/>
                              <w:right w:val="single" w:sz="4" w:space="0" w:color="auto"/>
                            </w:tcBorders>
                            <w:shd w:val="clear" w:color="auto" w:fill="E8E8E8" w:themeFill="background2"/>
                          </w:tcPr>
                          <w:p>
                            <w:pPr>
                              <w:rPr>
                                <w:b/>
                                <w:bCs/>
                                <w:szCs w:val="24"/>
                              </w:rPr>
                            </w:pPr>
                            <w:r>
                              <w:rPr>
                                <w:b/>
                                <w:bCs/>
                                <w:iCs/>
                                <w:szCs w:val="24"/>
                              </w:rPr>
                              <w:t>95,35</w:t>
                            </w:r>
                          </w:p>
                        </w:tc>
                        <w:tc>
                          <w:tcPr>
                            <w:tcW w:w="1304" w:type="dxa"/>
                            <w:tcBorders>
                              <w:top w:val="single" w:sz="4" w:space="0" w:color="auto"/>
                              <w:left w:val="single" w:sz="4" w:space="0" w:color="auto"/>
                              <w:bottom w:val="single" w:sz="4" w:space="0" w:color="auto"/>
                              <w:right w:val="single" w:sz="4" w:space="0" w:color="auto"/>
                            </w:tcBorders>
                            <w:shd w:val="clear" w:color="auto" w:fill="E8E8E8" w:themeFill="background2"/>
                          </w:tcPr>
                          <w:p>
                            <w:pPr>
                              <w:rPr>
                                <w:b/>
                                <w:bCs/>
                                <w:iCs/>
                                <w:szCs w:val="24"/>
                              </w:rPr>
                            </w:pPr>
                            <w:r>
                              <w:rPr>
                                <w:b/>
                                <w:bCs/>
                                <w:iCs/>
                                <w:szCs w:val="24"/>
                              </w:rPr>
                              <w:t>89,54</w:t>
                            </w:r>
                          </w:p>
                        </w:tc>
                      </w:tr>
                    </w:tbl>
                    <w:p>
                      <w:pPr>
                        <w:rPr>
                          <w:b/>
                          <w:bCs/>
                          <w:color w:val="000000"/>
                          <w:szCs w:val="24"/>
                        </w:rPr>
                      </w:pPr>
                    </w:p>
                    <w:p>
                      <w:pPr>
                        <w:rPr>
                          <w:b/>
                          <w:bCs/>
                          <w:szCs w:val="24"/>
                        </w:rPr>
                      </w:pPr>
                    </w:p>
                  </w:sdtContent>
                </w:sdt>
                <w:sdt>
                  <w:sdtPr>
                    <w:alias w:val="skirsnis"/>
                    <w:tag w:val="part_d5936a9daddb4c8680345a13cfb1bcbd"/>
                    <w:lock w:val="sdtLocked"/>
                    <w:richText/>
                  </w:sdtPr>
                  <w:sdtContent>
                    <w:p>
                      <w:pPr>
                        <w:jc w:val="center"/>
                        <w:rPr>
                          <w:b/>
                          <w:bCs/>
                          <w:szCs w:val="24"/>
                        </w:rPr>
                      </w:pPr>
                      <w:sdt>
                        <w:sdtPr>
                          <w:alias w:val="Pavadinimas"/>
                          <w:tag w:val="title_d5936a9daddb4c8680345a13cfb1bcbd"/>
                          <w:lock w:val="sdtLocked"/>
                          <w:richText/>
                        </w:sdtPr>
                        <w:sdtContent>
                          <w:r>
                            <w:rPr>
                              <w:b/>
                              <w:bCs/>
                              <w:szCs w:val="24"/>
                            </w:rPr>
                            <w:t>2025 metų veiklos tikslų įgyvendinimas</w:t>
                          </w:r>
                        </w:sdtContent>
                      </w:sdt>
                    </w:p>
                    <w:p>
                      <w:pPr>
                        <w:rPr>
                          <w:b/>
                          <w:bCs/>
                          <w:szCs w:val="24"/>
                        </w:rPr>
                      </w:pPr>
                    </w:p>
                    <w:p>
                      <w:pPr>
                        <w:ind w:firstLine="720"/>
                        <w:rPr>
                          <w:i/>
                          <w:iCs/>
                          <w:szCs w:val="24"/>
                        </w:rPr>
                      </w:pPr>
                      <w:r>
                        <w:rPr>
                          <w:szCs w:val="24"/>
                        </w:rPr>
                        <w:t>Pagrindinis Įstaigos tikslas - panaudojant žmogiškuosius ir technologinius išteklius saugoti, gerinti ir stiprinti pacientų sveikatą. Šiam tikslui pasiekti 2025 m. buvo išskirtos pagrindinės prioritetinės veiklos kryptys, bei nustatytos veiklos gairės.</w:t>
                      </w:r>
                      <w:r>
                        <w:rPr>
                          <w:i/>
                          <w:iCs/>
                          <w:szCs w:val="24"/>
                        </w:rPr>
                        <w:t xml:space="preserve"> </w:t>
                      </w:r>
                    </w:p>
                    <w:p>
                      <w:pPr>
                        <w:ind w:left="720"/>
                        <w:rPr>
                          <w:i/>
                          <w:iCs/>
                          <w:szCs w:val="24"/>
                        </w:rPr>
                      </w:pPr>
                    </w:p>
                  </w:sdtContent>
                </w:sdt>
                <w:sdt>
                  <w:sdtPr>
                    <w:alias w:val="skirsnis"/>
                    <w:tag w:val="part_709f93d20c6a4a00842beac37e952b8e"/>
                    <w:lock w:val="sdtLocked"/>
                    <w:richText/>
                  </w:sdtPr>
                  <w:sdtContent>
                    <w:p>
                      <w:pPr>
                        <w:ind w:firstLine="720"/>
                        <w:rPr>
                          <w:i/>
                          <w:iCs/>
                          <w:szCs w:val="24"/>
                        </w:rPr>
                      </w:pPr>
                      <w:sdt>
                        <w:sdtPr>
                          <w:alias w:val="Pavadinimas"/>
                          <w:tag w:val="title_709f93d20c6a4a00842beac37e952b8e"/>
                          <w:lock w:val="sdtLocked"/>
                          <w:richText/>
                        </w:sdtPr>
                        <w:sdtContent>
                          <w:r>
                            <w:rPr>
                              <w:b/>
                              <w:bCs/>
                              <w:i/>
                              <w:iCs/>
                              <w:szCs w:val="24"/>
                            </w:rPr>
                            <w:t xml:space="preserve">Prieinamos, efektyvios ir savalaikiškos paslaugos </w:t>
                          </w:r>
                        </w:sdtContent>
                      </w:sdt>
                    </w:p>
                    <w:p>
                      <w:pPr>
                        <w:ind w:firstLine="720"/>
                        <w:rPr>
                          <w:szCs w:val="24"/>
                        </w:rPr>
                      </w:pPr>
                    </w:p>
                    <w:p>
                      <w:pPr>
                        <w:ind w:firstLine="720"/>
                        <w:rPr>
                          <w:szCs w:val="24"/>
                        </w:rPr>
                      </w:pPr>
                      <w:r>
                        <w:rPr>
                          <w:rFonts w:eastAsia="Calibri"/>
                          <w:b/>
                          <w:szCs w:val="24"/>
                        </w:rPr>
                        <w:t>Duomenys apie prisirašiusius gyventojus.</w:t>
                      </w:r>
                      <w:r>
                        <w:rPr>
                          <w:szCs w:val="24"/>
                        </w:rPr>
                        <w:t xml:space="preserve"> Prie Įstaigos 2025 m. buvo prisirašę 12 823 (37,8 proc. Radviliškio rajono gyventojų) asmenys, tai yra 356 pacientais mažiau nei 2024 m. Matome, kad bendras gyventojų skaičius 2025 m. sumažėjo, tačiau vyresnių nei 65 metų gyventojų dalis padidėjo, tai rodo visuomenės senėjimo tendenciją.</w:t>
                      </w:r>
                    </w:p>
                    <w:p>
                      <w:pPr>
                        <w:ind w:firstLine="720"/>
                        <w:rPr>
                          <w:szCs w:val="24"/>
                        </w:rPr>
                      </w:pPr>
                      <w:r>
                        <w:rPr>
                          <w:rFonts w:eastAsia="Calibri"/>
                          <w:b/>
                          <w:szCs w:val="24"/>
                        </w:rPr>
                        <w:t>Duomenys apie pacientų apsilankymų skaičių ir suteiktas paslaugas.</w:t>
                      </w:r>
                      <w:r>
                        <w:rPr>
                          <w:szCs w:val="24"/>
                        </w:rPr>
                        <w:t xml:space="preserve"> Iš viso 2025 m. Įstaiga savo pacientams suteikė 169 292 paslaugas, iš jų 24 074 paslaugos teiktos paciento namuose. Odontologinių paslaugų prie Įstaigos prisirašę pacientai kreipėsi 8 102 kartus, pas gydytojus (šeimos gyd., vidaus ligų gyd., vaikų ligų gyd., chirurgas, akušeris-ginekologas) – 85 095 kartus. Psichikos sveikatos centre rajono gyventojai apsilankė 12 061 kartus. </w:t>
                      </w:r>
                      <w:r>
                        <w:rPr>
                          <w:color w:val="000000"/>
                          <w:spacing w:val="6"/>
                          <w:szCs w:val="24"/>
                        </w:rPr>
                        <w:t>Per 2025 m.</w:t>
                      </w:r>
                      <w:r>
                        <w:rPr>
                          <w:iCs/>
                          <w:szCs w:val="24"/>
                        </w:rPr>
                        <w:t xml:space="preserve"> buvo suteikta 21 152 </w:t>
                      </w:r>
                      <w:r>
                        <w:rPr>
                          <w:color w:val="000000"/>
                          <w:spacing w:val="6"/>
                          <w:szCs w:val="24"/>
                        </w:rPr>
                        <w:t>ambulatorinės slaugos paslaugų namuose</w:t>
                      </w:r>
                      <w:r>
                        <w:rPr>
                          <w:iCs/>
                          <w:szCs w:val="24"/>
                        </w:rPr>
                        <w:t>. 28 pacientams buvo suteiktos 36 g</w:t>
                      </w:r>
                      <w:r>
                        <w:rPr>
                          <w:szCs w:val="24"/>
                        </w:rPr>
                        <w:t xml:space="preserve">yvensenos medicinos specialisto konsultacijos. </w:t>
                      </w:r>
                      <w:r>
                        <w:rPr>
                          <w:iCs/>
                          <w:szCs w:val="24"/>
                        </w:rPr>
                        <w:t>2025 m. buvo atlikta 36 235</w:t>
                      </w:r>
                      <w:r>
                        <w:rPr>
                          <w:szCs w:val="24"/>
                        </w:rPr>
                        <w:t xml:space="preserve"> laboratoriniai tyrimai. 2025 m. profilaktinių skiepijimų planai įvykdyti 87,58 proc.</w:t>
                      </w:r>
                    </w:p>
                    <w:p>
                      <w:pPr>
                        <w:ind w:firstLine="720"/>
                        <w:rPr>
                          <w:rFonts w:eastAsia="Calibri"/>
                          <w:b/>
                          <w:szCs w:val="24"/>
                        </w:rPr>
                      </w:pPr>
                      <w:r>
                        <w:rPr>
                          <w:rFonts w:eastAsia="Calibri"/>
                          <w:b/>
                          <w:szCs w:val="24"/>
                        </w:rPr>
                        <w:t xml:space="preserve">Duomenys apie medicinos punktuose teikiamas paslaugas. </w:t>
                      </w:r>
                      <w:r>
                        <w:rPr>
                          <w:szCs w:val="24"/>
                        </w:rPr>
                        <w:t>2025 m. 489 pacientams buvo suteikiamos paslaugos medicinos punktuose (Daugėlaičių, Gražionių, Aukštelkų), 504 pacientai paslaugas gavo namuose.</w:t>
                      </w:r>
                    </w:p>
                    <w:p>
                      <w:pPr>
                        <w:ind w:firstLine="720"/>
                        <w:rPr>
                          <w:szCs w:val="24"/>
                        </w:rPr>
                      </w:pPr>
                      <w:r>
                        <w:rPr>
                          <w:rFonts w:eastAsia="Calibri"/>
                          <w:b/>
                          <w:szCs w:val="24"/>
                        </w:rPr>
                        <w:t>Duomenys apie prevencinių programų vykdymą.</w:t>
                      </w:r>
                      <w:r>
                        <w:rPr>
                          <w:szCs w:val="24"/>
                        </w:rPr>
                        <w:t xml:space="preserve"> Lietuvoje privalomu sveikatos draudimu draustiems pacientams vykdomos šios prevencinės programos:</w:t>
                      </w:r>
                    </w:p>
                    <w:p>
                      <w:pPr>
                        <w:ind w:left="720" w:hanging="360"/>
                        <w:rPr>
                          <w:b/>
                          <w:bCs/>
                          <w:szCs w:val="24"/>
                        </w:rPr>
                      </w:pPr>
                      <w:r>
                        <w:rPr>
                          <w:rFonts w:ascii="Symbol" w:hAnsi="Symbol"/>
                          <w:bCs/>
                          <w:szCs w:val="24"/>
                        </w:rPr>
                        <w:t></w:t>
                        <w:tab/>
                      </w:r>
                      <w:r>
                        <w:rPr>
                          <w:szCs w:val="24"/>
                        </w:rPr>
                        <w:t>Atrankinės mamografinės patikros programa (įvykdymo proc. – 38,8 proc.);</w:t>
                      </w:r>
                    </w:p>
                    <w:p>
                      <w:pPr>
                        <w:ind w:left="720" w:hanging="360"/>
                        <w:rPr>
                          <w:b/>
                          <w:bCs/>
                          <w:szCs w:val="24"/>
                        </w:rPr>
                      </w:pPr>
                      <w:r>
                        <w:rPr>
                          <w:rFonts w:ascii="Symbol" w:hAnsi="Symbol"/>
                          <w:bCs/>
                          <w:szCs w:val="24"/>
                        </w:rPr>
                        <w:t></w:t>
                        <w:tab/>
                      </w:r>
                      <w:r>
                        <w:rPr>
                          <w:szCs w:val="24"/>
                        </w:rPr>
                        <w:t>Gimdos kaklelio piktybinių navikų prevencinių priemonių programa (įvykdymo proc. – 55,7 proc.);</w:t>
                      </w:r>
                    </w:p>
                    <w:p>
                      <w:pPr>
                        <w:ind w:left="720" w:hanging="360"/>
                        <w:rPr>
                          <w:b/>
                          <w:bCs/>
                          <w:szCs w:val="24"/>
                        </w:rPr>
                      </w:pPr>
                      <w:r>
                        <w:rPr>
                          <w:rFonts w:ascii="Symbol" w:hAnsi="Symbol"/>
                          <w:bCs/>
                          <w:szCs w:val="24"/>
                        </w:rPr>
                        <w:t></w:t>
                        <w:tab/>
                      </w:r>
                      <w:r>
                        <w:rPr>
                          <w:szCs w:val="24"/>
                        </w:rPr>
                        <w:t>Širdies ir kraujagyslių programa (įvykdymo proc. – 60,6 proc.);</w:t>
                      </w:r>
                    </w:p>
                    <w:p>
                      <w:pPr>
                        <w:ind w:left="720" w:hanging="360"/>
                        <w:rPr>
                          <w:b/>
                          <w:bCs/>
                          <w:szCs w:val="24"/>
                        </w:rPr>
                      </w:pPr>
                      <w:r>
                        <w:rPr>
                          <w:rFonts w:ascii="Symbol" w:hAnsi="Symbol"/>
                          <w:bCs/>
                          <w:szCs w:val="24"/>
                        </w:rPr>
                        <w:t></w:t>
                        <w:tab/>
                      </w:r>
                      <w:r>
                        <w:rPr>
                          <w:szCs w:val="24"/>
                        </w:rPr>
                        <w:t>Storosios žarnos ankstyvosios diagnostikos programa (įvykdymo proc. – 54,5 proc.);</w:t>
                      </w:r>
                    </w:p>
                    <w:p>
                      <w:pPr>
                        <w:ind w:left="720" w:hanging="360"/>
                        <w:rPr>
                          <w:b/>
                          <w:bCs/>
                          <w:szCs w:val="24"/>
                        </w:rPr>
                      </w:pPr>
                      <w:r>
                        <w:rPr>
                          <w:rFonts w:ascii="Symbol" w:hAnsi="Symbol"/>
                          <w:bCs/>
                          <w:szCs w:val="24"/>
                        </w:rPr>
                        <w:t></w:t>
                        <w:tab/>
                      </w:r>
                      <w:r>
                        <w:rPr>
                          <w:szCs w:val="24"/>
                        </w:rPr>
                        <w:t>Priešinės liaukos vėžio ankstyvosios diagnostikos programa (įvykdymo proc. – 46,4 proc.).</w:t>
                      </w:r>
                    </w:p>
                    <w:p>
                      <w:pPr>
                        <w:ind w:left="360"/>
                        <w:rPr>
                          <w:iCs/>
                          <w:szCs w:val="24"/>
                        </w:rPr>
                      </w:pPr>
                      <w:r>
                        <w:rPr>
                          <w:szCs w:val="24"/>
                          <w:lang w:val="en-US"/>
                        </w:rPr>
                        <w:drawing>
                          <wp:inline distT="0" distB="0" distL="0" distR="0" wp14:anchorId="106795A2" wp14:editId="70E43301">
                            <wp:extent cx="4572000" cy="1990725"/>
                            <wp:effectExtent l="0" t="0" r="0" b="9525"/>
                            <wp:docPr id="1801273195" name="Chart 7"/>
                            <wp:cNvGraphicFramePr/>
                            <a:graphic xmlns:a="http://schemas.openxmlformats.org/drawingml/2006/main">
                              <a:graphicData uri="http://schemas.openxmlformats.org/drawingml/2006/chart">
                                <c:chart xmlns:c="http://schemas.openxmlformats.org/drawingml/2006/chart" r:id="rId29"/>
                              </a:graphicData>
                            </a:graphic>
                          </wp:inline>
                        </w:drawing>
                      </w:r>
                    </w:p>
                    <w:p>
                      <w:pPr>
                        <w:ind w:left="360"/>
                        <w:rPr>
                          <w:iCs/>
                          <w:szCs w:val="24"/>
                        </w:rPr>
                      </w:pPr>
                      <w:r>
                        <w:rPr>
                          <w:iCs/>
                          <w:szCs w:val="24"/>
                        </w:rPr>
                        <w:t>Prevencinių programų vykdymas Įstaigoje 2024-2025 m. (proc.)</w:t>
                      </w:r>
                    </w:p>
                    <w:p>
                      <w:pPr>
                        <w:ind w:left="1440"/>
                        <w:rPr>
                          <w:i/>
                          <w:iCs/>
                          <w:szCs w:val="24"/>
                        </w:rPr>
                      </w:pPr>
                      <w:r>
                        <w:rPr>
                          <w:i/>
                          <w:iCs/>
                          <w:szCs w:val="24"/>
                        </w:rPr>
                        <w:t>Šaltinis: Valstybinė ligonių kasa prie sveikatos apsaugos ministerijos</w:t>
                      </w:r>
                    </w:p>
                    <w:p>
                      <w:pPr>
                        <w:rPr>
                          <w:b/>
                          <w:bCs/>
                          <w:szCs w:val="24"/>
                        </w:rPr>
                      </w:pPr>
                    </w:p>
                  </w:sdtContent>
                </w:sdt>
                <w:sdt>
                  <w:sdtPr>
                    <w:alias w:val="skirsnis"/>
                    <w:tag w:val="part_4b188029b8514acb939d81611e22b00c"/>
                    <w:lock w:val="sdtLocked"/>
                    <w:richText/>
                  </w:sdtPr>
                  <w:sdtContent>
                    <w:p>
                      <w:pPr>
                        <w:rPr>
                          <w:b/>
                          <w:bCs/>
                          <w:i/>
                          <w:iCs/>
                          <w:szCs w:val="24"/>
                        </w:rPr>
                      </w:pPr>
                      <w:sdt>
                        <w:sdtPr>
                          <w:alias w:val="Pavadinimas"/>
                          <w:tag w:val="title_4b188029b8514acb939d81611e22b00c"/>
                          <w:lock w:val="sdtLocked"/>
                          <w:richText/>
                        </w:sdtPr>
                        <w:sdtContent>
                          <w:r>
                            <w:rPr>
                              <w:b/>
                              <w:bCs/>
                              <w:i/>
                              <w:iCs/>
                              <w:szCs w:val="24"/>
                            </w:rPr>
                            <w:t>Kokybiškų paslaugų užtikrinimas</w:t>
                          </w:r>
                        </w:sdtContent>
                      </w:sdt>
                    </w:p>
                    <w:p>
                      <w:pPr>
                        <w:rPr>
                          <w:szCs w:val="24"/>
                        </w:rPr>
                      </w:pPr>
                    </w:p>
                    <w:p>
                      <w:pPr>
                        <w:ind w:firstLine="720"/>
                        <w:rPr>
                          <w:rFonts w:eastAsia="Calibri"/>
                          <w:b/>
                          <w:bCs/>
                          <w:szCs w:val="24"/>
                        </w:rPr>
                      </w:pPr>
                      <w:r>
                        <w:rPr>
                          <w:rFonts w:eastAsia="Calibri"/>
                          <w:b/>
                          <w:bCs/>
                          <w:szCs w:val="24"/>
                        </w:rPr>
                        <w:t xml:space="preserve">Pacientų pasitenkinimo teikiamomis paslaugomis lygis. </w:t>
                      </w:r>
                      <w:r>
                        <w:rPr>
                          <w:szCs w:val="24"/>
                        </w:rPr>
                        <w:t>2025 m. pacientų pasitenkinimo Įstaigos teikiamomis asmens sveikatos priežiūros paslaugomis lygis siekė 97,0 proc. 2025 m. įvairiomis priemonėmis (internetinėje svetainėje, el. paštu, telefonu, žodžiu) gauta gerų atsiliepimų, nuoširdžių padėkų už suteiktas paslaugas ir skirtą dėmesį. Skundai. 2025 m. pagrįstų skundų nebuvo gauta.</w:t>
                      </w:r>
                    </w:p>
                    <w:p>
                      <w:pPr>
                        <w:ind w:firstLine="720"/>
                        <w:rPr>
                          <w:szCs w:val="24"/>
                        </w:rPr>
                      </w:pPr>
                      <w:r>
                        <w:rPr>
                          <w:b/>
                          <w:bCs/>
                          <w:szCs w:val="24"/>
                        </w:rPr>
                        <w:t>Registracija.</w:t>
                      </w:r>
                      <w:r>
                        <w:rPr>
                          <w:szCs w:val="24"/>
                        </w:rPr>
                        <w:t xml:space="preserve"> Įstaigos pacientams sudaroma galimybė registruotis pas gydytoją ar kitą specialistą keturių mėnesių laikotarpiu, tai yra, buvo prailgintas konsultacijų grafikas. 90 proc. vizitų laikų yra atveriami pacientams iš jų 100 proc. skelbiami E. sveikatos registracijos sistemoje. Likusius vizitus Įstaiga rezervavusi skubiems ir kontroliniams vizitams. Nors IPR sistema yra pilnai prieinama pacientams, tačiau didžioji dalis pacientų renkasi registraciją telefonu, kuri užtrunka ne ilgiau 20 min. </w:t>
                      </w:r>
                    </w:p>
                    <w:p>
                      <w:pPr>
                        <w:ind w:left="1440"/>
                        <w:rPr>
                          <w:szCs w:val="24"/>
                        </w:rPr>
                      </w:pPr>
                    </w:p>
                  </w:sdtContent>
                </w:sdt>
                <w:sdt>
                  <w:sdtPr>
                    <w:alias w:val="skirsnis"/>
                    <w:tag w:val="part_6f8e76b74c6244cdb067aa07b64bd096"/>
                    <w:lock w:val="sdtLocked"/>
                    <w:richText/>
                  </w:sdtPr>
                  <w:sdtContent>
                    <w:p>
                      <w:pPr>
                        <w:rPr>
                          <w:b/>
                          <w:bCs/>
                          <w:i/>
                          <w:iCs/>
                          <w:szCs w:val="24"/>
                        </w:rPr>
                      </w:pPr>
                      <w:sdt>
                        <w:sdtPr>
                          <w:alias w:val="Pavadinimas"/>
                          <w:tag w:val="title_6f8e76b74c6244cdb067aa07b64bd096"/>
                          <w:lock w:val="sdtLocked"/>
                          <w:richText/>
                        </w:sdtPr>
                        <w:sdtContent>
                          <w:r>
                            <w:rPr>
                              <w:b/>
                              <w:bCs/>
                              <w:i/>
                              <w:iCs/>
                              <w:szCs w:val="24"/>
                            </w:rPr>
                            <w:t>Kokybės užtikrinimas plečiant šeimos gydytojo ir psichikos sveikatos centro darbuotojų komandos narių skaičių</w:t>
                          </w:r>
                        </w:sdtContent>
                      </w:sdt>
                    </w:p>
                    <w:p>
                      <w:pPr>
                        <w:rPr>
                          <w:szCs w:val="24"/>
                        </w:rPr>
                      </w:pPr>
                    </w:p>
                    <w:p>
                      <w:pPr>
                        <w:ind w:firstLine="720"/>
                        <w:rPr>
                          <w:szCs w:val="24"/>
                        </w:rPr>
                      </w:pPr>
                      <w:r>
                        <w:rPr>
                          <w:szCs w:val="24"/>
                        </w:rPr>
                        <w:t>Šeimos gydytojo komandos paslaugos – nespecializuotų asmens sveikatos priežiūros paslaugų, teikiamų pagal LR sveikatos apsaugos ministro patvirtintą šeimos gydytojo medicinos normą, bendrosios praktikos slaugytojo medicinos normą, akušerio medicinos normą, socialinio darbuotojo veiklos sveikatos priežiūros įstaigose nuostatus, gyvensenos medicinos specialisto veiklos reikalavimus, kineziterapeuto medicinos normą ambulatorinėje asmens sveikatos priežiūros įstaigoje.</w:t>
                      </w:r>
                    </w:p>
                    <w:p>
                      <w:pPr>
                        <w:ind w:firstLine="720"/>
                        <w:rPr>
                          <w:color w:val="000000"/>
                          <w:szCs w:val="24"/>
                          <w:lang w:eastAsia="lt-LT"/>
                        </w:rPr>
                      </w:pPr>
                      <w:r>
                        <w:rPr>
                          <w:color w:val="000000"/>
                          <w:szCs w:val="24"/>
                          <w:lang w:eastAsia="lt-LT"/>
                        </w:rPr>
                        <w:t>Šeimos gydytojo komandos narių (ne gydytojų) ir šeimos gydytojų užimamų etatų santykis 2025 m. siekė 2,72 (turi būti ne mažiau 2,6). Taip pat buvo sudaroma p</w:t>
                      </w:r>
                      <w:r>
                        <w:rPr>
                          <w:szCs w:val="24"/>
                        </w:rPr>
                        <w:t xml:space="preserve">sichikos sveikatos centro komanda, kuri Įstaigoje yra sudaryta iš:  2 </w:t>
                      </w:r>
                      <w:r>
                        <w:rPr>
                          <w:color w:val="000000"/>
                          <w:szCs w:val="24"/>
                          <w:lang w:eastAsia="lt-LT"/>
                        </w:rPr>
                        <w:t>gydytojų psichiatrų (1,75 et.), medicinos psichologo (3 asmenys, 2,25 et.), 2 psichikos sveikatos slaugytojų (2 et.), 1 socialinio darbuotojo (1 et.) ir 1 atvejo vadybininko (1 et.).</w:t>
                      </w:r>
                    </w:p>
                    <w:p>
                      <w:pPr>
                        <w:ind w:firstLine="720"/>
                        <w:rPr>
                          <w:color w:val="000000"/>
                          <w:szCs w:val="24"/>
                          <w:lang w:eastAsia="lt-LT"/>
                        </w:rPr>
                      </w:pPr>
                    </w:p>
                  </w:sdtContent>
                </w:sdt>
                <w:sdt>
                  <w:sdtPr>
                    <w:alias w:val="skirsnis"/>
                    <w:tag w:val="part_6bfb53e586c342cebf1e30acbce38873"/>
                    <w:lock w:val="sdtLocked"/>
                    <w:richText/>
                  </w:sdtPr>
                  <w:sdtContent>
                    <w:p>
                      <w:pPr>
                        <w:rPr>
                          <w:b/>
                          <w:bCs/>
                          <w:i/>
                          <w:iCs/>
                          <w:szCs w:val="24"/>
                        </w:rPr>
                      </w:pPr>
                      <w:sdt>
                        <w:sdtPr>
                          <w:alias w:val="Pavadinimas"/>
                          <w:tag w:val="title_6bfb53e586c342cebf1e30acbce38873"/>
                          <w:lock w:val="sdtLocked"/>
                          <w:richText/>
                        </w:sdtPr>
                        <w:sdtContent>
                          <w:r>
                            <w:rPr>
                              <w:b/>
                              <w:bCs/>
                              <w:i/>
                              <w:iCs/>
                              <w:szCs w:val="24"/>
                            </w:rPr>
                            <w:t>Darbuotojų motyvacijos skatinimas užtikrinant palankesnes sąlygas darbui ir profesiniam tobulėjimui</w:t>
                          </w:r>
                        </w:sdtContent>
                      </w:sdt>
                    </w:p>
                    <w:p>
                      <w:pPr>
                        <w:rPr>
                          <w:b/>
                          <w:bCs/>
                          <w:i/>
                          <w:iCs/>
                          <w:szCs w:val="24"/>
                        </w:rPr>
                      </w:pPr>
                    </w:p>
                    <w:p>
                      <w:pPr>
                        <w:ind w:firstLine="720"/>
                        <w:rPr>
                          <w:szCs w:val="24"/>
                        </w:rPr>
                      </w:pPr>
                      <w:r>
                        <w:rPr>
                          <w:b/>
                          <w:bCs/>
                          <w:color w:val="000000"/>
                          <w:szCs w:val="24"/>
                        </w:rPr>
                        <w:t xml:space="preserve">Darbuotojų kvalifikacijos kėlimas ir tobulinimasis. </w:t>
                      </w:r>
                      <w:r>
                        <w:rPr>
                          <w:szCs w:val="24"/>
                        </w:rPr>
                        <w:t>2025 m. kvalifikaciją kėlė 31 darbuotojas (30 proc.). Kvalifikacijos kėlimui Įstaiga skyrė 3 525 Eur., dalis mokymų buvo nemokami.</w:t>
                      </w:r>
                    </w:p>
                    <w:p>
                      <w:pPr>
                        <w:ind w:firstLine="720"/>
                        <w:rPr>
                          <w:b/>
                          <w:bCs/>
                          <w:szCs w:val="24"/>
                        </w:rPr>
                      </w:pPr>
                      <w:r>
                        <w:rPr>
                          <w:b/>
                          <w:bCs/>
                          <w:szCs w:val="24"/>
                        </w:rPr>
                        <w:t xml:space="preserve">Motyvacijos priemonės. </w:t>
                      </w:r>
                      <w:r>
                        <w:rPr>
                          <w:szCs w:val="24"/>
                        </w:rPr>
                        <w:t xml:space="preserve">Motyvacijos sistema Įstaigoje yra svarbi priemonė siekiant užtikrinti aukštą paslaugų kokybę, darbuotojų įsitraukimą ir veiklos efektyvumą. Tinkamai sukurta motyvacinė sistema padeda ne tik išlaikyti kvalifikuotus specialistus, bet ir skatina profesinį tobulėjimą bei atsakomybę už darbo rezultatus. 2025 m. finansinei motyvacijai skirta – 545 010,51 Eur. lėšų. Taip pat Įstaigoje yra sudarytos sąlygos darbuotojams (išskyrus darbuotojus, kurių atliekamų darbo funkcijų pobūdis ir specifika neatsiejamai susijęs su funkcijų atlikimu darbovietės patalpose) savo funkcijas vykdyti nuolatinai arba dalinai nuotoliniu būdu. </w:t>
                      </w:r>
                    </w:p>
                    <w:p>
                      <w:pPr>
                        <w:ind w:left="720"/>
                        <w:rPr>
                          <w:b/>
                          <w:bCs/>
                          <w:szCs w:val="24"/>
                        </w:rPr>
                      </w:pPr>
                    </w:p>
                  </w:sdtContent>
                </w:sdt>
                <w:sdt>
                  <w:sdtPr>
                    <w:alias w:val="skirsnis"/>
                    <w:tag w:val="part_b69a0b657c9742e5be1393b019d71d89"/>
                    <w:lock w:val="sdtLocked"/>
                    <w:richText/>
                  </w:sdtPr>
                  <w:sdtContent>
                    <w:p>
                      <w:pPr>
                        <w:rPr>
                          <w:b/>
                          <w:bCs/>
                          <w:i/>
                          <w:iCs/>
                          <w:szCs w:val="24"/>
                        </w:rPr>
                      </w:pPr>
                      <w:sdt>
                        <w:sdtPr>
                          <w:alias w:val="Pavadinimas"/>
                          <w:tag w:val="title_b69a0b657c9742e5be1393b019d71d89"/>
                          <w:lock w:val="sdtLocked"/>
                          <w:richText/>
                        </w:sdtPr>
                        <w:sdtContent>
                          <w:r>
                            <w:rPr>
                              <w:b/>
                              <w:bCs/>
                              <w:i/>
                              <w:iCs/>
                              <w:szCs w:val="24"/>
                            </w:rPr>
                            <w:t>Radviliškio rajono prioritetinių sričių įgyvendinimas</w:t>
                          </w:r>
                        </w:sdtContent>
                      </w:sdt>
                    </w:p>
                    <w:p>
                      <w:pPr>
                        <w:ind w:left="720"/>
                        <w:rPr>
                          <w:i/>
                          <w:iCs/>
                          <w:szCs w:val="24"/>
                        </w:rPr>
                      </w:pPr>
                    </w:p>
                    <w:p>
                      <w:pPr>
                        <w:ind w:firstLine="720"/>
                        <w:rPr>
                          <w:szCs w:val="24"/>
                        </w:rPr>
                      </w:pPr>
                      <w:r>
                        <w:rPr>
                          <w:b/>
                          <w:bCs/>
                          <w:szCs w:val="24"/>
                        </w:rPr>
                        <w:t xml:space="preserve">Tuberkuliozės prevencija. </w:t>
                      </w:r>
                      <w:r>
                        <w:rPr>
                          <w:szCs w:val="24"/>
                        </w:rPr>
                        <w:t>97 prie įstaigos prisirašiusiems vaikams buvo suteikta</w:t>
                      </w:r>
                      <w:r>
                        <w:rPr>
                          <w:b/>
                          <w:bCs/>
                          <w:szCs w:val="24"/>
                        </w:rPr>
                        <w:t xml:space="preserve"> </w:t>
                      </w:r>
                      <w:r>
                        <w:rPr>
                          <w:szCs w:val="24"/>
                        </w:rPr>
                        <w:t xml:space="preserve">tuberkulino mėginio atlikimo paslauga (40 proc.). Visiems pacientams, kurie priklauso rizikos grupei ir kreipėsi į Įstaigą dėl profilaktinio patikrinimo buvo išrašyti siuntimai atlikti plaučių rentgenogramą. DOTS kabineto pacientų gydymo rodiklis: </w:t>
                      </w:r>
                    </w:p>
                    <w:p>
                      <w:pPr>
                        <w:ind w:left="720" w:hanging="360"/>
                        <w:rPr>
                          <w:szCs w:val="24"/>
                        </w:rPr>
                      </w:pPr>
                      <w:r>
                        <w:rPr>
                          <w:rFonts w:ascii="Symbol" w:hAnsi="Symbol"/>
                          <w:szCs w:val="24"/>
                        </w:rPr>
                        <w:t></w:t>
                        <w:tab/>
                      </w:r>
                      <w:r>
                        <w:rPr>
                          <w:szCs w:val="24"/>
                        </w:rPr>
                        <w:t xml:space="preserve">gydyta 16 pacientų iš jų 3 vaikai. Miesto gyventojų  3, kaimo - 13. Gydymą baigė 13 pacientų, 3 pacientai vis dar tęsia gydymą.</w:t>
                      </w:r>
                    </w:p>
                    <w:p>
                      <w:pPr>
                        <w:ind w:firstLine="720"/>
                        <w:rPr>
                          <w:szCs w:val="24"/>
                        </w:rPr>
                      </w:pPr>
                      <w:r>
                        <w:rPr>
                          <w:b/>
                          <w:bCs/>
                          <w:szCs w:val="24"/>
                        </w:rPr>
                        <w:t>Kvalifikaciją savižudybių srityje ir savižudybių prevencija.</w:t>
                      </w:r>
                      <w:r>
                        <w:rPr>
                          <w:szCs w:val="24"/>
                        </w:rPr>
                        <w:t xml:space="preserve"> 40 proc. darbuotojų dalyvavo savižudybių prevencijos mokymuose. </w:t>
                      </w:r>
                    </w:p>
                    <w:p>
                      <w:pPr>
                        <w:ind w:firstLine="720"/>
                        <w:rPr>
                          <w:szCs w:val="24"/>
                        </w:rPr>
                      </w:pPr>
                      <w:r>
                        <w:rPr>
                          <w:b/>
                          <w:bCs/>
                          <w:szCs w:val="24"/>
                        </w:rPr>
                        <w:t>Aktyviai vykdyti pirminę cukrinio diabeto prevenciją.</w:t>
                      </w:r>
                      <w:r>
                        <w:rPr>
                          <w:szCs w:val="24"/>
                        </w:rPr>
                        <w:t xml:space="preserve"> Gyvensenos medicinos specialistė  konsultavo 14 pacientų.  74 pacientams, sergantiems cukriniu diabetu, buvo vykdoma pirminė konsultacija ir tęstinė - 136 vnt.</w:t>
                      </w:r>
                    </w:p>
                    <w:p>
                      <w:pPr>
                        <w:ind w:firstLine="720"/>
                        <w:rPr>
                          <w:szCs w:val="24"/>
                        </w:rPr>
                      </w:pPr>
                    </w:p>
                  </w:sdtContent>
                </w:sdt>
                <w:sdt>
                  <w:sdtPr>
                    <w:alias w:val="skirsnis"/>
                    <w:tag w:val="part_3b358c4f3cf6461db53b6d87878e2587"/>
                    <w:lock w:val="sdtLocked"/>
                    <w:richText/>
                  </w:sdtPr>
                  <w:sdtContent>
                    <w:p>
                      <w:pPr>
                        <w:jc w:val="center"/>
                        <w:rPr>
                          <w:b/>
                          <w:bCs/>
                          <w:szCs w:val="24"/>
                        </w:rPr>
                      </w:pPr>
                      <w:sdt>
                        <w:sdtPr>
                          <w:alias w:val="Pavadinimas"/>
                          <w:tag w:val="title_3b358c4f3cf6461db53b6d87878e2587"/>
                          <w:lock w:val="sdtLocked"/>
                          <w:richText/>
                        </w:sdtPr>
                        <w:sdtContent>
                          <w:r>
                            <w:rPr>
                              <w:b/>
                              <w:bCs/>
                              <w:szCs w:val="24"/>
                            </w:rPr>
                            <w:t>Ateinančiais metais planuojamos veiklos gairės</w:t>
                          </w:r>
                        </w:sdtContent>
                      </w:sdt>
                    </w:p>
                    <w:p>
                      <w:pPr>
                        <w:jc w:val="center"/>
                        <w:rPr>
                          <w:b/>
                          <w:bCs/>
                          <w:szCs w:val="24"/>
                        </w:rPr>
                      </w:pPr>
                    </w:p>
                    <w:p>
                      <w:pPr>
                        <w:ind w:firstLine="720"/>
                        <w:rPr>
                          <w:i/>
                          <w:iCs/>
                          <w:szCs w:val="24"/>
                        </w:rPr>
                      </w:pPr>
                      <w:r>
                        <w:rPr>
                          <w:i/>
                          <w:iCs/>
                          <w:szCs w:val="24"/>
                        </w:rPr>
                        <w:t>2026 m. išskirtos pagrindinės prioritetinės kryptys, kurios orientuotos į pacientų ir darbuotojų lūkesčius, jų poreikių ir interesų tenkinimą:</w:t>
                      </w:r>
                    </w:p>
                    <w:p>
                      <w:pPr>
                        <w:ind w:left="720" w:hanging="360"/>
                        <w:rPr>
                          <w:szCs w:val="24"/>
                        </w:rPr>
                      </w:pPr>
                      <w:r>
                        <w:rPr>
                          <w:rFonts w:ascii="Symbol" w:hAnsi="Symbol"/>
                          <w:szCs w:val="24"/>
                        </w:rPr>
                        <w:t></w:t>
                        <w:tab/>
                      </w:r>
                      <w:r>
                        <w:rPr>
                          <w:szCs w:val="24"/>
                        </w:rPr>
                        <w:t>ir toliau teikti kokybiškas, prieinamas, efektyvias ir savalaikiškas asmens sveikatos priežiūros paslaugas;</w:t>
                      </w:r>
                    </w:p>
                    <w:p>
                      <w:pPr>
                        <w:ind w:left="720" w:hanging="360"/>
                        <w:rPr>
                          <w:szCs w:val="24"/>
                        </w:rPr>
                      </w:pPr>
                      <w:r>
                        <w:rPr>
                          <w:rFonts w:ascii="Symbol" w:hAnsi="Symbol"/>
                          <w:szCs w:val="24"/>
                        </w:rPr>
                        <w:t></w:t>
                        <w:tab/>
                      </w:r>
                      <w:r>
                        <w:rPr>
                          <w:szCs w:val="24"/>
                        </w:rPr>
                        <w:t xml:space="preserve">siekti gerinti pacientų aptarnavimo kokybę; </w:t>
                      </w:r>
                    </w:p>
                    <w:p>
                      <w:pPr>
                        <w:ind w:left="720" w:hanging="360"/>
                        <w:rPr>
                          <w:szCs w:val="24"/>
                        </w:rPr>
                      </w:pPr>
                      <w:r>
                        <w:rPr>
                          <w:rFonts w:ascii="Symbol" w:hAnsi="Symbol"/>
                          <w:szCs w:val="24"/>
                        </w:rPr>
                        <w:t></w:t>
                        <w:tab/>
                      </w:r>
                      <w:r>
                        <w:rPr>
                          <w:szCs w:val="24"/>
                        </w:rPr>
                        <w:t xml:space="preserve">darbuotojų motyvacijos skatinimas, užtikrinant palankesnes sąlygas darbui ir profesiniam tobulėjimui.  </w:t>
                      </w:r>
                    </w:p>
                    <w:p>
                      <w:pPr>
                        <w:ind w:firstLine="720"/>
                        <w:rPr>
                          <w:i/>
                          <w:iCs/>
                          <w:szCs w:val="24"/>
                        </w:rPr>
                      </w:pPr>
                      <w:r>
                        <w:rPr>
                          <w:i/>
                          <w:iCs/>
                          <w:szCs w:val="24"/>
                        </w:rPr>
                        <w:t>Atsižvelgti į Radviliškio rajono visuomenės sveikatos biuro nustatytas Radviliškio rajono savivaldybės prioritetines sritis (Stebėsenos ataskaita parengta 2025 m.) siektina:</w:t>
                      </w:r>
                    </w:p>
                    <w:p>
                      <w:pPr>
                        <w:ind w:left="720" w:hanging="360"/>
                        <w:rPr>
                          <w:szCs w:val="24"/>
                        </w:rPr>
                      </w:pPr>
                      <w:r>
                        <w:rPr>
                          <w:rFonts w:ascii="Symbol" w:hAnsi="Symbol"/>
                          <w:szCs w:val="24"/>
                        </w:rPr>
                        <w:t></w:t>
                        <w:tab/>
                      </w:r>
                      <w:r>
                        <w:rPr>
                          <w:szCs w:val="24"/>
                        </w:rPr>
                        <w:t>Ankstyva tuberkuliozės diagnostika ir gydymo kontrolės gerinimas.</w:t>
                      </w:r>
                    </w:p>
                    <w:p>
                      <w:pPr>
                        <w:ind w:left="720" w:hanging="360"/>
                        <w:rPr>
                          <w:szCs w:val="24"/>
                        </w:rPr>
                      </w:pPr>
                      <w:r>
                        <w:rPr>
                          <w:rFonts w:ascii="Symbol" w:hAnsi="Symbol"/>
                          <w:szCs w:val="24"/>
                        </w:rPr>
                        <w:t></w:t>
                        <w:tab/>
                      </w:r>
                      <w:r>
                        <w:rPr>
                          <w:szCs w:val="24"/>
                        </w:rPr>
                        <w:t>Rizikos grupių aktyvi patikra ir stebėsena.</w:t>
                      </w:r>
                    </w:p>
                    <w:p>
                      <w:pPr>
                        <w:ind w:left="720" w:hanging="360"/>
                        <w:rPr>
                          <w:szCs w:val="24"/>
                        </w:rPr>
                      </w:pPr>
                      <w:r>
                        <w:rPr>
                          <w:rFonts w:ascii="Symbol" w:hAnsi="Symbol"/>
                          <w:szCs w:val="24"/>
                        </w:rPr>
                        <w:t></w:t>
                        <w:tab/>
                      </w:r>
                      <w:r>
                        <w:rPr>
                          <w:szCs w:val="24"/>
                        </w:rPr>
                        <w:t>Bendradarbiavimas su Radviliškio visuomenės sveikatos biuru vykdant pėsčiųjų saugumo stiprinimą ir transporto traumų prevenciją.</w:t>
                      </w:r>
                    </w:p>
                    <w:p>
                      <w:pPr>
                        <w:tabs>
                          <w:tab w:val="left" w:pos="465"/>
                          <w:tab w:val="center" w:pos="4819"/>
                        </w:tabs>
                        <w:suppressAutoHyphens/>
                        <w:textAlignment w:val="baseline"/>
                        <w:rPr>
                          <w:rFonts w:eastAsia="Calibri"/>
                          <w:szCs w:val="24"/>
                        </w:rPr>
                      </w:pPr>
                    </w:p>
                  </w:sdtContent>
                </w:sdt>
                <w:sdt>
                  <w:sdtPr>
                    <w:alias w:val="skirsnis"/>
                    <w:tag w:val="part_470234b526ce4f27a619c362cafc1584"/>
                    <w:lock w:val="sdtLocked"/>
                    <w:richText/>
                  </w:sdtPr>
                  <w:sdtContent>
                    <w:p>
                      <w:pPr>
                        <w:keepLines/>
                        <w:tabs>
                          <w:tab w:val="left" w:pos="7020"/>
                        </w:tabs>
                        <w:suppressAutoHyphens/>
                        <w:jc w:val="center"/>
                        <w:textAlignment w:val="baseline"/>
                        <w:rPr>
                          <w:b/>
                          <w:szCs w:val="24"/>
                        </w:rPr>
                      </w:pPr>
                      <w:sdt>
                        <w:sdtPr>
                          <w:alias w:val="Pavadinimas"/>
                          <w:tag w:val="title_470234b526ce4f27a619c362cafc1584"/>
                          <w:lock w:val="sdtLocked"/>
                          <w:richText/>
                        </w:sdtPr>
                        <w:sdtContent>
                          <w:r>
                            <w:rPr>
                              <w:b/>
                              <w:szCs w:val="24"/>
                            </w:rPr>
                            <w:t>VIEŠOJI ĮSTAIGA RADVILIŠKIO LIGONINĖ</w:t>
                          </w:r>
                        </w:sdtContent>
                      </w:sdt>
                    </w:p>
                    <w:p>
                      <w:pPr>
                        <w:suppressAutoHyphens/>
                        <w:textAlignment w:val="baseline"/>
                        <w:rPr>
                          <w:b/>
                          <w:bCs/>
                          <w:szCs w:val="24"/>
                        </w:rPr>
                      </w:pPr>
                    </w:p>
                    <w:p>
                      <w:pPr>
                        <w:suppressAutoHyphens/>
                        <w:ind w:firstLine="851"/>
                        <w:textAlignment w:val="baseline"/>
                        <w:rPr>
                          <w:bCs/>
                          <w:iCs/>
                          <w:szCs w:val="24"/>
                        </w:rPr>
                      </w:pPr>
                      <w:r>
                        <w:rPr>
                          <w:bCs/>
                          <w:iCs/>
                          <w:szCs w:val="24"/>
                        </w:rPr>
                        <w:t>2025 metai viešajai įstaigai Radviliškio ligoninei (toliau – Ligoninė arba Įstaiga) buvo intensyvaus ir reikšmingų pokyčių laikotarpis. Įstaiga nuosekliai siekė užtikrinti kokybiškas, saugias ir pacientų poreikius atitinkančias asmens sveikatos priežiūros paslaugas, kartu didindama veiklos efektyvumą ir stiprindama plėtros galimybes.</w:t>
                      </w:r>
                    </w:p>
                    <w:p>
                      <w:pPr>
                        <w:suppressAutoHyphens/>
                        <w:ind w:firstLine="851"/>
                        <w:textAlignment w:val="baseline"/>
                        <w:rPr>
                          <w:bCs/>
                          <w:iCs/>
                          <w:szCs w:val="24"/>
                        </w:rPr>
                      </w:pPr>
                      <w:r>
                        <w:rPr>
                          <w:bCs/>
                          <w:iCs/>
                          <w:szCs w:val="24"/>
                        </w:rPr>
                        <w:t>Ataskaitiniais metais ypatingas dėmesys skirtas žmogiškųjų išteklių stiprinimui. Per 2025 metus įdarbinti 6 medicinos gydytojai, 4 gydytojai anesteziologai reanimatologai, 1 gydytojas gastroenterologas, 2 gydytojai neurologai, 2 gydytojai chirurgai, 1 šeimos gydytojas, 12 bendrosios praktikos slaugytojų, 2 radiologijos technologai ir 8 slaugytojų padėjėjai. Specialistų komandos stiprinimas leidžia užtikrinti platesnį paslaugų spektrą bei didinti paslaugų prieinamumą rajono gyventojams, sudarant sąlygas reikiamą gydymą ir konsultacijas gauti gyvenamojoje savivaldybėje.</w:t>
                      </w:r>
                    </w:p>
                    <w:p>
                      <w:pPr>
                        <w:suppressAutoHyphens/>
                        <w:ind w:firstLine="851"/>
                        <w:textAlignment w:val="baseline"/>
                        <w:rPr>
                          <w:bCs/>
                          <w:iCs/>
                          <w:szCs w:val="24"/>
                        </w:rPr>
                      </w:pPr>
                      <w:r>
                        <w:rPr>
                          <w:bCs/>
                          <w:iCs/>
                          <w:szCs w:val="24"/>
                        </w:rPr>
                        <w:t>Įstaigos infrastruktūros gerinimas taip pat išliko vienu iš prioritetų. Konsultacinėje poliklinikoje įrengti du nauji kabinetai, suremontuotas rūsio koridorius, pagrindinė laiptinė bei medicininių atliekų patalpa. Kadangi 2026 m. vasario mėn. baigiasi sutartis su maitinimo paslaugų teikėju, 2025 metais buvo atnaujintos virtuvės patalpos. Nuo 2026 m. kovo mėn. Įstaiga savarankiškai teiks maitinimo paslaugas pacientams, siekdama užtikrinti aukštesnę kokybę ir didesnį veiklos lankstumą.</w:t>
                      </w:r>
                    </w:p>
                    <w:p>
                      <w:pPr>
                        <w:suppressAutoHyphens/>
                        <w:ind w:firstLine="851"/>
                        <w:textAlignment w:val="baseline"/>
                        <w:rPr>
                          <w:bCs/>
                          <w:iCs/>
                          <w:szCs w:val="24"/>
                        </w:rPr>
                      </w:pPr>
                      <w:r>
                        <w:rPr>
                          <w:bCs/>
                          <w:iCs/>
                          <w:szCs w:val="24"/>
                        </w:rPr>
                        <w:t>Ligoninės medicinos darbuotojai nuolat kelia kvalifikaciją Lietuvoje ir užsienyje - Vokietijoje, Prancūzijoje, Airijoje bei kitose šalyse. Bendradarbiavimas su šalies ir užsienio mokymo įstaigomis stiprina profesines kompetencijas, skatina inovacijų diegimą ir prisideda prie pažangių gydymo metodų taikymo praktikoje. Darbuotojų profesinis tobulėjimas, emocinė gerovė ir motyvacija išlieka vienais svarbiausių Ligoninės prioritetų. Įstaigoje nuolat organizuojami kvalifikacijos kėlimo mokymai, gerinama vidinė komunikacija bei užtikrinamos priemonės darbuotojų psichologinei gerovei stiprinti. 2025 metais Ligoninės direktorius taip pat aktyviai dalyvavo profesiniuose mokymuose: „Interesų konfliktai: prevencija, aplinkybių deklaravimo ir nusišalinimo nuo sprendimo ypatumai, atsakomybė, aktuali teismų praktika“, „Vidinė komunikacija ir komandinis veikimas sveikatos priežiūros įstaigoje“, „Kibernetinis saugumas organizacijų vadovams“. Nuolatinis vadovavimo kompetencijų stiprinimas prisideda prie skaidrios, atsakingos ir modernios organizacijos kultūros formavimo.</w:t>
                      </w:r>
                    </w:p>
                    <w:p>
                      <w:pPr>
                        <w:suppressAutoHyphens/>
                        <w:ind w:firstLine="851"/>
                        <w:textAlignment w:val="baseline"/>
                        <w:rPr>
                          <w:bCs/>
                          <w:iCs/>
                          <w:szCs w:val="24"/>
                        </w:rPr>
                      </w:pPr>
                      <w:r>
                        <w:rPr>
                          <w:bCs/>
                          <w:iCs/>
                          <w:szCs w:val="24"/>
                        </w:rPr>
                        <w:t>Džiaugiuosi 2025 metų pasiekimais, kurie sustiprino Ligoninės pozicijas ir veiklos efektyvumą - tai visos komandos profesionalumo ir atsidavimo rezultatas. Remiantis šiais rezultatais, su pasitikėjimu žengiame į 2026 metus, siekdami toliau stiprinti veiklą, plėsti paslaugų spektrą ir užtikrinti jų kokybę.</w:t>
                      </w:r>
                    </w:p>
                    <w:p>
                      <w:pPr>
                        <w:suppressAutoHyphens/>
                        <w:ind w:firstLine="851"/>
                        <w:textAlignment w:val="baseline"/>
                        <w:rPr>
                          <w:bCs/>
                          <w:iCs/>
                          <w:szCs w:val="24"/>
                          <w:highlight w:val="yellow"/>
                        </w:rPr>
                      </w:pPr>
                    </w:p>
                  </w:sdtContent>
                </w:sdt>
                <w:sdt>
                  <w:sdtPr>
                    <w:alias w:val="skirsnis"/>
                    <w:tag w:val="part_09023efae9804499a3476b2702de76ae"/>
                    <w:lock w:val="sdtLocked"/>
                    <w:richText/>
                  </w:sdtPr>
                  <w:sdtContent>
                    <w:p>
                      <w:pPr>
                        <w:suppressAutoHyphens/>
                        <w:jc w:val="center"/>
                        <w:textAlignment w:val="baseline"/>
                        <w:rPr>
                          <w:b/>
                          <w:iCs/>
                          <w:szCs w:val="24"/>
                        </w:rPr>
                      </w:pPr>
                      <w:sdt>
                        <w:sdtPr>
                          <w:alias w:val="Pavadinimas"/>
                          <w:tag w:val="title_09023efae9804499a3476b2702de76ae"/>
                          <w:lock w:val="sdtLocked"/>
                          <w:richText/>
                        </w:sdtPr>
                        <w:sdtContent>
                          <w:r>
                            <w:rPr>
                              <w:b/>
                              <w:iCs/>
                              <w:szCs w:val="24"/>
                            </w:rPr>
                            <w:t>Bendroji informacija apie įstaigą</w:t>
                          </w:r>
                        </w:sdtContent>
                      </w:sdt>
                    </w:p>
                    <w:p>
                      <w:pPr>
                        <w:rPr>
                          <w:sz w:val="4"/>
                          <w:szCs w:val="4"/>
                        </w:rPr>
                      </w:pPr>
                    </w:p>
                    <w:p>
                      <w:pPr>
                        <w:tabs>
                          <w:tab w:val="left" w:pos="709"/>
                          <w:tab w:val="right" w:leader="underscore" w:pos="9090"/>
                        </w:tabs>
                        <w:rPr>
                          <w:rFonts w:eastAsia="Calibri"/>
                          <w:b/>
                          <w:kern w:val="20"/>
                          <w:szCs w:val="24"/>
                          <w:highlight w:val="yellow"/>
                          <w:lang w:val="en-US"/>
                        </w:rPr>
                      </w:pPr>
                    </w:p>
                    <w:p>
                      <w:pPr>
                        <w:rPr>
                          <w:sz w:val="8"/>
                          <w:szCs w:val="8"/>
                        </w:rPr>
                      </w:pPr>
                    </w:p>
                    <w:p>
                      <w:pPr>
                        <w:ind w:firstLine="851"/>
                        <w:rPr>
                          <w:szCs w:val="24"/>
                        </w:rPr>
                      </w:pPr>
                      <w:r>
                        <w:rPr>
                          <w:szCs w:val="24"/>
                        </w:rPr>
                        <w:t xml:space="preserve">Ligoninė yra juridinis asmuo, pelno nesiekianti viešoji įstaiga, turinti ūkinį, organizacinį, finansinį, teisinį savarankiškumą, savo antspaudą ir sąskaitas banko įstaigose. </w:t>
                      </w:r>
                    </w:p>
                    <w:p>
                      <w:pPr>
                        <w:ind w:firstLine="851"/>
                        <w:rPr>
                          <w:szCs w:val="24"/>
                        </w:rPr>
                      </w:pPr>
                      <w:r>
                        <w:rPr>
                          <w:szCs w:val="24"/>
                        </w:rPr>
                        <w:t xml:space="preserve">Įstaigos kodas – 171448341. </w:t>
                      </w:r>
                    </w:p>
                    <w:p>
                      <w:pPr>
                        <w:ind w:firstLine="851"/>
                        <w:rPr>
                          <w:szCs w:val="24"/>
                        </w:rPr>
                      </w:pPr>
                      <w:r>
                        <w:rPr>
                          <w:szCs w:val="24"/>
                        </w:rPr>
                        <w:t xml:space="preserve">Įstaigos adresas: Gedimino g. 9, 9, LT-82174 Radviliškis. </w:t>
                      </w:r>
                    </w:p>
                    <w:p>
                      <w:pPr>
                        <w:ind w:firstLine="851"/>
                        <w:rPr>
                          <w:szCs w:val="24"/>
                          <w:highlight w:val="yellow"/>
                        </w:rPr>
                      </w:pPr>
                      <w:r>
                        <w:rPr>
                          <w:szCs w:val="24"/>
                        </w:rPr>
                        <w:t>Ligoninėje teikiamos antrinio lygio medicininės ambulatorinės ir stacionarinės asmens sveikatos priežiūros paslaugos pagal 1999 m. rugsėjo 2 d. išduotą licenciją Nr. 627 ir yra įregistruota Valstybiniame sveikatos priežiūros įstaigų registre. Savo veiklą Ligoninė vykdo vadovaujantis Lietuvos Respublikos įstatymais ir viešosios įstaigos Radviliškio ligoninės įstatais, patvirtintais Radviliškio rajono savivaldybės mero 2025 m. birželio 12 d. potvarkiu Nr. M-311 (2.5 E) „Dėl viešosios įstaigos Radviliškio ligoninės įstatų patvirtinimo“.</w:t>
                      </w:r>
                    </w:p>
                    <w:p>
                      <w:pPr>
                        <w:ind w:firstLine="851"/>
                        <w:rPr>
                          <w:rFonts w:eastAsia="Calibri"/>
                          <w:szCs w:val="24"/>
                        </w:rPr>
                      </w:pPr>
                      <w:r>
                        <w:rPr>
                          <w:rFonts w:eastAsia="Calibri"/>
                          <w:szCs w:val="24"/>
                        </w:rPr>
                        <w:t>Ligoninės steigėjas (savininkas) – Radviliškio rajono savivaldybė (kodas 111101539). Dalininko (savininko) teisės įgyvendinanti institucija – Radviliškio rajono savivaldybės taryba.</w:t>
                      </w:r>
                    </w:p>
                    <w:p>
                      <w:pPr>
                        <w:ind w:firstLine="851"/>
                        <w:rPr>
                          <w:rFonts w:eastAsia="Calibri"/>
                          <w:szCs w:val="24"/>
                        </w:rPr>
                      </w:pPr>
                      <w:r>
                        <w:rPr>
                          <w:rFonts w:eastAsia="Calibri"/>
                          <w:szCs w:val="24"/>
                        </w:rPr>
                        <w:t>Įstaigos vadovas – nuo 2024 m. sausio 2 d. Ligoninės direktoriaus pareigas vykdo Aušra Čiūdarienė.</w:t>
                      </w:r>
                    </w:p>
                    <w:p>
                      <w:pPr>
                        <w:ind w:firstLine="851"/>
                        <w:rPr>
                          <w:rFonts w:eastAsia="Calibri"/>
                          <w:szCs w:val="24"/>
                        </w:rPr>
                      </w:pPr>
                      <w:r>
                        <w:rPr>
                          <w:rFonts w:eastAsia="Calibri"/>
                          <w:szCs w:val="24"/>
                        </w:rPr>
                        <w:t>Pagrindinis Ligoninės veiklos tikslas – gerinti Radviliškio rajono ir visų Lietuvos gyventojų sveikatą siekiant sumažinti jų sergamumą, mirtingumą, teikiant prieinamas, saugias, kokybiškas asmens sveikatos priežiūros paslaugas, atitinkančias šiuolaikinio medicinos ir slaugos mokslo lygį ir gerą patirtį.</w:t>
                      </w:r>
                    </w:p>
                    <w:p>
                      <w:pPr>
                        <w:spacing w:line="276" w:lineRule="auto"/>
                        <w:ind w:firstLine="567"/>
                        <w:rPr>
                          <w:b/>
                          <w:szCs w:val="24"/>
                          <w:highlight w:val="yellow"/>
                          <w:u w:val="single"/>
                          <w:lang w:eastAsia="lt-LT"/>
                        </w:rPr>
                      </w:pPr>
                    </w:p>
                  </w:sdtContent>
                </w:sdt>
                <w:sdt>
                  <w:sdtPr>
                    <w:alias w:val="skirsnis"/>
                    <w:tag w:val="part_6ffb002873d7464b8d716947f5f33871"/>
                    <w:lock w:val="sdtLocked"/>
                    <w:richText/>
                  </w:sdtPr>
                  <w:sdtContent>
                    <w:p>
                      <w:pPr>
                        <w:suppressAutoHyphens/>
                        <w:spacing w:line="276" w:lineRule="auto"/>
                        <w:jc w:val="center"/>
                        <w:textAlignment w:val="baseline"/>
                        <w:rPr>
                          <w:b/>
                          <w:iCs/>
                          <w:szCs w:val="24"/>
                        </w:rPr>
                      </w:pPr>
                      <w:sdt>
                        <w:sdtPr>
                          <w:alias w:val="Pavadinimas"/>
                          <w:tag w:val="title_6ffb002873d7464b8d716947f5f33871"/>
                          <w:lock w:val="sdtLocked"/>
                          <w:richText/>
                        </w:sdtPr>
                        <w:sdtContent>
                          <w:r>
                            <w:rPr>
                              <w:b/>
                              <w:iCs/>
                              <w:szCs w:val="24"/>
                            </w:rPr>
                            <w:t>Žmogiškųjų išteklių valdymas</w:t>
                          </w:r>
                        </w:sdtContent>
                      </w:sdt>
                    </w:p>
                    <w:p>
                      <w:pPr>
                        <w:spacing w:line="276" w:lineRule="auto"/>
                        <w:ind w:firstLine="567"/>
                        <w:rPr>
                          <w:szCs w:val="24"/>
                        </w:rPr>
                      </w:pPr>
                    </w:p>
                    <w:p>
                      <w:pPr>
                        <w:ind w:firstLine="851"/>
                        <w:rPr>
                          <w:szCs w:val="24"/>
                        </w:rPr>
                      </w:pPr>
                      <w:r>
                        <w:rPr>
                          <w:szCs w:val="24"/>
                        </w:rPr>
                        <w:t>2025 m. gruodžio 31 d. Ligoninėje buvo patvirtintos 107 pareigybės, iš kurių 7 - administracijos pareigybės, 65 sveikatos priežiūras teikiančių darbuotojų (specialistų) pareigybės, 10 kitų medicinos priežiūros paslaugas teikiančių darbuotojų pareigybių ir 25 sveikatos priežiūros paslaugų neteikiančių darbuotojų pareigybės.</w:t>
                      </w:r>
                    </w:p>
                    <w:p>
                      <w:pPr>
                        <w:ind w:firstLine="851"/>
                        <w:rPr>
                          <w:szCs w:val="24"/>
                        </w:rPr>
                      </w:pPr>
                      <w:r>
                        <w:rPr>
                          <w:szCs w:val="24"/>
                        </w:rPr>
                        <w:t xml:space="preserve">2025 m. gruodžio 31 d. Ligoninės darbuotojų sudėtyje buvo 339 apdraustieji asmenys.  Iš jų 8 darbuotojai naudojosi tikslinėmis atostogomis: 7 darbuotojai atostogomis vaikui prižiūrėti, 1 – nėštumo ir gimdymo atostogomis.</w:t>
                      </w:r>
                    </w:p>
                    <w:p>
                      <w:pPr>
                        <w:tabs>
                          <w:tab w:val="left" w:pos="3240"/>
                        </w:tabs>
                        <w:spacing w:line="276" w:lineRule="auto"/>
                        <w:rPr>
                          <w:rFonts w:eastAsia="Calibri"/>
                          <w:szCs w:val="24"/>
                        </w:rPr>
                        <w:sectPr>
                          <w:type w:val="nextColumn"/>
                          <w:pgSz w:w="11906" w:h="16838"/>
                          <w:pgMar w:top="1701" w:right="567" w:bottom="993" w:left="1701" w:header="567" w:footer="567" w:gutter="0"/>
                          <w:pgNumType w:start="0"/>
                          <w:cols w:space="1296"/>
                          <w:titlePg/>
                          <w:docGrid w:linePitch="360"/>
                        </w:sectPr>
                      </w:pPr>
                    </w:p>
                    <w:p>
                      <w:pPr>
                        <w:tabs>
                          <w:tab w:val="center" w:pos="4819"/>
                          <w:tab w:val="right" w:pos="9638"/>
                        </w:tabs>
                      </w:pPr>
                    </w:p>
                    <w:p>
                      <w:pPr>
                        <w:tabs>
                          <w:tab w:val="left" w:pos="3240"/>
                        </w:tabs>
                        <w:spacing w:line="276" w:lineRule="auto"/>
                        <w:ind w:firstLine="567"/>
                        <w:rPr>
                          <w:rFonts w:eastAsia="Calibri"/>
                          <w:szCs w:val="24"/>
                        </w:rPr>
                      </w:pPr>
                    </w:p>
                  </w:sdtContent>
                </w:sdt>
                <w:sdt>
                  <w:sdtPr>
                    <w:alias w:val="skirsnis"/>
                    <w:tag w:val="part_bedb8c545c0043079af77ef700cfd7f2"/>
                    <w:lock w:val="sdtLocked"/>
                    <w:richText/>
                  </w:sdtPr>
                  <w:sdtContent>
                    <w:p>
                      <w:pPr>
                        <w:suppressAutoHyphens/>
                        <w:jc w:val="center"/>
                        <w:textAlignment w:val="baseline"/>
                        <w:rPr>
                          <w:b/>
                          <w:szCs w:val="24"/>
                        </w:rPr>
                      </w:pPr>
                      <w:sdt>
                        <w:sdtPr>
                          <w:alias w:val="Pavadinimas"/>
                          <w:tag w:val="title_bedb8c545c0043079af77ef700cfd7f2"/>
                          <w:lock w:val="sdtLocked"/>
                          <w:richText/>
                        </w:sdtPr>
                        <w:sdtContent>
                          <w:r>
                            <w:rPr>
                              <w:b/>
                              <w:szCs w:val="24"/>
                            </w:rPr>
                            <w:t>Strateginių ir metų veiklos tikslų įgyvendinimas</w:t>
                          </w:r>
                        </w:sdtContent>
                      </w:sdt>
                    </w:p>
                    <w:p>
                      <w:pPr>
                        <w:tabs>
                          <w:tab w:val="left" w:pos="993"/>
                        </w:tabs>
                        <w:suppressAutoHyphens/>
                        <w:spacing w:line="276" w:lineRule="auto"/>
                        <w:ind w:left="709"/>
                        <w:textAlignment w:val="baseline"/>
                        <w:rPr>
                          <w:b/>
                          <w:bCs/>
                          <w:i/>
                          <w:color w:val="808080"/>
                          <w:szCs w:val="24"/>
                        </w:rPr>
                      </w:pPr>
                    </w:p>
                    <w:p>
                      <w:pPr>
                        <w:rPr>
                          <w:bCs/>
                          <w:szCs w:val="24"/>
                        </w:rPr>
                      </w:pPr>
                      <w:r>
                        <w:rPr>
                          <w:bCs/>
                          <w:szCs w:val="24"/>
                        </w:rPr>
                        <w:t>Strateginių ir (arba) metų veiklos tikslų įgyvendinimo rodikliai.</w:t>
                      </w:r>
                    </w:p>
                    <w:p>
                      <w:pPr>
                        <w:rPr>
                          <w:bCs/>
                          <w:i/>
                          <w:color w:val="808080"/>
                          <w:szCs w:val="24"/>
                        </w:rPr>
                      </w:pPr>
                    </w:p>
                    <w:tbl>
                      <w:tblPr>
                        <w:tblW w:w="1403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4"/>
                        <w:gridCol w:w="1985"/>
                        <w:gridCol w:w="850"/>
                        <w:gridCol w:w="851"/>
                        <w:gridCol w:w="1701"/>
                        <w:gridCol w:w="1701"/>
                        <w:gridCol w:w="1417"/>
                        <w:gridCol w:w="1418"/>
                        <w:gridCol w:w="1559"/>
                        <w:gridCol w:w="1247"/>
                      </w:tblGrid>
                      <w:tr>
                        <w:tc>
                          <w:tcPr>
                            <w:tcW w:w="1304" w:type="dxa"/>
                            <w:vMerge w:val="restart"/>
                            <w:shd w:val="clear" w:color="auto" w:fill="D9E5F3"/>
                            <w:vAlign w:val="center"/>
                          </w:tcPr>
                          <w:p>
                            <w:pPr>
                              <w:keepLines/>
                              <w:rPr>
                                <w:b/>
                                <w:color w:val="000000"/>
                                <w:szCs w:val="24"/>
                              </w:rPr>
                            </w:pPr>
                            <w:r>
                              <w:rPr>
                                <w:b/>
                                <w:color w:val="000000"/>
                                <w:szCs w:val="24"/>
                              </w:rPr>
                              <w:t>Priemonės ir (arba) rodiklio pavadinimas</w:t>
                            </w:r>
                          </w:p>
                        </w:tc>
                        <w:tc>
                          <w:tcPr>
                            <w:tcW w:w="1985" w:type="dxa"/>
                            <w:vMerge w:val="restart"/>
                            <w:shd w:val="clear" w:color="auto" w:fill="D9E5F3"/>
                            <w:vAlign w:val="center"/>
                          </w:tcPr>
                          <w:p>
                            <w:pPr>
                              <w:keepLines/>
                              <w:rPr>
                                <w:b/>
                                <w:color w:val="000000"/>
                                <w:szCs w:val="24"/>
                              </w:rPr>
                            </w:pPr>
                            <w:r>
                              <w:rPr>
                                <w:b/>
                                <w:color w:val="000000"/>
                                <w:szCs w:val="24"/>
                              </w:rPr>
                              <w:t xml:space="preserve">Planuota reikšmė, matavimo vienetas </w:t>
                            </w:r>
                          </w:p>
                        </w:tc>
                        <w:tc>
                          <w:tcPr>
                            <w:tcW w:w="3402" w:type="dxa"/>
                            <w:gridSpan w:val="3"/>
                            <w:shd w:val="clear" w:color="auto" w:fill="D9E5F3"/>
                            <w:vAlign w:val="center"/>
                          </w:tcPr>
                          <w:p>
                            <w:pPr>
                              <w:keepLines/>
                              <w:rPr>
                                <w:b/>
                                <w:color w:val="000000"/>
                                <w:szCs w:val="24"/>
                              </w:rPr>
                            </w:pPr>
                            <w:r>
                              <w:rPr>
                                <w:b/>
                                <w:color w:val="000000"/>
                                <w:szCs w:val="24"/>
                              </w:rPr>
                              <w:t>Praėjusių 2 ataskaitinių laikotarpių ir ataskaitinio laikotarpio reikšmės (faktas)</w:t>
                            </w:r>
                          </w:p>
                        </w:tc>
                        <w:tc>
                          <w:tcPr>
                            <w:tcW w:w="1701" w:type="dxa"/>
                            <w:vMerge w:val="restart"/>
                            <w:shd w:val="clear" w:color="auto" w:fill="D9E5F3"/>
                            <w:vAlign w:val="center"/>
                          </w:tcPr>
                          <w:p>
                            <w:pPr>
                              <w:keepLines/>
                              <w:rPr>
                                <w:b/>
                                <w:color w:val="000000"/>
                                <w:szCs w:val="24"/>
                              </w:rPr>
                            </w:pPr>
                            <w:r>
                              <w:rPr>
                                <w:b/>
                                <w:color w:val="000000"/>
                                <w:szCs w:val="24"/>
                              </w:rPr>
                              <w:t>Sąsaja su Savivaldybės, kitų institucijų, įstaigos planavimo dokumentais</w:t>
                            </w:r>
                          </w:p>
                        </w:tc>
                        <w:tc>
                          <w:tcPr>
                            <w:tcW w:w="2835" w:type="dxa"/>
                            <w:gridSpan w:val="2"/>
                            <w:shd w:val="clear" w:color="auto" w:fill="D9E5F3"/>
                            <w:vAlign w:val="center"/>
                          </w:tcPr>
                          <w:p>
                            <w:pPr>
                              <w:keepLines/>
                              <w:rPr>
                                <w:b/>
                                <w:color w:val="000000"/>
                                <w:szCs w:val="24"/>
                              </w:rPr>
                            </w:pPr>
                            <w:r>
                              <w:rPr>
                                <w:b/>
                                <w:color w:val="000000"/>
                                <w:szCs w:val="24"/>
                              </w:rPr>
                              <w:t xml:space="preserve">Finansavimas </w:t>
                            </w:r>
                          </w:p>
                        </w:tc>
                        <w:tc>
                          <w:tcPr>
                            <w:tcW w:w="1559" w:type="dxa"/>
                            <w:vMerge w:val="restart"/>
                            <w:shd w:val="clear" w:color="auto" w:fill="D9E5F3"/>
                            <w:vAlign w:val="center"/>
                          </w:tcPr>
                          <w:p>
                            <w:pPr>
                              <w:keepLines/>
                              <w:rPr>
                                <w:b/>
                                <w:color w:val="000000"/>
                                <w:szCs w:val="24"/>
                              </w:rPr>
                            </w:pPr>
                            <w:r>
                              <w:rPr>
                                <w:b/>
                                <w:color w:val="000000"/>
                                <w:szCs w:val="24"/>
                              </w:rPr>
                              <w:t>Atsakingas vykdytojas</w:t>
                            </w:r>
                          </w:p>
                        </w:tc>
                        <w:tc>
                          <w:tcPr>
                            <w:tcW w:w="1247" w:type="dxa"/>
                            <w:vMerge w:val="restart"/>
                            <w:shd w:val="clear" w:color="auto" w:fill="D9E5F3"/>
                            <w:vAlign w:val="center"/>
                          </w:tcPr>
                          <w:p>
                            <w:pPr>
                              <w:keepLines/>
                              <w:rPr>
                                <w:b/>
                                <w:color w:val="000000"/>
                                <w:szCs w:val="24"/>
                              </w:rPr>
                            </w:pPr>
                            <w:r>
                              <w:rPr>
                                <w:b/>
                                <w:color w:val="000000"/>
                                <w:szCs w:val="24"/>
                              </w:rPr>
                              <w:t>Komentaras</w:t>
                            </w:r>
                          </w:p>
                        </w:tc>
                      </w:tr>
                      <w:tr>
                        <w:tc>
                          <w:tcPr>
                            <w:tcW w:w="1304" w:type="dxa"/>
                            <w:vMerge/>
                            <w:shd w:val="clear" w:color="auto" w:fill="DBE5F1"/>
                            <w:vAlign w:val="center"/>
                          </w:tcPr>
                          <w:p>
                            <w:pPr>
                              <w:keepLines/>
                              <w:rPr>
                                <w:b/>
                                <w:color w:val="000000"/>
                                <w:szCs w:val="24"/>
                              </w:rPr>
                            </w:pPr>
                          </w:p>
                        </w:tc>
                        <w:tc>
                          <w:tcPr>
                            <w:tcW w:w="1985" w:type="dxa"/>
                            <w:vMerge/>
                            <w:shd w:val="clear" w:color="auto" w:fill="DBE5F1"/>
                            <w:vAlign w:val="center"/>
                          </w:tcPr>
                          <w:p>
                            <w:pPr>
                              <w:keepLines/>
                              <w:rPr>
                                <w:b/>
                                <w:color w:val="000000"/>
                                <w:szCs w:val="24"/>
                              </w:rPr>
                            </w:pPr>
                          </w:p>
                        </w:tc>
                        <w:tc>
                          <w:tcPr>
                            <w:tcW w:w="850" w:type="dxa"/>
                            <w:shd w:val="clear" w:color="auto" w:fill="DBE5F1"/>
                            <w:vAlign w:val="center"/>
                          </w:tcPr>
                          <w:p>
                            <w:pPr>
                              <w:keepLines/>
                              <w:rPr>
                                <w:b/>
                                <w:iCs/>
                                <w:color w:val="000000"/>
                                <w:szCs w:val="24"/>
                              </w:rPr>
                            </w:pPr>
                            <w:r>
                              <w:rPr>
                                <w:b/>
                                <w:i/>
                                <w:iCs/>
                                <w:color w:val="000000"/>
                                <w:szCs w:val="24"/>
                              </w:rPr>
                              <w:t>n</w:t>
                            </w:r>
                            <w:r>
                              <w:rPr>
                                <w:b/>
                                <w:iCs/>
                                <w:color w:val="000000"/>
                                <w:szCs w:val="24"/>
                              </w:rPr>
                              <w:t>–2 metai</w:t>
                            </w:r>
                          </w:p>
                        </w:tc>
                        <w:tc>
                          <w:tcPr>
                            <w:tcW w:w="851" w:type="dxa"/>
                            <w:shd w:val="clear" w:color="auto" w:fill="DBE5F1"/>
                            <w:vAlign w:val="center"/>
                          </w:tcPr>
                          <w:p>
                            <w:pPr>
                              <w:keepLines/>
                              <w:rPr>
                                <w:b/>
                                <w:iCs/>
                                <w:color w:val="000000"/>
                                <w:szCs w:val="24"/>
                              </w:rPr>
                            </w:pPr>
                            <w:r>
                              <w:rPr>
                                <w:b/>
                                <w:i/>
                                <w:iCs/>
                                <w:color w:val="000000"/>
                                <w:szCs w:val="24"/>
                              </w:rPr>
                              <w:t>n</w:t>
                            </w:r>
                            <w:r>
                              <w:rPr>
                                <w:b/>
                                <w:iCs/>
                                <w:color w:val="000000"/>
                                <w:szCs w:val="24"/>
                              </w:rPr>
                              <w:t>–1 metai</w:t>
                            </w:r>
                          </w:p>
                        </w:tc>
                        <w:tc>
                          <w:tcPr>
                            <w:tcW w:w="1701" w:type="dxa"/>
                            <w:shd w:val="clear" w:color="auto" w:fill="DBE5F1"/>
                            <w:vAlign w:val="center"/>
                          </w:tcPr>
                          <w:p>
                            <w:pPr>
                              <w:keepLines/>
                              <w:rPr>
                                <w:b/>
                                <w:iCs/>
                                <w:color w:val="000000"/>
                                <w:szCs w:val="24"/>
                              </w:rPr>
                            </w:pPr>
                            <w:r>
                              <w:rPr>
                                <w:b/>
                                <w:i/>
                                <w:iCs/>
                                <w:color w:val="000000"/>
                                <w:szCs w:val="24"/>
                              </w:rPr>
                              <w:t>n</w:t>
                            </w:r>
                            <w:r>
                              <w:rPr>
                                <w:b/>
                                <w:iCs/>
                                <w:color w:val="000000"/>
                                <w:szCs w:val="24"/>
                              </w:rPr>
                              <w:t xml:space="preserve"> metai</w:t>
                            </w:r>
                          </w:p>
                        </w:tc>
                        <w:tc>
                          <w:tcPr>
                            <w:tcW w:w="1701" w:type="dxa"/>
                            <w:vMerge/>
                            <w:shd w:val="clear" w:color="auto" w:fill="DBE5F1"/>
                            <w:vAlign w:val="center"/>
                          </w:tcPr>
                          <w:p>
                            <w:pPr>
                              <w:keepLines/>
                              <w:rPr>
                                <w:b/>
                                <w:color w:val="000000"/>
                                <w:szCs w:val="24"/>
                              </w:rPr>
                            </w:pPr>
                          </w:p>
                        </w:tc>
                        <w:tc>
                          <w:tcPr>
                            <w:tcW w:w="1417" w:type="dxa"/>
                            <w:shd w:val="clear" w:color="auto" w:fill="DBE5F1"/>
                            <w:vAlign w:val="center"/>
                          </w:tcPr>
                          <w:p>
                            <w:pPr>
                              <w:keepLines/>
                              <w:rPr>
                                <w:b/>
                                <w:color w:val="000000"/>
                                <w:szCs w:val="24"/>
                              </w:rPr>
                            </w:pPr>
                            <w:r>
                              <w:rPr>
                                <w:b/>
                                <w:color w:val="000000"/>
                                <w:szCs w:val="24"/>
                              </w:rPr>
                              <w:t>Patvirtintas planas</w:t>
                            </w:r>
                          </w:p>
                        </w:tc>
                        <w:tc>
                          <w:tcPr>
                            <w:tcW w:w="1418" w:type="dxa"/>
                            <w:shd w:val="clear" w:color="auto" w:fill="DBE5F1"/>
                            <w:vAlign w:val="center"/>
                          </w:tcPr>
                          <w:p>
                            <w:pPr>
                              <w:keepLines/>
                              <w:rPr>
                                <w:b/>
                                <w:color w:val="000000"/>
                                <w:szCs w:val="24"/>
                              </w:rPr>
                            </w:pPr>
                            <w:r>
                              <w:rPr>
                                <w:b/>
                                <w:color w:val="000000"/>
                                <w:szCs w:val="24"/>
                              </w:rPr>
                              <w:t xml:space="preserve">Įvykdymas, asignavimų šaltinis </w:t>
                            </w:r>
                          </w:p>
                        </w:tc>
                        <w:tc>
                          <w:tcPr>
                            <w:tcW w:w="1559" w:type="dxa"/>
                            <w:vMerge/>
                            <w:shd w:val="clear" w:color="auto" w:fill="DBE5F1"/>
                            <w:vAlign w:val="center"/>
                          </w:tcPr>
                          <w:p>
                            <w:pPr>
                              <w:keepLines/>
                              <w:rPr>
                                <w:b/>
                                <w:color w:val="000000"/>
                                <w:szCs w:val="24"/>
                              </w:rPr>
                            </w:pPr>
                          </w:p>
                        </w:tc>
                        <w:tc>
                          <w:tcPr>
                            <w:tcW w:w="1247" w:type="dxa"/>
                            <w:vMerge/>
                            <w:shd w:val="clear" w:color="auto" w:fill="DBE5F1"/>
                            <w:vAlign w:val="center"/>
                          </w:tcPr>
                          <w:p>
                            <w:pPr>
                              <w:keepLines/>
                              <w:rPr>
                                <w:b/>
                                <w:color w:val="000000"/>
                                <w:szCs w:val="24"/>
                              </w:rPr>
                            </w:pPr>
                          </w:p>
                        </w:tc>
                      </w:tr>
                      <w:tr>
                        <w:trPr>
                          <w:trHeight w:val="108"/>
                        </w:trPr>
                        <w:tc>
                          <w:tcPr>
                            <w:tcW w:w="1304" w:type="dxa"/>
                            <w:shd w:val="clear" w:color="auto" w:fill="F6F9FC"/>
                          </w:tcPr>
                          <w:p>
                            <w:pPr>
                              <w:keepLines/>
                              <w:rPr>
                                <w:color w:val="000000"/>
                                <w:szCs w:val="24"/>
                              </w:rPr>
                            </w:pPr>
                            <w:r>
                              <w:rPr>
                                <w:color w:val="000000"/>
                                <w:szCs w:val="24"/>
                              </w:rPr>
                              <w:t>1</w:t>
                            </w:r>
                          </w:p>
                        </w:tc>
                        <w:tc>
                          <w:tcPr>
                            <w:tcW w:w="1985" w:type="dxa"/>
                            <w:shd w:val="clear" w:color="auto" w:fill="F6F9FC"/>
                          </w:tcPr>
                          <w:p>
                            <w:pPr>
                              <w:keepLines/>
                              <w:rPr>
                                <w:color w:val="000000"/>
                                <w:szCs w:val="24"/>
                              </w:rPr>
                            </w:pPr>
                            <w:r>
                              <w:rPr>
                                <w:color w:val="000000"/>
                                <w:szCs w:val="24"/>
                              </w:rPr>
                              <w:t>2</w:t>
                            </w:r>
                          </w:p>
                        </w:tc>
                        <w:tc>
                          <w:tcPr>
                            <w:tcW w:w="850" w:type="dxa"/>
                            <w:shd w:val="clear" w:color="auto" w:fill="F6F9FC"/>
                          </w:tcPr>
                          <w:p>
                            <w:pPr>
                              <w:keepLines/>
                              <w:rPr>
                                <w:color w:val="000000"/>
                                <w:szCs w:val="24"/>
                              </w:rPr>
                            </w:pPr>
                            <w:r>
                              <w:rPr>
                                <w:color w:val="000000"/>
                                <w:szCs w:val="24"/>
                              </w:rPr>
                              <w:t>3</w:t>
                            </w:r>
                          </w:p>
                        </w:tc>
                        <w:tc>
                          <w:tcPr>
                            <w:tcW w:w="851" w:type="dxa"/>
                            <w:shd w:val="clear" w:color="auto" w:fill="F6F9FC"/>
                          </w:tcPr>
                          <w:p>
                            <w:pPr>
                              <w:keepLines/>
                              <w:rPr>
                                <w:color w:val="000000"/>
                                <w:szCs w:val="24"/>
                              </w:rPr>
                            </w:pPr>
                            <w:r>
                              <w:rPr>
                                <w:color w:val="000000"/>
                                <w:szCs w:val="24"/>
                              </w:rPr>
                              <w:t>4</w:t>
                            </w:r>
                          </w:p>
                        </w:tc>
                        <w:tc>
                          <w:tcPr>
                            <w:tcW w:w="1701" w:type="dxa"/>
                            <w:shd w:val="clear" w:color="auto" w:fill="F6F9FC"/>
                          </w:tcPr>
                          <w:p>
                            <w:pPr>
                              <w:keepLines/>
                              <w:rPr>
                                <w:color w:val="000000"/>
                                <w:szCs w:val="24"/>
                              </w:rPr>
                            </w:pPr>
                            <w:r>
                              <w:rPr>
                                <w:color w:val="000000"/>
                                <w:szCs w:val="24"/>
                              </w:rPr>
                              <w:t>5</w:t>
                            </w:r>
                          </w:p>
                        </w:tc>
                        <w:tc>
                          <w:tcPr>
                            <w:tcW w:w="1701" w:type="dxa"/>
                            <w:shd w:val="clear" w:color="auto" w:fill="F6F9FC"/>
                          </w:tcPr>
                          <w:p>
                            <w:pPr>
                              <w:keepLines/>
                              <w:rPr>
                                <w:color w:val="000000"/>
                                <w:szCs w:val="24"/>
                              </w:rPr>
                            </w:pPr>
                            <w:r>
                              <w:rPr>
                                <w:color w:val="000000"/>
                                <w:szCs w:val="24"/>
                              </w:rPr>
                              <w:t>6</w:t>
                            </w:r>
                          </w:p>
                        </w:tc>
                        <w:tc>
                          <w:tcPr>
                            <w:tcW w:w="1417" w:type="dxa"/>
                            <w:shd w:val="clear" w:color="auto" w:fill="F6F9FC"/>
                          </w:tcPr>
                          <w:p>
                            <w:pPr>
                              <w:keepLines/>
                              <w:rPr>
                                <w:color w:val="000000"/>
                                <w:szCs w:val="24"/>
                              </w:rPr>
                            </w:pPr>
                            <w:r>
                              <w:rPr>
                                <w:color w:val="000000"/>
                                <w:szCs w:val="24"/>
                              </w:rPr>
                              <w:t>7</w:t>
                            </w:r>
                          </w:p>
                        </w:tc>
                        <w:tc>
                          <w:tcPr>
                            <w:tcW w:w="1418" w:type="dxa"/>
                            <w:shd w:val="clear" w:color="auto" w:fill="F6F9FC"/>
                          </w:tcPr>
                          <w:p>
                            <w:pPr>
                              <w:keepLines/>
                              <w:rPr>
                                <w:color w:val="000000"/>
                                <w:szCs w:val="24"/>
                              </w:rPr>
                            </w:pPr>
                            <w:r>
                              <w:rPr>
                                <w:color w:val="000000"/>
                                <w:szCs w:val="24"/>
                              </w:rPr>
                              <w:t>8</w:t>
                            </w:r>
                          </w:p>
                        </w:tc>
                        <w:tc>
                          <w:tcPr>
                            <w:tcW w:w="1559" w:type="dxa"/>
                            <w:shd w:val="clear" w:color="auto" w:fill="F6F9FC"/>
                          </w:tcPr>
                          <w:p>
                            <w:pPr>
                              <w:keepLines/>
                              <w:rPr>
                                <w:color w:val="000000"/>
                                <w:szCs w:val="24"/>
                              </w:rPr>
                            </w:pPr>
                            <w:r>
                              <w:rPr>
                                <w:color w:val="000000"/>
                                <w:szCs w:val="24"/>
                              </w:rPr>
                              <w:t>9</w:t>
                            </w:r>
                          </w:p>
                        </w:tc>
                        <w:tc>
                          <w:tcPr>
                            <w:tcW w:w="1247" w:type="dxa"/>
                            <w:shd w:val="clear" w:color="auto" w:fill="F6F9FC"/>
                          </w:tcPr>
                          <w:p>
                            <w:pPr>
                              <w:keepLines/>
                              <w:rPr>
                                <w:color w:val="000000"/>
                                <w:szCs w:val="24"/>
                              </w:rPr>
                            </w:pPr>
                            <w:r>
                              <w:rPr>
                                <w:color w:val="000000"/>
                                <w:szCs w:val="24"/>
                              </w:rPr>
                              <w:t>10</w:t>
                            </w:r>
                          </w:p>
                        </w:tc>
                      </w:tr>
                      <w:tr>
                        <w:trPr>
                          <w:trHeight w:val="108"/>
                        </w:trPr>
                        <w:tc>
                          <w:tcPr>
                            <w:tcW w:w="14033" w:type="dxa"/>
                            <w:gridSpan w:val="10"/>
                            <w:shd w:val="clear" w:color="auto" w:fill="D9E5F3"/>
                          </w:tcPr>
                          <w:p>
                            <w:pPr>
                              <w:keepLines/>
                              <w:rPr>
                                <w:color w:val="000000"/>
                                <w:szCs w:val="24"/>
                              </w:rPr>
                            </w:pPr>
                            <w:r>
                              <w:rPr>
                                <w:color w:val="000000"/>
                                <w:szCs w:val="24"/>
                              </w:rPr>
                              <w:t>1. Tikslas:</w:t>
                            </w:r>
                            <w:r>
                              <w:rPr>
                                <w:szCs w:val="24"/>
                              </w:rPr>
                              <w:t xml:space="preserve"> </w:t>
                            </w:r>
                            <w:r>
                              <w:rPr>
                                <w:color w:val="000000"/>
                                <w:szCs w:val="24"/>
                              </w:rPr>
                              <w:t>Tobulinti teikiamas asmens sveikatos priežiūros paslaugas</w:t>
                            </w:r>
                          </w:p>
                        </w:tc>
                      </w:tr>
                      <w:tr>
                        <w:trPr>
                          <w:trHeight w:val="108"/>
                        </w:trPr>
                        <w:tc>
                          <w:tcPr>
                            <w:tcW w:w="14033" w:type="dxa"/>
                            <w:gridSpan w:val="10"/>
                            <w:shd w:val="clear" w:color="auto" w:fill="F6F9FC"/>
                          </w:tcPr>
                          <w:p>
                            <w:pPr>
                              <w:keepLines/>
                              <w:rPr>
                                <w:color w:val="000000"/>
                                <w:szCs w:val="24"/>
                              </w:rPr>
                            </w:pPr>
                            <w:r>
                              <w:rPr>
                                <w:color w:val="000000"/>
                                <w:szCs w:val="24"/>
                              </w:rPr>
                              <w:t>1.1. Uždavinys:</w:t>
                            </w:r>
                            <w:r>
                              <w:rPr>
                                <w:szCs w:val="24"/>
                              </w:rPr>
                              <w:t xml:space="preserve"> </w:t>
                            </w:r>
                            <w:r>
                              <w:rPr>
                                <w:color w:val="000000"/>
                                <w:szCs w:val="24"/>
                              </w:rPr>
                              <w:t>Gerinti sveikatos priežiūros paslaugų kokybę ir prieinamumą</w:t>
                            </w:r>
                          </w:p>
                        </w:tc>
                      </w:tr>
                      <w:tr>
                        <w:tc>
                          <w:tcPr>
                            <w:tcW w:w="1304" w:type="dxa"/>
                            <w:vMerge w:val="restart"/>
                          </w:tcPr>
                          <w:p>
                            <w:pPr>
                              <w:keepLines/>
                              <w:rPr>
                                <w:bCs/>
                                <w:szCs w:val="24"/>
                              </w:rPr>
                            </w:pPr>
                            <w:r>
                              <w:rPr>
                                <w:bCs/>
                                <w:szCs w:val="24"/>
                              </w:rPr>
                              <w:t xml:space="preserve">Atnaujinti, modernizuoti VšĮ Radviliškio ligoninės infrastruktūrą </w:t>
                            </w:r>
                          </w:p>
                          <w:p>
                            <w:pPr>
                              <w:keepLines/>
                              <w:rPr>
                                <w:szCs w:val="24"/>
                              </w:rPr>
                            </w:pPr>
                          </w:p>
                          <w:p>
                            <w:pPr>
                              <w:keepLines/>
                              <w:rPr>
                                <w:szCs w:val="24"/>
                              </w:rPr>
                            </w:pPr>
                          </w:p>
                          <w:p>
                            <w:pPr>
                              <w:keepLines/>
                              <w:rPr>
                                <w:szCs w:val="24"/>
                              </w:rPr>
                            </w:pPr>
                          </w:p>
                          <w:p>
                            <w:pPr>
                              <w:keepLines/>
                              <w:rPr>
                                <w:szCs w:val="24"/>
                                <w:highlight w:val="yellow"/>
                              </w:rPr>
                            </w:pPr>
                          </w:p>
                          <w:p>
                            <w:pPr>
                              <w:keepLines/>
                              <w:rPr>
                                <w:szCs w:val="24"/>
                                <w:highlight w:val="yellow"/>
                              </w:rPr>
                            </w:pPr>
                          </w:p>
                          <w:p>
                            <w:pPr>
                              <w:keepLines/>
                              <w:rPr>
                                <w:szCs w:val="24"/>
                                <w:highlight w:val="yellow"/>
                              </w:rPr>
                            </w:pPr>
                          </w:p>
                          <w:p>
                            <w:pPr>
                              <w:keepLines/>
                              <w:rPr>
                                <w:szCs w:val="24"/>
                                <w:highlight w:val="yellow"/>
                              </w:rPr>
                            </w:pPr>
                          </w:p>
                          <w:p>
                            <w:pPr>
                              <w:keepLines/>
                              <w:rPr>
                                <w:szCs w:val="24"/>
                                <w:highlight w:val="yellow"/>
                              </w:rPr>
                            </w:pPr>
                          </w:p>
                        </w:tc>
                        <w:tc>
                          <w:tcPr>
                            <w:tcW w:w="1985" w:type="dxa"/>
                          </w:tcPr>
                          <w:p>
                            <w:pPr>
                              <w:keepLines/>
                              <w:rPr>
                                <w:szCs w:val="24"/>
                                <w:highlight w:val="yellow"/>
                              </w:rPr>
                            </w:pPr>
                            <w:r>
                              <w:rPr>
                                <w:szCs w:val="24"/>
                              </w:rPr>
                              <w:t>Parengtas I korpuso SPS patalpų remonto projektas – 1 vnt.</w:t>
                            </w:r>
                          </w:p>
                        </w:tc>
                        <w:tc>
                          <w:tcPr>
                            <w:tcW w:w="850" w:type="dxa"/>
                          </w:tcPr>
                          <w:p>
                            <w:pPr>
                              <w:keepLines/>
                              <w:rPr>
                                <w:szCs w:val="24"/>
                              </w:rPr>
                            </w:pPr>
                            <w:r>
                              <w:rPr>
                                <w:szCs w:val="24"/>
                              </w:rPr>
                              <w:t>-</w:t>
                            </w:r>
                          </w:p>
                          <w:p>
                            <w:pPr>
                              <w:keepLines/>
                              <w:rPr>
                                <w:szCs w:val="24"/>
                              </w:rPr>
                            </w:pPr>
                          </w:p>
                        </w:tc>
                        <w:tc>
                          <w:tcPr>
                            <w:tcW w:w="851" w:type="dxa"/>
                          </w:tcPr>
                          <w:p>
                            <w:pPr>
                              <w:keepLines/>
                              <w:rPr>
                                <w:szCs w:val="24"/>
                              </w:rPr>
                            </w:pPr>
                            <w:r>
                              <w:rPr>
                                <w:szCs w:val="24"/>
                              </w:rPr>
                              <w:t>-</w:t>
                            </w:r>
                          </w:p>
                          <w:p>
                            <w:pPr>
                              <w:keepLines/>
                              <w:rPr>
                                <w:szCs w:val="24"/>
                              </w:rPr>
                            </w:pPr>
                          </w:p>
                        </w:tc>
                        <w:tc>
                          <w:tcPr>
                            <w:tcW w:w="1701" w:type="dxa"/>
                          </w:tcPr>
                          <w:p>
                            <w:pPr>
                              <w:keepLines/>
                              <w:rPr>
                                <w:szCs w:val="24"/>
                                <w:highlight w:val="yellow"/>
                              </w:rPr>
                            </w:pPr>
                            <w:r>
                              <w:rPr>
                                <w:szCs w:val="24"/>
                              </w:rPr>
                              <w:t>Parengtas I korpuso SPS patalpų remonto projektas – 1 vnt.</w:t>
                            </w:r>
                          </w:p>
                        </w:tc>
                        <w:tc>
                          <w:tcPr>
                            <w:tcW w:w="1701" w:type="dxa"/>
                          </w:tcPr>
                          <w:p>
                            <w:pPr>
                              <w:keepLines/>
                              <w:rPr>
                                <w:szCs w:val="24"/>
                              </w:rPr>
                            </w:pPr>
                            <w:r>
                              <w:rPr>
                                <w:szCs w:val="24"/>
                              </w:rPr>
                              <w:t>Radviliškio rajono savivaldybės 2021-2030 m. strateginis plėtros planas. Priemonių plano: tikslas – 2.3.;</w:t>
                            </w:r>
                          </w:p>
                          <w:p>
                            <w:pPr>
                              <w:keepLines/>
                              <w:rPr>
                                <w:szCs w:val="24"/>
                              </w:rPr>
                            </w:pPr>
                            <w:r>
                              <w:rPr>
                                <w:szCs w:val="24"/>
                              </w:rPr>
                              <w:t>Uždavinys – 2.3.1.;</w:t>
                            </w:r>
                          </w:p>
                          <w:p>
                            <w:pPr>
                              <w:keepLines/>
                              <w:rPr>
                                <w:i/>
                                <w:iCs/>
                                <w:szCs w:val="24"/>
                              </w:rPr>
                            </w:pPr>
                            <w:r>
                              <w:rPr>
                                <w:szCs w:val="24"/>
                              </w:rPr>
                              <w:t>priemonės kodas - 2.3.1.1.</w:t>
                            </w:r>
                          </w:p>
                        </w:tc>
                        <w:tc>
                          <w:tcPr>
                            <w:tcW w:w="1417" w:type="dxa"/>
                          </w:tcPr>
                          <w:p>
                            <w:pPr>
                              <w:keepLines/>
                              <w:rPr>
                                <w:szCs w:val="24"/>
                              </w:rPr>
                            </w:pPr>
                            <w:r>
                              <w:rPr>
                                <w:szCs w:val="24"/>
                              </w:rPr>
                              <w:t>34 848,00 Eur su PVM</w:t>
                            </w:r>
                          </w:p>
                        </w:tc>
                        <w:tc>
                          <w:tcPr>
                            <w:tcW w:w="1418" w:type="dxa"/>
                          </w:tcPr>
                          <w:p>
                            <w:pPr>
                              <w:keepLines/>
                              <w:rPr>
                                <w:szCs w:val="24"/>
                              </w:rPr>
                            </w:pPr>
                            <w:r>
                              <w:rPr>
                                <w:szCs w:val="24"/>
                              </w:rPr>
                              <w:t>34 848,00 Eur su PVM,</w:t>
                            </w:r>
                          </w:p>
                          <w:p>
                            <w:pPr>
                              <w:keepLines/>
                              <w:rPr>
                                <w:szCs w:val="24"/>
                              </w:rPr>
                            </w:pPr>
                            <w:r>
                              <w:rPr>
                                <w:szCs w:val="24"/>
                              </w:rPr>
                              <w:t>Europos sąjungos fondų ir bendrojo finansavimo lėšos</w:t>
                            </w:r>
                          </w:p>
                        </w:tc>
                        <w:tc>
                          <w:tcPr>
                            <w:tcW w:w="1559" w:type="dxa"/>
                          </w:tcPr>
                          <w:p>
                            <w:pPr>
                              <w:keepLines/>
                              <w:rPr>
                                <w:szCs w:val="24"/>
                              </w:rPr>
                            </w:pPr>
                            <w:r>
                              <w:rPr>
                                <w:szCs w:val="24"/>
                              </w:rPr>
                              <w:t xml:space="preserve">Vyr. inžinierius </w:t>
                            </w:r>
                          </w:p>
                        </w:tc>
                        <w:tc>
                          <w:tcPr>
                            <w:tcW w:w="1247" w:type="dxa"/>
                          </w:tcPr>
                          <w:p>
                            <w:pPr>
                              <w:keepLines/>
                              <w:rPr>
                                <w:szCs w:val="24"/>
                              </w:rPr>
                            </w:pPr>
                            <w:r>
                              <w:rPr>
                                <w:szCs w:val="24"/>
                              </w:rPr>
                              <w:t xml:space="preserve">- </w:t>
                            </w:r>
                          </w:p>
                        </w:tc>
                      </w:tr>
                      <w:tr>
                        <w:tc>
                          <w:tcPr>
                            <w:tcW w:w="1304" w:type="dxa"/>
                            <w:vMerge/>
                          </w:tcPr>
                          <w:p>
                            <w:pPr>
                              <w:keepLines/>
                              <w:rPr>
                                <w:bCs/>
                                <w:szCs w:val="24"/>
                                <w:highlight w:val="yellow"/>
                              </w:rPr>
                            </w:pPr>
                          </w:p>
                        </w:tc>
                        <w:tc>
                          <w:tcPr>
                            <w:tcW w:w="1985" w:type="dxa"/>
                          </w:tcPr>
                          <w:p>
                            <w:pPr>
                              <w:keepLines/>
                              <w:rPr>
                                <w:szCs w:val="24"/>
                              </w:rPr>
                            </w:pPr>
                            <w:r>
                              <w:rPr>
                                <w:szCs w:val="24"/>
                              </w:rPr>
                              <w:t>Suteiktos ekspertizės paslaugos – 1 vnt.</w:t>
                            </w:r>
                          </w:p>
                        </w:tc>
                        <w:tc>
                          <w:tcPr>
                            <w:tcW w:w="850" w:type="dxa"/>
                          </w:tcPr>
                          <w:p>
                            <w:pPr>
                              <w:keepLines/>
                              <w:rPr>
                                <w:szCs w:val="24"/>
                              </w:rPr>
                            </w:pPr>
                            <w:r>
                              <w:rPr>
                                <w:szCs w:val="24"/>
                              </w:rPr>
                              <w:t>-</w:t>
                            </w:r>
                          </w:p>
                        </w:tc>
                        <w:tc>
                          <w:tcPr>
                            <w:tcW w:w="851" w:type="dxa"/>
                          </w:tcPr>
                          <w:p>
                            <w:pPr>
                              <w:keepLines/>
                              <w:rPr>
                                <w:szCs w:val="24"/>
                              </w:rPr>
                            </w:pPr>
                            <w:r>
                              <w:rPr>
                                <w:szCs w:val="24"/>
                              </w:rPr>
                              <w:t>-</w:t>
                            </w:r>
                          </w:p>
                        </w:tc>
                        <w:tc>
                          <w:tcPr>
                            <w:tcW w:w="1701" w:type="dxa"/>
                          </w:tcPr>
                          <w:p>
                            <w:pPr>
                              <w:keepLines/>
                              <w:rPr>
                                <w:szCs w:val="24"/>
                              </w:rPr>
                            </w:pPr>
                            <w:r>
                              <w:rPr>
                                <w:szCs w:val="24"/>
                              </w:rPr>
                              <w:t>Suteiktos ekspertizės paslaugos – 1 vnt.</w:t>
                            </w:r>
                          </w:p>
                        </w:tc>
                        <w:tc>
                          <w:tcPr>
                            <w:tcW w:w="1701" w:type="dxa"/>
                          </w:tcPr>
                          <w:p>
                            <w:pPr>
                              <w:keepLines/>
                              <w:rPr>
                                <w:szCs w:val="24"/>
                              </w:rPr>
                            </w:pPr>
                            <w:r>
                              <w:rPr>
                                <w:szCs w:val="24"/>
                              </w:rPr>
                              <w:t>Radviliškio rajono savivaldybės 2021-2030 m. strateginis plėtros planas. Priemonių plano: tikslas – 2.3.;</w:t>
                            </w:r>
                          </w:p>
                          <w:p>
                            <w:pPr>
                              <w:keepLines/>
                              <w:rPr>
                                <w:szCs w:val="24"/>
                              </w:rPr>
                            </w:pPr>
                            <w:r>
                              <w:rPr>
                                <w:szCs w:val="24"/>
                              </w:rPr>
                              <w:t>Uždavinys – 2.3.1.;</w:t>
                            </w:r>
                          </w:p>
                          <w:p>
                            <w:pPr>
                              <w:keepLines/>
                              <w:rPr>
                                <w:szCs w:val="24"/>
                              </w:rPr>
                            </w:pPr>
                            <w:r>
                              <w:rPr>
                                <w:szCs w:val="24"/>
                              </w:rPr>
                              <w:t>priemonės kodas - 2.3.1.1.</w:t>
                            </w:r>
                          </w:p>
                        </w:tc>
                        <w:tc>
                          <w:tcPr>
                            <w:tcW w:w="1417" w:type="dxa"/>
                          </w:tcPr>
                          <w:p>
                            <w:pPr>
                              <w:keepLines/>
                              <w:rPr>
                                <w:szCs w:val="24"/>
                              </w:rPr>
                            </w:pPr>
                            <w:r>
                              <w:rPr>
                                <w:szCs w:val="24"/>
                              </w:rPr>
                              <w:t>3 025,00 Eur su PVM</w:t>
                            </w:r>
                          </w:p>
                        </w:tc>
                        <w:tc>
                          <w:tcPr>
                            <w:tcW w:w="1418" w:type="dxa"/>
                          </w:tcPr>
                          <w:p>
                            <w:pPr>
                              <w:keepLines/>
                              <w:rPr>
                                <w:szCs w:val="24"/>
                              </w:rPr>
                            </w:pPr>
                            <w:r>
                              <w:rPr>
                                <w:szCs w:val="24"/>
                              </w:rPr>
                              <w:t>34 848,00 Eur su PVM,</w:t>
                            </w:r>
                          </w:p>
                          <w:p>
                            <w:pPr>
                              <w:keepLines/>
                              <w:rPr>
                                <w:szCs w:val="24"/>
                              </w:rPr>
                            </w:pPr>
                            <w:r>
                              <w:rPr>
                                <w:szCs w:val="24"/>
                              </w:rPr>
                              <w:t>Europos sąjungos fondų ir bendrojo finansavimo lėšos</w:t>
                            </w:r>
                          </w:p>
                        </w:tc>
                        <w:tc>
                          <w:tcPr>
                            <w:tcW w:w="1559" w:type="dxa"/>
                          </w:tcPr>
                          <w:p>
                            <w:pPr>
                              <w:keepLines/>
                              <w:rPr>
                                <w:szCs w:val="24"/>
                              </w:rPr>
                            </w:pPr>
                            <w:r>
                              <w:rPr>
                                <w:szCs w:val="24"/>
                              </w:rPr>
                              <w:t xml:space="preserve">Vyr. inžinierius </w:t>
                            </w:r>
                          </w:p>
                        </w:tc>
                        <w:tc>
                          <w:tcPr>
                            <w:tcW w:w="1247" w:type="dxa"/>
                          </w:tcPr>
                          <w:p>
                            <w:pPr>
                              <w:keepLines/>
                              <w:rPr>
                                <w:szCs w:val="24"/>
                              </w:rPr>
                            </w:pPr>
                            <w:r>
                              <w:rPr>
                                <w:szCs w:val="24"/>
                              </w:rPr>
                              <w:t xml:space="preserve">- </w:t>
                            </w:r>
                          </w:p>
                        </w:tc>
                      </w:tr>
                      <w:tr>
                        <w:trPr>
                          <w:trHeight w:val="21204"/>
                        </w:trPr>
                        <w:tc>
                          <w:tcPr>
                            <w:tcW w:w="1304" w:type="dxa"/>
                          </w:tcPr>
                          <w:p>
                            <w:pPr>
                              <w:keepLines/>
                              <w:rPr>
                                <w:color w:val="808080"/>
                                <w:szCs w:val="24"/>
                                <w:highlight w:val="yellow"/>
                              </w:rPr>
                            </w:pPr>
                            <w:r>
                              <w:rPr>
                                <w:bCs/>
                                <w:szCs w:val="24"/>
                              </w:rPr>
                              <w:t>Įsigyti / atnaujinti medicininę įrangą</w:t>
                            </w:r>
                          </w:p>
                        </w:tc>
                        <w:tc>
                          <w:tcPr>
                            <w:tcW w:w="1985" w:type="dxa"/>
                          </w:tcPr>
                          <w:p>
                            <w:pPr>
                              <w:keepLines/>
                              <w:rPr>
                                <w:iCs/>
                                <w:szCs w:val="24"/>
                              </w:rPr>
                            </w:pPr>
                            <w:r>
                              <w:rPr>
                                <w:iCs/>
                                <w:szCs w:val="24"/>
                              </w:rPr>
                              <w:t xml:space="preserve">Įsigyta, atnaujinta medicininė įranga:  </w:t>
                            </w:r>
                          </w:p>
                          <w:p>
                            <w:pPr>
                              <w:keepLines/>
                              <w:rPr>
                                <w:iCs/>
                                <w:szCs w:val="24"/>
                              </w:rPr>
                            </w:pPr>
                            <w:r>
                              <w:rPr>
                                <w:iCs/>
                                <w:szCs w:val="24"/>
                              </w:rPr>
                              <w:t xml:space="preserve">Laporaskopinė kamera, </w:t>
                            </w:r>
                          </w:p>
                          <w:p>
                            <w:pPr>
                              <w:keepLines/>
                              <w:rPr>
                                <w:iCs/>
                                <w:szCs w:val="24"/>
                              </w:rPr>
                            </w:pPr>
                            <w:r>
                              <w:rPr>
                                <w:iCs/>
                                <w:szCs w:val="24"/>
                              </w:rPr>
                              <w:t>vaizdo kolonoskopas, vaizdo endoskopinė darbo vieta, optinis koherentinis tomografas, cistoskopas.</w:t>
                            </w:r>
                          </w:p>
                        </w:tc>
                        <w:tc>
                          <w:tcPr>
                            <w:tcW w:w="850" w:type="dxa"/>
                          </w:tcPr>
                          <w:p>
                            <w:pPr>
                              <w:keepLines/>
                              <w:rPr>
                                <w:iCs/>
                                <w:szCs w:val="24"/>
                              </w:rPr>
                            </w:pPr>
                            <w:r>
                              <w:rPr>
                                <w:iCs/>
                                <w:szCs w:val="24"/>
                              </w:rPr>
                              <w:t>-</w:t>
                            </w:r>
                          </w:p>
                        </w:tc>
                        <w:tc>
                          <w:tcPr>
                            <w:tcW w:w="851" w:type="dxa"/>
                          </w:tcPr>
                          <w:p>
                            <w:pPr>
                              <w:keepLines/>
                              <w:rPr>
                                <w:iCs/>
                                <w:szCs w:val="24"/>
                              </w:rPr>
                            </w:pPr>
                            <w:r>
                              <w:rPr>
                                <w:iCs/>
                                <w:szCs w:val="24"/>
                              </w:rPr>
                              <w:t>-</w:t>
                            </w:r>
                          </w:p>
                        </w:tc>
                        <w:tc>
                          <w:tcPr>
                            <w:tcW w:w="1701" w:type="dxa"/>
                          </w:tcPr>
                          <w:p>
                            <w:pPr>
                              <w:keepLines/>
                              <w:rPr>
                                <w:iCs/>
                                <w:szCs w:val="24"/>
                              </w:rPr>
                            </w:pPr>
                            <w:r>
                              <w:rPr>
                                <w:iCs/>
                                <w:szCs w:val="24"/>
                              </w:rPr>
                              <w:t xml:space="preserve">Įsigyta, atnaujinta medicininė įranga:  </w:t>
                            </w:r>
                          </w:p>
                          <w:p>
                            <w:pPr>
                              <w:keepLines/>
                              <w:rPr>
                                <w:iCs/>
                                <w:szCs w:val="24"/>
                              </w:rPr>
                            </w:pPr>
                            <w:r>
                              <w:rPr>
                                <w:iCs/>
                                <w:szCs w:val="24"/>
                              </w:rPr>
                              <w:t xml:space="preserve">Laporaskopinė kamera, </w:t>
                            </w:r>
                          </w:p>
                          <w:p>
                            <w:pPr>
                              <w:keepLines/>
                              <w:rPr>
                                <w:iCs/>
                                <w:szCs w:val="24"/>
                                <w:highlight w:val="yellow"/>
                              </w:rPr>
                            </w:pPr>
                            <w:r>
                              <w:rPr>
                                <w:iCs/>
                                <w:szCs w:val="24"/>
                              </w:rPr>
                              <w:t>vaizdo kolonoskopas, vaizdo endoskopinė darbo vieta, optinis koherentinis tomografas, cistoskopas.</w:t>
                            </w:r>
                          </w:p>
                        </w:tc>
                        <w:tc>
                          <w:tcPr>
                            <w:tcW w:w="1701" w:type="dxa"/>
                          </w:tcPr>
                          <w:p>
                            <w:pPr>
                              <w:keepLines/>
                              <w:rPr>
                                <w:szCs w:val="24"/>
                              </w:rPr>
                            </w:pPr>
                            <w:r>
                              <w:rPr>
                                <w:szCs w:val="24"/>
                              </w:rPr>
                              <w:t>Radviliškio rajono savivaldybės 2021-2030 m. strateginis plėtros planas. Priemonių plano: tikslas – 2.3.;</w:t>
                            </w:r>
                          </w:p>
                          <w:p>
                            <w:pPr>
                              <w:keepLines/>
                              <w:rPr>
                                <w:szCs w:val="24"/>
                              </w:rPr>
                            </w:pPr>
                            <w:r>
                              <w:rPr>
                                <w:szCs w:val="24"/>
                              </w:rPr>
                              <w:t>Uždavinys – 2.3.1.;</w:t>
                            </w:r>
                          </w:p>
                          <w:p>
                            <w:pPr>
                              <w:keepLines/>
                              <w:rPr>
                                <w:i/>
                                <w:color w:val="808080"/>
                                <w:szCs w:val="24"/>
                              </w:rPr>
                            </w:pPr>
                            <w:r>
                              <w:rPr>
                                <w:szCs w:val="24"/>
                              </w:rPr>
                              <w:t>priemonės kodas - 2.3.1.1.</w:t>
                            </w:r>
                          </w:p>
                        </w:tc>
                        <w:tc>
                          <w:tcPr>
                            <w:tcW w:w="1417" w:type="dxa"/>
                          </w:tcPr>
                          <w:p>
                            <w:pPr>
                              <w:keepLines/>
                              <w:rPr>
                                <w:iCs/>
                                <w:szCs w:val="24"/>
                              </w:rPr>
                            </w:pPr>
                            <w:r>
                              <w:rPr>
                                <w:iCs/>
                                <w:szCs w:val="24"/>
                              </w:rPr>
                              <w:t>176 489,61 Eur su PVM</w:t>
                            </w:r>
                          </w:p>
                        </w:tc>
                        <w:tc>
                          <w:tcPr>
                            <w:tcW w:w="1418" w:type="dxa"/>
                          </w:tcPr>
                          <w:p>
                            <w:pPr>
                              <w:keepLines/>
                              <w:rPr>
                                <w:iCs/>
                                <w:szCs w:val="24"/>
                              </w:rPr>
                            </w:pPr>
                            <w:r>
                              <w:rPr>
                                <w:iCs/>
                                <w:szCs w:val="24"/>
                              </w:rPr>
                              <w:t>176 489,61 Eur su PVM</w:t>
                            </w:r>
                          </w:p>
                          <w:p>
                            <w:pPr>
                              <w:keepLines/>
                              <w:rPr>
                                <w:iCs/>
                                <w:szCs w:val="24"/>
                              </w:rPr>
                            </w:pPr>
                            <w:r>
                              <w:rPr>
                                <w:iCs/>
                                <w:szCs w:val="24"/>
                              </w:rPr>
                              <w:t>VšĮ Radviliškio ligoninės lėšos</w:t>
                            </w:r>
                          </w:p>
                        </w:tc>
                        <w:tc>
                          <w:tcPr>
                            <w:tcW w:w="1559" w:type="dxa"/>
                          </w:tcPr>
                          <w:p>
                            <w:pPr>
                              <w:keepLines/>
                              <w:rPr>
                                <w:iCs/>
                                <w:szCs w:val="24"/>
                              </w:rPr>
                            </w:pPr>
                            <w:r>
                              <w:rPr>
                                <w:iCs/>
                                <w:szCs w:val="24"/>
                              </w:rPr>
                              <w:t>Direktoriaus pavaduotojas medicinai, Operacinių skyriaus vedėjas</w:t>
                            </w:r>
                          </w:p>
                        </w:tc>
                        <w:tc>
                          <w:tcPr>
                            <w:tcW w:w="1247" w:type="dxa"/>
                          </w:tcPr>
                          <w:p>
                            <w:pPr>
                              <w:keepLines/>
                              <w:rPr>
                                <w:i/>
                                <w:color w:val="808080"/>
                                <w:szCs w:val="24"/>
                              </w:rPr>
                            </w:pPr>
                            <w:r>
                              <w:rPr>
                                <w:i/>
                                <w:color w:val="808080"/>
                                <w:szCs w:val="24"/>
                              </w:rPr>
                              <w:t>-</w:t>
                            </w:r>
                          </w:p>
                        </w:tc>
                      </w:tr>
                      <w:tr>
                        <w:trPr>
                          <w:trHeight w:val="108"/>
                        </w:trPr>
                        <w:tc>
                          <w:tcPr>
                            <w:tcW w:w="14033" w:type="dxa"/>
                            <w:gridSpan w:val="10"/>
                            <w:shd w:val="clear" w:color="auto" w:fill="D9E5F3"/>
                          </w:tcPr>
                          <w:p>
                            <w:pPr>
                              <w:keepLines/>
                              <w:rPr>
                                <w:color w:val="000000"/>
                                <w:szCs w:val="24"/>
                              </w:rPr>
                            </w:pPr>
                            <w:r>
                              <w:rPr>
                                <w:color w:val="000000"/>
                                <w:szCs w:val="24"/>
                              </w:rPr>
                              <w:t>2. Tikslas:</w:t>
                            </w:r>
                            <w:r>
                              <w:rPr>
                                <w:szCs w:val="24"/>
                              </w:rPr>
                              <w:t xml:space="preserve"> </w:t>
                            </w:r>
                            <w:r>
                              <w:rPr>
                                <w:color w:val="000000"/>
                                <w:szCs w:val="24"/>
                              </w:rPr>
                              <w:t>Užtikrinti vienodas galimybes naudotis sveikatos priežiūros paslaugomis</w:t>
                            </w:r>
                          </w:p>
                        </w:tc>
                      </w:tr>
                      <w:tr>
                        <w:trPr>
                          <w:trHeight w:val="108"/>
                        </w:trPr>
                        <w:tc>
                          <w:tcPr>
                            <w:tcW w:w="14033" w:type="dxa"/>
                            <w:gridSpan w:val="10"/>
                            <w:shd w:val="clear" w:color="auto" w:fill="F6F9FC"/>
                          </w:tcPr>
                          <w:p>
                            <w:pPr>
                              <w:keepLines/>
                              <w:rPr>
                                <w:color w:val="000000"/>
                                <w:szCs w:val="24"/>
                              </w:rPr>
                            </w:pPr>
                            <w:r>
                              <w:rPr>
                                <w:color w:val="000000"/>
                                <w:szCs w:val="24"/>
                              </w:rPr>
                              <w:t>2.1. Uždavinys:</w:t>
                            </w:r>
                            <w:r>
                              <w:rPr>
                                <w:szCs w:val="24"/>
                              </w:rPr>
                              <w:t xml:space="preserve"> </w:t>
                            </w:r>
                            <w:r>
                              <w:rPr>
                                <w:color w:val="000000"/>
                                <w:szCs w:val="24"/>
                              </w:rPr>
                              <w:t>Didinti prioritetinių sveikatos priežiūros paslaugų prieinamumą ir jų apimtis</w:t>
                            </w:r>
                          </w:p>
                        </w:tc>
                      </w:tr>
                      <w:tr>
                        <w:tc>
                          <w:tcPr>
                            <w:tcW w:w="1304" w:type="dxa"/>
                          </w:tcPr>
                          <w:p>
                            <w:pPr>
                              <w:keepLines/>
                              <w:rPr>
                                <w:szCs w:val="24"/>
                              </w:rPr>
                            </w:pPr>
                            <w:r>
                              <w:rPr>
                                <w:bCs/>
                                <w:szCs w:val="24"/>
                              </w:rPr>
                              <w:t>Didinti ambulatorinių specializuotų paslaugų apimtis</w:t>
                            </w:r>
                          </w:p>
                        </w:tc>
                        <w:tc>
                          <w:tcPr>
                            <w:tcW w:w="1985" w:type="dxa"/>
                          </w:tcPr>
                          <w:p>
                            <w:pPr>
                              <w:keepLines/>
                              <w:rPr>
                                <w:szCs w:val="24"/>
                              </w:rPr>
                            </w:pPr>
                            <w:r>
                              <w:rPr>
                                <w:szCs w:val="24"/>
                              </w:rPr>
                              <w:t>Didėjantis ambulatorinių specializuotų paslaugų skaičius</w:t>
                            </w:r>
                          </w:p>
                        </w:tc>
                        <w:tc>
                          <w:tcPr>
                            <w:tcW w:w="850" w:type="dxa"/>
                          </w:tcPr>
                          <w:p>
                            <w:pPr>
                              <w:keepLines/>
                              <w:rPr>
                                <w:color w:val="000000"/>
                                <w:szCs w:val="24"/>
                              </w:rPr>
                            </w:pPr>
                            <w:r>
                              <w:rPr>
                                <w:color w:val="000000"/>
                                <w:szCs w:val="24"/>
                              </w:rPr>
                              <w:t>54825</w:t>
                            </w:r>
                          </w:p>
                        </w:tc>
                        <w:tc>
                          <w:tcPr>
                            <w:tcW w:w="851" w:type="dxa"/>
                          </w:tcPr>
                          <w:p>
                            <w:pPr>
                              <w:keepLines/>
                              <w:rPr>
                                <w:color w:val="000000"/>
                                <w:szCs w:val="24"/>
                              </w:rPr>
                            </w:pPr>
                            <w:r>
                              <w:rPr>
                                <w:color w:val="000000"/>
                                <w:szCs w:val="24"/>
                              </w:rPr>
                              <w:t>53090</w:t>
                            </w:r>
                          </w:p>
                        </w:tc>
                        <w:tc>
                          <w:tcPr>
                            <w:tcW w:w="1701" w:type="dxa"/>
                          </w:tcPr>
                          <w:p>
                            <w:pPr>
                              <w:keepLines/>
                              <w:rPr>
                                <w:color w:val="000000"/>
                                <w:szCs w:val="24"/>
                              </w:rPr>
                            </w:pPr>
                            <w:r>
                              <w:rPr>
                                <w:color w:val="000000"/>
                                <w:szCs w:val="24"/>
                              </w:rPr>
                              <w:t>49786</w:t>
                            </w:r>
                          </w:p>
                        </w:tc>
                        <w:tc>
                          <w:tcPr>
                            <w:tcW w:w="1701" w:type="dxa"/>
                            <w:vMerge w:val="restart"/>
                          </w:tcPr>
                          <w:p>
                            <w:pPr>
                              <w:keepLines/>
                              <w:rPr>
                                <w:iCs/>
                                <w:szCs w:val="24"/>
                              </w:rPr>
                            </w:pPr>
                            <w:r>
                              <w:rPr>
                                <w:iCs/>
                                <w:szCs w:val="24"/>
                              </w:rPr>
                              <w:t>Radviliškio rajono savivaldybės 2021-2030 m. strateginis plėtros planas. Priemonių plano: tikslas – 2.3.;</w:t>
                            </w:r>
                          </w:p>
                          <w:p>
                            <w:pPr>
                              <w:keepLines/>
                              <w:rPr>
                                <w:iCs/>
                                <w:szCs w:val="24"/>
                              </w:rPr>
                            </w:pPr>
                            <w:r>
                              <w:rPr>
                                <w:iCs/>
                                <w:szCs w:val="24"/>
                              </w:rPr>
                              <w:t>Uždavinys – 2.3.2.;</w:t>
                            </w:r>
                          </w:p>
                          <w:p>
                            <w:pPr>
                              <w:keepLines/>
                              <w:rPr>
                                <w:i/>
                                <w:color w:val="808080"/>
                                <w:szCs w:val="24"/>
                              </w:rPr>
                            </w:pPr>
                            <w:r>
                              <w:rPr>
                                <w:iCs/>
                                <w:szCs w:val="24"/>
                              </w:rPr>
                              <w:t>priemonės kodas - 2.3.2.1.</w:t>
                            </w:r>
                          </w:p>
                        </w:tc>
                        <w:tc>
                          <w:tcPr>
                            <w:tcW w:w="1417" w:type="dxa"/>
                          </w:tcPr>
                          <w:p>
                            <w:pPr>
                              <w:keepLines/>
                              <w:rPr>
                                <w:iCs/>
                                <w:szCs w:val="24"/>
                              </w:rPr>
                            </w:pPr>
                            <w:r>
                              <w:rPr>
                                <w:iCs/>
                                <w:szCs w:val="24"/>
                              </w:rPr>
                              <w:t>1 763 364 - Eur, Privalomojo sveikatos draudimo fondo (PSDF) lėšos</w:t>
                            </w:r>
                          </w:p>
                        </w:tc>
                        <w:tc>
                          <w:tcPr>
                            <w:tcW w:w="1418" w:type="dxa"/>
                          </w:tcPr>
                          <w:p>
                            <w:pPr>
                              <w:keepLines/>
                              <w:rPr>
                                <w:iCs/>
                                <w:szCs w:val="24"/>
                              </w:rPr>
                            </w:pPr>
                            <w:r>
                              <w:rPr>
                                <w:iCs/>
                                <w:szCs w:val="24"/>
                              </w:rPr>
                              <w:t>1 763 364 Eur,</w:t>
                            </w:r>
                          </w:p>
                          <w:p>
                            <w:pPr>
                              <w:keepLines/>
                              <w:rPr>
                                <w:iCs/>
                                <w:szCs w:val="24"/>
                              </w:rPr>
                            </w:pPr>
                            <w:r>
                              <w:rPr>
                                <w:iCs/>
                                <w:szCs w:val="24"/>
                              </w:rPr>
                              <w:t>Privalomojo sveikatos draudimo fondo (toliau - PSDF) lėšos</w:t>
                            </w:r>
                          </w:p>
                        </w:tc>
                        <w:tc>
                          <w:tcPr>
                            <w:tcW w:w="1559" w:type="dxa"/>
                            <w:vMerge w:val="restart"/>
                          </w:tcPr>
                          <w:p>
                            <w:pPr>
                              <w:keepLines/>
                              <w:rPr>
                                <w:iCs/>
                                <w:szCs w:val="24"/>
                              </w:rPr>
                            </w:pPr>
                            <w:r>
                              <w:rPr>
                                <w:iCs/>
                                <w:szCs w:val="24"/>
                              </w:rPr>
                              <w:t>Direktoriaus pavaduotojas medicinai, skyrių vedėjai</w:t>
                            </w:r>
                          </w:p>
                        </w:tc>
                        <w:tc>
                          <w:tcPr>
                            <w:tcW w:w="1247" w:type="dxa"/>
                          </w:tcPr>
                          <w:p>
                            <w:pPr>
                              <w:keepLines/>
                              <w:rPr>
                                <w:i/>
                                <w:color w:val="808080"/>
                                <w:szCs w:val="24"/>
                              </w:rPr>
                            </w:pPr>
                            <w:r>
                              <w:rPr>
                                <w:i/>
                                <w:color w:val="000000"/>
                                <w:szCs w:val="24"/>
                              </w:rPr>
                              <w:t>Didėjo išplėstinių konsultacijų skaičius, kurioms reikia skirti daugiau laiko.</w:t>
                            </w:r>
                          </w:p>
                        </w:tc>
                      </w:tr>
                      <w:tr>
                        <w:tc>
                          <w:tcPr>
                            <w:tcW w:w="1304" w:type="dxa"/>
                          </w:tcPr>
                          <w:p>
                            <w:pPr>
                              <w:keepLines/>
                              <w:rPr>
                                <w:bCs/>
                                <w:szCs w:val="24"/>
                              </w:rPr>
                            </w:pPr>
                            <w:r>
                              <w:rPr>
                                <w:bCs/>
                                <w:szCs w:val="24"/>
                              </w:rPr>
                              <w:t>Didinti ambulatorinių chirurgijos paslaugų apimtis</w:t>
                            </w:r>
                          </w:p>
                        </w:tc>
                        <w:tc>
                          <w:tcPr>
                            <w:tcW w:w="1985" w:type="dxa"/>
                          </w:tcPr>
                          <w:p>
                            <w:pPr>
                              <w:keepLines/>
                              <w:rPr>
                                <w:szCs w:val="24"/>
                              </w:rPr>
                            </w:pPr>
                            <w:r>
                              <w:rPr>
                                <w:szCs w:val="24"/>
                              </w:rPr>
                              <w:t>Didėjantis ambulatorinės chirurgijos paslaugų skaičius</w:t>
                            </w:r>
                          </w:p>
                        </w:tc>
                        <w:tc>
                          <w:tcPr>
                            <w:tcW w:w="850" w:type="dxa"/>
                          </w:tcPr>
                          <w:p>
                            <w:pPr>
                              <w:keepLines/>
                              <w:rPr>
                                <w:color w:val="000000"/>
                                <w:szCs w:val="24"/>
                              </w:rPr>
                            </w:pPr>
                            <w:r>
                              <w:rPr>
                                <w:color w:val="000000"/>
                                <w:szCs w:val="24"/>
                              </w:rPr>
                              <w:t>313</w:t>
                            </w:r>
                          </w:p>
                        </w:tc>
                        <w:tc>
                          <w:tcPr>
                            <w:tcW w:w="851" w:type="dxa"/>
                          </w:tcPr>
                          <w:p>
                            <w:pPr>
                              <w:keepLines/>
                              <w:rPr>
                                <w:color w:val="000000"/>
                                <w:szCs w:val="24"/>
                              </w:rPr>
                            </w:pPr>
                            <w:r>
                              <w:rPr>
                                <w:color w:val="000000"/>
                                <w:szCs w:val="24"/>
                              </w:rPr>
                              <w:t>290</w:t>
                            </w:r>
                          </w:p>
                        </w:tc>
                        <w:tc>
                          <w:tcPr>
                            <w:tcW w:w="1701" w:type="dxa"/>
                          </w:tcPr>
                          <w:p>
                            <w:pPr>
                              <w:keepLines/>
                              <w:rPr>
                                <w:color w:val="000000"/>
                                <w:szCs w:val="24"/>
                              </w:rPr>
                            </w:pPr>
                            <w:r>
                              <w:rPr>
                                <w:color w:val="000000"/>
                                <w:szCs w:val="24"/>
                              </w:rPr>
                              <w:t>273</w:t>
                            </w:r>
                          </w:p>
                        </w:tc>
                        <w:tc>
                          <w:tcPr>
                            <w:tcW w:w="1701" w:type="dxa"/>
                            <w:vMerge/>
                          </w:tcPr>
                          <w:p>
                            <w:pPr>
                              <w:keepLines/>
                              <w:rPr>
                                <w:i/>
                                <w:color w:val="808080"/>
                                <w:szCs w:val="24"/>
                              </w:rPr>
                            </w:pPr>
                          </w:p>
                        </w:tc>
                        <w:tc>
                          <w:tcPr>
                            <w:tcW w:w="1417" w:type="dxa"/>
                          </w:tcPr>
                          <w:p>
                            <w:pPr>
                              <w:keepLines/>
                              <w:rPr>
                                <w:iCs/>
                                <w:szCs w:val="24"/>
                              </w:rPr>
                            </w:pPr>
                            <w:r>
                              <w:rPr>
                                <w:iCs/>
                                <w:szCs w:val="24"/>
                              </w:rPr>
                              <w:t>21 471 Eur</w:t>
                            </w:r>
                          </w:p>
                        </w:tc>
                        <w:tc>
                          <w:tcPr>
                            <w:tcW w:w="1418" w:type="dxa"/>
                          </w:tcPr>
                          <w:p>
                            <w:pPr>
                              <w:keepLines/>
                              <w:rPr>
                                <w:iCs/>
                                <w:szCs w:val="24"/>
                              </w:rPr>
                            </w:pPr>
                            <w:r>
                              <w:rPr>
                                <w:iCs/>
                                <w:szCs w:val="24"/>
                              </w:rPr>
                              <w:t>21 471 Eur,</w:t>
                            </w:r>
                          </w:p>
                          <w:p>
                            <w:pPr>
                              <w:keepLines/>
                              <w:rPr>
                                <w:iCs/>
                                <w:szCs w:val="24"/>
                              </w:rPr>
                            </w:pPr>
                            <w:r>
                              <w:rPr>
                                <w:iCs/>
                                <w:szCs w:val="24"/>
                              </w:rPr>
                              <w:t>PSDF lėšos</w:t>
                            </w:r>
                          </w:p>
                        </w:tc>
                        <w:tc>
                          <w:tcPr>
                            <w:tcW w:w="1559" w:type="dxa"/>
                            <w:vMerge/>
                          </w:tcPr>
                          <w:p>
                            <w:pPr>
                              <w:keepLines/>
                              <w:rPr>
                                <w:i/>
                                <w:color w:val="808080"/>
                                <w:szCs w:val="24"/>
                              </w:rPr>
                            </w:pPr>
                          </w:p>
                        </w:tc>
                        <w:tc>
                          <w:tcPr>
                            <w:tcW w:w="1247" w:type="dxa"/>
                          </w:tcPr>
                          <w:p>
                            <w:pPr>
                              <w:keepLines/>
                              <w:rPr>
                                <w:i/>
                                <w:color w:val="808080"/>
                                <w:szCs w:val="24"/>
                              </w:rPr>
                            </w:pPr>
                            <w:r>
                              <w:rPr>
                                <w:i/>
                                <w:color w:val="000000"/>
                                <w:szCs w:val="24"/>
                              </w:rPr>
                              <w:t>Sumažėjo specialistų, teikiančių ambulatorinės chirurgijos paslaugas, skaičius.</w:t>
                            </w:r>
                          </w:p>
                        </w:tc>
                      </w:tr>
                      <w:tr>
                        <w:tc>
                          <w:tcPr>
                            <w:tcW w:w="1304" w:type="dxa"/>
                          </w:tcPr>
                          <w:p>
                            <w:pPr>
                              <w:keepLines/>
                              <w:rPr>
                                <w:bCs/>
                                <w:szCs w:val="24"/>
                              </w:rPr>
                            </w:pPr>
                            <w:r>
                              <w:rPr>
                                <w:bCs/>
                                <w:szCs w:val="24"/>
                              </w:rPr>
                              <w:t>Didinti dienos stacionaro paslaugų apimtis</w:t>
                            </w:r>
                          </w:p>
                        </w:tc>
                        <w:tc>
                          <w:tcPr>
                            <w:tcW w:w="1985" w:type="dxa"/>
                          </w:tcPr>
                          <w:p>
                            <w:pPr>
                              <w:keepLines/>
                              <w:rPr>
                                <w:szCs w:val="24"/>
                              </w:rPr>
                            </w:pPr>
                            <w:r>
                              <w:rPr>
                                <w:szCs w:val="24"/>
                              </w:rPr>
                              <w:t>Didėjantis dienos stacionaro paslaugų skaičius</w:t>
                            </w:r>
                          </w:p>
                        </w:tc>
                        <w:tc>
                          <w:tcPr>
                            <w:tcW w:w="850" w:type="dxa"/>
                          </w:tcPr>
                          <w:p>
                            <w:pPr>
                              <w:keepLines/>
                              <w:rPr>
                                <w:szCs w:val="24"/>
                              </w:rPr>
                            </w:pPr>
                            <w:r>
                              <w:rPr>
                                <w:szCs w:val="24"/>
                              </w:rPr>
                              <w:t>3 397</w:t>
                            </w:r>
                          </w:p>
                        </w:tc>
                        <w:tc>
                          <w:tcPr>
                            <w:tcW w:w="851" w:type="dxa"/>
                          </w:tcPr>
                          <w:p>
                            <w:pPr>
                              <w:keepLines/>
                              <w:rPr>
                                <w:szCs w:val="24"/>
                              </w:rPr>
                            </w:pPr>
                            <w:r>
                              <w:rPr>
                                <w:szCs w:val="24"/>
                              </w:rPr>
                              <w:t>4 539</w:t>
                            </w:r>
                          </w:p>
                        </w:tc>
                        <w:tc>
                          <w:tcPr>
                            <w:tcW w:w="1701" w:type="dxa"/>
                          </w:tcPr>
                          <w:p>
                            <w:pPr>
                              <w:keepLines/>
                              <w:rPr>
                                <w:szCs w:val="24"/>
                              </w:rPr>
                            </w:pPr>
                            <w:r>
                              <w:rPr>
                                <w:szCs w:val="24"/>
                              </w:rPr>
                              <w:t>5 967</w:t>
                            </w:r>
                          </w:p>
                        </w:tc>
                        <w:tc>
                          <w:tcPr>
                            <w:tcW w:w="1701" w:type="dxa"/>
                            <w:vMerge/>
                          </w:tcPr>
                          <w:p>
                            <w:pPr>
                              <w:keepLines/>
                              <w:rPr>
                                <w:i/>
                                <w:color w:val="808080"/>
                                <w:szCs w:val="24"/>
                                <w:highlight w:val="yellow"/>
                              </w:rPr>
                            </w:pPr>
                          </w:p>
                        </w:tc>
                        <w:tc>
                          <w:tcPr>
                            <w:tcW w:w="1417" w:type="dxa"/>
                          </w:tcPr>
                          <w:p>
                            <w:pPr>
                              <w:keepLines/>
                              <w:rPr>
                                <w:color w:val="000000"/>
                                <w:szCs w:val="24"/>
                              </w:rPr>
                            </w:pPr>
                            <w:r>
                              <w:rPr>
                                <w:color w:val="000000"/>
                                <w:szCs w:val="24"/>
                              </w:rPr>
                              <w:t>435 978 Eur</w:t>
                            </w:r>
                          </w:p>
                        </w:tc>
                        <w:tc>
                          <w:tcPr>
                            <w:tcW w:w="1418" w:type="dxa"/>
                          </w:tcPr>
                          <w:p>
                            <w:pPr>
                              <w:keepLines/>
                              <w:rPr>
                                <w:color w:val="000000"/>
                                <w:szCs w:val="24"/>
                              </w:rPr>
                            </w:pPr>
                            <w:r>
                              <w:rPr>
                                <w:color w:val="000000"/>
                                <w:szCs w:val="24"/>
                              </w:rPr>
                              <w:t>435 978 Eur,</w:t>
                            </w:r>
                          </w:p>
                          <w:p>
                            <w:pPr>
                              <w:keepLines/>
                              <w:rPr>
                                <w:color w:val="000000"/>
                                <w:szCs w:val="24"/>
                              </w:rPr>
                            </w:pPr>
                            <w:r>
                              <w:rPr>
                                <w:color w:val="000000"/>
                                <w:szCs w:val="24"/>
                              </w:rPr>
                              <w:t>PSDF lėšos</w:t>
                            </w:r>
                          </w:p>
                        </w:tc>
                        <w:tc>
                          <w:tcPr>
                            <w:tcW w:w="1559" w:type="dxa"/>
                            <w:vMerge/>
                          </w:tcPr>
                          <w:p>
                            <w:pPr>
                              <w:keepLines/>
                              <w:rPr>
                                <w:i/>
                                <w:color w:val="808080"/>
                                <w:szCs w:val="24"/>
                                <w:highlight w:val="yellow"/>
                              </w:rPr>
                            </w:pPr>
                          </w:p>
                        </w:tc>
                        <w:tc>
                          <w:tcPr>
                            <w:tcW w:w="1247" w:type="dxa"/>
                          </w:tcPr>
                          <w:p>
                            <w:pPr>
                              <w:keepLines/>
                              <w:rPr>
                                <w:i/>
                                <w:color w:val="808080"/>
                                <w:szCs w:val="24"/>
                                <w:highlight w:val="yellow"/>
                              </w:rPr>
                            </w:pPr>
                          </w:p>
                        </w:tc>
                      </w:tr>
                      <w:tr>
                        <w:tc>
                          <w:tcPr>
                            <w:tcW w:w="1304" w:type="dxa"/>
                          </w:tcPr>
                          <w:p>
                            <w:pPr>
                              <w:keepLines/>
                              <w:rPr>
                                <w:szCs w:val="24"/>
                              </w:rPr>
                            </w:pPr>
                            <w:r>
                              <w:rPr>
                                <w:bCs/>
                                <w:szCs w:val="24"/>
                              </w:rPr>
                              <w:t>Didinti priėmimo skubios pagalbos paslaugų apimtis</w:t>
                            </w:r>
                          </w:p>
                        </w:tc>
                        <w:tc>
                          <w:tcPr>
                            <w:tcW w:w="1985" w:type="dxa"/>
                          </w:tcPr>
                          <w:p>
                            <w:pPr>
                              <w:keepLines/>
                              <w:rPr>
                                <w:szCs w:val="24"/>
                              </w:rPr>
                            </w:pPr>
                            <w:r>
                              <w:rPr>
                                <w:szCs w:val="24"/>
                              </w:rPr>
                              <w:t>Didėjantis priėmimo skubios pagalbos paslaugų skaičius</w:t>
                            </w:r>
                          </w:p>
                        </w:tc>
                        <w:tc>
                          <w:tcPr>
                            <w:tcW w:w="850" w:type="dxa"/>
                          </w:tcPr>
                          <w:p>
                            <w:pPr>
                              <w:keepLines/>
                              <w:rPr>
                                <w:color w:val="000000"/>
                                <w:szCs w:val="24"/>
                              </w:rPr>
                            </w:pPr>
                            <w:r>
                              <w:rPr>
                                <w:color w:val="000000"/>
                                <w:szCs w:val="24"/>
                              </w:rPr>
                              <w:t>2 681</w:t>
                            </w:r>
                          </w:p>
                        </w:tc>
                        <w:tc>
                          <w:tcPr>
                            <w:tcW w:w="851" w:type="dxa"/>
                          </w:tcPr>
                          <w:p>
                            <w:pPr>
                              <w:keepLines/>
                              <w:rPr>
                                <w:color w:val="000000"/>
                                <w:szCs w:val="24"/>
                              </w:rPr>
                            </w:pPr>
                            <w:r>
                              <w:rPr>
                                <w:color w:val="000000"/>
                                <w:szCs w:val="24"/>
                              </w:rPr>
                              <w:t>2 629</w:t>
                            </w:r>
                          </w:p>
                        </w:tc>
                        <w:tc>
                          <w:tcPr>
                            <w:tcW w:w="1701" w:type="dxa"/>
                          </w:tcPr>
                          <w:p>
                            <w:pPr>
                              <w:keepLines/>
                              <w:rPr>
                                <w:color w:val="000000"/>
                                <w:szCs w:val="24"/>
                              </w:rPr>
                            </w:pPr>
                            <w:r>
                              <w:rPr>
                                <w:color w:val="000000"/>
                                <w:szCs w:val="24"/>
                              </w:rPr>
                              <w:t>3 224</w:t>
                            </w:r>
                          </w:p>
                        </w:tc>
                        <w:tc>
                          <w:tcPr>
                            <w:tcW w:w="1701" w:type="dxa"/>
                            <w:vMerge/>
                          </w:tcPr>
                          <w:p>
                            <w:pPr>
                              <w:keepLines/>
                              <w:rPr>
                                <w:i/>
                                <w:color w:val="808080"/>
                                <w:szCs w:val="24"/>
                                <w:highlight w:val="yellow"/>
                              </w:rPr>
                            </w:pPr>
                          </w:p>
                        </w:tc>
                        <w:tc>
                          <w:tcPr>
                            <w:tcW w:w="1417" w:type="dxa"/>
                          </w:tcPr>
                          <w:p>
                            <w:pPr>
                              <w:keepLines/>
                              <w:rPr>
                                <w:color w:val="000000"/>
                                <w:szCs w:val="24"/>
                              </w:rPr>
                            </w:pPr>
                            <w:r>
                              <w:rPr>
                                <w:color w:val="000000"/>
                                <w:szCs w:val="24"/>
                              </w:rPr>
                              <w:t>135 677 Eur</w:t>
                            </w:r>
                          </w:p>
                        </w:tc>
                        <w:tc>
                          <w:tcPr>
                            <w:tcW w:w="1418" w:type="dxa"/>
                          </w:tcPr>
                          <w:p>
                            <w:pPr>
                              <w:keepLines/>
                              <w:rPr>
                                <w:color w:val="000000"/>
                                <w:szCs w:val="24"/>
                              </w:rPr>
                            </w:pPr>
                            <w:r>
                              <w:rPr>
                                <w:color w:val="000000"/>
                                <w:szCs w:val="24"/>
                              </w:rPr>
                              <w:t>135 677 Eur,</w:t>
                            </w:r>
                          </w:p>
                          <w:p>
                            <w:pPr>
                              <w:keepLines/>
                              <w:rPr>
                                <w:color w:val="000000"/>
                                <w:szCs w:val="24"/>
                              </w:rPr>
                            </w:pPr>
                            <w:r>
                              <w:rPr>
                                <w:color w:val="000000"/>
                                <w:szCs w:val="24"/>
                              </w:rPr>
                              <w:t>PSDF lėšos</w:t>
                            </w:r>
                          </w:p>
                        </w:tc>
                        <w:tc>
                          <w:tcPr>
                            <w:tcW w:w="1559" w:type="dxa"/>
                            <w:vMerge/>
                          </w:tcPr>
                          <w:p>
                            <w:pPr>
                              <w:keepLines/>
                              <w:rPr>
                                <w:i/>
                                <w:color w:val="808080"/>
                                <w:szCs w:val="24"/>
                                <w:highlight w:val="yellow"/>
                              </w:rPr>
                            </w:pPr>
                          </w:p>
                        </w:tc>
                        <w:tc>
                          <w:tcPr>
                            <w:tcW w:w="1247" w:type="dxa"/>
                          </w:tcPr>
                          <w:p>
                            <w:pPr>
                              <w:keepLines/>
                              <w:rPr>
                                <w:i/>
                                <w:color w:val="808080"/>
                                <w:szCs w:val="24"/>
                                <w:highlight w:val="yellow"/>
                              </w:rPr>
                            </w:pPr>
                          </w:p>
                        </w:tc>
                      </w:tr>
                      <w:tr>
                        <w:tc>
                          <w:tcPr>
                            <w:tcW w:w="1304" w:type="dxa"/>
                          </w:tcPr>
                          <w:p>
                            <w:pPr>
                              <w:keepLines/>
                              <w:rPr>
                                <w:bCs/>
                                <w:szCs w:val="24"/>
                              </w:rPr>
                            </w:pPr>
                            <w:r>
                              <w:rPr>
                                <w:bCs/>
                                <w:szCs w:val="24"/>
                              </w:rPr>
                              <w:t>Didinti dienos chirurgijos paslaugų apimtis</w:t>
                            </w:r>
                          </w:p>
                        </w:tc>
                        <w:tc>
                          <w:tcPr>
                            <w:tcW w:w="1985" w:type="dxa"/>
                          </w:tcPr>
                          <w:p>
                            <w:pPr>
                              <w:keepLines/>
                              <w:rPr>
                                <w:szCs w:val="24"/>
                              </w:rPr>
                            </w:pPr>
                            <w:r>
                              <w:rPr>
                                <w:szCs w:val="24"/>
                              </w:rPr>
                              <w:t>Didėjantis dienos chirurgijos paslaugų skaičius</w:t>
                            </w:r>
                          </w:p>
                        </w:tc>
                        <w:tc>
                          <w:tcPr>
                            <w:tcW w:w="850" w:type="dxa"/>
                          </w:tcPr>
                          <w:p>
                            <w:pPr>
                              <w:keepLines/>
                              <w:rPr>
                                <w:szCs w:val="24"/>
                              </w:rPr>
                            </w:pPr>
                            <w:r>
                              <w:rPr>
                                <w:szCs w:val="24"/>
                              </w:rPr>
                              <w:t>1 777</w:t>
                            </w:r>
                          </w:p>
                        </w:tc>
                        <w:tc>
                          <w:tcPr>
                            <w:tcW w:w="851" w:type="dxa"/>
                          </w:tcPr>
                          <w:p>
                            <w:pPr>
                              <w:keepLines/>
                              <w:rPr>
                                <w:szCs w:val="24"/>
                              </w:rPr>
                            </w:pPr>
                            <w:r>
                              <w:rPr>
                                <w:szCs w:val="24"/>
                              </w:rPr>
                              <w:t>2 209</w:t>
                            </w:r>
                          </w:p>
                        </w:tc>
                        <w:tc>
                          <w:tcPr>
                            <w:tcW w:w="1701" w:type="dxa"/>
                          </w:tcPr>
                          <w:p>
                            <w:pPr>
                              <w:keepLines/>
                              <w:rPr>
                                <w:szCs w:val="24"/>
                              </w:rPr>
                            </w:pPr>
                            <w:r>
                              <w:rPr>
                                <w:szCs w:val="24"/>
                              </w:rPr>
                              <w:t>2 656</w:t>
                            </w:r>
                          </w:p>
                        </w:tc>
                        <w:tc>
                          <w:tcPr>
                            <w:tcW w:w="1701" w:type="dxa"/>
                            <w:vMerge/>
                          </w:tcPr>
                          <w:p>
                            <w:pPr>
                              <w:keepLines/>
                              <w:rPr>
                                <w:i/>
                                <w:color w:val="808080"/>
                                <w:szCs w:val="24"/>
                                <w:highlight w:val="yellow"/>
                              </w:rPr>
                            </w:pPr>
                          </w:p>
                        </w:tc>
                        <w:tc>
                          <w:tcPr>
                            <w:tcW w:w="1417" w:type="dxa"/>
                          </w:tcPr>
                          <w:p>
                            <w:pPr>
                              <w:keepLines/>
                              <w:rPr>
                                <w:color w:val="000000"/>
                                <w:szCs w:val="24"/>
                              </w:rPr>
                            </w:pPr>
                            <w:r>
                              <w:rPr>
                                <w:color w:val="000000"/>
                                <w:szCs w:val="24"/>
                              </w:rPr>
                              <w:t>1 880 327 Eur</w:t>
                            </w:r>
                          </w:p>
                        </w:tc>
                        <w:tc>
                          <w:tcPr>
                            <w:tcW w:w="1418" w:type="dxa"/>
                          </w:tcPr>
                          <w:p>
                            <w:pPr>
                              <w:keepLines/>
                              <w:rPr>
                                <w:color w:val="000000"/>
                                <w:szCs w:val="24"/>
                              </w:rPr>
                            </w:pPr>
                            <w:r>
                              <w:rPr>
                                <w:color w:val="000000"/>
                                <w:szCs w:val="24"/>
                              </w:rPr>
                              <w:t>1 880 327 Eur,</w:t>
                            </w:r>
                          </w:p>
                          <w:p>
                            <w:pPr>
                              <w:keepLines/>
                              <w:rPr>
                                <w:color w:val="000000"/>
                                <w:szCs w:val="24"/>
                              </w:rPr>
                            </w:pPr>
                            <w:r>
                              <w:rPr>
                                <w:color w:val="000000"/>
                                <w:szCs w:val="24"/>
                              </w:rPr>
                              <w:t>PSDF lėšos</w:t>
                            </w:r>
                          </w:p>
                        </w:tc>
                        <w:tc>
                          <w:tcPr>
                            <w:tcW w:w="1559" w:type="dxa"/>
                            <w:vMerge/>
                          </w:tcPr>
                          <w:p>
                            <w:pPr>
                              <w:keepLines/>
                              <w:rPr>
                                <w:i/>
                                <w:color w:val="808080"/>
                                <w:szCs w:val="24"/>
                                <w:highlight w:val="yellow"/>
                              </w:rPr>
                            </w:pPr>
                          </w:p>
                        </w:tc>
                        <w:tc>
                          <w:tcPr>
                            <w:tcW w:w="1247" w:type="dxa"/>
                          </w:tcPr>
                          <w:p>
                            <w:pPr>
                              <w:keepLines/>
                              <w:rPr>
                                <w:i/>
                                <w:color w:val="808080"/>
                                <w:szCs w:val="24"/>
                                <w:highlight w:val="yellow"/>
                              </w:rPr>
                            </w:pPr>
                          </w:p>
                        </w:tc>
                      </w:tr>
                      <w:tr>
                        <w:tc>
                          <w:tcPr>
                            <w:tcW w:w="1304" w:type="dxa"/>
                          </w:tcPr>
                          <w:p>
                            <w:pPr>
                              <w:keepLines/>
                              <w:rPr>
                                <w:bCs/>
                                <w:szCs w:val="24"/>
                              </w:rPr>
                            </w:pPr>
                            <w:r>
                              <w:rPr>
                                <w:bCs/>
                                <w:szCs w:val="24"/>
                              </w:rPr>
                              <w:t>Didinti stebėjimo paslaugų apimtis</w:t>
                            </w:r>
                          </w:p>
                        </w:tc>
                        <w:tc>
                          <w:tcPr>
                            <w:tcW w:w="1985" w:type="dxa"/>
                          </w:tcPr>
                          <w:p>
                            <w:pPr>
                              <w:keepLines/>
                              <w:rPr>
                                <w:szCs w:val="24"/>
                              </w:rPr>
                            </w:pPr>
                            <w:r>
                              <w:rPr>
                                <w:szCs w:val="24"/>
                              </w:rPr>
                              <w:t>Didėjantis stebėjimo paslaugų skaičius</w:t>
                            </w:r>
                          </w:p>
                        </w:tc>
                        <w:tc>
                          <w:tcPr>
                            <w:tcW w:w="850" w:type="dxa"/>
                          </w:tcPr>
                          <w:p>
                            <w:pPr>
                              <w:keepLines/>
                              <w:rPr>
                                <w:szCs w:val="24"/>
                              </w:rPr>
                            </w:pPr>
                            <w:r>
                              <w:rPr>
                                <w:szCs w:val="24"/>
                              </w:rPr>
                              <w:t>2 427</w:t>
                            </w:r>
                          </w:p>
                        </w:tc>
                        <w:tc>
                          <w:tcPr>
                            <w:tcW w:w="851" w:type="dxa"/>
                          </w:tcPr>
                          <w:p>
                            <w:pPr>
                              <w:keepLines/>
                              <w:rPr>
                                <w:szCs w:val="24"/>
                              </w:rPr>
                            </w:pPr>
                            <w:r>
                              <w:rPr>
                                <w:szCs w:val="24"/>
                              </w:rPr>
                              <w:t>2 809</w:t>
                            </w:r>
                          </w:p>
                        </w:tc>
                        <w:tc>
                          <w:tcPr>
                            <w:tcW w:w="1701" w:type="dxa"/>
                          </w:tcPr>
                          <w:p>
                            <w:pPr>
                              <w:keepLines/>
                              <w:rPr>
                                <w:szCs w:val="24"/>
                              </w:rPr>
                            </w:pPr>
                            <w:r>
                              <w:rPr>
                                <w:szCs w:val="24"/>
                              </w:rPr>
                              <w:t>3 022</w:t>
                            </w:r>
                          </w:p>
                        </w:tc>
                        <w:tc>
                          <w:tcPr>
                            <w:tcW w:w="1701" w:type="dxa"/>
                            <w:vMerge/>
                          </w:tcPr>
                          <w:p>
                            <w:pPr>
                              <w:keepLines/>
                              <w:rPr>
                                <w:i/>
                                <w:color w:val="808080"/>
                                <w:szCs w:val="24"/>
                                <w:highlight w:val="yellow"/>
                              </w:rPr>
                            </w:pPr>
                          </w:p>
                        </w:tc>
                        <w:tc>
                          <w:tcPr>
                            <w:tcW w:w="1417" w:type="dxa"/>
                          </w:tcPr>
                          <w:p>
                            <w:pPr>
                              <w:keepLines/>
                              <w:rPr>
                                <w:color w:val="000000"/>
                                <w:szCs w:val="24"/>
                              </w:rPr>
                            </w:pPr>
                            <w:r>
                              <w:rPr>
                                <w:color w:val="000000"/>
                                <w:szCs w:val="24"/>
                              </w:rPr>
                              <w:t>472 373 Eur</w:t>
                            </w:r>
                          </w:p>
                        </w:tc>
                        <w:tc>
                          <w:tcPr>
                            <w:tcW w:w="1418" w:type="dxa"/>
                          </w:tcPr>
                          <w:p>
                            <w:pPr>
                              <w:keepLines/>
                              <w:rPr>
                                <w:color w:val="000000"/>
                                <w:szCs w:val="24"/>
                              </w:rPr>
                            </w:pPr>
                            <w:r>
                              <w:rPr>
                                <w:color w:val="000000"/>
                                <w:szCs w:val="24"/>
                              </w:rPr>
                              <w:t>472 373 Eur,</w:t>
                            </w:r>
                          </w:p>
                          <w:p>
                            <w:pPr>
                              <w:keepLines/>
                              <w:rPr>
                                <w:color w:val="000000"/>
                                <w:szCs w:val="24"/>
                              </w:rPr>
                            </w:pPr>
                            <w:r>
                              <w:rPr>
                                <w:color w:val="000000"/>
                                <w:szCs w:val="24"/>
                              </w:rPr>
                              <w:t>PSDF lėšos</w:t>
                            </w:r>
                          </w:p>
                        </w:tc>
                        <w:tc>
                          <w:tcPr>
                            <w:tcW w:w="1559" w:type="dxa"/>
                            <w:vMerge/>
                          </w:tcPr>
                          <w:p>
                            <w:pPr>
                              <w:keepLines/>
                              <w:rPr>
                                <w:i/>
                                <w:color w:val="808080"/>
                                <w:szCs w:val="24"/>
                                <w:highlight w:val="yellow"/>
                              </w:rPr>
                            </w:pPr>
                          </w:p>
                        </w:tc>
                        <w:tc>
                          <w:tcPr>
                            <w:tcW w:w="1247" w:type="dxa"/>
                          </w:tcPr>
                          <w:p>
                            <w:pPr>
                              <w:keepLines/>
                              <w:rPr>
                                <w:i/>
                                <w:color w:val="808080"/>
                                <w:szCs w:val="24"/>
                                <w:highlight w:val="yellow"/>
                              </w:rPr>
                            </w:pPr>
                          </w:p>
                        </w:tc>
                      </w:tr>
                      <w:tr>
                        <w:tc>
                          <w:tcPr>
                            <w:tcW w:w="1304" w:type="dxa"/>
                          </w:tcPr>
                          <w:p>
                            <w:pPr>
                              <w:keepLines/>
                              <w:rPr>
                                <w:bCs/>
                                <w:szCs w:val="24"/>
                              </w:rPr>
                            </w:pPr>
                            <w:r>
                              <w:rPr>
                                <w:bCs/>
                                <w:szCs w:val="24"/>
                              </w:rPr>
                              <w:t>Didinti slaugos ir palaikomojo gydymo paslaugų apimtis</w:t>
                            </w:r>
                          </w:p>
                        </w:tc>
                        <w:tc>
                          <w:tcPr>
                            <w:tcW w:w="1985" w:type="dxa"/>
                          </w:tcPr>
                          <w:p>
                            <w:pPr>
                              <w:keepLines/>
                              <w:rPr>
                                <w:szCs w:val="24"/>
                              </w:rPr>
                            </w:pPr>
                            <w:r>
                              <w:rPr>
                                <w:szCs w:val="24"/>
                              </w:rPr>
                              <w:t>Didėjantis slaugos ir palaikomojo gydymo paslaugų skaičius</w:t>
                            </w:r>
                          </w:p>
                        </w:tc>
                        <w:tc>
                          <w:tcPr>
                            <w:tcW w:w="850" w:type="dxa"/>
                          </w:tcPr>
                          <w:p>
                            <w:pPr>
                              <w:keepLines/>
                              <w:rPr>
                                <w:szCs w:val="24"/>
                              </w:rPr>
                            </w:pPr>
                            <w:r>
                              <w:rPr>
                                <w:szCs w:val="24"/>
                              </w:rPr>
                              <w:t>14 099</w:t>
                            </w:r>
                          </w:p>
                        </w:tc>
                        <w:tc>
                          <w:tcPr>
                            <w:tcW w:w="851" w:type="dxa"/>
                          </w:tcPr>
                          <w:p>
                            <w:pPr>
                              <w:keepLines/>
                              <w:rPr>
                                <w:szCs w:val="24"/>
                              </w:rPr>
                            </w:pPr>
                            <w:r>
                              <w:rPr>
                                <w:szCs w:val="24"/>
                              </w:rPr>
                              <w:t>15 750</w:t>
                            </w:r>
                          </w:p>
                        </w:tc>
                        <w:tc>
                          <w:tcPr>
                            <w:tcW w:w="1701" w:type="dxa"/>
                          </w:tcPr>
                          <w:p>
                            <w:pPr>
                              <w:keepLines/>
                              <w:rPr>
                                <w:szCs w:val="24"/>
                              </w:rPr>
                            </w:pPr>
                            <w:r>
                              <w:rPr>
                                <w:szCs w:val="24"/>
                              </w:rPr>
                              <w:t>16 958</w:t>
                            </w:r>
                          </w:p>
                        </w:tc>
                        <w:tc>
                          <w:tcPr>
                            <w:tcW w:w="1701" w:type="dxa"/>
                            <w:vMerge/>
                          </w:tcPr>
                          <w:p>
                            <w:pPr>
                              <w:keepLines/>
                              <w:rPr>
                                <w:i/>
                                <w:color w:val="808080"/>
                                <w:szCs w:val="24"/>
                                <w:highlight w:val="yellow"/>
                              </w:rPr>
                            </w:pPr>
                          </w:p>
                        </w:tc>
                        <w:tc>
                          <w:tcPr>
                            <w:tcW w:w="1417" w:type="dxa"/>
                          </w:tcPr>
                          <w:p>
                            <w:pPr>
                              <w:keepLines/>
                              <w:rPr>
                                <w:color w:val="000000"/>
                                <w:szCs w:val="24"/>
                              </w:rPr>
                            </w:pPr>
                            <w:r>
                              <w:rPr>
                                <w:color w:val="000000"/>
                                <w:szCs w:val="24"/>
                              </w:rPr>
                              <w:t xml:space="preserve">1 450 246   Eur</w:t>
                            </w:r>
                          </w:p>
                        </w:tc>
                        <w:tc>
                          <w:tcPr>
                            <w:tcW w:w="1418" w:type="dxa"/>
                          </w:tcPr>
                          <w:p>
                            <w:pPr>
                              <w:keepLines/>
                              <w:rPr>
                                <w:color w:val="000000"/>
                                <w:szCs w:val="24"/>
                              </w:rPr>
                            </w:pPr>
                            <w:r>
                              <w:rPr>
                                <w:color w:val="000000"/>
                                <w:szCs w:val="24"/>
                              </w:rPr>
                              <w:t xml:space="preserve">1 450 246  Eur,</w:t>
                            </w:r>
                          </w:p>
                          <w:p>
                            <w:pPr>
                              <w:keepLines/>
                              <w:rPr>
                                <w:color w:val="000000"/>
                                <w:szCs w:val="24"/>
                              </w:rPr>
                            </w:pPr>
                            <w:r>
                              <w:rPr>
                                <w:color w:val="000000"/>
                                <w:szCs w:val="24"/>
                              </w:rPr>
                              <w:t>PSDF lėšos</w:t>
                            </w:r>
                          </w:p>
                        </w:tc>
                        <w:tc>
                          <w:tcPr>
                            <w:tcW w:w="1559" w:type="dxa"/>
                            <w:vMerge/>
                          </w:tcPr>
                          <w:p>
                            <w:pPr>
                              <w:keepLines/>
                              <w:rPr>
                                <w:i/>
                                <w:color w:val="808080"/>
                                <w:szCs w:val="24"/>
                                <w:highlight w:val="yellow"/>
                              </w:rPr>
                            </w:pPr>
                          </w:p>
                        </w:tc>
                        <w:tc>
                          <w:tcPr>
                            <w:tcW w:w="1247" w:type="dxa"/>
                          </w:tcPr>
                          <w:p>
                            <w:pPr>
                              <w:keepLines/>
                              <w:rPr>
                                <w:i/>
                                <w:color w:val="808080"/>
                                <w:szCs w:val="24"/>
                                <w:highlight w:val="yellow"/>
                              </w:rPr>
                            </w:pPr>
                          </w:p>
                        </w:tc>
                      </w:tr>
                      <w:tr>
                        <w:tc>
                          <w:tcPr>
                            <w:tcW w:w="14033" w:type="dxa"/>
                            <w:gridSpan w:val="10"/>
                            <w:shd w:val="clear" w:color="auto" w:fill="F6F9FC"/>
                          </w:tcPr>
                          <w:p>
                            <w:pPr>
                              <w:keepLines/>
                              <w:rPr>
                                <w:i/>
                                <w:color w:val="808080"/>
                                <w:szCs w:val="24"/>
                                <w:highlight w:val="yellow"/>
                              </w:rPr>
                            </w:pPr>
                            <w:r>
                              <w:rPr>
                                <w:bCs/>
                                <w:szCs w:val="24"/>
                              </w:rPr>
                              <w:t>2.2. Uždavinys: Didinti kitų sveikatos priežiūros paslaugų apimtis</w:t>
                            </w:r>
                          </w:p>
                        </w:tc>
                      </w:tr>
                      <w:tr>
                        <w:tc>
                          <w:tcPr>
                            <w:tcW w:w="1304" w:type="dxa"/>
                          </w:tcPr>
                          <w:p>
                            <w:pPr>
                              <w:keepLines/>
                              <w:rPr>
                                <w:bCs/>
                                <w:color w:val="000000"/>
                                <w:szCs w:val="24"/>
                              </w:rPr>
                            </w:pPr>
                            <w:r>
                              <w:rPr>
                                <w:bCs/>
                                <w:color w:val="000000"/>
                                <w:szCs w:val="24"/>
                              </w:rPr>
                              <w:t>Didinti geriatrijos paslaugų apimtis</w:t>
                            </w:r>
                          </w:p>
                        </w:tc>
                        <w:tc>
                          <w:tcPr>
                            <w:tcW w:w="1985" w:type="dxa"/>
                          </w:tcPr>
                          <w:p>
                            <w:pPr>
                              <w:keepLines/>
                              <w:rPr>
                                <w:iCs/>
                                <w:color w:val="000000"/>
                                <w:szCs w:val="24"/>
                              </w:rPr>
                            </w:pPr>
                            <w:r>
                              <w:rPr>
                                <w:iCs/>
                                <w:color w:val="000000"/>
                                <w:szCs w:val="24"/>
                              </w:rPr>
                              <w:t>Didėjantis geriatrijos paslaugų skaičius</w:t>
                            </w:r>
                          </w:p>
                        </w:tc>
                        <w:tc>
                          <w:tcPr>
                            <w:tcW w:w="850" w:type="dxa"/>
                          </w:tcPr>
                          <w:p>
                            <w:pPr>
                              <w:keepLines/>
                              <w:rPr>
                                <w:iCs/>
                                <w:szCs w:val="24"/>
                              </w:rPr>
                            </w:pPr>
                            <w:r>
                              <w:rPr>
                                <w:iCs/>
                                <w:szCs w:val="24"/>
                              </w:rPr>
                              <w:t>168</w:t>
                            </w:r>
                          </w:p>
                        </w:tc>
                        <w:tc>
                          <w:tcPr>
                            <w:tcW w:w="851" w:type="dxa"/>
                          </w:tcPr>
                          <w:p>
                            <w:pPr>
                              <w:keepLines/>
                              <w:rPr>
                                <w:iCs/>
                                <w:szCs w:val="24"/>
                              </w:rPr>
                            </w:pPr>
                            <w:r>
                              <w:rPr>
                                <w:iCs/>
                                <w:szCs w:val="24"/>
                              </w:rPr>
                              <w:t>932</w:t>
                            </w:r>
                          </w:p>
                        </w:tc>
                        <w:tc>
                          <w:tcPr>
                            <w:tcW w:w="1701" w:type="dxa"/>
                          </w:tcPr>
                          <w:p>
                            <w:pPr>
                              <w:keepLines/>
                              <w:rPr>
                                <w:iCs/>
                                <w:szCs w:val="24"/>
                              </w:rPr>
                            </w:pPr>
                            <w:r>
                              <w:rPr>
                                <w:iCs/>
                                <w:szCs w:val="24"/>
                              </w:rPr>
                              <w:t>959</w:t>
                            </w:r>
                          </w:p>
                        </w:tc>
                        <w:tc>
                          <w:tcPr>
                            <w:tcW w:w="1701" w:type="dxa"/>
                            <w:vMerge w:val="restart"/>
                          </w:tcPr>
                          <w:p>
                            <w:pPr>
                              <w:keepLines/>
                              <w:rPr>
                                <w:iCs/>
                                <w:color w:val="000000"/>
                                <w:szCs w:val="24"/>
                              </w:rPr>
                            </w:pPr>
                            <w:r>
                              <w:rPr>
                                <w:iCs/>
                                <w:color w:val="000000"/>
                                <w:szCs w:val="24"/>
                              </w:rPr>
                              <w:t>Radviliškio rajono savivaldybės 2021-2030 m. strateginis plėtros planas. Priemonių plano: tikslas – 2.3.;</w:t>
                            </w:r>
                          </w:p>
                          <w:p>
                            <w:pPr>
                              <w:keepLines/>
                              <w:rPr>
                                <w:iCs/>
                                <w:color w:val="000000"/>
                                <w:szCs w:val="24"/>
                              </w:rPr>
                            </w:pPr>
                            <w:r>
                              <w:rPr>
                                <w:iCs/>
                                <w:color w:val="000000"/>
                                <w:szCs w:val="24"/>
                              </w:rPr>
                              <w:t>Uždavinys – 2.3.2.;</w:t>
                            </w:r>
                          </w:p>
                          <w:p>
                            <w:pPr>
                              <w:keepLines/>
                              <w:rPr>
                                <w:i/>
                                <w:color w:val="000000"/>
                                <w:szCs w:val="24"/>
                                <w:highlight w:val="yellow"/>
                              </w:rPr>
                            </w:pPr>
                            <w:r>
                              <w:rPr>
                                <w:iCs/>
                                <w:color w:val="000000"/>
                                <w:szCs w:val="24"/>
                              </w:rPr>
                              <w:t>priemonės kodas - 2.3.2.1.</w:t>
                            </w:r>
                          </w:p>
                        </w:tc>
                        <w:tc>
                          <w:tcPr>
                            <w:tcW w:w="1417" w:type="dxa"/>
                          </w:tcPr>
                          <w:p>
                            <w:pPr>
                              <w:keepLines/>
                              <w:rPr>
                                <w:color w:val="000000"/>
                                <w:szCs w:val="24"/>
                              </w:rPr>
                            </w:pPr>
                            <w:r>
                              <w:rPr>
                                <w:color w:val="000000"/>
                                <w:szCs w:val="24"/>
                              </w:rPr>
                              <w:t>91 058 Eur</w:t>
                            </w:r>
                          </w:p>
                        </w:tc>
                        <w:tc>
                          <w:tcPr>
                            <w:tcW w:w="1418" w:type="dxa"/>
                          </w:tcPr>
                          <w:p>
                            <w:pPr>
                              <w:keepLines/>
                              <w:rPr>
                                <w:color w:val="000000"/>
                                <w:szCs w:val="24"/>
                              </w:rPr>
                            </w:pPr>
                            <w:r>
                              <w:rPr>
                                <w:color w:val="000000"/>
                                <w:szCs w:val="24"/>
                              </w:rPr>
                              <w:t>91 058 Eur,</w:t>
                            </w:r>
                          </w:p>
                          <w:p>
                            <w:pPr>
                              <w:keepLines/>
                              <w:rPr>
                                <w:color w:val="000000"/>
                                <w:szCs w:val="24"/>
                              </w:rPr>
                            </w:pPr>
                            <w:r>
                              <w:rPr>
                                <w:color w:val="000000"/>
                                <w:szCs w:val="24"/>
                              </w:rPr>
                              <w:t>PSDF lėšos</w:t>
                            </w:r>
                          </w:p>
                        </w:tc>
                        <w:tc>
                          <w:tcPr>
                            <w:tcW w:w="1559" w:type="dxa"/>
                            <w:vMerge w:val="restart"/>
                          </w:tcPr>
                          <w:p>
                            <w:pPr>
                              <w:keepLines/>
                              <w:rPr>
                                <w:iCs/>
                                <w:color w:val="000000"/>
                                <w:szCs w:val="24"/>
                                <w:highlight w:val="yellow"/>
                              </w:rPr>
                            </w:pPr>
                            <w:r>
                              <w:rPr>
                                <w:iCs/>
                                <w:color w:val="000000"/>
                                <w:szCs w:val="24"/>
                              </w:rPr>
                              <w:t>Direktoriaus pavaduotojas medicinai, skyrių vedėjai</w:t>
                            </w:r>
                          </w:p>
                        </w:tc>
                        <w:tc>
                          <w:tcPr>
                            <w:tcW w:w="1247" w:type="dxa"/>
                          </w:tcPr>
                          <w:p>
                            <w:pPr>
                              <w:keepLines/>
                              <w:rPr>
                                <w:i/>
                                <w:color w:val="808080"/>
                                <w:szCs w:val="24"/>
                                <w:highlight w:val="yellow"/>
                              </w:rPr>
                            </w:pPr>
                          </w:p>
                        </w:tc>
                      </w:tr>
                      <w:tr>
                        <w:tc>
                          <w:tcPr>
                            <w:tcW w:w="1304" w:type="dxa"/>
                          </w:tcPr>
                          <w:p>
                            <w:pPr>
                              <w:keepLines/>
                              <w:rPr>
                                <w:bCs/>
                                <w:color w:val="000000"/>
                                <w:szCs w:val="24"/>
                              </w:rPr>
                            </w:pPr>
                            <w:r>
                              <w:rPr>
                                <w:bCs/>
                                <w:color w:val="000000"/>
                                <w:szCs w:val="24"/>
                              </w:rPr>
                              <w:t>Didinti atliktų stacionarinių operacijų skaičių</w:t>
                            </w:r>
                          </w:p>
                        </w:tc>
                        <w:tc>
                          <w:tcPr>
                            <w:tcW w:w="1985" w:type="dxa"/>
                          </w:tcPr>
                          <w:p>
                            <w:pPr>
                              <w:keepLines/>
                              <w:rPr>
                                <w:iCs/>
                                <w:color w:val="000000"/>
                                <w:szCs w:val="24"/>
                              </w:rPr>
                            </w:pPr>
                            <w:r>
                              <w:rPr>
                                <w:iCs/>
                                <w:color w:val="000000"/>
                                <w:szCs w:val="24"/>
                              </w:rPr>
                              <w:t>Didėjantis atliktų stacionarinių operacijų skaičius</w:t>
                            </w:r>
                          </w:p>
                        </w:tc>
                        <w:tc>
                          <w:tcPr>
                            <w:tcW w:w="850" w:type="dxa"/>
                          </w:tcPr>
                          <w:p>
                            <w:pPr>
                              <w:keepLines/>
                              <w:rPr>
                                <w:iCs/>
                                <w:szCs w:val="24"/>
                              </w:rPr>
                            </w:pPr>
                            <w:r>
                              <w:rPr>
                                <w:iCs/>
                                <w:szCs w:val="24"/>
                              </w:rPr>
                              <w:t>2 930</w:t>
                            </w:r>
                          </w:p>
                        </w:tc>
                        <w:tc>
                          <w:tcPr>
                            <w:tcW w:w="851" w:type="dxa"/>
                          </w:tcPr>
                          <w:p>
                            <w:pPr>
                              <w:keepLines/>
                              <w:rPr>
                                <w:iCs/>
                                <w:szCs w:val="24"/>
                              </w:rPr>
                            </w:pPr>
                            <w:r>
                              <w:rPr>
                                <w:iCs/>
                                <w:szCs w:val="24"/>
                              </w:rPr>
                              <w:t>2 939</w:t>
                            </w:r>
                          </w:p>
                        </w:tc>
                        <w:tc>
                          <w:tcPr>
                            <w:tcW w:w="1701" w:type="dxa"/>
                          </w:tcPr>
                          <w:p>
                            <w:pPr>
                              <w:keepLines/>
                              <w:rPr>
                                <w:iCs/>
                                <w:szCs w:val="24"/>
                              </w:rPr>
                            </w:pPr>
                            <w:r>
                              <w:rPr>
                                <w:iCs/>
                                <w:szCs w:val="24"/>
                              </w:rPr>
                              <w:t>3 277</w:t>
                            </w:r>
                          </w:p>
                        </w:tc>
                        <w:tc>
                          <w:tcPr>
                            <w:tcW w:w="1701" w:type="dxa"/>
                            <w:vMerge/>
                          </w:tcPr>
                          <w:p>
                            <w:pPr>
                              <w:keepLines/>
                              <w:rPr>
                                <w:i/>
                                <w:color w:val="808080"/>
                                <w:szCs w:val="24"/>
                                <w:highlight w:val="yellow"/>
                              </w:rPr>
                            </w:pPr>
                          </w:p>
                        </w:tc>
                        <w:tc>
                          <w:tcPr>
                            <w:tcW w:w="1417" w:type="dxa"/>
                          </w:tcPr>
                          <w:p>
                            <w:pPr>
                              <w:keepLines/>
                              <w:rPr>
                                <w:i/>
                                <w:color w:val="808080"/>
                                <w:szCs w:val="24"/>
                              </w:rPr>
                            </w:pPr>
                            <w:r>
                              <w:rPr>
                                <w:color w:val="000000"/>
                                <w:szCs w:val="24"/>
                              </w:rPr>
                              <w:t>3 277 Eur</w:t>
                            </w:r>
                          </w:p>
                        </w:tc>
                        <w:tc>
                          <w:tcPr>
                            <w:tcW w:w="1418" w:type="dxa"/>
                          </w:tcPr>
                          <w:p>
                            <w:pPr>
                              <w:keepLines/>
                              <w:rPr>
                                <w:color w:val="000000"/>
                                <w:szCs w:val="24"/>
                              </w:rPr>
                            </w:pPr>
                            <w:r>
                              <w:rPr>
                                <w:color w:val="000000"/>
                                <w:szCs w:val="24"/>
                              </w:rPr>
                              <w:t>3 277- Eur,</w:t>
                            </w:r>
                          </w:p>
                          <w:p>
                            <w:pPr>
                              <w:keepLines/>
                              <w:rPr>
                                <w:i/>
                                <w:color w:val="808080"/>
                                <w:szCs w:val="24"/>
                              </w:rPr>
                            </w:pPr>
                            <w:r>
                              <w:rPr>
                                <w:color w:val="000000"/>
                                <w:szCs w:val="24"/>
                              </w:rPr>
                              <w:t>PSDF lėšos</w:t>
                            </w:r>
                          </w:p>
                        </w:tc>
                        <w:tc>
                          <w:tcPr>
                            <w:tcW w:w="1559" w:type="dxa"/>
                            <w:vMerge/>
                          </w:tcPr>
                          <w:p>
                            <w:pPr>
                              <w:keepLines/>
                              <w:rPr>
                                <w:i/>
                                <w:color w:val="808080"/>
                                <w:szCs w:val="24"/>
                                <w:highlight w:val="yellow"/>
                              </w:rPr>
                            </w:pPr>
                          </w:p>
                        </w:tc>
                        <w:tc>
                          <w:tcPr>
                            <w:tcW w:w="1247" w:type="dxa"/>
                          </w:tcPr>
                          <w:p>
                            <w:pPr>
                              <w:keepLines/>
                              <w:rPr>
                                <w:i/>
                                <w:color w:val="808080"/>
                                <w:szCs w:val="24"/>
                                <w:highlight w:val="yellow"/>
                              </w:rPr>
                            </w:pPr>
                          </w:p>
                        </w:tc>
                      </w:tr>
                      <w:tr>
                        <w:tc>
                          <w:tcPr>
                            <w:tcW w:w="14033" w:type="dxa"/>
                            <w:gridSpan w:val="10"/>
                            <w:shd w:val="clear" w:color="auto" w:fill="F6F9FC"/>
                          </w:tcPr>
                          <w:p>
                            <w:pPr>
                              <w:keepLines/>
                              <w:rPr>
                                <w:color w:val="000000"/>
                                <w:szCs w:val="24"/>
                              </w:rPr>
                            </w:pPr>
                            <w:r>
                              <w:rPr>
                                <w:bCs/>
                                <w:color w:val="000000"/>
                                <w:szCs w:val="24"/>
                              </w:rPr>
                              <w:t>2.3. Uždavinys: Teikti naujas sveikatos priežiūros paslaugas</w:t>
                            </w:r>
                          </w:p>
                        </w:tc>
                      </w:tr>
                      <w:tr>
                        <w:tc>
                          <w:tcPr>
                            <w:tcW w:w="1304" w:type="dxa"/>
                          </w:tcPr>
                          <w:p>
                            <w:pPr>
                              <w:keepLines/>
                              <w:rPr>
                                <w:bCs/>
                                <w:color w:val="000000"/>
                                <w:szCs w:val="24"/>
                              </w:rPr>
                            </w:pPr>
                            <w:r>
                              <w:rPr>
                                <w:bCs/>
                                <w:color w:val="000000"/>
                                <w:szCs w:val="24"/>
                              </w:rPr>
                              <w:t xml:space="preserve">Gauti Valstybinės akreditavimo sveikatos priežiūros veiklai tarnybos prie Sveikatos apsaugos ministerijos leidimą teikti intensyviosios terapijos ir intensyviosios priežiūros paslaugas </w:t>
                            </w:r>
                          </w:p>
                        </w:tc>
                        <w:tc>
                          <w:tcPr>
                            <w:tcW w:w="1985" w:type="dxa"/>
                          </w:tcPr>
                          <w:p>
                            <w:pPr>
                              <w:keepLines/>
                              <w:rPr>
                                <w:iCs/>
                                <w:color w:val="000000"/>
                                <w:szCs w:val="24"/>
                              </w:rPr>
                            </w:pPr>
                            <w:r>
                              <w:rPr>
                                <w:iCs/>
                                <w:color w:val="000000"/>
                                <w:szCs w:val="24"/>
                              </w:rPr>
                              <w:t>Patikslinta įstaigos licencija - gautas leidimas teikti intensyviosios terapijos ir intensyviosios priežiūros paslaugas</w:t>
                            </w:r>
                          </w:p>
                        </w:tc>
                        <w:tc>
                          <w:tcPr>
                            <w:tcW w:w="850" w:type="dxa"/>
                          </w:tcPr>
                          <w:p>
                            <w:pPr>
                              <w:keepLines/>
                              <w:rPr>
                                <w:iCs/>
                                <w:szCs w:val="24"/>
                              </w:rPr>
                            </w:pPr>
                            <w:r>
                              <w:rPr>
                                <w:iCs/>
                                <w:szCs w:val="24"/>
                              </w:rPr>
                              <w:t>-</w:t>
                            </w:r>
                          </w:p>
                        </w:tc>
                        <w:tc>
                          <w:tcPr>
                            <w:tcW w:w="851" w:type="dxa"/>
                          </w:tcPr>
                          <w:p>
                            <w:pPr>
                              <w:keepLines/>
                              <w:rPr>
                                <w:iCs/>
                                <w:szCs w:val="24"/>
                              </w:rPr>
                            </w:pPr>
                            <w:r>
                              <w:rPr>
                                <w:iCs/>
                                <w:szCs w:val="24"/>
                              </w:rPr>
                              <w:t>-</w:t>
                            </w:r>
                          </w:p>
                        </w:tc>
                        <w:tc>
                          <w:tcPr>
                            <w:tcW w:w="1701" w:type="dxa"/>
                          </w:tcPr>
                          <w:p>
                            <w:pPr>
                              <w:keepLines/>
                              <w:rPr>
                                <w:iCs/>
                                <w:szCs w:val="24"/>
                              </w:rPr>
                            </w:pPr>
                            <w:r>
                              <w:rPr>
                                <w:iCs/>
                                <w:color w:val="000000"/>
                                <w:szCs w:val="24"/>
                              </w:rPr>
                              <w:t>Patikslinta įstaigos licencija - gautas leidimas teikti intensyviosios terapijos ir intensyviosios priežiūros paslaugas</w:t>
                            </w:r>
                          </w:p>
                        </w:tc>
                        <w:tc>
                          <w:tcPr>
                            <w:tcW w:w="1701" w:type="dxa"/>
                          </w:tcPr>
                          <w:p>
                            <w:pPr>
                              <w:keepLines/>
                              <w:rPr>
                                <w:iCs/>
                                <w:color w:val="000000"/>
                                <w:szCs w:val="24"/>
                              </w:rPr>
                            </w:pPr>
                            <w:r>
                              <w:rPr>
                                <w:iCs/>
                                <w:color w:val="000000"/>
                                <w:szCs w:val="24"/>
                              </w:rPr>
                              <w:t>Radviliškio rajono savivaldybės 2021-2030 m. strateginis plėtros planas. Priemonių plano: tikslas – 2.3.;</w:t>
                            </w:r>
                          </w:p>
                          <w:p>
                            <w:pPr>
                              <w:keepLines/>
                              <w:rPr>
                                <w:iCs/>
                                <w:color w:val="000000"/>
                                <w:szCs w:val="24"/>
                              </w:rPr>
                            </w:pPr>
                            <w:r>
                              <w:rPr>
                                <w:iCs/>
                                <w:color w:val="000000"/>
                                <w:szCs w:val="24"/>
                              </w:rPr>
                              <w:t>Uždavinys – 2.3.2.;</w:t>
                            </w:r>
                          </w:p>
                          <w:p>
                            <w:pPr>
                              <w:keepLines/>
                              <w:rPr>
                                <w:i/>
                                <w:color w:val="808080"/>
                                <w:szCs w:val="24"/>
                              </w:rPr>
                            </w:pPr>
                            <w:r>
                              <w:rPr>
                                <w:iCs/>
                                <w:color w:val="000000"/>
                                <w:szCs w:val="24"/>
                              </w:rPr>
                              <w:t>priemonės kodas - 2.3.2.1.</w:t>
                            </w:r>
                          </w:p>
                        </w:tc>
                        <w:tc>
                          <w:tcPr>
                            <w:tcW w:w="1417" w:type="dxa"/>
                          </w:tcPr>
                          <w:p>
                            <w:pPr>
                              <w:keepLines/>
                              <w:rPr>
                                <w:iCs/>
                                <w:szCs w:val="24"/>
                              </w:rPr>
                            </w:pPr>
                            <w:r>
                              <w:rPr>
                                <w:iCs/>
                                <w:szCs w:val="24"/>
                              </w:rPr>
                              <w:t>-</w:t>
                            </w:r>
                          </w:p>
                        </w:tc>
                        <w:tc>
                          <w:tcPr>
                            <w:tcW w:w="1418" w:type="dxa"/>
                          </w:tcPr>
                          <w:p>
                            <w:pPr>
                              <w:keepLines/>
                              <w:rPr>
                                <w:iCs/>
                                <w:szCs w:val="24"/>
                              </w:rPr>
                            </w:pPr>
                            <w:r>
                              <w:rPr>
                                <w:iCs/>
                                <w:szCs w:val="24"/>
                              </w:rPr>
                              <w:t>-</w:t>
                            </w:r>
                          </w:p>
                        </w:tc>
                        <w:tc>
                          <w:tcPr>
                            <w:tcW w:w="1559" w:type="dxa"/>
                          </w:tcPr>
                          <w:p>
                            <w:pPr>
                              <w:keepLines/>
                              <w:rPr>
                                <w:iCs/>
                                <w:color w:val="808080"/>
                                <w:szCs w:val="24"/>
                              </w:rPr>
                            </w:pPr>
                            <w:r>
                              <w:rPr>
                                <w:iCs/>
                                <w:color w:val="000000"/>
                                <w:szCs w:val="24"/>
                              </w:rPr>
                              <w:t>Direktoriaus pavaduotojas medicinai, Bendrųjų reikalų skyriaus vedėjas</w:t>
                            </w:r>
                          </w:p>
                        </w:tc>
                        <w:tc>
                          <w:tcPr>
                            <w:tcW w:w="1247" w:type="dxa"/>
                          </w:tcPr>
                          <w:p>
                            <w:pPr>
                              <w:keepLines/>
                              <w:rPr>
                                <w:i/>
                                <w:color w:val="808080"/>
                                <w:szCs w:val="24"/>
                              </w:rPr>
                            </w:pPr>
                          </w:p>
                        </w:tc>
                      </w:tr>
                    </w:tbl>
                    <w:p>
                      <w:pPr>
                        <w:spacing w:line="276" w:lineRule="auto"/>
                        <w:rPr>
                          <w:rFonts w:eastAsia="Calibri"/>
                          <w:szCs w:val="24"/>
                        </w:rPr>
                        <w:sectPr>
                          <w:type w:val="nextColumn"/>
                          <w:pgSz w:w="16838" w:h="11906" w:orient="landscape"/>
                          <w:pgMar w:top="567" w:right="992" w:bottom="1701" w:left="1701" w:header="567" w:footer="567" w:gutter="0"/>
                          <w:pgNumType w:start="0"/>
                          <w:cols w:space="1296"/>
                          <w:titlePg/>
                          <w:docGrid w:linePitch="360"/>
                        </w:sectPr>
                      </w:pPr>
                    </w:p>
                  </w:sdtContent>
                </w:sdt>
                <w:sdt>
                  <w:sdtPr>
                    <w:alias w:val="skirsnis"/>
                    <w:tag w:val="part_88080cb34c7642518c57d36c6eb0d0ee"/>
                    <w:lock w:val="sdtLocked"/>
                    <w:richText/>
                  </w:sdtPr>
                  <w:sdtContent>
                    <w:p>
                      <w:pPr>
                        <w:spacing w:line="276" w:lineRule="auto"/>
                        <w:ind w:firstLine="567"/>
                        <w:jc w:val="center"/>
                        <w:rPr>
                          <w:b/>
                          <w:szCs w:val="24"/>
                          <w:lang w:eastAsia="lt-LT"/>
                        </w:rPr>
                      </w:pPr>
                      <w:sdt>
                        <w:sdtPr>
                          <w:alias w:val="Pavadinimas"/>
                          <w:tag w:val="title_88080cb34c7642518c57d36c6eb0d0ee"/>
                          <w:lock w:val="sdtLocked"/>
                          <w:richText/>
                        </w:sdtPr>
                        <w:sdtContent>
                          <w:r>
                            <w:rPr>
                              <w:b/>
                              <w:szCs w:val="24"/>
                              <w:lang w:eastAsia="lt-LT"/>
                            </w:rPr>
                            <w:t>Kita aktuali informacija apie įstaigos veiklą</w:t>
                          </w:r>
                        </w:sdtContent>
                      </w:sdt>
                    </w:p>
                    <w:p>
                      <w:pPr>
                        <w:ind w:right="282" w:firstLine="567"/>
                        <w:rPr>
                          <w:szCs w:val="24"/>
                          <w:highlight w:val="yellow"/>
                          <w:lang w:eastAsia="lt-LT"/>
                        </w:rPr>
                      </w:pPr>
                    </w:p>
                    <w:p>
                      <w:pPr>
                        <w:shd w:val="clear" w:color="auto" w:fill="FFFFFF"/>
                        <w:ind w:firstLine="851"/>
                        <w:rPr>
                          <w:color w:val="050505"/>
                          <w:szCs w:val="24"/>
                          <w:u w:val="single"/>
                          <w:shd w:val="clear" w:color="auto" w:fill="FFFFFF"/>
                        </w:rPr>
                      </w:pPr>
                      <w:r>
                        <w:rPr>
                          <w:color w:val="050505"/>
                          <w:szCs w:val="24"/>
                          <w:u w:val="single"/>
                          <w:shd w:val="clear" w:color="auto" w:fill="FFFFFF"/>
                        </w:rPr>
                        <w:t xml:space="preserve">Atlikti remonto darbai: </w:t>
                      </w:r>
                      <w:r>
                        <w:rPr>
                          <w:color w:val="050505"/>
                          <w:szCs w:val="24"/>
                          <w:lang w:eastAsia="lt-LT"/>
                        </w:rPr>
                        <w:t>siekiant pagerinti pacientų aptarnavimo kokybę, darbuotojų darbo sąlygas bei užtikrinti efektyvesnį patalpų panaudojimą, 2025 metais Ligoninėje buvo įgyvendinti infrastruktūros atnaujinimo ir patalpų pritaikymo darbai.</w:t>
                      </w:r>
                    </w:p>
                    <w:p>
                      <w:pPr>
                        <w:ind w:firstLine="851"/>
                        <w:rPr>
                          <w:color w:val="050505"/>
                          <w:szCs w:val="24"/>
                          <w:lang w:eastAsia="lt-LT"/>
                        </w:rPr>
                      </w:pPr>
                      <w:r>
                        <w:rPr>
                          <w:color w:val="050505"/>
                          <w:szCs w:val="24"/>
                          <w:lang w:eastAsia="lt-LT"/>
                        </w:rPr>
                        <w:t>Atlikti rūsio patalpų, laiptinės ir medicininių atliekų sandėlio remonto darbai. Atnaujintos grindų ir sienų dangos, sutvarkyta apšvietimo sistema, pagerintos higienos bei saugos sąlygos. Medicininių atliekų sandėlio patalpos pritaikytos saugiam atliekų tvarkymui ir laikymui.</w:t>
                      </w:r>
                    </w:p>
                    <w:p>
                      <w:pPr>
                        <w:ind w:firstLine="851"/>
                        <w:rPr>
                          <w:szCs w:val="24"/>
                          <w:lang w:eastAsia="lt-LT"/>
                        </w:rPr>
                      </w:pPr>
                      <w:r>
                        <w:rPr>
                          <w:color w:val="050505"/>
                          <w:szCs w:val="24"/>
                          <w:lang w:eastAsia="lt-LT"/>
                        </w:rPr>
                        <w:t xml:space="preserve">Atsižvelgiant į didėjantį paslaugų poreikį, didelės Slaugos ir palaikomojo gydymo skyriaus gydytojų kabineto patalpos buvo racionaliai pertvarkytos. Dalį patalpų pritaikius darbuotojų rūbinei, pagerintos personalo persirengimo ir daiktų laikymo sąlygos. Kita patalpų dalis perplanuota ir įrengta kaip papildoma pacientų palata. </w:t>
                      </w:r>
                      <w:r>
                        <w:rPr>
                          <w:szCs w:val="24"/>
                          <w:lang w:eastAsia="lt-LT"/>
                        </w:rPr>
                        <w:t xml:space="preserve">Konsultacinėje poliklinikoje atsisakius popierinių medicininių dokumentų ir perėjus prie skaitmeninių sprendimų, buvo optimizuotas registratūros patalpų išplanavimas. Atnaujinta registratūros darbo vieta, įrengtas papildomas kabinetas specialistų konsultacijoms, taip padidinant paslaugų prieinamumą ir efektyvumą. </w:t>
                      </w:r>
                    </w:p>
                    <w:p>
                      <w:pPr>
                        <w:ind w:firstLine="851"/>
                        <w:rPr>
                          <w:color w:val="050505"/>
                          <w:szCs w:val="24"/>
                          <w:lang w:eastAsia="lt-LT"/>
                        </w:rPr>
                      </w:pPr>
                      <w:r>
                        <w:rPr>
                          <w:kern w:val="2"/>
                          <w:szCs w:val="24"/>
                          <w:u w:val="single"/>
                          <w14:ligatures w14:val="standardContextual"/>
                        </w:rPr>
                        <w:t xml:space="preserve">Prevencinių sveikatinimo priemonių iniciatyvos: </w:t>
                      </w:r>
                      <w:r>
                        <w:rPr>
                          <w:kern w:val="2"/>
                          <w:szCs w:val="24"/>
                          <w14:ligatures w14:val="standardContextual"/>
                        </w:rPr>
                        <w:t>siekiant stiprinti vyresnio amžiaus asmenų sveikatą ir skatinti prevencines sveikatinimo priemones, ataskaitiniais metais, Ligoninėje du kartus buvo įgyvendintos iniciatyvos, kurių metu 60 metų ir vyresniems gyventojams savaitę laiko buvo teikiamos nemokamos haloterapijos (druskų kambario) paslaugos. Atsižvelgiant į didelį susidomėjimą ir aktyvų žmonių dalyvavimą, iniciatyvą planuojama tęsti ir 2026 metais.</w:t>
                      </w:r>
                    </w:p>
                    <w:p>
                      <w:pPr>
                        <w:ind w:firstLine="567"/>
                        <w:rPr>
                          <w:kern w:val="2"/>
                          <w:szCs w:val="24"/>
                          <w:u w:val="single"/>
                          <w14:ligatures w14:val="standardContextual"/>
                        </w:rPr>
                      </w:pPr>
                      <w:r>
                        <w:rPr>
                          <w:kern w:val="2"/>
                          <w:szCs w:val="24"/>
                          <w:u w:val="single"/>
                          <w14:ligatures w14:val="standardContextual"/>
                        </w:rPr>
                        <w:t>Skaidrumo ir informavimo stiprinimo priemonės: s</w:t>
                      </w:r>
                      <w:r>
                        <w:rPr>
                          <w:kern w:val="2"/>
                          <w:szCs w:val="24"/>
                          <w14:ligatures w14:val="standardContextual"/>
                        </w:rPr>
                        <w:t>iekiant didinti Ligoninės veiklos skaidrumą ir gerinti pacientų informavimą, 2025 metais Konsultacinėje poliklinikoje buvo įrengtas monitorius, kuriame skelbiama aktuali informacija apie korupcijos prevenciją, Ligoninės veiklą bei kiti pacientams svarbūs pranešimai.</w:t>
                      </w:r>
                    </w:p>
                    <w:p>
                      <w:pPr>
                        <w:suppressAutoHyphens/>
                        <w:ind w:firstLine="851"/>
                        <w:textAlignment w:val="baseline"/>
                        <w:rPr>
                          <w:b/>
                          <w:bCs/>
                          <w:szCs w:val="24"/>
                        </w:rPr>
                      </w:pPr>
                    </w:p>
                  </w:sdtContent>
                </w:sdt>
                <w:sdt>
                  <w:sdtPr>
                    <w:alias w:val="skirsnis"/>
                    <w:tag w:val="part_d9f56746eda74c5285960e170359525d"/>
                    <w:lock w:val="sdtLocked"/>
                    <w:richText/>
                  </w:sdtPr>
                  <w:sdtContent>
                    <w:p>
                      <w:pPr>
                        <w:suppressAutoHyphens/>
                        <w:jc w:val="center"/>
                        <w:textAlignment w:val="baseline"/>
                        <w:rPr>
                          <w:b/>
                          <w:bCs/>
                          <w:szCs w:val="24"/>
                        </w:rPr>
                      </w:pPr>
                      <w:sdt>
                        <w:sdtPr>
                          <w:alias w:val="Pavadinimas"/>
                          <w:tag w:val="title_d9f56746eda74c5285960e170359525d"/>
                          <w:lock w:val="sdtLocked"/>
                          <w:richText/>
                        </w:sdtPr>
                        <w:sdtContent>
                          <w:r>
                            <w:rPr>
                              <w:b/>
                              <w:bCs/>
                              <w:szCs w:val="24"/>
                            </w:rPr>
                            <w:t>Įstaigai skirtų asignavimų panaudojimas</w:t>
                          </w:r>
                        </w:sdtContent>
                      </w:sdt>
                    </w:p>
                    <w:p>
                      <w:pPr>
                        <w:suppressAutoHyphens/>
                        <w:textAlignment w:val="baseline"/>
                        <w:rPr>
                          <w:b/>
                          <w:bCs/>
                          <w:szCs w:val="24"/>
                        </w:rPr>
                      </w:pPr>
                    </w:p>
                    <w:p>
                      <w:pPr>
                        <w:suppressAutoHyphens/>
                        <w:ind w:firstLine="629"/>
                        <w:textAlignment w:val="baseline"/>
                        <w:rPr>
                          <w:szCs w:val="24"/>
                        </w:rPr>
                      </w:pPr>
                      <w:r>
                        <w:rPr>
                          <w:szCs w:val="24"/>
                        </w:rPr>
                        <w:t xml:space="preserve">Įstaigai skirtų Radviliškio rajono savivaldybės lėšų panaudojimas per 2023–2025 m. laikotarpį. </w:t>
                      </w:r>
                    </w:p>
                    <w:p>
                      <w:pPr>
                        <w:suppressAutoHyphens/>
                        <w:ind w:firstLine="851"/>
                        <w:textAlignment w:val="baseline"/>
                        <w:rPr>
                          <w:i/>
                          <w:iCs/>
                          <w:color w:val="808080"/>
                          <w:szCs w:val="24"/>
                          <w:highlight w:val="yellow"/>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5256"/>
                        <w:gridCol w:w="1224"/>
                        <w:gridCol w:w="1225"/>
                        <w:gridCol w:w="1225"/>
                      </w:tblGrid>
                      <w:tr>
                        <w:trPr>
                          <w:trHeight w:val="255"/>
                        </w:trPr>
                        <w:tc>
                          <w:tcPr>
                            <w:tcW w:w="704" w:type="dxa"/>
                            <w:vMerge w:val="restart"/>
                            <w:shd w:val="clear" w:color="auto" w:fill="D9E5F3"/>
                          </w:tcPr>
                          <w:p>
                            <w:pPr>
                              <w:rPr>
                                <w:b/>
                                <w:bCs/>
                                <w:color w:val="000000"/>
                                <w:szCs w:val="24"/>
                                <w:lang w:eastAsia="lt-LT"/>
                              </w:rPr>
                            </w:pPr>
                            <w:r>
                              <w:rPr>
                                <w:b/>
                                <w:bCs/>
                                <w:color w:val="000000"/>
                                <w:szCs w:val="24"/>
                                <w:lang w:eastAsia="lt-LT"/>
                              </w:rPr>
                              <w:t>Eil. Nr.</w:t>
                            </w:r>
                          </w:p>
                        </w:tc>
                        <w:tc>
                          <w:tcPr>
                            <w:tcW w:w="5256" w:type="dxa"/>
                            <w:vMerge w:val="restart"/>
                            <w:shd w:val="clear" w:color="auto" w:fill="D9E5F3"/>
                            <w:noWrap/>
                            <w:vAlign w:val="bottom"/>
                          </w:tcPr>
                          <w:p>
                            <w:pPr>
                              <w:rPr>
                                <w:b/>
                                <w:bCs/>
                                <w:color w:val="000000"/>
                                <w:szCs w:val="24"/>
                                <w:lang w:eastAsia="lt-LT"/>
                              </w:rPr>
                            </w:pPr>
                            <w:r>
                              <w:rPr>
                                <w:b/>
                                <w:bCs/>
                                <w:color w:val="000000"/>
                                <w:szCs w:val="24"/>
                                <w:lang w:eastAsia="lt-LT"/>
                              </w:rPr>
                              <w:t>Radviliškio rajono savivaldybės lėšų panaudojimas</w:t>
                            </w:r>
                          </w:p>
                        </w:tc>
                        <w:tc>
                          <w:tcPr>
                            <w:tcW w:w="3674" w:type="dxa"/>
                            <w:gridSpan w:val="3"/>
                            <w:shd w:val="clear" w:color="auto" w:fill="D9E5F3"/>
                            <w:noWrap/>
                            <w:vAlign w:val="bottom"/>
                          </w:tcPr>
                          <w:p>
                            <w:pPr>
                              <w:rPr>
                                <w:b/>
                                <w:bCs/>
                                <w:color w:val="000000"/>
                                <w:szCs w:val="24"/>
                                <w:lang w:eastAsia="lt-LT"/>
                              </w:rPr>
                            </w:pPr>
                            <w:r>
                              <w:rPr>
                                <w:b/>
                                <w:bCs/>
                                <w:color w:val="000000"/>
                                <w:szCs w:val="24"/>
                                <w:lang w:eastAsia="lt-LT"/>
                              </w:rPr>
                              <w:t>Suma, Eur</w:t>
                            </w:r>
                          </w:p>
                        </w:tc>
                      </w:tr>
                      <w:tr>
                        <w:trPr>
                          <w:trHeight w:val="255"/>
                        </w:trPr>
                        <w:tc>
                          <w:tcPr>
                            <w:tcW w:w="704" w:type="dxa"/>
                            <w:vMerge/>
                            <w:shd w:val="clear" w:color="auto" w:fill="D9E5F3"/>
                          </w:tcPr>
                          <w:p>
                            <w:pPr>
                              <w:rPr>
                                <w:b/>
                                <w:bCs/>
                                <w:color w:val="000000"/>
                                <w:szCs w:val="24"/>
                                <w:lang w:eastAsia="lt-LT"/>
                              </w:rPr>
                            </w:pPr>
                          </w:p>
                        </w:tc>
                        <w:tc>
                          <w:tcPr>
                            <w:tcW w:w="5256" w:type="dxa"/>
                            <w:vMerge/>
                            <w:shd w:val="clear" w:color="auto" w:fill="D9E5F3"/>
                            <w:noWrap/>
                            <w:vAlign w:val="bottom"/>
                          </w:tcPr>
                          <w:p>
                            <w:pPr>
                              <w:rPr>
                                <w:b/>
                                <w:bCs/>
                                <w:color w:val="000000"/>
                                <w:szCs w:val="24"/>
                                <w:lang w:eastAsia="lt-LT"/>
                              </w:rPr>
                            </w:pPr>
                          </w:p>
                        </w:tc>
                        <w:tc>
                          <w:tcPr>
                            <w:tcW w:w="1224" w:type="dxa"/>
                            <w:shd w:val="clear" w:color="auto" w:fill="F6F9FC"/>
                            <w:noWrap/>
                            <w:vAlign w:val="bottom"/>
                          </w:tcPr>
                          <w:p>
                            <w:pPr>
                              <w:rPr>
                                <w:b/>
                                <w:bCs/>
                                <w:color w:val="000000"/>
                                <w:szCs w:val="24"/>
                                <w:lang w:eastAsia="lt-LT"/>
                              </w:rPr>
                            </w:pPr>
                            <w:r>
                              <w:rPr>
                                <w:b/>
                                <w:bCs/>
                                <w:color w:val="000000"/>
                                <w:szCs w:val="24"/>
                                <w:lang w:eastAsia="lt-LT"/>
                              </w:rPr>
                              <w:t>2023 m.</w:t>
                            </w:r>
                          </w:p>
                        </w:tc>
                        <w:tc>
                          <w:tcPr>
                            <w:tcW w:w="1225" w:type="dxa"/>
                            <w:shd w:val="clear" w:color="auto" w:fill="F6F9FC"/>
                            <w:noWrap/>
                            <w:vAlign w:val="bottom"/>
                          </w:tcPr>
                          <w:p>
                            <w:pPr>
                              <w:rPr>
                                <w:b/>
                                <w:bCs/>
                                <w:color w:val="000000"/>
                                <w:szCs w:val="24"/>
                                <w:lang w:eastAsia="lt-LT"/>
                              </w:rPr>
                            </w:pPr>
                            <w:r>
                              <w:rPr>
                                <w:b/>
                                <w:bCs/>
                                <w:color w:val="000000"/>
                                <w:szCs w:val="24"/>
                                <w:lang w:eastAsia="lt-LT"/>
                              </w:rPr>
                              <w:t>2024 m.</w:t>
                            </w:r>
                          </w:p>
                        </w:tc>
                        <w:tc>
                          <w:tcPr>
                            <w:tcW w:w="1225" w:type="dxa"/>
                            <w:shd w:val="clear" w:color="auto" w:fill="F6F9FC"/>
                            <w:noWrap/>
                            <w:vAlign w:val="bottom"/>
                          </w:tcPr>
                          <w:p>
                            <w:pPr>
                              <w:rPr>
                                <w:b/>
                                <w:bCs/>
                                <w:color w:val="000000"/>
                                <w:szCs w:val="24"/>
                                <w:lang w:eastAsia="lt-LT"/>
                              </w:rPr>
                            </w:pPr>
                            <w:r>
                              <w:rPr>
                                <w:b/>
                                <w:bCs/>
                                <w:color w:val="000000"/>
                                <w:szCs w:val="24"/>
                                <w:lang w:eastAsia="lt-LT"/>
                              </w:rPr>
                              <w:t>2025 m.</w:t>
                            </w:r>
                          </w:p>
                        </w:tc>
                      </w:tr>
                      <w:tr>
                        <w:trPr>
                          <w:trHeight w:val="300"/>
                        </w:trPr>
                        <w:tc>
                          <w:tcPr>
                            <w:tcW w:w="704" w:type="dxa"/>
                          </w:tcPr>
                          <w:p>
                            <w:pPr>
                              <w:rPr>
                                <w:color w:val="000000"/>
                                <w:szCs w:val="24"/>
                                <w:lang w:eastAsia="lt-LT"/>
                              </w:rPr>
                            </w:pPr>
                            <w:r>
                              <w:rPr>
                                <w:color w:val="000000"/>
                                <w:szCs w:val="24"/>
                                <w:lang w:eastAsia="lt-LT"/>
                              </w:rPr>
                              <w:t>1.</w:t>
                            </w:r>
                          </w:p>
                        </w:tc>
                        <w:tc>
                          <w:tcPr>
                            <w:tcW w:w="5256" w:type="dxa"/>
                            <w:noWrap/>
                            <w:vAlign w:val="bottom"/>
                          </w:tcPr>
                          <w:p>
                            <w:pPr>
                              <w:rPr>
                                <w:color w:val="000000"/>
                                <w:szCs w:val="24"/>
                                <w:lang w:eastAsia="lt-LT"/>
                              </w:rPr>
                            </w:pPr>
                            <w:r>
                              <w:rPr>
                                <w:color w:val="000000"/>
                                <w:szCs w:val="24"/>
                                <w:lang w:eastAsia="lt-LT"/>
                              </w:rPr>
                              <w:t>Kompiuterinio tomografo įsigijimo dalinis finansavimas</w:t>
                            </w:r>
                          </w:p>
                        </w:tc>
                        <w:tc>
                          <w:tcPr>
                            <w:tcW w:w="1224" w:type="dxa"/>
                            <w:noWrap/>
                            <w:vAlign w:val="center"/>
                          </w:tcPr>
                          <w:p>
                            <w:pPr>
                              <w:rPr>
                                <w:color w:val="000000"/>
                                <w:szCs w:val="24"/>
                                <w:lang w:eastAsia="lt-LT"/>
                              </w:rPr>
                            </w:pPr>
                            <w:r>
                              <w:rPr>
                                <w:color w:val="000000"/>
                                <w:szCs w:val="24"/>
                                <w:lang w:eastAsia="lt-LT"/>
                              </w:rPr>
                              <w:t>120000</w:t>
                            </w:r>
                          </w:p>
                        </w:tc>
                        <w:tc>
                          <w:tcPr>
                            <w:tcW w:w="1225" w:type="dxa"/>
                            <w:noWrap/>
                            <w:vAlign w:val="center"/>
                          </w:tcPr>
                          <w:p>
                            <w:pPr>
                              <w:rPr>
                                <w:color w:val="000000"/>
                                <w:szCs w:val="24"/>
                                <w:lang w:eastAsia="lt-LT"/>
                              </w:rPr>
                            </w:pPr>
                            <w:r>
                              <w:rPr>
                                <w:color w:val="000000"/>
                                <w:szCs w:val="24"/>
                                <w:lang w:eastAsia="lt-LT"/>
                              </w:rPr>
                              <w:t>-</w:t>
                            </w:r>
                          </w:p>
                        </w:tc>
                        <w:tc>
                          <w:tcPr>
                            <w:tcW w:w="1225" w:type="dxa"/>
                            <w:noWrap/>
                            <w:vAlign w:val="center"/>
                          </w:tcPr>
                          <w:p>
                            <w:pPr>
                              <w:rPr>
                                <w:color w:val="000000"/>
                                <w:szCs w:val="24"/>
                                <w:lang w:eastAsia="lt-LT"/>
                              </w:rPr>
                            </w:pPr>
                            <w:r>
                              <w:rPr>
                                <w:color w:val="000000"/>
                                <w:szCs w:val="24"/>
                                <w:lang w:eastAsia="lt-LT"/>
                              </w:rPr>
                              <w:t>-</w:t>
                            </w:r>
                          </w:p>
                        </w:tc>
                      </w:tr>
                      <w:tr>
                        <w:trPr>
                          <w:trHeight w:val="300"/>
                        </w:trPr>
                        <w:tc>
                          <w:tcPr>
                            <w:tcW w:w="704" w:type="dxa"/>
                          </w:tcPr>
                          <w:p>
                            <w:pPr>
                              <w:rPr>
                                <w:color w:val="000000"/>
                                <w:szCs w:val="24"/>
                                <w:lang w:eastAsia="lt-LT"/>
                              </w:rPr>
                            </w:pPr>
                            <w:r>
                              <w:rPr>
                                <w:color w:val="000000"/>
                                <w:szCs w:val="24"/>
                                <w:lang w:eastAsia="lt-LT"/>
                              </w:rPr>
                              <w:t>2.</w:t>
                            </w:r>
                          </w:p>
                        </w:tc>
                        <w:tc>
                          <w:tcPr>
                            <w:tcW w:w="5256" w:type="dxa"/>
                            <w:noWrap/>
                            <w:vAlign w:val="bottom"/>
                          </w:tcPr>
                          <w:p>
                            <w:pPr>
                              <w:rPr>
                                <w:color w:val="000000"/>
                                <w:szCs w:val="24"/>
                                <w:lang w:eastAsia="lt-LT"/>
                              </w:rPr>
                            </w:pPr>
                            <w:r>
                              <w:rPr>
                                <w:color w:val="000000"/>
                                <w:szCs w:val="24"/>
                                <w:lang w:eastAsia="lt-LT"/>
                              </w:rPr>
                              <w:t>Įstaigos darbuotojų psichikos sveikatos stiprinimas</w:t>
                            </w:r>
                          </w:p>
                        </w:tc>
                        <w:tc>
                          <w:tcPr>
                            <w:tcW w:w="1224" w:type="dxa"/>
                            <w:noWrap/>
                            <w:vAlign w:val="center"/>
                          </w:tcPr>
                          <w:p>
                            <w:pPr>
                              <w:rPr>
                                <w:color w:val="000000"/>
                                <w:szCs w:val="24"/>
                                <w:lang w:eastAsia="lt-LT"/>
                              </w:rPr>
                            </w:pPr>
                            <w:r>
                              <w:rPr>
                                <w:color w:val="000000"/>
                                <w:szCs w:val="24"/>
                                <w:lang w:eastAsia="lt-LT"/>
                              </w:rPr>
                              <w:t>-</w:t>
                            </w:r>
                          </w:p>
                        </w:tc>
                        <w:tc>
                          <w:tcPr>
                            <w:tcW w:w="1225" w:type="dxa"/>
                            <w:noWrap/>
                            <w:vAlign w:val="center"/>
                          </w:tcPr>
                          <w:p>
                            <w:pPr>
                              <w:rPr>
                                <w:color w:val="000000"/>
                                <w:szCs w:val="24"/>
                                <w:lang w:eastAsia="lt-LT"/>
                              </w:rPr>
                            </w:pPr>
                            <w:r>
                              <w:rPr>
                                <w:color w:val="000000"/>
                                <w:szCs w:val="24"/>
                                <w:lang w:eastAsia="lt-LT"/>
                              </w:rPr>
                              <w:t>500</w:t>
                            </w:r>
                          </w:p>
                        </w:tc>
                        <w:tc>
                          <w:tcPr>
                            <w:tcW w:w="1225" w:type="dxa"/>
                            <w:noWrap/>
                            <w:vAlign w:val="center"/>
                          </w:tcPr>
                          <w:p>
                            <w:pPr>
                              <w:rPr>
                                <w:color w:val="000000"/>
                                <w:szCs w:val="24"/>
                                <w:lang w:eastAsia="lt-LT"/>
                              </w:rPr>
                            </w:pPr>
                            <w:r>
                              <w:rPr>
                                <w:color w:val="000000"/>
                                <w:szCs w:val="24"/>
                                <w:lang w:eastAsia="lt-LT"/>
                              </w:rPr>
                              <w:t>595</w:t>
                            </w:r>
                          </w:p>
                        </w:tc>
                      </w:tr>
                      <w:tr>
                        <w:trPr>
                          <w:trHeight w:val="300"/>
                        </w:trPr>
                        <w:tc>
                          <w:tcPr>
                            <w:tcW w:w="704" w:type="dxa"/>
                          </w:tcPr>
                          <w:p>
                            <w:pPr>
                              <w:rPr>
                                <w:color w:val="000000"/>
                                <w:szCs w:val="24"/>
                                <w:lang w:eastAsia="lt-LT"/>
                              </w:rPr>
                            </w:pPr>
                            <w:r>
                              <w:rPr>
                                <w:color w:val="000000"/>
                                <w:szCs w:val="24"/>
                                <w:lang w:eastAsia="lt-LT"/>
                              </w:rPr>
                              <w:t>3.</w:t>
                            </w:r>
                          </w:p>
                        </w:tc>
                        <w:tc>
                          <w:tcPr>
                            <w:tcW w:w="5256" w:type="dxa"/>
                            <w:noWrap/>
                            <w:vAlign w:val="bottom"/>
                          </w:tcPr>
                          <w:p>
                            <w:pPr>
                              <w:rPr>
                                <w:color w:val="000000"/>
                                <w:szCs w:val="24"/>
                                <w:lang w:eastAsia="lt-LT"/>
                              </w:rPr>
                            </w:pPr>
                            <w:r>
                              <w:rPr>
                                <w:color w:val="000000"/>
                                <w:szCs w:val="24"/>
                                <w:lang w:eastAsia="lt-LT"/>
                              </w:rPr>
                              <w:t>Radviliškio ligoninės generatoriaus įsigijimas</w:t>
                            </w:r>
                          </w:p>
                        </w:tc>
                        <w:tc>
                          <w:tcPr>
                            <w:tcW w:w="1224" w:type="dxa"/>
                            <w:noWrap/>
                            <w:vAlign w:val="center"/>
                          </w:tcPr>
                          <w:p>
                            <w:pPr>
                              <w:rPr>
                                <w:color w:val="000000"/>
                                <w:szCs w:val="24"/>
                                <w:lang w:eastAsia="lt-LT"/>
                              </w:rPr>
                            </w:pPr>
                            <w:r>
                              <w:rPr>
                                <w:color w:val="000000"/>
                                <w:szCs w:val="24"/>
                                <w:lang w:eastAsia="lt-LT"/>
                              </w:rPr>
                              <w:t>-</w:t>
                            </w:r>
                          </w:p>
                        </w:tc>
                        <w:tc>
                          <w:tcPr>
                            <w:tcW w:w="1225" w:type="dxa"/>
                            <w:noWrap/>
                            <w:vAlign w:val="center"/>
                          </w:tcPr>
                          <w:p>
                            <w:pPr>
                              <w:rPr>
                                <w:color w:val="000000"/>
                                <w:szCs w:val="24"/>
                                <w:lang w:eastAsia="lt-LT"/>
                              </w:rPr>
                            </w:pPr>
                            <w:r>
                              <w:rPr>
                                <w:color w:val="000000"/>
                                <w:szCs w:val="24"/>
                                <w:lang w:eastAsia="lt-LT"/>
                              </w:rPr>
                              <w:t>69066,80</w:t>
                            </w:r>
                          </w:p>
                        </w:tc>
                        <w:tc>
                          <w:tcPr>
                            <w:tcW w:w="1225" w:type="dxa"/>
                            <w:noWrap/>
                            <w:vAlign w:val="center"/>
                          </w:tcPr>
                          <w:p>
                            <w:pPr>
                              <w:rPr>
                                <w:color w:val="000000"/>
                                <w:szCs w:val="24"/>
                                <w:lang w:eastAsia="lt-LT"/>
                              </w:rPr>
                            </w:pPr>
                            <w:r>
                              <w:rPr>
                                <w:color w:val="000000"/>
                                <w:szCs w:val="24"/>
                                <w:lang w:eastAsia="lt-LT"/>
                              </w:rPr>
                              <w:t>-</w:t>
                            </w:r>
                          </w:p>
                        </w:tc>
                      </w:tr>
                      <w:tr>
                        <w:trPr>
                          <w:trHeight w:val="300"/>
                        </w:trPr>
                        <w:tc>
                          <w:tcPr>
                            <w:tcW w:w="704" w:type="dxa"/>
                          </w:tcPr>
                          <w:p>
                            <w:pPr>
                              <w:rPr>
                                <w:color w:val="000000"/>
                                <w:szCs w:val="24"/>
                                <w:lang w:eastAsia="lt-LT"/>
                              </w:rPr>
                            </w:pPr>
                            <w:r>
                              <w:rPr>
                                <w:color w:val="000000"/>
                                <w:szCs w:val="24"/>
                                <w:lang w:eastAsia="lt-LT"/>
                              </w:rPr>
                              <w:t>4.</w:t>
                            </w:r>
                          </w:p>
                        </w:tc>
                        <w:tc>
                          <w:tcPr>
                            <w:tcW w:w="5256" w:type="dxa"/>
                            <w:noWrap/>
                            <w:vAlign w:val="bottom"/>
                          </w:tcPr>
                          <w:p>
                            <w:pPr>
                              <w:rPr>
                                <w:color w:val="000000"/>
                                <w:szCs w:val="24"/>
                                <w:lang w:eastAsia="lt-LT"/>
                              </w:rPr>
                            </w:pPr>
                            <w:r>
                              <w:rPr>
                                <w:color w:val="000000"/>
                                <w:szCs w:val="24"/>
                                <w:lang w:eastAsia="lt-LT"/>
                              </w:rPr>
                              <w:t>Pažangos projektas, skatinantis dirbti medicinos įstaigose</w:t>
                            </w:r>
                          </w:p>
                        </w:tc>
                        <w:tc>
                          <w:tcPr>
                            <w:tcW w:w="1224" w:type="dxa"/>
                            <w:noWrap/>
                            <w:vAlign w:val="center"/>
                          </w:tcPr>
                          <w:p>
                            <w:pPr>
                              <w:rPr>
                                <w:color w:val="000000"/>
                                <w:szCs w:val="24"/>
                                <w:lang w:eastAsia="lt-LT"/>
                              </w:rPr>
                            </w:pPr>
                            <w:r>
                              <w:rPr>
                                <w:color w:val="000000"/>
                                <w:szCs w:val="24"/>
                                <w:lang w:eastAsia="lt-LT"/>
                              </w:rPr>
                              <w:t>-</w:t>
                            </w:r>
                          </w:p>
                        </w:tc>
                        <w:tc>
                          <w:tcPr>
                            <w:tcW w:w="1225" w:type="dxa"/>
                            <w:noWrap/>
                            <w:vAlign w:val="center"/>
                          </w:tcPr>
                          <w:p>
                            <w:pPr>
                              <w:rPr>
                                <w:color w:val="000000"/>
                                <w:szCs w:val="24"/>
                                <w:lang w:eastAsia="lt-LT"/>
                              </w:rPr>
                            </w:pPr>
                            <w:r>
                              <w:rPr>
                                <w:color w:val="000000"/>
                                <w:szCs w:val="24"/>
                                <w:lang w:eastAsia="lt-LT"/>
                              </w:rPr>
                              <w:t>18273</w:t>
                            </w:r>
                          </w:p>
                        </w:tc>
                        <w:tc>
                          <w:tcPr>
                            <w:tcW w:w="1225" w:type="dxa"/>
                            <w:noWrap/>
                            <w:vAlign w:val="center"/>
                          </w:tcPr>
                          <w:p>
                            <w:pPr>
                              <w:rPr>
                                <w:color w:val="000000"/>
                                <w:szCs w:val="24"/>
                                <w:lang w:eastAsia="lt-LT"/>
                              </w:rPr>
                            </w:pPr>
                            <w:r>
                              <w:rPr>
                                <w:color w:val="000000"/>
                                <w:szCs w:val="24"/>
                                <w:lang w:eastAsia="lt-LT"/>
                              </w:rPr>
                              <w:t>52375,40</w:t>
                            </w:r>
                          </w:p>
                        </w:tc>
                      </w:tr>
                      <w:tr>
                        <w:trPr>
                          <w:trHeight w:val="300"/>
                        </w:trPr>
                        <w:tc>
                          <w:tcPr>
                            <w:tcW w:w="704" w:type="dxa"/>
                          </w:tcPr>
                          <w:p>
                            <w:pPr>
                              <w:rPr>
                                <w:color w:val="000000"/>
                                <w:szCs w:val="24"/>
                                <w:lang w:eastAsia="lt-LT"/>
                              </w:rPr>
                            </w:pPr>
                            <w:r>
                              <w:rPr>
                                <w:color w:val="000000"/>
                                <w:szCs w:val="24"/>
                                <w:lang w:eastAsia="lt-LT"/>
                              </w:rPr>
                              <w:t>5.</w:t>
                            </w:r>
                          </w:p>
                        </w:tc>
                        <w:tc>
                          <w:tcPr>
                            <w:tcW w:w="5256" w:type="dxa"/>
                            <w:noWrap/>
                            <w:vAlign w:val="bottom"/>
                            <w:hideMark/>
                          </w:tcPr>
                          <w:p>
                            <w:pPr>
                              <w:rPr>
                                <w:color w:val="000000"/>
                                <w:szCs w:val="24"/>
                                <w:lang w:eastAsia="lt-LT"/>
                              </w:rPr>
                            </w:pPr>
                            <w:r>
                              <w:rPr>
                                <w:color w:val="000000"/>
                                <w:szCs w:val="24"/>
                                <w:lang w:eastAsia="lt-LT"/>
                              </w:rPr>
                              <w:t>Geriatrijos dienos stacionaro paslaugų kompensavimas</w:t>
                            </w:r>
                          </w:p>
                        </w:tc>
                        <w:tc>
                          <w:tcPr>
                            <w:tcW w:w="1224" w:type="dxa"/>
                            <w:noWrap/>
                            <w:vAlign w:val="center"/>
                          </w:tcPr>
                          <w:p>
                            <w:pPr>
                              <w:rPr>
                                <w:color w:val="000000"/>
                                <w:szCs w:val="24"/>
                                <w:lang w:eastAsia="lt-LT"/>
                              </w:rPr>
                            </w:pPr>
                            <w:r>
                              <w:rPr>
                                <w:color w:val="000000"/>
                                <w:szCs w:val="24"/>
                                <w:lang w:eastAsia="lt-LT"/>
                              </w:rPr>
                              <w:t>-</w:t>
                            </w:r>
                          </w:p>
                        </w:tc>
                        <w:tc>
                          <w:tcPr>
                            <w:tcW w:w="1225" w:type="dxa"/>
                            <w:noWrap/>
                            <w:vAlign w:val="center"/>
                            <w:hideMark/>
                          </w:tcPr>
                          <w:p>
                            <w:pPr>
                              <w:rPr>
                                <w:color w:val="000000"/>
                                <w:szCs w:val="24"/>
                                <w:lang w:eastAsia="lt-LT"/>
                              </w:rPr>
                            </w:pPr>
                            <w:r>
                              <w:rPr>
                                <w:color w:val="000000"/>
                                <w:szCs w:val="24"/>
                                <w:lang w:eastAsia="lt-LT"/>
                              </w:rPr>
                              <w:t>19500</w:t>
                            </w:r>
                          </w:p>
                        </w:tc>
                        <w:tc>
                          <w:tcPr>
                            <w:tcW w:w="1225" w:type="dxa"/>
                            <w:noWrap/>
                            <w:vAlign w:val="center"/>
                          </w:tcPr>
                          <w:p>
                            <w:pPr>
                              <w:rPr>
                                <w:color w:val="000000"/>
                                <w:szCs w:val="24"/>
                                <w:lang w:eastAsia="lt-LT"/>
                              </w:rPr>
                            </w:pPr>
                            <w:r>
                              <w:rPr>
                                <w:color w:val="000000"/>
                                <w:szCs w:val="24"/>
                                <w:lang w:eastAsia="lt-LT"/>
                              </w:rPr>
                              <w:t>-</w:t>
                            </w:r>
                          </w:p>
                        </w:tc>
                      </w:tr>
                      <w:tr>
                        <w:trPr>
                          <w:trHeight w:val="300"/>
                        </w:trPr>
                        <w:tc>
                          <w:tcPr>
                            <w:tcW w:w="704" w:type="dxa"/>
                          </w:tcPr>
                          <w:p>
                            <w:pPr>
                              <w:rPr>
                                <w:color w:val="000000"/>
                                <w:szCs w:val="24"/>
                                <w:lang w:eastAsia="lt-LT"/>
                              </w:rPr>
                            </w:pPr>
                            <w:r>
                              <w:rPr>
                                <w:color w:val="000000"/>
                                <w:szCs w:val="24"/>
                                <w:lang w:eastAsia="lt-LT"/>
                              </w:rPr>
                              <w:t>6.</w:t>
                            </w:r>
                          </w:p>
                        </w:tc>
                        <w:tc>
                          <w:tcPr>
                            <w:tcW w:w="5256" w:type="dxa"/>
                            <w:noWrap/>
                            <w:vAlign w:val="bottom"/>
                            <w:hideMark/>
                          </w:tcPr>
                          <w:p>
                            <w:pPr>
                              <w:rPr>
                                <w:color w:val="000000"/>
                                <w:szCs w:val="24"/>
                                <w:lang w:eastAsia="lt-LT"/>
                              </w:rPr>
                            </w:pPr>
                            <w:r>
                              <w:rPr>
                                <w:color w:val="000000"/>
                                <w:szCs w:val="24"/>
                              </w:rPr>
                              <w:t>Atnaujintas modernizuotas Reanimacijos ir intensyviosios terapijos skyrius</w:t>
                            </w:r>
                          </w:p>
                        </w:tc>
                        <w:tc>
                          <w:tcPr>
                            <w:tcW w:w="1224" w:type="dxa"/>
                            <w:noWrap/>
                            <w:vAlign w:val="center"/>
                          </w:tcPr>
                          <w:p>
                            <w:pPr>
                              <w:rPr>
                                <w:color w:val="000000"/>
                                <w:szCs w:val="24"/>
                                <w:lang w:eastAsia="lt-LT"/>
                              </w:rPr>
                            </w:pPr>
                            <w:r>
                              <w:rPr>
                                <w:color w:val="000000"/>
                                <w:szCs w:val="24"/>
                                <w:lang w:eastAsia="lt-LT"/>
                              </w:rPr>
                              <w:t>-</w:t>
                            </w:r>
                          </w:p>
                        </w:tc>
                        <w:tc>
                          <w:tcPr>
                            <w:tcW w:w="1225" w:type="dxa"/>
                            <w:noWrap/>
                            <w:vAlign w:val="center"/>
                            <w:hideMark/>
                          </w:tcPr>
                          <w:p>
                            <w:pPr>
                              <w:rPr>
                                <w:color w:val="000000"/>
                                <w:szCs w:val="24"/>
                                <w:lang w:eastAsia="lt-LT"/>
                              </w:rPr>
                            </w:pPr>
                            <w:r>
                              <w:rPr>
                                <w:color w:val="000000"/>
                                <w:szCs w:val="24"/>
                                <w:lang w:eastAsia="lt-LT"/>
                              </w:rPr>
                              <w:t>52726,60</w:t>
                            </w:r>
                          </w:p>
                        </w:tc>
                        <w:tc>
                          <w:tcPr>
                            <w:tcW w:w="1225" w:type="dxa"/>
                            <w:noWrap/>
                            <w:vAlign w:val="center"/>
                            <w:hideMark/>
                          </w:tcPr>
                          <w:p>
                            <w:pPr>
                              <w:rPr>
                                <w:color w:val="000000"/>
                                <w:szCs w:val="24"/>
                                <w:lang w:eastAsia="lt-LT"/>
                              </w:rPr>
                            </w:pPr>
                            <w:r>
                              <w:rPr>
                                <w:color w:val="000000"/>
                                <w:szCs w:val="24"/>
                                <w:lang w:eastAsia="lt-LT"/>
                              </w:rPr>
                              <w:t>-</w:t>
                            </w:r>
                          </w:p>
                        </w:tc>
                      </w:tr>
                      <w:tr>
                        <w:trPr>
                          <w:trHeight w:val="300"/>
                        </w:trPr>
                        <w:tc>
                          <w:tcPr>
                            <w:tcW w:w="704" w:type="dxa"/>
                          </w:tcPr>
                          <w:p>
                            <w:pPr>
                              <w:rPr>
                                <w:color w:val="000000"/>
                                <w:szCs w:val="24"/>
                                <w:lang w:eastAsia="lt-LT"/>
                              </w:rPr>
                            </w:pPr>
                            <w:r>
                              <w:rPr>
                                <w:color w:val="000000"/>
                                <w:szCs w:val="24"/>
                                <w:lang w:eastAsia="lt-LT"/>
                              </w:rPr>
                              <w:t>7.</w:t>
                            </w:r>
                          </w:p>
                        </w:tc>
                        <w:tc>
                          <w:tcPr>
                            <w:tcW w:w="5256" w:type="dxa"/>
                            <w:noWrap/>
                            <w:vAlign w:val="bottom"/>
                            <w:hideMark/>
                          </w:tcPr>
                          <w:p>
                            <w:pPr>
                              <w:rPr>
                                <w:color w:val="000000"/>
                                <w:szCs w:val="24"/>
                                <w:lang w:eastAsia="lt-LT"/>
                              </w:rPr>
                            </w:pPr>
                            <w:r>
                              <w:rPr>
                                <w:color w:val="000000"/>
                                <w:szCs w:val="24"/>
                                <w:lang w:eastAsia="lt-LT"/>
                              </w:rPr>
                              <w:t>Radviliškio ligoninės virtuvės remonto darbai</w:t>
                            </w:r>
                          </w:p>
                        </w:tc>
                        <w:tc>
                          <w:tcPr>
                            <w:tcW w:w="1224" w:type="dxa"/>
                            <w:noWrap/>
                            <w:vAlign w:val="center"/>
                          </w:tcPr>
                          <w:p>
                            <w:pPr>
                              <w:rPr>
                                <w:color w:val="000000"/>
                                <w:szCs w:val="24"/>
                                <w:lang w:eastAsia="lt-LT"/>
                              </w:rPr>
                            </w:pPr>
                            <w:r>
                              <w:rPr>
                                <w:color w:val="000000"/>
                                <w:szCs w:val="24"/>
                                <w:lang w:eastAsia="lt-LT"/>
                              </w:rPr>
                              <w:t>-</w:t>
                            </w:r>
                          </w:p>
                        </w:tc>
                        <w:tc>
                          <w:tcPr>
                            <w:tcW w:w="1225" w:type="dxa"/>
                            <w:noWrap/>
                            <w:vAlign w:val="center"/>
                          </w:tcPr>
                          <w:p>
                            <w:pPr>
                              <w:rPr>
                                <w:color w:val="000000"/>
                                <w:szCs w:val="24"/>
                                <w:lang w:eastAsia="lt-LT"/>
                              </w:rPr>
                            </w:pPr>
                            <w:r>
                              <w:rPr>
                                <w:color w:val="000000"/>
                                <w:szCs w:val="24"/>
                                <w:lang w:eastAsia="lt-LT"/>
                              </w:rPr>
                              <w:t>-</w:t>
                            </w:r>
                          </w:p>
                        </w:tc>
                        <w:tc>
                          <w:tcPr>
                            <w:tcW w:w="1225" w:type="dxa"/>
                            <w:noWrap/>
                            <w:vAlign w:val="center"/>
                            <w:hideMark/>
                          </w:tcPr>
                          <w:p>
                            <w:pPr>
                              <w:rPr>
                                <w:color w:val="000000"/>
                                <w:szCs w:val="24"/>
                                <w:lang w:eastAsia="lt-LT"/>
                              </w:rPr>
                            </w:pPr>
                            <w:r>
                              <w:rPr>
                                <w:color w:val="000000"/>
                                <w:szCs w:val="24"/>
                                <w:lang w:eastAsia="lt-LT"/>
                              </w:rPr>
                              <w:t>63000</w:t>
                            </w:r>
                          </w:p>
                        </w:tc>
                      </w:tr>
                    </w:tbl>
                    <w:p>
                      <w:pPr>
                        <w:suppressAutoHyphens/>
                        <w:ind w:firstLine="720"/>
                        <w:textAlignment w:val="baseline"/>
                        <w:rPr>
                          <w:szCs w:val="24"/>
                        </w:rPr>
                      </w:pPr>
                    </w:p>
                    <w:p>
                      <w:pPr>
                        <w:tabs>
                          <w:tab w:val="center" w:pos="4819"/>
                          <w:tab w:val="left" w:pos="6237"/>
                          <w:tab w:val="right" w:pos="9638"/>
                        </w:tabs>
                        <w:ind w:firstLine="567"/>
                        <w:rPr>
                          <w:bCs/>
                          <w:szCs w:val="24"/>
                        </w:rPr>
                      </w:pPr>
                      <w:r>
                        <w:rPr>
                          <w:bCs/>
                          <w:szCs w:val="24"/>
                        </w:rPr>
                        <w:t>Vadovaujamas pareigas einančių asmenų atlyginimas per 2025 metus*.</w:t>
                      </w:r>
                    </w:p>
                    <w:p>
                      <w:pPr>
                        <w:tabs>
                          <w:tab w:val="center" w:pos="4819"/>
                          <w:tab w:val="left" w:pos="6237"/>
                          <w:tab w:val="right" w:pos="9638"/>
                        </w:tabs>
                        <w:rPr>
                          <w:szCs w:val="24"/>
                        </w:rPr>
                      </w:pPr>
                      <w:r>
                        <w:rPr>
                          <w:szCs w:val="24"/>
                        </w:rPr>
                        <w:t>Eur, ct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483"/>
                        <w:gridCol w:w="1336"/>
                        <w:gridCol w:w="1243"/>
                        <w:gridCol w:w="1116"/>
                        <w:gridCol w:w="1070"/>
                        <w:gridCol w:w="1257"/>
                        <w:gridCol w:w="1613"/>
                      </w:tblGrid>
                      <w:tr>
                        <w:tc>
                          <w:tcPr>
                            <w:tcW w:w="556" w:type="dxa"/>
                            <w:vMerge w:val="restart"/>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Eil. Nr.</w:t>
                            </w:r>
                          </w:p>
                        </w:tc>
                        <w:tc>
                          <w:tcPr>
                            <w:tcW w:w="1483" w:type="dxa"/>
                            <w:vMerge w:val="restart"/>
                            <w:tcBorders>
                              <w:top w:val="single" w:sz="4" w:space="0" w:color="auto"/>
                              <w:left w:val="single" w:sz="4" w:space="0" w:color="auto"/>
                              <w:bottom w:val="single" w:sz="4" w:space="0" w:color="auto"/>
                              <w:right w:val="single" w:sz="4" w:space="0" w:color="auto"/>
                            </w:tcBorders>
                            <w:shd w:val="clear" w:color="auto" w:fill="D9E5F3"/>
                            <w:vAlign w:val="center"/>
                            <w:hideMark/>
                          </w:tcPr>
                          <w:p>
                            <w:pPr>
                              <w:tabs>
                                <w:tab w:val="center" w:pos="4819"/>
                                <w:tab w:val="left" w:pos="6237"/>
                                <w:tab w:val="right" w:pos="9638"/>
                              </w:tabs>
                              <w:rPr>
                                <w:szCs w:val="24"/>
                              </w:rPr>
                            </w:pPr>
                            <w:r>
                              <w:rPr>
                                <w:szCs w:val="24"/>
                              </w:rPr>
                              <w:t>Pareigų (pareigybės) pavadinimas</w:t>
                            </w:r>
                          </w:p>
                        </w:tc>
                        <w:tc>
                          <w:tcPr>
                            <w:tcW w:w="1336" w:type="dxa"/>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 xml:space="preserve">Bazinis atlyginimas </w:t>
                            </w:r>
                          </w:p>
                        </w:tc>
                        <w:tc>
                          <w:tcPr>
                            <w:tcW w:w="1243" w:type="dxa"/>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Priemokos</w:t>
                            </w:r>
                          </w:p>
                        </w:tc>
                        <w:tc>
                          <w:tcPr>
                            <w:tcW w:w="1116" w:type="dxa"/>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Priedai</w:t>
                            </w:r>
                          </w:p>
                        </w:tc>
                        <w:tc>
                          <w:tcPr>
                            <w:tcW w:w="1070" w:type="dxa"/>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Premijos</w:t>
                            </w:r>
                          </w:p>
                        </w:tc>
                        <w:tc>
                          <w:tcPr>
                            <w:tcW w:w="1405" w:type="dxa"/>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Kitos išmokos**</w:t>
                            </w:r>
                          </w:p>
                        </w:tc>
                        <w:tc>
                          <w:tcPr>
                            <w:tcW w:w="1425" w:type="dxa"/>
                            <w:tcBorders>
                              <w:top w:val="single" w:sz="4" w:space="0" w:color="auto"/>
                              <w:left w:val="single" w:sz="4" w:space="0" w:color="auto"/>
                              <w:bottom w:val="single" w:sz="4" w:space="0" w:color="auto"/>
                              <w:right w:val="single" w:sz="4" w:space="0" w:color="auto"/>
                            </w:tcBorders>
                            <w:shd w:val="clear" w:color="auto" w:fill="D9E5F3"/>
                            <w:hideMark/>
                          </w:tcPr>
                          <w:p>
                            <w:pPr>
                              <w:tabs>
                                <w:tab w:val="center" w:pos="4819"/>
                                <w:tab w:val="left" w:pos="6237"/>
                                <w:tab w:val="right" w:pos="9638"/>
                              </w:tabs>
                              <w:rPr>
                                <w:szCs w:val="24"/>
                              </w:rPr>
                            </w:pPr>
                            <w:r>
                              <w:rPr>
                                <w:szCs w:val="24"/>
                              </w:rPr>
                              <w:t xml:space="preserve">Iš viso </w:t>
                            </w:r>
                          </w:p>
                        </w:tc>
                      </w:tr>
                      <w:tr>
                        <w:tc>
                          <w:tcPr>
                            <w:tcW w:w="556" w:type="dxa"/>
                            <w:vMerge/>
                            <w:tcBorders>
                              <w:top w:val="single" w:sz="4" w:space="0" w:color="auto"/>
                              <w:left w:val="single" w:sz="4" w:space="0" w:color="auto"/>
                              <w:bottom w:val="single" w:sz="4" w:space="0" w:color="auto"/>
                              <w:right w:val="single" w:sz="4" w:space="0" w:color="auto"/>
                            </w:tcBorders>
                            <w:vAlign w:val="center"/>
                            <w:hideMark/>
                          </w:tcPr>
                          <w:p>
                            <w:pPr>
                              <w:tabs>
                                <w:tab w:val="center" w:pos="4819"/>
                                <w:tab w:val="left" w:pos="6237"/>
                                <w:tab w:val="right" w:pos="9638"/>
                              </w:tabs>
                              <w:rPr>
                                <w:szCs w:val="24"/>
                              </w:rPr>
                            </w:pPr>
                          </w:p>
                        </w:tc>
                        <w:tc>
                          <w:tcPr>
                            <w:tcW w:w="1483" w:type="dxa"/>
                            <w:vMerge/>
                            <w:tcBorders>
                              <w:top w:val="single" w:sz="4" w:space="0" w:color="auto"/>
                              <w:left w:val="single" w:sz="4" w:space="0" w:color="auto"/>
                              <w:bottom w:val="single" w:sz="4" w:space="0" w:color="auto"/>
                              <w:right w:val="single" w:sz="4" w:space="0" w:color="auto"/>
                            </w:tcBorders>
                            <w:vAlign w:val="center"/>
                            <w:hideMark/>
                          </w:tcPr>
                          <w:p>
                            <w:pPr>
                              <w:tabs>
                                <w:tab w:val="center" w:pos="4819"/>
                                <w:tab w:val="left" w:pos="6237"/>
                                <w:tab w:val="right" w:pos="9638"/>
                              </w:tabs>
                              <w:rPr>
                                <w:szCs w:val="24"/>
                              </w:rPr>
                            </w:pPr>
                          </w:p>
                        </w:tc>
                        <w:tc>
                          <w:tcPr>
                            <w:tcW w:w="1336" w:type="dxa"/>
                            <w:tcBorders>
                              <w:top w:val="single" w:sz="4" w:space="0" w:color="auto"/>
                              <w:left w:val="single" w:sz="4" w:space="0" w:color="auto"/>
                              <w:bottom w:val="single" w:sz="4" w:space="0" w:color="auto"/>
                              <w:right w:val="single" w:sz="4" w:space="0" w:color="auto"/>
                            </w:tcBorders>
                            <w:shd w:val="clear" w:color="auto" w:fill="F6F9FC"/>
                            <w:hideMark/>
                          </w:tcPr>
                          <w:p>
                            <w:pPr>
                              <w:tabs>
                                <w:tab w:val="center" w:pos="4819"/>
                                <w:tab w:val="left" w:pos="6237"/>
                                <w:tab w:val="right" w:pos="9638"/>
                              </w:tabs>
                              <w:rPr>
                                <w:szCs w:val="24"/>
                              </w:rPr>
                            </w:pPr>
                            <w:r>
                              <w:rPr>
                                <w:szCs w:val="24"/>
                              </w:rPr>
                              <w:t>1</w:t>
                            </w:r>
                          </w:p>
                        </w:tc>
                        <w:tc>
                          <w:tcPr>
                            <w:tcW w:w="1243" w:type="dxa"/>
                            <w:tcBorders>
                              <w:top w:val="single" w:sz="4" w:space="0" w:color="auto"/>
                              <w:left w:val="single" w:sz="4" w:space="0" w:color="auto"/>
                              <w:bottom w:val="single" w:sz="4" w:space="0" w:color="auto"/>
                              <w:right w:val="single" w:sz="4" w:space="0" w:color="auto"/>
                            </w:tcBorders>
                            <w:shd w:val="clear" w:color="auto" w:fill="F6F9FC"/>
                            <w:hideMark/>
                          </w:tcPr>
                          <w:p>
                            <w:pPr>
                              <w:tabs>
                                <w:tab w:val="center" w:pos="4819"/>
                                <w:tab w:val="left" w:pos="6237"/>
                                <w:tab w:val="right" w:pos="9638"/>
                              </w:tabs>
                              <w:rPr>
                                <w:szCs w:val="24"/>
                              </w:rPr>
                            </w:pPr>
                            <w:r>
                              <w:rPr>
                                <w:szCs w:val="24"/>
                              </w:rPr>
                              <w:t>2</w:t>
                            </w:r>
                          </w:p>
                        </w:tc>
                        <w:tc>
                          <w:tcPr>
                            <w:tcW w:w="1116" w:type="dxa"/>
                            <w:tcBorders>
                              <w:top w:val="single" w:sz="4" w:space="0" w:color="auto"/>
                              <w:left w:val="single" w:sz="4" w:space="0" w:color="auto"/>
                              <w:bottom w:val="single" w:sz="4" w:space="0" w:color="auto"/>
                              <w:right w:val="single" w:sz="4" w:space="0" w:color="auto"/>
                            </w:tcBorders>
                            <w:shd w:val="clear" w:color="auto" w:fill="F6F9FC"/>
                            <w:hideMark/>
                          </w:tcPr>
                          <w:p>
                            <w:pPr>
                              <w:tabs>
                                <w:tab w:val="center" w:pos="4819"/>
                                <w:tab w:val="left" w:pos="6237"/>
                                <w:tab w:val="right" w:pos="9638"/>
                              </w:tabs>
                              <w:rPr>
                                <w:szCs w:val="24"/>
                              </w:rPr>
                            </w:pPr>
                            <w:r>
                              <w:rPr>
                                <w:szCs w:val="24"/>
                              </w:rPr>
                              <w:t>3</w:t>
                            </w:r>
                          </w:p>
                        </w:tc>
                        <w:tc>
                          <w:tcPr>
                            <w:tcW w:w="1070" w:type="dxa"/>
                            <w:tcBorders>
                              <w:top w:val="single" w:sz="4" w:space="0" w:color="auto"/>
                              <w:left w:val="single" w:sz="4" w:space="0" w:color="auto"/>
                              <w:bottom w:val="single" w:sz="4" w:space="0" w:color="auto"/>
                              <w:right w:val="single" w:sz="4" w:space="0" w:color="auto"/>
                            </w:tcBorders>
                            <w:shd w:val="clear" w:color="auto" w:fill="F6F9FC"/>
                            <w:hideMark/>
                          </w:tcPr>
                          <w:p>
                            <w:pPr>
                              <w:tabs>
                                <w:tab w:val="center" w:pos="4819"/>
                                <w:tab w:val="left" w:pos="6237"/>
                                <w:tab w:val="right" w:pos="9638"/>
                              </w:tabs>
                              <w:rPr>
                                <w:szCs w:val="24"/>
                              </w:rPr>
                            </w:pPr>
                            <w:r>
                              <w:rPr>
                                <w:szCs w:val="24"/>
                              </w:rPr>
                              <w:t>4</w:t>
                            </w:r>
                          </w:p>
                        </w:tc>
                        <w:tc>
                          <w:tcPr>
                            <w:tcW w:w="1405" w:type="dxa"/>
                            <w:tcBorders>
                              <w:top w:val="single" w:sz="4" w:space="0" w:color="auto"/>
                              <w:left w:val="single" w:sz="4" w:space="0" w:color="auto"/>
                              <w:bottom w:val="single" w:sz="4" w:space="0" w:color="auto"/>
                              <w:right w:val="single" w:sz="4" w:space="0" w:color="auto"/>
                            </w:tcBorders>
                            <w:shd w:val="clear" w:color="auto" w:fill="F6F9FC"/>
                            <w:hideMark/>
                          </w:tcPr>
                          <w:p>
                            <w:pPr>
                              <w:tabs>
                                <w:tab w:val="center" w:pos="4819"/>
                                <w:tab w:val="left" w:pos="6237"/>
                                <w:tab w:val="right" w:pos="9638"/>
                              </w:tabs>
                              <w:rPr>
                                <w:szCs w:val="24"/>
                              </w:rPr>
                            </w:pPr>
                            <w:r>
                              <w:rPr>
                                <w:szCs w:val="24"/>
                              </w:rPr>
                              <w:t>5</w:t>
                            </w:r>
                          </w:p>
                        </w:tc>
                        <w:tc>
                          <w:tcPr>
                            <w:tcW w:w="1425" w:type="dxa"/>
                            <w:tcBorders>
                              <w:top w:val="single" w:sz="4" w:space="0" w:color="auto"/>
                              <w:left w:val="single" w:sz="4" w:space="0" w:color="auto"/>
                              <w:bottom w:val="single" w:sz="4" w:space="0" w:color="auto"/>
                              <w:right w:val="single" w:sz="4" w:space="0" w:color="auto"/>
                            </w:tcBorders>
                            <w:shd w:val="clear" w:color="auto" w:fill="F6F9FC"/>
                            <w:hideMark/>
                          </w:tcPr>
                          <w:p>
                            <w:pPr>
                              <w:tabs>
                                <w:tab w:val="center" w:pos="4819"/>
                                <w:tab w:val="left" w:pos="6237"/>
                                <w:tab w:val="right" w:pos="9638"/>
                              </w:tabs>
                              <w:rPr>
                                <w:szCs w:val="24"/>
                                <w:lang w:val="en-US"/>
                              </w:rPr>
                            </w:pPr>
                            <w:r>
                              <w:rPr>
                                <w:szCs w:val="24"/>
                              </w:rPr>
                              <w:t>6</w:t>
                            </w:r>
                            <w:r>
                              <w:rPr>
                                <w:szCs w:val="24"/>
                                <w:lang w:val="en-US"/>
                              </w:rPr>
                              <w:t>=1+2+3+4+5</w:t>
                            </w:r>
                          </w:p>
                        </w:tc>
                      </w:tr>
                      <w:tr>
                        <w:tc>
                          <w:tcPr>
                            <w:tcW w:w="556" w:type="dxa"/>
                            <w:tcBorders>
                              <w:top w:val="single" w:sz="4" w:space="0" w:color="auto"/>
                              <w:left w:val="single" w:sz="4" w:space="0" w:color="auto"/>
                              <w:bottom w:val="single" w:sz="4" w:space="0" w:color="auto"/>
                              <w:right w:val="single" w:sz="4" w:space="0" w:color="auto"/>
                            </w:tcBorders>
                            <w:hideMark/>
                          </w:tcPr>
                          <w:p>
                            <w:pPr>
                              <w:tabs>
                                <w:tab w:val="center" w:pos="4819"/>
                                <w:tab w:val="left" w:pos="6237"/>
                                <w:tab w:val="right" w:pos="9638"/>
                              </w:tabs>
                              <w:rPr>
                                <w:szCs w:val="24"/>
                              </w:rPr>
                            </w:pPr>
                            <w:r>
                              <w:rPr>
                                <w:szCs w:val="24"/>
                              </w:rPr>
                              <w:t>1.</w:t>
                            </w:r>
                          </w:p>
                        </w:tc>
                        <w:tc>
                          <w:tcPr>
                            <w:tcW w:w="148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Direktorius</w:t>
                            </w:r>
                          </w:p>
                        </w:tc>
                        <w:tc>
                          <w:tcPr>
                            <w:tcW w:w="133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85207,34</w:t>
                            </w:r>
                          </w:p>
                        </w:tc>
                        <w:tc>
                          <w:tcPr>
                            <w:tcW w:w="124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w:t>
                            </w:r>
                          </w:p>
                        </w:tc>
                        <w:tc>
                          <w:tcPr>
                            <w:tcW w:w="111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15233,11</w:t>
                            </w:r>
                          </w:p>
                        </w:tc>
                        <w:tc>
                          <w:tcPr>
                            <w:tcW w:w="1070"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w:t>
                            </w:r>
                          </w:p>
                        </w:tc>
                        <w:tc>
                          <w:tcPr>
                            <w:tcW w:w="1405"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500</w:t>
                            </w:r>
                          </w:p>
                        </w:tc>
                        <w:tc>
                          <w:tcPr>
                            <w:tcW w:w="1425"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100940,45</w:t>
                            </w:r>
                          </w:p>
                        </w:tc>
                      </w:tr>
                      <w:tr>
                        <w:tc>
                          <w:tcPr>
                            <w:tcW w:w="556" w:type="dxa"/>
                            <w:tcBorders>
                              <w:top w:val="single" w:sz="4" w:space="0" w:color="auto"/>
                              <w:left w:val="single" w:sz="4" w:space="0" w:color="auto"/>
                              <w:bottom w:val="single" w:sz="4" w:space="0" w:color="auto"/>
                              <w:right w:val="single" w:sz="4" w:space="0" w:color="auto"/>
                            </w:tcBorders>
                            <w:hideMark/>
                          </w:tcPr>
                          <w:p>
                            <w:pPr>
                              <w:tabs>
                                <w:tab w:val="center" w:pos="4819"/>
                                <w:tab w:val="left" w:pos="6237"/>
                                <w:tab w:val="right" w:pos="9638"/>
                              </w:tabs>
                              <w:rPr>
                                <w:szCs w:val="24"/>
                              </w:rPr>
                            </w:pPr>
                            <w:r>
                              <w:rPr>
                                <w:szCs w:val="24"/>
                              </w:rPr>
                              <w:t>2.</w:t>
                            </w:r>
                          </w:p>
                        </w:tc>
                        <w:tc>
                          <w:tcPr>
                            <w:tcW w:w="148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Direktoriaus pavaduotojas medicinai</w:t>
                            </w:r>
                          </w:p>
                        </w:tc>
                        <w:tc>
                          <w:tcPr>
                            <w:tcW w:w="133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50412,63</w:t>
                            </w:r>
                          </w:p>
                        </w:tc>
                        <w:tc>
                          <w:tcPr>
                            <w:tcW w:w="124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w:t>
                            </w:r>
                          </w:p>
                        </w:tc>
                        <w:tc>
                          <w:tcPr>
                            <w:tcW w:w="111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692,84</w:t>
                            </w:r>
                          </w:p>
                        </w:tc>
                        <w:tc>
                          <w:tcPr>
                            <w:tcW w:w="1070"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w:t>
                            </w:r>
                          </w:p>
                        </w:tc>
                        <w:tc>
                          <w:tcPr>
                            <w:tcW w:w="1405"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500</w:t>
                            </w:r>
                          </w:p>
                        </w:tc>
                        <w:tc>
                          <w:tcPr>
                            <w:tcW w:w="1425"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51605,47</w:t>
                            </w:r>
                          </w:p>
                        </w:tc>
                      </w:tr>
                    </w:tbl>
                    <w:p>
                      <w:pPr>
                        <w:tabs>
                          <w:tab w:val="center" w:pos="4819"/>
                          <w:tab w:val="left" w:pos="6237"/>
                          <w:tab w:val="right" w:pos="9638"/>
                        </w:tabs>
                        <w:rPr>
                          <w:szCs w:val="24"/>
                        </w:rPr>
                      </w:pPr>
                      <w:r>
                        <w:rPr>
                          <w:szCs w:val="24"/>
                        </w:rPr>
                        <w:t>* Neatskaičius mokesčių.</w:t>
                      </w:r>
                    </w:p>
                    <w:p>
                      <w:pPr>
                        <w:tabs>
                          <w:tab w:val="center" w:pos="4819"/>
                          <w:tab w:val="left" w:pos="6237"/>
                          <w:tab w:val="right" w:pos="9638"/>
                        </w:tabs>
                        <w:rPr>
                          <w:szCs w:val="24"/>
                        </w:rPr>
                      </w:pPr>
                      <w:r>
                        <w:rPr>
                          <w:szCs w:val="24"/>
                        </w:rPr>
                        <w:t>** Kitos išmokos: metinis priedas už gerus 2025 metų rezultatus.</w:t>
                      </w:r>
                    </w:p>
                    <w:p>
                      <w:pPr>
                        <w:tabs>
                          <w:tab w:val="center" w:pos="4819"/>
                          <w:tab w:val="left" w:pos="6237"/>
                          <w:tab w:val="right" w:pos="9638"/>
                        </w:tabs>
                        <w:rPr>
                          <w:szCs w:val="24"/>
                        </w:rPr>
                      </w:pPr>
                    </w:p>
                  </w:sdtContent>
                </w:sdt>
                <w:sdt>
                  <w:sdtPr>
                    <w:alias w:val="skirsnis"/>
                    <w:tag w:val="part_24f5cac41f974331a9fe91a144c63e93"/>
                    <w:lock w:val="sdtLocked"/>
                    <w:richText/>
                  </w:sdtPr>
                  <w:sdtContent>
                    <w:p>
                      <w:pPr>
                        <w:suppressAutoHyphens/>
                        <w:jc w:val="center"/>
                        <w:textAlignment w:val="baseline"/>
                        <w:rPr>
                          <w:b/>
                          <w:iCs/>
                          <w:szCs w:val="24"/>
                        </w:rPr>
                      </w:pPr>
                      <w:sdt>
                        <w:sdtPr>
                          <w:alias w:val="Pavadinimas"/>
                          <w:tag w:val="title_24f5cac41f974331a9fe91a144c63e93"/>
                          <w:lock w:val="sdtLocked"/>
                          <w:richText/>
                        </w:sdtPr>
                        <w:sdtContent>
                          <w:r>
                            <w:rPr>
                              <w:b/>
                              <w:iCs/>
                              <w:szCs w:val="24"/>
                            </w:rPr>
                            <w:t>Įstaigos sudaryti sandoriai</w:t>
                          </w:r>
                        </w:sdtContent>
                      </w:sdt>
                    </w:p>
                    <w:p>
                      <w:pPr>
                        <w:suppressAutoHyphens/>
                        <w:textAlignment w:val="baseline"/>
                        <w:rPr>
                          <w:b/>
                          <w:szCs w:val="24"/>
                        </w:rPr>
                      </w:pPr>
                    </w:p>
                    <w:p>
                      <w:pPr>
                        <w:tabs>
                          <w:tab w:val="center" w:pos="4819"/>
                          <w:tab w:val="left" w:pos="6237"/>
                          <w:tab w:val="right" w:pos="9638"/>
                        </w:tabs>
                        <w:ind w:firstLine="496"/>
                        <w:rPr>
                          <w:bCs/>
                          <w:szCs w:val="24"/>
                        </w:rPr>
                      </w:pPr>
                      <w:r>
                        <w:rPr>
                          <w:bCs/>
                          <w:szCs w:val="24"/>
                        </w:rPr>
                        <w:t>Reikšmingi sandoriai.</w:t>
                      </w:r>
                    </w:p>
                    <w:p>
                      <w:pPr>
                        <w:tabs>
                          <w:tab w:val="center" w:pos="4819"/>
                          <w:tab w:val="left" w:pos="6237"/>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1589"/>
                        <w:gridCol w:w="1296"/>
                        <w:gridCol w:w="1583"/>
                        <w:gridCol w:w="1297"/>
                        <w:gridCol w:w="2149"/>
                        <w:gridCol w:w="1247"/>
                      </w:tblGrid>
                      <w:tr>
                        <w:tc>
                          <w:tcPr>
                            <w:tcW w:w="557" w:type="dxa"/>
                            <w:vMerge w:val="restart"/>
                            <w:shd w:val="clear" w:color="auto" w:fill="D9E5F3"/>
                            <w:hideMark/>
                          </w:tcPr>
                          <w:p>
                            <w:pPr>
                              <w:tabs>
                                <w:tab w:val="center" w:pos="4819"/>
                                <w:tab w:val="left" w:pos="6237"/>
                                <w:tab w:val="right" w:pos="9638"/>
                              </w:tabs>
                              <w:rPr>
                                <w:szCs w:val="24"/>
                              </w:rPr>
                            </w:pPr>
                            <w:r>
                              <w:rPr>
                                <w:szCs w:val="24"/>
                              </w:rPr>
                              <w:t>Eil. Nr.</w:t>
                            </w:r>
                          </w:p>
                        </w:tc>
                        <w:tc>
                          <w:tcPr>
                            <w:tcW w:w="5675" w:type="dxa"/>
                            <w:gridSpan w:val="4"/>
                            <w:shd w:val="clear" w:color="auto" w:fill="D9E5F3"/>
                            <w:hideMark/>
                          </w:tcPr>
                          <w:p>
                            <w:pPr>
                              <w:tabs>
                                <w:tab w:val="center" w:pos="4819"/>
                                <w:tab w:val="left" w:pos="6237"/>
                                <w:tab w:val="right" w:pos="9638"/>
                              </w:tabs>
                              <w:rPr>
                                <w:szCs w:val="24"/>
                              </w:rPr>
                            </w:pPr>
                            <w:r>
                              <w:rPr>
                                <w:szCs w:val="24"/>
                              </w:rPr>
                              <w:t>Sandorio šalis</w:t>
                            </w:r>
                          </w:p>
                        </w:tc>
                        <w:tc>
                          <w:tcPr>
                            <w:tcW w:w="2149" w:type="dxa"/>
                            <w:vMerge w:val="restart"/>
                            <w:shd w:val="clear" w:color="auto" w:fill="D9E5F3"/>
                            <w:vAlign w:val="center"/>
                            <w:hideMark/>
                          </w:tcPr>
                          <w:p>
                            <w:pPr>
                              <w:tabs>
                                <w:tab w:val="center" w:pos="4819"/>
                                <w:tab w:val="left" w:pos="6237"/>
                                <w:tab w:val="right" w:pos="9638"/>
                              </w:tabs>
                              <w:rPr>
                                <w:szCs w:val="24"/>
                              </w:rPr>
                            </w:pPr>
                            <w:r>
                              <w:rPr>
                                <w:szCs w:val="24"/>
                              </w:rPr>
                              <w:t>Sandorio objektas</w:t>
                            </w:r>
                          </w:p>
                        </w:tc>
                        <w:tc>
                          <w:tcPr>
                            <w:tcW w:w="1247" w:type="dxa"/>
                            <w:vMerge w:val="restart"/>
                            <w:shd w:val="clear" w:color="auto" w:fill="D9E5F3"/>
                            <w:vAlign w:val="center"/>
                            <w:hideMark/>
                          </w:tcPr>
                          <w:p>
                            <w:pPr>
                              <w:tabs>
                                <w:tab w:val="center" w:pos="4819"/>
                                <w:tab w:val="left" w:pos="6237"/>
                                <w:tab w:val="right" w:pos="9638"/>
                              </w:tabs>
                              <w:rPr>
                                <w:szCs w:val="24"/>
                              </w:rPr>
                            </w:pPr>
                            <w:r>
                              <w:rPr>
                                <w:szCs w:val="24"/>
                              </w:rPr>
                              <w:t>Suma, Eur</w:t>
                            </w:r>
                          </w:p>
                        </w:tc>
                      </w:tr>
                      <w:tr>
                        <w:tc>
                          <w:tcPr>
                            <w:tcW w:w="0" w:type="auto"/>
                            <w:vMerge/>
                            <w:vAlign w:val="center"/>
                            <w:hideMark/>
                          </w:tcPr>
                          <w:p>
                            <w:pPr>
                              <w:tabs>
                                <w:tab w:val="center" w:pos="4819"/>
                                <w:tab w:val="left" w:pos="6237"/>
                                <w:tab w:val="right" w:pos="9638"/>
                              </w:tabs>
                              <w:rPr>
                                <w:szCs w:val="24"/>
                              </w:rPr>
                            </w:pPr>
                          </w:p>
                        </w:tc>
                        <w:tc>
                          <w:tcPr>
                            <w:tcW w:w="1589" w:type="dxa"/>
                            <w:shd w:val="clear" w:color="auto" w:fill="F6F9FC"/>
                            <w:hideMark/>
                          </w:tcPr>
                          <w:p>
                            <w:pPr>
                              <w:tabs>
                                <w:tab w:val="center" w:pos="4819"/>
                                <w:tab w:val="left" w:pos="6237"/>
                                <w:tab w:val="right" w:pos="9638"/>
                              </w:tabs>
                              <w:rPr>
                                <w:szCs w:val="24"/>
                              </w:rPr>
                            </w:pPr>
                            <w:r>
                              <w:rPr>
                                <w:szCs w:val="24"/>
                              </w:rPr>
                              <w:t>Pavadinimas</w:t>
                            </w:r>
                          </w:p>
                        </w:tc>
                        <w:tc>
                          <w:tcPr>
                            <w:tcW w:w="1296" w:type="dxa"/>
                            <w:shd w:val="clear" w:color="auto" w:fill="F6F9FC"/>
                            <w:hideMark/>
                          </w:tcPr>
                          <w:p>
                            <w:pPr>
                              <w:tabs>
                                <w:tab w:val="center" w:pos="4819"/>
                                <w:tab w:val="left" w:pos="6237"/>
                                <w:tab w:val="right" w:pos="9638"/>
                              </w:tabs>
                              <w:rPr>
                                <w:szCs w:val="24"/>
                              </w:rPr>
                            </w:pPr>
                            <w:r>
                              <w:rPr>
                                <w:szCs w:val="24"/>
                              </w:rPr>
                              <w:t>Kodas</w:t>
                            </w:r>
                          </w:p>
                        </w:tc>
                        <w:tc>
                          <w:tcPr>
                            <w:tcW w:w="1583" w:type="dxa"/>
                            <w:shd w:val="clear" w:color="auto" w:fill="F6F9FC"/>
                            <w:hideMark/>
                          </w:tcPr>
                          <w:p>
                            <w:pPr>
                              <w:tabs>
                                <w:tab w:val="center" w:pos="4819"/>
                                <w:tab w:val="left" w:pos="6237"/>
                                <w:tab w:val="right" w:pos="9638"/>
                              </w:tabs>
                              <w:rPr>
                                <w:szCs w:val="24"/>
                              </w:rPr>
                            </w:pPr>
                            <w:r>
                              <w:rPr>
                                <w:szCs w:val="24"/>
                              </w:rPr>
                              <w:t>Registras</w:t>
                            </w:r>
                          </w:p>
                        </w:tc>
                        <w:tc>
                          <w:tcPr>
                            <w:tcW w:w="1207" w:type="dxa"/>
                            <w:shd w:val="clear" w:color="auto" w:fill="F6F9FC"/>
                            <w:hideMark/>
                          </w:tcPr>
                          <w:p>
                            <w:pPr>
                              <w:tabs>
                                <w:tab w:val="center" w:pos="4819"/>
                                <w:tab w:val="left" w:pos="6237"/>
                                <w:tab w:val="right" w:pos="9638"/>
                              </w:tabs>
                              <w:rPr>
                                <w:szCs w:val="24"/>
                              </w:rPr>
                            </w:pPr>
                            <w:r>
                              <w:rPr>
                                <w:szCs w:val="24"/>
                              </w:rPr>
                              <w:t>Adresas</w:t>
                            </w:r>
                          </w:p>
                        </w:tc>
                        <w:tc>
                          <w:tcPr>
                            <w:tcW w:w="2149" w:type="dxa"/>
                            <w:vMerge/>
                            <w:vAlign w:val="center"/>
                            <w:hideMark/>
                          </w:tcPr>
                          <w:p>
                            <w:pPr>
                              <w:tabs>
                                <w:tab w:val="center" w:pos="4819"/>
                                <w:tab w:val="left" w:pos="6237"/>
                                <w:tab w:val="right" w:pos="9638"/>
                              </w:tabs>
                              <w:rPr>
                                <w:szCs w:val="24"/>
                              </w:rPr>
                            </w:pPr>
                          </w:p>
                        </w:tc>
                        <w:tc>
                          <w:tcPr>
                            <w:tcW w:w="0" w:type="auto"/>
                            <w:vMerge/>
                            <w:vAlign w:val="center"/>
                            <w:hideMark/>
                          </w:tcPr>
                          <w:p>
                            <w:pPr>
                              <w:tabs>
                                <w:tab w:val="center" w:pos="4819"/>
                                <w:tab w:val="left" w:pos="6237"/>
                                <w:tab w:val="right" w:pos="9638"/>
                              </w:tabs>
                              <w:rPr>
                                <w:szCs w:val="24"/>
                              </w:rPr>
                            </w:pPr>
                          </w:p>
                        </w:tc>
                      </w:tr>
                      <w:tr>
                        <w:tc>
                          <w:tcPr>
                            <w:tcW w:w="557" w:type="dxa"/>
                            <w:hideMark/>
                          </w:tcPr>
                          <w:p>
                            <w:pPr>
                              <w:tabs>
                                <w:tab w:val="center" w:pos="4819"/>
                                <w:tab w:val="left" w:pos="6237"/>
                                <w:tab w:val="right" w:pos="9638"/>
                              </w:tabs>
                              <w:rPr>
                                <w:szCs w:val="24"/>
                              </w:rPr>
                            </w:pPr>
                            <w:r>
                              <w:rPr>
                                <w:szCs w:val="24"/>
                              </w:rPr>
                              <w:t>1.</w:t>
                            </w:r>
                          </w:p>
                        </w:tc>
                        <w:tc>
                          <w:tcPr>
                            <w:tcW w:w="1589"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UAB „Termosrovė“</w:t>
                            </w:r>
                          </w:p>
                        </w:tc>
                        <w:tc>
                          <w:tcPr>
                            <w:tcW w:w="129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171663874</w:t>
                            </w:r>
                          </w:p>
                        </w:tc>
                        <w:tc>
                          <w:tcPr>
                            <w:tcW w:w="158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Sutartis B2-130/25(12.28)</w:t>
                            </w:r>
                          </w:p>
                        </w:tc>
                        <w:tc>
                          <w:tcPr>
                            <w:tcW w:w="1207"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Vasario 16-osios g. 3-5, Radviliškis</w:t>
                            </w:r>
                          </w:p>
                        </w:tc>
                        <w:tc>
                          <w:tcPr>
                            <w:tcW w:w="2149"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color w:val="000000"/>
                                <w:szCs w:val="24"/>
                              </w:rPr>
                            </w:pPr>
                            <w:r>
                              <w:rPr>
                                <w:color w:val="000000"/>
                                <w:szCs w:val="24"/>
                                <w:u w:val="single"/>
                              </w:rPr>
                              <w:t>Virtuvės ir pagalbinių patalpų remonto darbai</w:t>
                            </w:r>
                          </w:p>
                        </w:tc>
                        <w:tc>
                          <w:tcPr>
                            <w:tcW w:w="1247"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94948,42</w:t>
                            </w:r>
                          </w:p>
                        </w:tc>
                      </w:tr>
                      <w:tr>
                        <w:tc>
                          <w:tcPr>
                            <w:tcW w:w="557" w:type="dxa"/>
                            <w:hideMark/>
                          </w:tcPr>
                          <w:p>
                            <w:pPr>
                              <w:tabs>
                                <w:tab w:val="center" w:pos="4819"/>
                                <w:tab w:val="left" w:pos="6237"/>
                                <w:tab w:val="right" w:pos="9638"/>
                              </w:tabs>
                              <w:rPr>
                                <w:szCs w:val="24"/>
                              </w:rPr>
                            </w:pPr>
                            <w:r>
                              <w:rPr>
                                <w:szCs w:val="24"/>
                              </w:rPr>
                              <w:t>2.</w:t>
                            </w:r>
                          </w:p>
                        </w:tc>
                        <w:tc>
                          <w:tcPr>
                            <w:tcW w:w="1589"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UAB „Pilnytis“</w:t>
                            </w:r>
                          </w:p>
                        </w:tc>
                        <w:tc>
                          <w:tcPr>
                            <w:tcW w:w="129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306171559</w:t>
                            </w:r>
                          </w:p>
                        </w:tc>
                        <w:tc>
                          <w:tcPr>
                            <w:tcW w:w="158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Sutartis B2-4/25(12.28)</w:t>
                            </w:r>
                          </w:p>
                        </w:tc>
                        <w:tc>
                          <w:tcPr>
                            <w:tcW w:w="1207"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Malūno a.1B-2, Radviliškis</w:t>
                            </w:r>
                          </w:p>
                        </w:tc>
                        <w:tc>
                          <w:tcPr>
                            <w:tcW w:w="2149"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color w:val="000000"/>
                                <w:szCs w:val="24"/>
                              </w:rPr>
                            </w:pPr>
                            <w:r>
                              <w:rPr>
                                <w:color w:val="000000"/>
                                <w:szCs w:val="24"/>
                                <w:u w:val="single"/>
                              </w:rPr>
                              <w:t>Kabinetų įrengimo konsultacinėje poliklinikoje ir rūsio vandentiekio (šalto) magistralinio vamzdyno keitimas (I korpusas)</w:t>
                            </w:r>
                          </w:p>
                        </w:tc>
                        <w:tc>
                          <w:tcPr>
                            <w:tcW w:w="1247"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szCs w:val="24"/>
                              </w:rPr>
                              <w:t>15495,84</w:t>
                            </w:r>
                          </w:p>
                        </w:tc>
                      </w:tr>
                      <w:tr>
                        <w:tc>
                          <w:tcPr>
                            <w:tcW w:w="557" w:type="dxa"/>
                          </w:tcPr>
                          <w:p>
                            <w:pPr>
                              <w:tabs>
                                <w:tab w:val="center" w:pos="4819"/>
                                <w:tab w:val="left" w:pos="6237"/>
                                <w:tab w:val="right" w:pos="9638"/>
                              </w:tabs>
                              <w:rPr>
                                <w:szCs w:val="24"/>
                              </w:rPr>
                            </w:pPr>
                          </w:p>
                        </w:tc>
                        <w:tc>
                          <w:tcPr>
                            <w:tcW w:w="1589"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p>
                        </w:tc>
                        <w:tc>
                          <w:tcPr>
                            <w:tcW w:w="1296"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p>
                        </w:tc>
                        <w:tc>
                          <w:tcPr>
                            <w:tcW w:w="1583"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p>
                        </w:tc>
                        <w:tc>
                          <w:tcPr>
                            <w:tcW w:w="1207"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p>
                        </w:tc>
                        <w:tc>
                          <w:tcPr>
                            <w:tcW w:w="2149" w:type="dxa"/>
                            <w:tcBorders>
                              <w:top w:val="single" w:sz="4" w:space="0" w:color="auto"/>
                              <w:left w:val="single" w:sz="4" w:space="0" w:color="auto"/>
                              <w:bottom w:val="single" w:sz="4" w:space="0" w:color="auto"/>
                              <w:right w:val="single" w:sz="4" w:space="0" w:color="auto"/>
                            </w:tcBorders>
                            <w:hideMark/>
                          </w:tcPr>
                          <w:p>
                            <w:pPr>
                              <w:tabs>
                                <w:tab w:val="center" w:pos="4819"/>
                                <w:tab w:val="left" w:pos="6237"/>
                                <w:tab w:val="right" w:pos="9638"/>
                              </w:tabs>
                              <w:rPr>
                                <w:szCs w:val="24"/>
                              </w:rPr>
                            </w:pPr>
                            <w:r>
                              <w:rPr>
                                <w:szCs w:val="24"/>
                              </w:rPr>
                              <w:t>Iš viso</w:t>
                            </w:r>
                          </w:p>
                        </w:tc>
                        <w:tc>
                          <w:tcPr>
                            <w:tcW w:w="1247" w:type="dxa"/>
                            <w:tcBorders>
                              <w:top w:val="single" w:sz="4" w:space="0" w:color="auto"/>
                              <w:left w:val="single" w:sz="4" w:space="0" w:color="auto"/>
                              <w:bottom w:val="single" w:sz="4" w:space="0" w:color="auto"/>
                              <w:right w:val="single" w:sz="4" w:space="0" w:color="auto"/>
                            </w:tcBorders>
                          </w:tcPr>
                          <w:p>
                            <w:pPr>
                              <w:tabs>
                                <w:tab w:val="center" w:pos="4819"/>
                                <w:tab w:val="left" w:pos="6237"/>
                                <w:tab w:val="right" w:pos="9638"/>
                              </w:tabs>
                              <w:rPr>
                                <w:szCs w:val="24"/>
                              </w:rPr>
                            </w:pPr>
                            <w:r>
                              <w:rPr>
                                <w:b/>
                                <w:bCs/>
                                <w:szCs w:val="24"/>
                              </w:rPr>
                              <w:t>110444,26</w:t>
                            </w:r>
                          </w:p>
                        </w:tc>
                      </w:tr>
                    </w:tbl>
                    <w:p>
                      <w:pPr>
                        <w:tabs>
                          <w:tab w:val="center" w:pos="4819"/>
                          <w:tab w:val="left" w:pos="6237"/>
                          <w:tab w:val="right" w:pos="9638"/>
                        </w:tabs>
                        <w:rPr>
                          <w:szCs w:val="24"/>
                        </w:rPr>
                      </w:pPr>
                    </w:p>
                    <w:p>
                      <w:pPr>
                        <w:tabs>
                          <w:tab w:val="center" w:pos="4819"/>
                          <w:tab w:val="left" w:pos="6237"/>
                          <w:tab w:val="right" w:pos="9638"/>
                        </w:tabs>
                        <w:ind w:firstLine="567"/>
                        <w:rPr>
                          <w:bCs/>
                          <w:szCs w:val="24"/>
                        </w:rPr>
                      </w:pPr>
                      <w:r>
                        <w:rPr>
                          <w:bCs/>
                          <w:szCs w:val="24"/>
                        </w:rPr>
                        <w:t>Sandoriai su susijusiomis šalimis.</w:t>
                      </w:r>
                    </w:p>
                    <w:p>
                      <w:pPr>
                        <w:tabs>
                          <w:tab w:val="center" w:pos="4819"/>
                          <w:tab w:val="left" w:pos="6237"/>
                          <w:tab w:val="right" w:pos="9638"/>
                        </w:tabs>
                        <w:rPr>
                          <w:szCs w:val="24"/>
                        </w:rPr>
                      </w:pPr>
                    </w:p>
                    <w:tbl>
                      <w:tblPr>
                        <w:tblW w:w="9630" w:type="dxa"/>
                        <w:tblCellMar>
                          <w:left w:w="0" w:type="dxa"/>
                          <w:right w:w="0" w:type="dxa"/>
                        </w:tblCellMar>
                        <w:tblLook w:val="04A0" w:firstRow="1" w:lastRow="0" w:firstColumn="1" w:lastColumn="0" w:noHBand="0" w:noVBand="1"/>
                      </w:tblPr>
                      <w:tblGrid>
                        <w:gridCol w:w="556"/>
                        <w:gridCol w:w="1576"/>
                        <w:gridCol w:w="1296"/>
                        <w:gridCol w:w="1110"/>
                        <w:gridCol w:w="1297"/>
                        <w:gridCol w:w="1430"/>
                        <w:gridCol w:w="1683"/>
                        <w:gridCol w:w="876"/>
                      </w:tblGrid>
                      <w:tr>
                        <w:tc>
                          <w:tcPr>
                            <w:tcW w:w="558" w:type="dxa"/>
                            <w:vMerge w:val="restart"/>
                            <w:tcBorders>
                              <w:top w:val="single" w:sz="8" w:space="0" w:color="auto"/>
                              <w:left w:val="single" w:sz="8" w:space="0" w:color="auto"/>
                              <w:bottom w:val="single" w:sz="8" w:space="0" w:color="auto"/>
                              <w:right w:val="single" w:sz="8" w:space="0" w:color="auto"/>
                            </w:tcBorders>
                            <w:shd w:val="clear" w:color="auto" w:fill="D9E5F3"/>
                            <w:tcMar>
                              <w:top w:w="0" w:type="dxa"/>
                              <w:left w:w="108" w:type="dxa"/>
                              <w:bottom w:w="0" w:type="dxa"/>
                              <w:right w:w="108" w:type="dxa"/>
                            </w:tcMar>
                            <w:hideMark/>
                          </w:tcPr>
                          <w:p>
                            <w:pPr>
                              <w:rPr>
                                <w:szCs w:val="24"/>
                              </w:rPr>
                            </w:pPr>
                            <w:r>
                              <w:rPr>
                                <w:color w:val="000000"/>
                                <w:szCs w:val="24"/>
                              </w:rPr>
                              <w:t>Eil. Nr.</w:t>
                            </w:r>
                          </w:p>
                        </w:tc>
                        <w:tc>
                          <w:tcPr>
                            <w:tcW w:w="6552" w:type="dxa"/>
                            <w:gridSpan w:val="5"/>
                            <w:tcBorders>
                              <w:top w:val="single" w:sz="8" w:space="0" w:color="auto"/>
                              <w:left w:val="nil"/>
                              <w:bottom w:val="single" w:sz="8" w:space="0" w:color="auto"/>
                              <w:right w:val="single" w:sz="8" w:space="0" w:color="auto"/>
                            </w:tcBorders>
                            <w:shd w:val="clear" w:color="auto" w:fill="D9E5F3"/>
                            <w:tcMar>
                              <w:top w:w="0" w:type="dxa"/>
                              <w:left w:w="108" w:type="dxa"/>
                              <w:bottom w:w="0" w:type="dxa"/>
                              <w:right w:w="108" w:type="dxa"/>
                            </w:tcMar>
                            <w:hideMark/>
                          </w:tcPr>
                          <w:p>
                            <w:pPr>
                              <w:rPr>
                                <w:szCs w:val="24"/>
                              </w:rPr>
                            </w:pPr>
                            <w:r>
                              <w:rPr>
                                <w:color w:val="000000"/>
                                <w:szCs w:val="24"/>
                              </w:rPr>
                              <w:t>Susijusi šalis</w:t>
                            </w:r>
                          </w:p>
                        </w:tc>
                        <w:tc>
                          <w:tcPr>
                            <w:tcW w:w="1561" w:type="dxa"/>
                            <w:vMerge w:val="restart"/>
                            <w:tcBorders>
                              <w:top w:val="single" w:sz="8" w:space="0" w:color="auto"/>
                              <w:left w:val="nil"/>
                              <w:bottom w:val="single" w:sz="8" w:space="0" w:color="auto"/>
                              <w:right w:val="single" w:sz="8" w:space="0" w:color="auto"/>
                            </w:tcBorders>
                            <w:shd w:val="clear" w:color="auto" w:fill="D9E5F3"/>
                            <w:tcMar>
                              <w:top w:w="0" w:type="dxa"/>
                              <w:left w:w="108" w:type="dxa"/>
                              <w:bottom w:w="0" w:type="dxa"/>
                              <w:right w:w="108" w:type="dxa"/>
                            </w:tcMar>
                            <w:vAlign w:val="center"/>
                            <w:hideMark/>
                          </w:tcPr>
                          <w:p>
                            <w:pPr>
                              <w:rPr>
                                <w:szCs w:val="24"/>
                              </w:rPr>
                            </w:pPr>
                            <w:r>
                              <w:rPr>
                                <w:color w:val="000000"/>
                                <w:szCs w:val="24"/>
                              </w:rPr>
                              <w:t>Sandorio objektas</w:t>
                            </w:r>
                          </w:p>
                        </w:tc>
                        <w:tc>
                          <w:tcPr>
                            <w:tcW w:w="959" w:type="dxa"/>
                            <w:vMerge w:val="restart"/>
                            <w:tcBorders>
                              <w:top w:val="single" w:sz="8" w:space="0" w:color="auto"/>
                              <w:left w:val="nil"/>
                              <w:bottom w:val="single" w:sz="8" w:space="0" w:color="auto"/>
                              <w:right w:val="single" w:sz="8" w:space="0" w:color="auto"/>
                            </w:tcBorders>
                            <w:shd w:val="clear" w:color="auto" w:fill="D9E5F3"/>
                            <w:tcMar>
                              <w:top w:w="0" w:type="dxa"/>
                              <w:left w:w="108" w:type="dxa"/>
                              <w:bottom w:w="0" w:type="dxa"/>
                              <w:right w:w="108" w:type="dxa"/>
                            </w:tcMar>
                            <w:vAlign w:val="center"/>
                            <w:hideMark/>
                          </w:tcPr>
                          <w:p>
                            <w:pPr>
                              <w:rPr>
                                <w:szCs w:val="24"/>
                              </w:rPr>
                            </w:pPr>
                            <w:r>
                              <w:rPr>
                                <w:color w:val="000000"/>
                                <w:szCs w:val="24"/>
                              </w:rPr>
                              <w:t>Suma, Eur</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rPr>
                            </w:pPr>
                          </w:p>
                        </w:tc>
                        <w:tc>
                          <w:tcPr>
                            <w:tcW w:w="1463" w:type="dxa"/>
                            <w:tcBorders>
                              <w:top w:val="nil"/>
                              <w:left w:val="nil"/>
                              <w:bottom w:val="single" w:sz="8" w:space="0" w:color="auto"/>
                              <w:right w:val="single" w:sz="8" w:space="0" w:color="auto"/>
                            </w:tcBorders>
                            <w:shd w:val="clear" w:color="auto" w:fill="F6F9FC"/>
                            <w:tcMar>
                              <w:top w:w="0" w:type="dxa"/>
                              <w:left w:w="108" w:type="dxa"/>
                              <w:bottom w:w="0" w:type="dxa"/>
                              <w:right w:w="108" w:type="dxa"/>
                            </w:tcMar>
                            <w:hideMark/>
                          </w:tcPr>
                          <w:p>
                            <w:pPr>
                              <w:rPr>
                                <w:szCs w:val="24"/>
                              </w:rPr>
                            </w:pPr>
                            <w:r>
                              <w:rPr>
                                <w:color w:val="000000"/>
                                <w:szCs w:val="24"/>
                              </w:rPr>
                              <w:t>Pavadinimas</w:t>
                            </w:r>
                          </w:p>
                        </w:tc>
                        <w:tc>
                          <w:tcPr>
                            <w:tcW w:w="1219" w:type="dxa"/>
                            <w:tcBorders>
                              <w:top w:val="nil"/>
                              <w:left w:val="nil"/>
                              <w:bottom w:val="single" w:sz="8" w:space="0" w:color="auto"/>
                              <w:right w:val="single" w:sz="8" w:space="0" w:color="auto"/>
                            </w:tcBorders>
                            <w:shd w:val="clear" w:color="auto" w:fill="F6F9FC"/>
                            <w:tcMar>
                              <w:top w:w="0" w:type="dxa"/>
                              <w:left w:w="108" w:type="dxa"/>
                              <w:bottom w:w="0" w:type="dxa"/>
                              <w:right w:w="108" w:type="dxa"/>
                            </w:tcMar>
                            <w:hideMark/>
                          </w:tcPr>
                          <w:p>
                            <w:pPr>
                              <w:rPr>
                                <w:szCs w:val="24"/>
                              </w:rPr>
                            </w:pPr>
                            <w:r>
                              <w:rPr>
                                <w:color w:val="000000"/>
                                <w:szCs w:val="24"/>
                              </w:rPr>
                              <w:t>Kodas</w:t>
                            </w:r>
                          </w:p>
                        </w:tc>
                        <w:tc>
                          <w:tcPr>
                            <w:tcW w:w="1145" w:type="dxa"/>
                            <w:tcBorders>
                              <w:top w:val="nil"/>
                              <w:left w:val="nil"/>
                              <w:bottom w:val="single" w:sz="8" w:space="0" w:color="auto"/>
                              <w:right w:val="single" w:sz="8" w:space="0" w:color="auto"/>
                            </w:tcBorders>
                            <w:shd w:val="clear" w:color="auto" w:fill="F6F9FC"/>
                            <w:tcMar>
                              <w:top w:w="0" w:type="dxa"/>
                              <w:left w:w="108" w:type="dxa"/>
                              <w:bottom w:w="0" w:type="dxa"/>
                              <w:right w:w="108" w:type="dxa"/>
                            </w:tcMar>
                            <w:hideMark/>
                          </w:tcPr>
                          <w:p>
                            <w:pPr>
                              <w:rPr>
                                <w:szCs w:val="24"/>
                              </w:rPr>
                            </w:pPr>
                            <w:r>
                              <w:rPr>
                                <w:color w:val="000000"/>
                                <w:szCs w:val="24"/>
                              </w:rPr>
                              <w:t>Registras</w:t>
                            </w:r>
                          </w:p>
                        </w:tc>
                        <w:tc>
                          <w:tcPr>
                            <w:tcW w:w="1371" w:type="dxa"/>
                            <w:tcBorders>
                              <w:top w:val="nil"/>
                              <w:left w:val="nil"/>
                              <w:bottom w:val="single" w:sz="8" w:space="0" w:color="auto"/>
                              <w:right w:val="single" w:sz="8" w:space="0" w:color="auto"/>
                            </w:tcBorders>
                            <w:shd w:val="clear" w:color="auto" w:fill="F6F9FC"/>
                            <w:tcMar>
                              <w:top w:w="0" w:type="dxa"/>
                              <w:left w:w="108" w:type="dxa"/>
                              <w:bottom w:w="0" w:type="dxa"/>
                              <w:right w:w="108" w:type="dxa"/>
                            </w:tcMar>
                            <w:hideMark/>
                          </w:tcPr>
                          <w:p>
                            <w:pPr>
                              <w:rPr>
                                <w:szCs w:val="24"/>
                              </w:rPr>
                            </w:pPr>
                            <w:r>
                              <w:rPr>
                                <w:color w:val="000000"/>
                                <w:szCs w:val="24"/>
                              </w:rPr>
                              <w:t>Adresas</w:t>
                            </w:r>
                          </w:p>
                        </w:tc>
                        <w:tc>
                          <w:tcPr>
                            <w:tcW w:w="1354" w:type="dxa"/>
                            <w:tcBorders>
                              <w:top w:val="nil"/>
                              <w:left w:val="nil"/>
                              <w:bottom w:val="single" w:sz="8" w:space="0" w:color="auto"/>
                              <w:right w:val="single" w:sz="8" w:space="0" w:color="auto"/>
                            </w:tcBorders>
                            <w:shd w:val="clear" w:color="auto" w:fill="F6F9FC"/>
                            <w:tcMar>
                              <w:top w:w="0" w:type="dxa"/>
                              <w:left w:w="108" w:type="dxa"/>
                              <w:bottom w:w="0" w:type="dxa"/>
                              <w:right w:w="108" w:type="dxa"/>
                            </w:tcMar>
                            <w:hideMark/>
                          </w:tcPr>
                          <w:p>
                            <w:pPr>
                              <w:rPr>
                                <w:szCs w:val="24"/>
                              </w:rPr>
                            </w:pPr>
                            <w:r>
                              <w:rPr>
                                <w:color w:val="000000"/>
                                <w:szCs w:val="24"/>
                              </w:rPr>
                              <w:t>Santykių pobūdis</w:t>
                            </w:r>
                          </w:p>
                        </w:tc>
                        <w:tc>
                          <w:tcPr>
                            <w:tcW w:w="0" w:type="auto"/>
                            <w:vMerge/>
                            <w:tcBorders>
                              <w:top w:val="single" w:sz="8" w:space="0" w:color="auto"/>
                              <w:left w:val="nil"/>
                              <w:bottom w:val="single" w:sz="8" w:space="0" w:color="auto"/>
                              <w:right w:val="single" w:sz="8" w:space="0" w:color="auto"/>
                            </w:tcBorders>
                            <w:vAlign w:val="center"/>
                            <w:hideMark/>
                          </w:tcPr>
                          <w:p>
                            <w:pPr>
                              <w:rPr>
                                <w:szCs w:val="24"/>
                              </w:rPr>
                            </w:pPr>
                          </w:p>
                        </w:tc>
                        <w:tc>
                          <w:tcPr>
                            <w:tcW w:w="0" w:type="auto"/>
                            <w:vMerge/>
                            <w:tcBorders>
                              <w:top w:val="single" w:sz="8" w:space="0" w:color="auto"/>
                              <w:left w:val="nil"/>
                              <w:bottom w:val="single" w:sz="8" w:space="0" w:color="auto"/>
                              <w:right w:val="single" w:sz="8" w:space="0" w:color="auto"/>
                            </w:tcBorders>
                            <w:vAlign w:val="center"/>
                            <w:hideMark/>
                          </w:tcPr>
                          <w:p>
                            <w:pPr>
                              <w:rPr>
                                <w:szCs w:val="24"/>
                              </w:rPr>
                            </w:pPr>
                          </w:p>
                        </w:tc>
                      </w:tr>
                      <w:tr>
                        <w:tc>
                          <w:tcPr>
                            <w:tcW w:w="5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1.</w:t>
                            </w:r>
                          </w:p>
                        </w:tc>
                        <w:tc>
                          <w:tcPr>
                            <w:tcW w:w="1463"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Radviliškio rajono savivaldybės administracija</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188726247</w:t>
                            </w:r>
                          </w:p>
                        </w:tc>
                        <w:tc>
                          <w:tcPr>
                            <w:tcW w:w="1145"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2024-02-06 sutartis Nr. SR-2 (12.26) </w:t>
                            </w:r>
                          </w:p>
                        </w:tc>
                        <w:tc>
                          <w:tcPr>
                            <w:tcW w:w="1371"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Aušros a. 10, Radviliškis</w:t>
                            </w:r>
                          </w:p>
                        </w:tc>
                        <w:tc>
                          <w:tcPr>
                            <w:tcW w:w="1354"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Profilaktinio sveikatos tikrinimo sutartis</w:t>
                            </w: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Radviliškio rajono savivaldybės administracijos darbuotojai</w:t>
                            </w:r>
                          </w:p>
                        </w:tc>
                        <w:tc>
                          <w:tcPr>
                            <w:tcW w:w="959"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294,14</w:t>
                            </w:r>
                          </w:p>
                        </w:tc>
                      </w:tr>
                      <w:tr>
                        <w:tc>
                          <w:tcPr>
                            <w:tcW w:w="55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tc>
                        <w:tc>
                          <w:tcPr>
                            <w:tcW w:w="1463"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p>
                        </w:tc>
                        <w:tc>
                          <w:tcPr>
                            <w:tcW w:w="1371"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p>
                        </w:tc>
                        <w:tc>
                          <w:tcPr>
                            <w:tcW w:w="1354" w:type="dxa"/>
                            <w:tcBorders>
                              <w:top w:val="nil"/>
                              <w:left w:val="nil"/>
                              <w:bottom w:val="single" w:sz="8" w:space="0" w:color="auto"/>
                              <w:right w:val="single" w:sz="8" w:space="0" w:color="auto"/>
                            </w:tcBorders>
                            <w:tcMar>
                              <w:top w:w="0" w:type="dxa"/>
                              <w:left w:w="108" w:type="dxa"/>
                              <w:bottom w:w="0" w:type="dxa"/>
                              <w:right w:w="108" w:type="dxa"/>
                            </w:tcMar>
                          </w:tcPr>
                          <w:p>
                            <w:pPr>
                              <w:rPr>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rPr>
                            </w:pPr>
                            <w:r>
                              <w:rPr>
                                <w:szCs w:val="24"/>
                              </w:rPr>
                              <w:t>Iš viso</w:t>
                            </w:r>
                          </w:p>
                        </w:tc>
                        <w:tc>
                          <w:tcPr>
                            <w:tcW w:w="959" w:type="dxa"/>
                            <w:tcBorders>
                              <w:top w:val="nil"/>
                              <w:left w:val="nil"/>
                              <w:bottom w:val="single" w:sz="8" w:space="0" w:color="auto"/>
                              <w:right w:val="single" w:sz="8" w:space="0" w:color="auto"/>
                            </w:tcBorders>
                            <w:tcMar>
                              <w:top w:w="0" w:type="dxa"/>
                              <w:left w:w="108" w:type="dxa"/>
                              <w:bottom w:w="0" w:type="dxa"/>
                              <w:right w:w="108" w:type="dxa"/>
                            </w:tcMar>
                            <w:hideMark/>
                          </w:tcPr>
                          <w:p>
                            <w:pPr>
                              <w:rPr>
                                <w:b/>
                                <w:bCs/>
                                <w:szCs w:val="24"/>
                              </w:rPr>
                            </w:pPr>
                            <w:r>
                              <w:rPr>
                                <w:b/>
                                <w:bCs/>
                                <w:szCs w:val="24"/>
                              </w:rPr>
                              <w:t>294,14</w:t>
                            </w:r>
                          </w:p>
                        </w:tc>
                      </w:tr>
                    </w:tbl>
                    <w:p>
                      <w:pPr>
                        <w:ind w:right="-1"/>
                        <w:rPr>
                          <w:rFonts w:eastAsia="Calibri"/>
                          <w:b/>
                          <w:kern w:val="20"/>
                          <w:szCs w:val="24"/>
                        </w:rPr>
                      </w:pPr>
                    </w:p>
                    <w:p>
                      <w:pPr>
                        <w:rPr>
                          <w:sz w:val="6"/>
                          <w:szCs w:val="6"/>
                        </w:rPr>
                      </w:pPr>
                    </w:p>
                  </w:sdtContent>
                </w:sdt>
                <w:sdt>
                  <w:sdtPr>
                    <w:alias w:val="skirsnis"/>
                    <w:tag w:val="part_0f3dfc4ae78c4507ae91e9fa73c1900f"/>
                    <w:lock w:val="sdtLocked"/>
                    <w:richText/>
                  </w:sdtPr>
                  <w:sdtContent>
                    <w:p>
                      <w:pPr>
                        <w:ind w:right="-1"/>
                        <w:jc w:val="center"/>
                        <w:rPr>
                          <w:rFonts w:eastAsia="Calibri"/>
                          <w:b/>
                          <w:kern w:val="20"/>
                          <w:szCs w:val="24"/>
                        </w:rPr>
                      </w:pPr>
                      <w:sdt>
                        <w:sdtPr>
                          <w:alias w:val="Pavadinimas"/>
                          <w:tag w:val="title_0f3dfc4ae78c4507ae91e9fa73c1900f"/>
                          <w:lock w:val="sdtLocked"/>
                          <w:richText/>
                        </w:sdtPr>
                        <w:sdtContent>
                          <w:r>
                            <w:rPr>
                              <w:rFonts w:eastAsia="Calibri"/>
                              <w:b/>
                              <w:kern w:val="20"/>
                              <w:szCs w:val="24"/>
                            </w:rPr>
                            <w:t>Perspektyvos</w:t>
                          </w:r>
                        </w:sdtContent>
                      </w:sdt>
                    </w:p>
                    <w:p>
                      <w:pPr>
                        <w:rPr>
                          <w:sz w:val="6"/>
                          <w:szCs w:val="6"/>
                        </w:rPr>
                      </w:pPr>
                    </w:p>
                    <w:p>
                      <w:pPr>
                        <w:ind w:firstLine="567"/>
                        <w:rPr>
                          <w:szCs w:val="24"/>
                          <w:lang w:eastAsia="lt-LT"/>
                        </w:rPr>
                      </w:pPr>
                    </w:p>
                    <w:p>
                      <w:pPr>
                        <w:tabs>
                          <w:tab w:val="left" w:pos="1296"/>
                          <w:tab w:val="center" w:pos="4153"/>
                          <w:tab w:val="right" w:pos="8306"/>
                        </w:tabs>
                        <w:ind w:firstLine="567"/>
                        <w:rPr>
                          <w:szCs w:val="24"/>
                        </w:rPr>
                        <w:sectPr>
                          <w:type w:val="nextColumn"/>
                          <w:pgSz w:w="12240" w:h="15840"/>
                          <w:pgMar w:top="1701" w:right="567" w:bottom="1134" w:left="1701" w:header="708" w:footer="708" w:gutter="0"/>
                          <w:cols w:space="708"/>
                          <w:docGrid w:linePitch="360"/>
                        </w:sectPr>
                      </w:pPr>
                      <w:r>
                        <w:rPr>
                          <w:szCs w:val="24"/>
                        </w:rPr>
                        <w:t>2026 metais Ligoninė sieks šių kiekybinių veiklos rodiklių:</w:t>
                      </w:r>
                    </w:p>
                    <w:p>
                      <w:pPr>
                        <w:tabs>
                          <w:tab w:val="left" w:pos="1134"/>
                        </w:tabs>
                        <w:ind w:firstLine="567"/>
                        <w:rPr>
                          <w:szCs w:val="24"/>
                        </w:rPr>
                      </w:pPr>
                      <w:r>
                        <w:rPr>
                          <w:rFonts w:ascii="Wingdings" w:hAnsi="Wingdings"/>
                          <w:szCs w:val="24"/>
                        </w:rPr>
                        <w:t></w:t>
                        <w:tab/>
                      </w:r>
                      <w:r>
                        <w:rPr>
                          <w:szCs w:val="24"/>
                        </w:rPr>
                        <w:t xml:space="preserve">užtikrinti teigiamą finansinį rezultatą, atsižvelgiant į iš Privalomojo sveikatos draudimo fondo gaunamo finansavimo apimtis; </w:t>
                      </w:r>
                    </w:p>
                    <w:p>
                      <w:pPr>
                        <w:tabs>
                          <w:tab w:val="left" w:pos="1134"/>
                        </w:tabs>
                        <w:ind w:firstLine="567"/>
                        <w:rPr>
                          <w:szCs w:val="24"/>
                        </w:rPr>
                      </w:pPr>
                      <w:r>
                        <w:rPr>
                          <w:rFonts w:ascii="Wingdings" w:hAnsi="Wingdings"/>
                          <w:szCs w:val="24"/>
                        </w:rPr>
                        <w:t></w:t>
                        <w:tab/>
                      </w:r>
                      <w:r>
                        <w:rPr>
                          <w:szCs w:val="24"/>
                        </w:rPr>
                        <w:t>toliau stiprinti paslaugų planavimą, vykdyti nuolatinę finansinių rezultatų analizę;</w:t>
                      </w:r>
                    </w:p>
                    <w:p>
                      <w:pPr>
                        <w:tabs>
                          <w:tab w:val="left" w:pos="1134"/>
                        </w:tabs>
                        <w:ind w:firstLine="567"/>
                        <w:rPr>
                          <w:szCs w:val="24"/>
                        </w:rPr>
                      </w:pPr>
                      <w:r>
                        <w:rPr>
                          <w:rFonts w:ascii="Wingdings" w:hAnsi="Wingdings"/>
                          <w:szCs w:val="24"/>
                        </w:rPr>
                        <w:t></w:t>
                        <w:tab/>
                      </w:r>
                      <w:r>
                        <w:rPr>
                          <w:szCs w:val="24"/>
                        </w:rPr>
                        <w:t>nevykdyti nebūtinų įrangos ir rangos darbų pirkimų bei taikyti kitas finansinio tvarumo užtikrinimo ir išlaidų kontrolės priemones.</w:t>
                      </w:r>
                    </w:p>
                    <w:p>
                      <w:pPr>
                        <w:tabs>
                          <w:tab w:val="left" w:pos="1134"/>
                        </w:tabs>
                        <w:ind w:left="567"/>
                        <w:rPr>
                          <w:szCs w:val="24"/>
                        </w:rPr>
                      </w:pPr>
                      <w:r>
                        <w:rPr>
                          <w:szCs w:val="24"/>
                        </w:rPr>
                        <w:t>2026 metais Ligoninė planuoja įvykdyti šiuos kokybinius veiklos rodiklius:</w:t>
                      </w:r>
                    </w:p>
                    <w:p>
                      <w:pPr>
                        <w:tabs>
                          <w:tab w:val="left" w:pos="1134"/>
                        </w:tabs>
                        <w:ind w:firstLine="567"/>
                        <w:rPr>
                          <w:szCs w:val="24"/>
                        </w:rPr>
                      </w:pPr>
                      <w:r>
                        <w:rPr>
                          <w:rFonts w:ascii="Wingdings" w:hAnsi="Wingdings"/>
                          <w:szCs w:val="24"/>
                        </w:rPr>
                        <w:t></w:t>
                        <w:tab/>
                      </w:r>
                      <w:r>
                        <w:rPr>
                          <w:szCs w:val="24"/>
                        </w:rPr>
                        <w:t>tęsti korupcijos prevencijos priemonių įgyvendinimą bei darbuotojų antikorupcinį švietimą;</w:t>
                      </w:r>
                    </w:p>
                    <w:p>
                      <w:pPr>
                        <w:rPr>
                          <w:sz w:val="8"/>
                          <w:szCs w:val="8"/>
                        </w:rPr>
                      </w:pPr>
                    </w:p>
                    <w:p>
                      <w:pPr>
                        <w:tabs>
                          <w:tab w:val="left" w:pos="1134"/>
                        </w:tabs>
                        <w:ind w:firstLine="567"/>
                        <w:rPr>
                          <w:szCs w:val="24"/>
                        </w:rPr>
                      </w:pPr>
                      <w:r>
                        <w:rPr>
                          <w:rFonts w:ascii="Wingdings" w:hAnsi="Wingdings"/>
                          <w:szCs w:val="24"/>
                        </w:rPr>
                        <w:t></w:t>
                        <w:tab/>
                      </w:r>
                      <w:r>
                        <w:rPr>
                          <w:szCs w:val="24"/>
                        </w:rPr>
                        <w:t xml:space="preserve">siekti išlaikyti stabilią darbuotojų kaitą, užtikrinančią kokybišką ir nepertraukiamą sveikatos priežiūros paslaugų teikimą; </w:t>
                      </w:r>
                    </w:p>
                    <w:p>
                      <w:pPr>
                        <w:rPr>
                          <w:sz w:val="8"/>
                          <w:szCs w:val="8"/>
                        </w:rPr>
                      </w:pPr>
                    </w:p>
                    <w:p>
                      <w:pPr>
                        <w:tabs>
                          <w:tab w:val="left" w:pos="1134"/>
                        </w:tabs>
                        <w:ind w:firstLine="567"/>
                        <w:rPr>
                          <w:szCs w:val="24"/>
                        </w:rPr>
                      </w:pPr>
                      <w:r>
                        <w:rPr>
                          <w:rFonts w:ascii="Wingdings" w:hAnsi="Wingdings"/>
                          <w:szCs w:val="24"/>
                        </w:rPr>
                        <w:t></w:t>
                        <w:tab/>
                      </w:r>
                      <w:r>
                        <w:rPr>
                          <w:szCs w:val="24"/>
                        </w:rPr>
                        <w:t>toliau vykdyti Jaunimo savanoriškos tarnybos programą;</w:t>
                      </w:r>
                    </w:p>
                    <w:p>
                      <w:pPr>
                        <w:rPr>
                          <w:sz w:val="8"/>
                          <w:szCs w:val="8"/>
                        </w:rPr>
                      </w:pPr>
                    </w:p>
                    <w:p>
                      <w:pPr>
                        <w:tabs>
                          <w:tab w:val="left" w:pos="1134"/>
                        </w:tabs>
                        <w:ind w:firstLine="567"/>
                        <w:rPr>
                          <w:szCs w:val="24"/>
                        </w:rPr>
                      </w:pPr>
                      <w:r>
                        <w:rPr>
                          <w:rFonts w:ascii="Wingdings" w:hAnsi="Wingdings"/>
                          <w:szCs w:val="24"/>
                        </w:rPr>
                        <w:t></w:t>
                        <w:tab/>
                      </w:r>
                      <w:r>
                        <w:rPr>
                          <w:szCs w:val="24"/>
                        </w:rPr>
                        <w:t>orientuotis į prioritetinių paslaugų plėtrą ir jų kokybinių bei kiekybinių rodiklių gerinimą;</w:t>
                      </w:r>
                    </w:p>
                    <w:p>
                      <w:pPr>
                        <w:tabs>
                          <w:tab w:val="left" w:pos="1134"/>
                        </w:tabs>
                        <w:ind w:firstLine="567"/>
                        <w:rPr>
                          <w:szCs w:val="24"/>
                        </w:rPr>
                      </w:pPr>
                      <w:r>
                        <w:rPr>
                          <w:rFonts w:ascii="Wingdings" w:hAnsi="Wingdings"/>
                          <w:szCs w:val="24"/>
                        </w:rPr>
                        <w:t></w:t>
                        <w:tab/>
                      </w:r>
                      <w:r>
                        <w:rPr>
                          <w:szCs w:val="24"/>
                        </w:rPr>
                        <w:t>atnaujinti dezinfekcinių skysčių ruošimo patalpas, Ūkio skyriaus darbininkų, ūkio tvarkytojų poilsio kambarius, taip pat pakeisti lubas dalyje Slaugos ir palaikomojo gydymo skyriaus II aukšto palatų;</w:t>
                      </w:r>
                    </w:p>
                    <w:p>
                      <w:pPr>
                        <w:tabs>
                          <w:tab w:val="left" w:pos="1134"/>
                        </w:tabs>
                        <w:ind w:firstLine="567"/>
                        <w:rPr>
                          <w:szCs w:val="24"/>
                        </w:rPr>
                      </w:pPr>
                      <w:r>
                        <w:rPr>
                          <w:rFonts w:ascii="Wingdings" w:hAnsi="Wingdings"/>
                          <w:szCs w:val="24"/>
                        </w:rPr>
                        <w:t></w:t>
                        <w:tab/>
                      </w:r>
                      <w:r>
                        <w:rPr>
                          <w:szCs w:val="24"/>
                        </w:rPr>
                        <w:t>pradėti įgyvendinti Priėmimo–skubiosios pagalbos skyriaus rekonstrukcijos darbus;</w:t>
                      </w:r>
                    </w:p>
                    <w:p>
                      <w:pPr>
                        <w:tabs>
                          <w:tab w:val="left" w:pos="1134"/>
                        </w:tabs>
                        <w:ind w:firstLine="567"/>
                        <w:rPr>
                          <w:szCs w:val="24"/>
                        </w:rPr>
                      </w:pPr>
                      <w:r>
                        <w:rPr>
                          <w:rFonts w:ascii="Wingdings" w:hAnsi="Wingdings"/>
                          <w:szCs w:val="24"/>
                        </w:rPr>
                        <w:t></w:t>
                        <w:tab/>
                      </w:r>
                      <w:r>
                        <w:rPr>
                          <w:szCs w:val="24"/>
                        </w:rPr>
                        <w:t>pradėti teikti maitinimo paslaugas pacientams.</w:t>
                      </w:r>
                    </w:p>
                    <w:p>
                      <w:pPr>
                        <w:tabs>
                          <w:tab w:val="left" w:pos="1134"/>
                        </w:tabs>
                        <w:ind w:left="567"/>
                        <w:rPr>
                          <w:szCs w:val="24"/>
                          <w:highlight w:val="yellow"/>
                        </w:rPr>
                      </w:pPr>
                    </w:p>
                  </w:sdtContent>
                </w:sdt>
                <w:sdt>
                  <w:sdtPr>
                    <w:alias w:val="skirsnis"/>
                    <w:tag w:val="part_1f09f33bd7424a3abdf04c5e5a619285"/>
                    <w:lock w:val="sdtLocked"/>
                    <w:richText/>
                  </w:sdtPr>
                  <w:sdtContent>
                    <w:p>
                      <w:pPr>
                        <w:jc w:val="center"/>
                        <w:rPr>
                          <w:b/>
                          <w:bCs/>
                          <w:szCs w:val="24"/>
                        </w:rPr>
                      </w:pPr>
                      <w:sdt>
                        <w:sdtPr>
                          <w:alias w:val="Pavadinimas"/>
                          <w:tag w:val="title_1f09f33bd7424a3abdf04c5e5a619285"/>
                          <w:lock w:val="sdtLocked"/>
                          <w:richText/>
                        </w:sdtPr>
                        <w:sdtContent>
                          <w:r>
                            <w:rPr>
                              <w:b/>
                              <w:bCs/>
                              <w:szCs w:val="24"/>
                            </w:rPr>
                            <w:t>RADVILIŠKIO RAJONO SOCIALINĖS ĮSTAIGOS</w:t>
                          </w:r>
                        </w:sdtContent>
                      </w:sdt>
                    </w:p>
                    <w:p>
                      <w:pPr>
                        <w:jc w:val="center"/>
                        <w:rPr>
                          <w:rFonts w:eastAsia="Calibri"/>
                          <w:b/>
                          <w:bCs/>
                          <w:color w:val="EE0000"/>
                          <w:szCs w:val="24"/>
                          <w:u w:val="single"/>
                          <w:lang w:eastAsia="lt-LT"/>
                        </w:rPr>
                      </w:pPr>
                    </w:p>
                  </w:sdtContent>
                </w:sdt>
                <w:sdt>
                  <w:sdtPr>
                    <w:alias w:val="skirsnis"/>
                    <w:tag w:val="part_94c24ed6595342d6b0a0f95b1aeda964"/>
                    <w:lock w:val="sdtLocked"/>
                    <w:richText/>
                  </w:sdtPr>
                  <w:sdtContent>
                    <w:p>
                      <w:pPr>
                        <w:jc w:val="center"/>
                        <w:rPr>
                          <w:rFonts w:eastAsia="Calibri"/>
                          <w:b/>
                          <w:bCs/>
                          <w:szCs w:val="24"/>
                          <w:lang w:eastAsia="lt-LT"/>
                        </w:rPr>
                      </w:pPr>
                      <w:sdt>
                        <w:sdtPr>
                          <w:alias w:val="Pavadinimas"/>
                          <w:tag w:val="title_94c24ed6595342d6b0a0f95b1aeda964"/>
                          <w:lock w:val="sdtLocked"/>
                          <w:richText/>
                        </w:sdtPr>
                        <w:sdtContent>
                          <w:r>
                            <w:rPr>
                              <w:rFonts w:eastAsia="Calibri"/>
                              <w:b/>
                              <w:bCs/>
                              <w:szCs w:val="24"/>
                              <w:lang w:eastAsia="lt-LT"/>
                            </w:rPr>
                            <w:t>RADVILIŠKIO SOCIALINIŲ PASLAUGŲ CENTRAS</w:t>
                          </w:r>
                        </w:sdtContent>
                      </w:sdt>
                    </w:p>
                    <w:p>
                      <w:pPr>
                        <w:rPr>
                          <w:rFonts w:eastAsia="Calibri"/>
                          <w:szCs w:val="24"/>
                          <w:u w:val="single"/>
                          <w:lang w:eastAsia="lt-LT"/>
                        </w:rPr>
                      </w:pPr>
                    </w:p>
                    <w:p>
                      <w:pPr>
                        <w:rPr>
                          <w:bCs/>
                          <w:szCs w:val="24"/>
                        </w:rPr>
                      </w:pPr>
                      <w:r>
                        <w:rPr>
                          <w:bCs/>
                          <w:szCs w:val="24"/>
                        </w:rPr>
                        <w:t>Programų, strateginių ir (arba) metų veiklos tikslų įgyvendinimo rodikliai</w:t>
                      </w:r>
                    </w:p>
                    <w:tbl>
                      <w:tblPr>
                        <w:tblW w:w="1480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134"/>
                        <w:gridCol w:w="992"/>
                        <w:gridCol w:w="851"/>
                        <w:gridCol w:w="850"/>
                        <w:gridCol w:w="1758"/>
                        <w:gridCol w:w="1503"/>
                        <w:gridCol w:w="1984"/>
                        <w:gridCol w:w="2467"/>
                        <w:gridCol w:w="9"/>
                      </w:tblGrid>
                      <w:tr>
                        <w:trPr>
                          <w:gridAfter w:val="1"/>
                          <w:wAfter w:w="9" w:type="dxa"/>
                        </w:trPr>
                        <w:tc>
                          <w:tcPr>
                            <w:tcW w:w="3261" w:type="dxa"/>
                            <w:vMerge w:val="restart"/>
                            <w:shd w:val="clear" w:color="auto" w:fill="DBE5F1"/>
                            <w:vAlign w:val="center"/>
                          </w:tcPr>
                          <w:p>
                            <w:pPr>
                              <w:rPr>
                                <w:b/>
                                <w:color w:val="000000"/>
                                <w:szCs w:val="24"/>
                              </w:rPr>
                            </w:pPr>
                            <w:r>
                              <w:rPr>
                                <w:b/>
                                <w:color w:val="000000"/>
                                <w:szCs w:val="24"/>
                              </w:rPr>
                              <w:t>Priemonės ir (arba) rodiklio kodas ir pavadinimas</w:t>
                            </w:r>
                          </w:p>
                        </w:tc>
                        <w:tc>
                          <w:tcPr>
                            <w:tcW w:w="1134" w:type="dxa"/>
                            <w:vMerge w:val="restart"/>
                            <w:shd w:val="clear" w:color="auto" w:fill="DBE5F1"/>
                            <w:vAlign w:val="center"/>
                          </w:tcPr>
                          <w:p>
                            <w:pPr>
                              <w:rPr>
                                <w:b/>
                                <w:color w:val="000000"/>
                                <w:szCs w:val="24"/>
                              </w:rPr>
                            </w:pPr>
                            <w:r>
                              <w:rPr>
                                <w:b/>
                                <w:color w:val="000000"/>
                                <w:szCs w:val="24"/>
                              </w:rPr>
                              <w:t xml:space="preserve">Planuota reikšmė, matavimo vienetas </w:t>
                            </w:r>
                          </w:p>
                        </w:tc>
                        <w:tc>
                          <w:tcPr>
                            <w:tcW w:w="2693" w:type="dxa"/>
                            <w:gridSpan w:val="3"/>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758" w:type="dxa"/>
                            <w:vMerge w:val="restart"/>
                            <w:shd w:val="clear" w:color="auto" w:fill="DBE5F1"/>
                            <w:vAlign w:val="center"/>
                          </w:tcPr>
                          <w:p>
                            <w:pPr>
                              <w:rPr>
                                <w:b/>
                                <w:color w:val="000000"/>
                                <w:szCs w:val="24"/>
                              </w:rPr>
                            </w:pPr>
                            <w:r>
                              <w:rPr>
                                <w:b/>
                                <w:color w:val="000000"/>
                                <w:szCs w:val="24"/>
                              </w:rPr>
                              <w:t>Sąsaja su Savivaldybės, kitų institucijų, įstaigos planavimo dokumentais</w:t>
                            </w:r>
                          </w:p>
                        </w:tc>
                        <w:tc>
                          <w:tcPr>
                            <w:tcW w:w="3487" w:type="dxa"/>
                            <w:gridSpan w:val="2"/>
                            <w:shd w:val="clear" w:color="auto" w:fill="DBE5F1"/>
                            <w:vAlign w:val="center"/>
                          </w:tcPr>
                          <w:p>
                            <w:pPr>
                              <w:rPr>
                                <w:b/>
                                <w:color w:val="000000"/>
                                <w:szCs w:val="24"/>
                              </w:rPr>
                            </w:pPr>
                            <w:r>
                              <w:rPr>
                                <w:b/>
                                <w:color w:val="000000"/>
                                <w:szCs w:val="24"/>
                              </w:rPr>
                              <w:t xml:space="preserve">Finansavimas </w:t>
                            </w:r>
                          </w:p>
                        </w:tc>
                        <w:tc>
                          <w:tcPr>
                            <w:tcW w:w="2467"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rPr>
                          <w:gridAfter w:val="1"/>
                          <w:wAfter w:w="9" w:type="dxa"/>
                        </w:trPr>
                        <w:tc>
                          <w:tcPr>
                            <w:tcW w:w="3261" w:type="dxa"/>
                            <w:vMerge/>
                            <w:shd w:val="clear" w:color="auto" w:fill="DBE5F1"/>
                            <w:vAlign w:val="center"/>
                          </w:tcPr>
                          <w:p>
                            <w:pPr>
                              <w:rPr>
                                <w:b/>
                                <w:color w:val="000000"/>
                                <w:szCs w:val="24"/>
                              </w:rPr>
                            </w:pPr>
                          </w:p>
                        </w:tc>
                        <w:tc>
                          <w:tcPr>
                            <w:tcW w:w="1134" w:type="dxa"/>
                            <w:vMerge/>
                            <w:shd w:val="clear" w:color="auto" w:fill="DBE5F1"/>
                            <w:vAlign w:val="center"/>
                          </w:tcPr>
                          <w:p>
                            <w:pPr>
                              <w:rPr>
                                <w:b/>
                                <w:color w:val="000000"/>
                                <w:szCs w:val="24"/>
                              </w:rPr>
                            </w:pPr>
                          </w:p>
                        </w:tc>
                        <w:tc>
                          <w:tcPr>
                            <w:tcW w:w="992" w:type="dxa"/>
                            <w:shd w:val="clear" w:color="auto" w:fill="DBE5F1"/>
                            <w:vAlign w:val="center"/>
                          </w:tcPr>
                          <w:p>
                            <w:pPr>
                              <w:rPr>
                                <w:b/>
                                <w:color w:val="000000"/>
                                <w:szCs w:val="24"/>
                              </w:rPr>
                            </w:pPr>
                            <w:r>
                              <w:rPr>
                                <w:b/>
                                <w:color w:val="000000"/>
                                <w:szCs w:val="24"/>
                              </w:rPr>
                              <w:t>2023 metai</w:t>
                            </w:r>
                          </w:p>
                        </w:tc>
                        <w:tc>
                          <w:tcPr>
                            <w:tcW w:w="851" w:type="dxa"/>
                            <w:shd w:val="clear" w:color="auto" w:fill="DBE5F1"/>
                            <w:vAlign w:val="center"/>
                          </w:tcPr>
                          <w:p>
                            <w:pPr>
                              <w:rPr>
                                <w:b/>
                                <w:color w:val="000000"/>
                                <w:szCs w:val="24"/>
                              </w:rPr>
                            </w:pPr>
                            <w:r>
                              <w:rPr>
                                <w:b/>
                                <w:color w:val="000000"/>
                                <w:szCs w:val="24"/>
                              </w:rPr>
                              <w:t>2024 metai</w:t>
                            </w:r>
                          </w:p>
                        </w:tc>
                        <w:tc>
                          <w:tcPr>
                            <w:tcW w:w="850" w:type="dxa"/>
                            <w:shd w:val="clear" w:color="auto" w:fill="DBE5F1"/>
                            <w:vAlign w:val="center"/>
                          </w:tcPr>
                          <w:p>
                            <w:pPr>
                              <w:rPr>
                                <w:b/>
                                <w:color w:val="000000"/>
                                <w:szCs w:val="24"/>
                              </w:rPr>
                            </w:pPr>
                            <w:r>
                              <w:rPr>
                                <w:b/>
                                <w:color w:val="000000"/>
                                <w:szCs w:val="24"/>
                              </w:rPr>
                              <w:t>2025 metai</w:t>
                            </w:r>
                          </w:p>
                        </w:tc>
                        <w:tc>
                          <w:tcPr>
                            <w:tcW w:w="1758" w:type="dxa"/>
                            <w:vMerge/>
                            <w:shd w:val="clear" w:color="auto" w:fill="DBE5F1"/>
                            <w:vAlign w:val="center"/>
                          </w:tcPr>
                          <w:p>
                            <w:pPr>
                              <w:rPr>
                                <w:b/>
                                <w:color w:val="000000"/>
                                <w:szCs w:val="24"/>
                              </w:rPr>
                            </w:pPr>
                          </w:p>
                        </w:tc>
                        <w:tc>
                          <w:tcPr>
                            <w:tcW w:w="1503" w:type="dxa"/>
                            <w:shd w:val="clear" w:color="auto" w:fill="DBE5F1"/>
                            <w:vAlign w:val="center"/>
                          </w:tcPr>
                          <w:p>
                            <w:pPr>
                              <w:rPr>
                                <w:b/>
                                <w:color w:val="000000"/>
                                <w:szCs w:val="24"/>
                              </w:rPr>
                            </w:pPr>
                            <w:r>
                              <w:rPr>
                                <w:b/>
                                <w:color w:val="000000"/>
                                <w:szCs w:val="24"/>
                              </w:rPr>
                              <w:t>Patvirtintas planas</w:t>
                            </w:r>
                          </w:p>
                        </w:tc>
                        <w:tc>
                          <w:tcPr>
                            <w:tcW w:w="1984" w:type="dxa"/>
                            <w:shd w:val="clear" w:color="auto" w:fill="DBE5F1"/>
                            <w:vAlign w:val="center"/>
                          </w:tcPr>
                          <w:p>
                            <w:pPr>
                              <w:rPr>
                                <w:b/>
                                <w:color w:val="000000"/>
                                <w:szCs w:val="24"/>
                              </w:rPr>
                            </w:pPr>
                            <w:r>
                              <w:rPr>
                                <w:b/>
                                <w:color w:val="000000"/>
                                <w:szCs w:val="24"/>
                              </w:rPr>
                              <w:t xml:space="preserve">Įvykdymas, asignavimų šaltinis </w:t>
                            </w:r>
                          </w:p>
                        </w:tc>
                        <w:tc>
                          <w:tcPr>
                            <w:tcW w:w="2467" w:type="dxa"/>
                            <w:vMerge/>
                            <w:shd w:val="clear" w:color="auto" w:fill="DBE5F1"/>
                            <w:vAlign w:val="center"/>
                          </w:tcPr>
                          <w:p>
                            <w:pPr>
                              <w:rPr>
                                <w:b/>
                                <w:color w:val="000000"/>
                                <w:szCs w:val="24"/>
                              </w:rPr>
                            </w:pPr>
                          </w:p>
                        </w:tc>
                      </w:tr>
                      <w:tr>
                        <w:trPr>
                          <w:gridAfter w:val="1"/>
                          <w:wAfter w:w="9" w:type="dxa"/>
                          <w:trHeight w:val="108"/>
                        </w:trPr>
                        <w:tc>
                          <w:tcPr>
                            <w:tcW w:w="3261" w:type="dxa"/>
                            <w:shd w:val="clear" w:color="auto" w:fill="DBE5F1"/>
                          </w:tcPr>
                          <w:p>
                            <w:pPr>
                              <w:rPr>
                                <w:color w:val="000000"/>
                                <w:szCs w:val="24"/>
                              </w:rPr>
                            </w:pPr>
                            <w:r>
                              <w:rPr>
                                <w:color w:val="000000"/>
                                <w:szCs w:val="24"/>
                              </w:rPr>
                              <w:t>1</w:t>
                            </w:r>
                          </w:p>
                        </w:tc>
                        <w:tc>
                          <w:tcPr>
                            <w:tcW w:w="1134" w:type="dxa"/>
                            <w:shd w:val="clear" w:color="auto" w:fill="DBE5F1"/>
                          </w:tcPr>
                          <w:p>
                            <w:pPr>
                              <w:rPr>
                                <w:color w:val="000000"/>
                                <w:szCs w:val="24"/>
                              </w:rPr>
                            </w:pPr>
                            <w:r>
                              <w:rPr>
                                <w:color w:val="000000"/>
                                <w:szCs w:val="24"/>
                              </w:rPr>
                              <w:t>2</w:t>
                            </w:r>
                          </w:p>
                        </w:tc>
                        <w:tc>
                          <w:tcPr>
                            <w:tcW w:w="992" w:type="dxa"/>
                            <w:shd w:val="clear" w:color="auto" w:fill="DBE5F1"/>
                          </w:tcPr>
                          <w:p>
                            <w:pPr>
                              <w:rPr>
                                <w:color w:val="000000"/>
                                <w:szCs w:val="24"/>
                              </w:rPr>
                            </w:pPr>
                            <w:r>
                              <w:rPr>
                                <w:color w:val="000000"/>
                                <w:szCs w:val="24"/>
                              </w:rPr>
                              <w:t>3</w:t>
                            </w:r>
                          </w:p>
                        </w:tc>
                        <w:tc>
                          <w:tcPr>
                            <w:tcW w:w="851" w:type="dxa"/>
                            <w:shd w:val="clear" w:color="auto" w:fill="DBE5F1"/>
                          </w:tcPr>
                          <w:p>
                            <w:pPr>
                              <w:rPr>
                                <w:color w:val="000000"/>
                                <w:szCs w:val="24"/>
                              </w:rPr>
                            </w:pPr>
                            <w:r>
                              <w:rPr>
                                <w:color w:val="000000"/>
                                <w:szCs w:val="24"/>
                              </w:rPr>
                              <w:t>4</w:t>
                            </w:r>
                          </w:p>
                        </w:tc>
                        <w:tc>
                          <w:tcPr>
                            <w:tcW w:w="850" w:type="dxa"/>
                            <w:shd w:val="clear" w:color="auto" w:fill="DBE5F1"/>
                          </w:tcPr>
                          <w:p>
                            <w:pPr>
                              <w:rPr>
                                <w:color w:val="000000"/>
                                <w:szCs w:val="24"/>
                              </w:rPr>
                            </w:pPr>
                            <w:r>
                              <w:rPr>
                                <w:color w:val="000000"/>
                                <w:szCs w:val="24"/>
                              </w:rPr>
                              <w:t>5</w:t>
                            </w:r>
                          </w:p>
                        </w:tc>
                        <w:tc>
                          <w:tcPr>
                            <w:tcW w:w="1758" w:type="dxa"/>
                            <w:shd w:val="clear" w:color="auto" w:fill="DBE5F1"/>
                          </w:tcPr>
                          <w:p>
                            <w:pPr>
                              <w:rPr>
                                <w:color w:val="000000"/>
                                <w:szCs w:val="24"/>
                              </w:rPr>
                            </w:pPr>
                            <w:r>
                              <w:rPr>
                                <w:color w:val="000000"/>
                                <w:szCs w:val="24"/>
                              </w:rPr>
                              <w:t>6</w:t>
                            </w:r>
                          </w:p>
                        </w:tc>
                        <w:tc>
                          <w:tcPr>
                            <w:tcW w:w="1503" w:type="dxa"/>
                            <w:shd w:val="clear" w:color="auto" w:fill="DBE5F1"/>
                          </w:tcPr>
                          <w:p>
                            <w:pPr>
                              <w:rPr>
                                <w:color w:val="000000"/>
                                <w:szCs w:val="24"/>
                              </w:rPr>
                            </w:pPr>
                            <w:r>
                              <w:rPr>
                                <w:color w:val="000000"/>
                                <w:szCs w:val="24"/>
                              </w:rPr>
                              <w:t>7</w:t>
                            </w:r>
                          </w:p>
                        </w:tc>
                        <w:tc>
                          <w:tcPr>
                            <w:tcW w:w="1984" w:type="dxa"/>
                            <w:shd w:val="clear" w:color="auto" w:fill="DBE5F1"/>
                          </w:tcPr>
                          <w:p>
                            <w:pPr>
                              <w:rPr>
                                <w:color w:val="000000"/>
                                <w:szCs w:val="24"/>
                              </w:rPr>
                            </w:pPr>
                            <w:r>
                              <w:rPr>
                                <w:color w:val="000000"/>
                                <w:szCs w:val="24"/>
                              </w:rPr>
                              <w:t>8</w:t>
                            </w:r>
                          </w:p>
                        </w:tc>
                        <w:tc>
                          <w:tcPr>
                            <w:tcW w:w="2467" w:type="dxa"/>
                            <w:shd w:val="clear" w:color="auto" w:fill="DBE5F1"/>
                          </w:tcPr>
                          <w:p>
                            <w:pPr>
                              <w:rPr>
                                <w:color w:val="000000"/>
                                <w:szCs w:val="24"/>
                              </w:rPr>
                            </w:pPr>
                            <w:r>
                              <w:rPr>
                                <w:color w:val="000000"/>
                                <w:szCs w:val="24"/>
                              </w:rPr>
                              <w:t>9</w:t>
                            </w:r>
                          </w:p>
                        </w:tc>
                      </w:tr>
                      <w:tr>
                        <w:trPr>
                          <w:trHeight w:val="108"/>
                        </w:trPr>
                        <w:tc>
                          <w:tcPr>
                            <w:tcW w:w="14809" w:type="dxa"/>
                            <w:gridSpan w:val="10"/>
                          </w:tcPr>
                          <w:p>
                            <w:pPr>
                              <w:rPr>
                                <w:b/>
                                <w:bCs/>
                                <w:color w:val="000000"/>
                                <w:szCs w:val="24"/>
                              </w:rPr>
                            </w:pPr>
                            <w:r>
                              <w:rPr>
                                <w:b/>
                                <w:bCs/>
                                <w:color w:val="000000"/>
                                <w:szCs w:val="24"/>
                              </w:rPr>
                              <w:t>1. Tikslas: Centro struktūros optimizavimas</w:t>
                            </w:r>
                          </w:p>
                        </w:tc>
                      </w:tr>
                      <w:tr>
                        <w:tc>
                          <w:tcPr>
                            <w:tcW w:w="14809" w:type="dxa"/>
                            <w:gridSpan w:val="10"/>
                          </w:tcPr>
                          <w:p>
                            <w:pPr>
                              <w:rPr>
                                <w:szCs w:val="24"/>
                              </w:rPr>
                            </w:pPr>
                            <w:r>
                              <w:rPr>
                                <w:szCs w:val="24"/>
                              </w:rPr>
                              <w:t>1.2. Uždavinys: Dalyvauti rengiant ir vykdant projektinę veiklą.</w:t>
                            </w:r>
                          </w:p>
                        </w:tc>
                      </w:tr>
                      <w:tr>
                        <w:trPr>
                          <w:gridAfter w:val="1"/>
                          <w:wAfter w:w="9" w:type="dxa"/>
                        </w:trPr>
                        <w:tc>
                          <w:tcPr>
                            <w:tcW w:w="3261" w:type="dxa"/>
                          </w:tcPr>
                          <w:p>
                            <w:pPr>
                              <w:rPr>
                                <w:bCs/>
                                <w:szCs w:val="24"/>
                              </w:rPr>
                            </w:pPr>
                            <w:r>
                              <w:rPr>
                                <w:bCs/>
                                <w:szCs w:val="24"/>
                              </w:rPr>
                              <w:t>Dalyvauti projektuose: „Integralios socialinės globos ir slaugos pagalba į namus“; „Vaikų gerovės ir saugumo didinimo, paslaugų šeimai, globėjams (rūpintojams) kokybės didinimo bei prieinamumo plėtra; „Kompleksinės paslaugos šeimai“; „Vaikų socializacijos ir poilsio programa.</w:t>
                            </w:r>
                          </w:p>
                          <w:p>
                            <w:pPr>
                              <w:rPr>
                                <w:szCs w:val="24"/>
                              </w:rPr>
                            </w:pPr>
                            <w:r>
                              <w:rPr>
                                <w:bCs/>
                                <w:szCs w:val="24"/>
                              </w:rPr>
                              <w:t>Jaunimo savanoriška tarnyba.</w:t>
                            </w:r>
                          </w:p>
                        </w:tc>
                        <w:tc>
                          <w:tcPr>
                            <w:tcW w:w="1134" w:type="dxa"/>
                          </w:tcPr>
                          <w:p>
                            <w:pPr>
                              <w:rPr>
                                <w:szCs w:val="24"/>
                              </w:rPr>
                            </w:pPr>
                            <w:r>
                              <w:rPr>
                                <w:szCs w:val="24"/>
                              </w:rPr>
                              <w:t>5</w:t>
                            </w:r>
                          </w:p>
                        </w:tc>
                        <w:tc>
                          <w:tcPr>
                            <w:tcW w:w="992" w:type="dxa"/>
                          </w:tcPr>
                          <w:p>
                            <w:pPr>
                              <w:rPr>
                                <w:szCs w:val="24"/>
                              </w:rPr>
                            </w:pPr>
                            <w:r>
                              <w:rPr>
                                <w:szCs w:val="24"/>
                              </w:rPr>
                              <w:t>6</w:t>
                            </w:r>
                          </w:p>
                        </w:tc>
                        <w:tc>
                          <w:tcPr>
                            <w:tcW w:w="851" w:type="dxa"/>
                          </w:tcPr>
                          <w:p>
                            <w:pPr>
                              <w:rPr>
                                <w:szCs w:val="24"/>
                              </w:rPr>
                            </w:pPr>
                            <w:r>
                              <w:rPr>
                                <w:szCs w:val="24"/>
                              </w:rPr>
                              <w:t>4</w:t>
                            </w:r>
                          </w:p>
                        </w:tc>
                        <w:tc>
                          <w:tcPr>
                            <w:tcW w:w="850" w:type="dxa"/>
                          </w:tcPr>
                          <w:p>
                            <w:pPr>
                              <w:rPr>
                                <w:szCs w:val="24"/>
                              </w:rPr>
                            </w:pPr>
                            <w:r>
                              <w:rPr>
                                <w:szCs w:val="24"/>
                              </w:rPr>
                              <w:t>5</w:t>
                            </w:r>
                          </w:p>
                        </w:tc>
                        <w:tc>
                          <w:tcPr>
                            <w:tcW w:w="1758" w:type="dxa"/>
                          </w:tcPr>
                          <w:p>
                            <w:pPr>
                              <w:rPr>
                                <w:color w:val="000000"/>
                                <w:szCs w:val="24"/>
                              </w:rPr>
                            </w:pPr>
                            <w:r>
                              <w:rPr>
                                <w:color w:val="000000"/>
                                <w:szCs w:val="24"/>
                              </w:rPr>
                              <w:t xml:space="preserve">03  Socialinių paslaugų ir socialinės paramos teikimo programa;</w:t>
                            </w:r>
                          </w:p>
                          <w:p>
                            <w:pPr>
                              <w:rPr>
                                <w:color w:val="000000"/>
                                <w:szCs w:val="24"/>
                              </w:rPr>
                            </w:pPr>
                            <w:r>
                              <w:rPr>
                                <w:color w:val="000000"/>
                                <w:szCs w:val="24"/>
                              </w:rPr>
                              <w:t>03-01-01 Gerinti socialinių paslaugų kokybę ir pasiekiamumą;</w:t>
                            </w:r>
                          </w:p>
                          <w:p>
                            <w:pPr>
                              <w:rPr>
                                <w:szCs w:val="24"/>
                              </w:rPr>
                            </w:pPr>
                            <w:r>
                              <w:rPr>
                                <w:color w:val="000000"/>
                                <w:szCs w:val="24"/>
                              </w:rPr>
                              <w:t>03-01-02 Didinti socialinę integraciją, mažinti atskirtį</w:t>
                            </w:r>
                          </w:p>
                        </w:tc>
                        <w:tc>
                          <w:tcPr>
                            <w:tcW w:w="1503" w:type="dxa"/>
                          </w:tcPr>
                          <w:p>
                            <w:pPr>
                              <w:rPr>
                                <w:szCs w:val="24"/>
                              </w:rPr>
                            </w:pPr>
                            <w:r>
                              <w:rPr>
                                <w:szCs w:val="24"/>
                              </w:rPr>
                              <w:t>166 000 Eur</w:t>
                            </w:r>
                          </w:p>
                          <w:p>
                            <w:pPr>
                              <w:rPr>
                                <w:szCs w:val="24"/>
                              </w:rPr>
                            </w:pPr>
                          </w:p>
                          <w:p>
                            <w:pPr>
                              <w:rPr>
                                <w:szCs w:val="24"/>
                              </w:rPr>
                            </w:pPr>
                            <w:r>
                              <w:rPr>
                                <w:szCs w:val="24"/>
                              </w:rPr>
                              <w:t>70 000 Eur</w:t>
                            </w:r>
                          </w:p>
                          <w:p>
                            <w:pPr>
                              <w:rPr>
                                <w:szCs w:val="24"/>
                              </w:rPr>
                            </w:pPr>
                          </w:p>
                          <w:p>
                            <w:pPr>
                              <w:rPr>
                                <w:szCs w:val="24"/>
                              </w:rPr>
                            </w:pPr>
                            <w:r>
                              <w:rPr>
                                <w:szCs w:val="24"/>
                              </w:rPr>
                              <w:t xml:space="preserve">27 7000  Eur</w:t>
                            </w:r>
                          </w:p>
                          <w:p>
                            <w:pPr>
                              <w:rPr>
                                <w:szCs w:val="24"/>
                              </w:rPr>
                            </w:pPr>
                          </w:p>
                          <w:p>
                            <w:pPr>
                              <w:rPr>
                                <w:szCs w:val="24"/>
                              </w:rPr>
                            </w:pPr>
                            <w:r>
                              <w:rPr>
                                <w:szCs w:val="24"/>
                              </w:rPr>
                              <w:t>7 050 Eur</w:t>
                            </w:r>
                          </w:p>
                        </w:tc>
                        <w:tc>
                          <w:tcPr>
                            <w:tcW w:w="1984" w:type="dxa"/>
                          </w:tcPr>
                          <w:p>
                            <w:pPr>
                              <w:rPr>
                                <w:szCs w:val="24"/>
                              </w:rPr>
                            </w:pPr>
                            <w:r>
                              <w:rPr>
                                <w:szCs w:val="24"/>
                              </w:rPr>
                              <w:t>165 748,51 Eur (ES)</w:t>
                            </w:r>
                          </w:p>
                          <w:p>
                            <w:pPr>
                              <w:rPr>
                                <w:szCs w:val="24"/>
                              </w:rPr>
                            </w:pPr>
                          </w:p>
                          <w:p>
                            <w:pPr>
                              <w:rPr>
                                <w:szCs w:val="24"/>
                              </w:rPr>
                            </w:pPr>
                            <w:r>
                              <w:rPr>
                                <w:szCs w:val="24"/>
                              </w:rPr>
                              <w:t>70 394,58 Eur (ES)</w:t>
                            </w:r>
                          </w:p>
                          <w:p>
                            <w:pPr>
                              <w:rPr>
                                <w:szCs w:val="24"/>
                              </w:rPr>
                            </w:pPr>
                          </w:p>
                          <w:p>
                            <w:pPr>
                              <w:rPr>
                                <w:szCs w:val="24"/>
                              </w:rPr>
                            </w:pPr>
                            <w:r>
                              <w:rPr>
                                <w:szCs w:val="24"/>
                              </w:rPr>
                              <w:t>27 295,26 Eur</w:t>
                            </w:r>
                          </w:p>
                          <w:p>
                            <w:pPr>
                              <w:rPr>
                                <w:szCs w:val="24"/>
                              </w:rPr>
                            </w:pPr>
                          </w:p>
                          <w:p>
                            <w:pPr>
                              <w:rPr>
                                <w:szCs w:val="24"/>
                              </w:rPr>
                            </w:pPr>
                            <w:r>
                              <w:rPr>
                                <w:szCs w:val="24"/>
                              </w:rPr>
                              <w:t>7 050 Eur (SAV)</w:t>
                            </w:r>
                          </w:p>
                        </w:tc>
                        <w:tc>
                          <w:tcPr>
                            <w:tcW w:w="2467" w:type="dxa"/>
                          </w:tcPr>
                          <w:p>
                            <w:pPr>
                              <w:rPr>
                                <w:szCs w:val="24"/>
                              </w:rPr>
                            </w:pPr>
                            <w:r>
                              <w:rPr>
                                <w:szCs w:val="24"/>
                              </w:rPr>
                              <w:t xml:space="preserve">Paslaugų plėtra ir ES fondų lėšų įsisavinimas. </w:t>
                            </w:r>
                          </w:p>
                          <w:p>
                            <w:pPr>
                              <w:rPr>
                                <w:szCs w:val="24"/>
                              </w:rPr>
                            </w:pPr>
                            <w:r>
                              <w:rPr>
                                <w:szCs w:val="24"/>
                              </w:rPr>
                              <w:t>Atsakingas vykdytojas: Centro administracija.</w:t>
                            </w:r>
                          </w:p>
                        </w:tc>
                      </w:tr>
                      <w:tr>
                        <w:tc>
                          <w:tcPr>
                            <w:tcW w:w="14809" w:type="dxa"/>
                            <w:gridSpan w:val="10"/>
                          </w:tcPr>
                          <w:p>
                            <w:pPr>
                              <w:rPr>
                                <w:b/>
                                <w:bCs/>
                                <w:color w:val="808080"/>
                                <w:szCs w:val="24"/>
                              </w:rPr>
                            </w:pPr>
                            <w:r>
                              <w:rPr>
                                <w:b/>
                                <w:bCs/>
                                <w:szCs w:val="24"/>
                              </w:rPr>
                              <w:t xml:space="preserve">2.Tikslas. Socialinių paslaugų prieinamumo gerinimas bei plėtojimų paslaugų teikimo užtikrinimas </w:t>
                            </w:r>
                          </w:p>
                        </w:tc>
                      </w:tr>
                      <w:tr>
                        <w:tc>
                          <w:tcPr>
                            <w:tcW w:w="14809" w:type="dxa"/>
                            <w:gridSpan w:val="10"/>
                          </w:tcPr>
                          <w:p>
                            <w:pPr>
                              <w:rPr>
                                <w:szCs w:val="24"/>
                              </w:rPr>
                            </w:pPr>
                            <w:r>
                              <w:rPr>
                                <w:szCs w:val="24"/>
                              </w:rPr>
                              <w:t>2.1. Uždavinys: Organizuoti ir teikti prevencines, bendrąsias socialines paslaugas, specialiąsias socialines paslaugas, slaugos, kineziterapijos bei masažo paslaugas.</w:t>
                            </w:r>
                          </w:p>
                        </w:tc>
                      </w:tr>
                      <w:tr>
                        <w:trPr>
                          <w:gridAfter w:val="1"/>
                          <w:wAfter w:w="9" w:type="dxa"/>
                        </w:trPr>
                        <w:tc>
                          <w:tcPr>
                            <w:tcW w:w="3261" w:type="dxa"/>
                          </w:tcPr>
                          <w:p>
                            <w:pPr>
                              <w:rPr>
                                <w:szCs w:val="24"/>
                              </w:rPr>
                            </w:pPr>
                            <w:r>
                              <w:rPr>
                                <w:szCs w:val="24"/>
                              </w:rPr>
                              <w:t xml:space="preserve">2.1.1. Informavimo, konsultavimo paslaugos. </w:t>
                            </w:r>
                          </w:p>
                          <w:p>
                            <w:pPr>
                              <w:rPr>
                                <w:szCs w:val="24"/>
                              </w:rPr>
                            </w:pPr>
                            <w:r>
                              <w:rPr>
                                <w:szCs w:val="24"/>
                              </w:rPr>
                              <w:t>Informuoti ir konsultuoti paslaugų gavėjus, sprendžiant jų problemas.</w:t>
                            </w:r>
                          </w:p>
                        </w:tc>
                        <w:tc>
                          <w:tcPr>
                            <w:tcW w:w="1134" w:type="dxa"/>
                          </w:tcPr>
                          <w:p>
                            <w:pPr>
                              <w:rPr>
                                <w:szCs w:val="24"/>
                              </w:rPr>
                            </w:pPr>
                            <w:r>
                              <w:rPr>
                                <w:szCs w:val="24"/>
                              </w:rPr>
                              <w:t>150</w:t>
                            </w:r>
                          </w:p>
                        </w:tc>
                        <w:tc>
                          <w:tcPr>
                            <w:tcW w:w="992" w:type="dxa"/>
                          </w:tcPr>
                          <w:p>
                            <w:pPr>
                              <w:rPr>
                                <w:szCs w:val="24"/>
                              </w:rPr>
                            </w:pPr>
                            <w:r>
                              <w:rPr>
                                <w:szCs w:val="24"/>
                              </w:rPr>
                              <w:t>749</w:t>
                            </w:r>
                          </w:p>
                        </w:tc>
                        <w:tc>
                          <w:tcPr>
                            <w:tcW w:w="851" w:type="dxa"/>
                          </w:tcPr>
                          <w:p>
                            <w:pPr>
                              <w:rPr>
                                <w:szCs w:val="24"/>
                              </w:rPr>
                            </w:pPr>
                            <w:r>
                              <w:rPr>
                                <w:szCs w:val="24"/>
                              </w:rPr>
                              <w:t>739</w:t>
                            </w:r>
                          </w:p>
                        </w:tc>
                        <w:tc>
                          <w:tcPr>
                            <w:tcW w:w="850" w:type="dxa"/>
                          </w:tcPr>
                          <w:p>
                            <w:pPr>
                              <w:rPr>
                                <w:szCs w:val="24"/>
                              </w:rPr>
                            </w:pPr>
                            <w:r>
                              <w:rPr>
                                <w:szCs w:val="24"/>
                              </w:rPr>
                              <w:t>900</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 xml:space="preserve">11 355,08 Eur </w:t>
                            </w:r>
                          </w:p>
                        </w:tc>
                        <w:tc>
                          <w:tcPr>
                            <w:tcW w:w="1984" w:type="dxa"/>
                          </w:tcPr>
                          <w:p>
                            <w:pPr>
                              <w:rPr>
                                <w:color w:val="000000"/>
                                <w:szCs w:val="24"/>
                              </w:rPr>
                            </w:pPr>
                            <w:r>
                              <w:rPr>
                                <w:color w:val="000000"/>
                                <w:szCs w:val="24"/>
                              </w:rPr>
                              <w:t>11 355,08 Eur</w:t>
                            </w:r>
                          </w:p>
                        </w:tc>
                        <w:tc>
                          <w:tcPr>
                            <w:tcW w:w="2467" w:type="dxa"/>
                          </w:tcPr>
                          <w:p>
                            <w:pPr>
                              <w:rPr>
                                <w:szCs w:val="24"/>
                              </w:rPr>
                            </w:pPr>
                            <w:r>
                              <w:rPr>
                                <w:szCs w:val="24"/>
                              </w:rPr>
                              <w:t>Suteiktų paslaugų skaičius. Atsakingas vykdytojas: Centro administracija, padalinių vadovai, specialistas</w:t>
                            </w:r>
                          </w:p>
                        </w:tc>
                      </w:tr>
                      <w:tr>
                        <w:trPr>
                          <w:gridAfter w:val="1"/>
                          <w:wAfter w:w="9" w:type="dxa"/>
                        </w:trPr>
                        <w:tc>
                          <w:tcPr>
                            <w:tcW w:w="3261" w:type="dxa"/>
                          </w:tcPr>
                          <w:p>
                            <w:pPr>
                              <w:rPr>
                                <w:szCs w:val="24"/>
                              </w:rPr>
                            </w:pPr>
                            <w:r>
                              <w:rPr>
                                <w:szCs w:val="24"/>
                              </w:rPr>
                              <w:t xml:space="preserve">2.1.2. Tarpininkavimo ir atstovavimo paslauga. </w:t>
                            </w:r>
                          </w:p>
                          <w:p>
                            <w:pPr>
                              <w:rPr>
                                <w:szCs w:val="24"/>
                              </w:rPr>
                            </w:pPr>
                            <w:r>
                              <w:rPr>
                                <w:szCs w:val="24"/>
                              </w:rPr>
                              <w:t>Pagalbos asmeniui (šeimai) suteikimas, sprendžiant įvairias asmens (šeimos) problemas, tarpininkaujant tarp asmens ir jo aplinkos.</w:t>
                            </w:r>
                          </w:p>
                        </w:tc>
                        <w:tc>
                          <w:tcPr>
                            <w:tcW w:w="1134" w:type="dxa"/>
                          </w:tcPr>
                          <w:p>
                            <w:pPr>
                              <w:rPr>
                                <w:szCs w:val="24"/>
                              </w:rPr>
                            </w:pPr>
                            <w:r>
                              <w:rPr>
                                <w:szCs w:val="24"/>
                              </w:rPr>
                              <w:t>150</w:t>
                            </w:r>
                          </w:p>
                        </w:tc>
                        <w:tc>
                          <w:tcPr>
                            <w:tcW w:w="992" w:type="dxa"/>
                          </w:tcPr>
                          <w:p>
                            <w:pPr>
                              <w:rPr>
                                <w:szCs w:val="24"/>
                              </w:rPr>
                            </w:pPr>
                            <w:r>
                              <w:rPr>
                                <w:szCs w:val="24"/>
                              </w:rPr>
                              <w:t>508</w:t>
                            </w:r>
                          </w:p>
                        </w:tc>
                        <w:tc>
                          <w:tcPr>
                            <w:tcW w:w="851" w:type="dxa"/>
                          </w:tcPr>
                          <w:p>
                            <w:pPr>
                              <w:rPr>
                                <w:szCs w:val="24"/>
                              </w:rPr>
                            </w:pPr>
                            <w:r>
                              <w:rPr>
                                <w:szCs w:val="24"/>
                              </w:rPr>
                              <w:t>758</w:t>
                            </w:r>
                          </w:p>
                        </w:tc>
                        <w:tc>
                          <w:tcPr>
                            <w:tcW w:w="850" w:type="dxa"/>
                          </w:tcPr>
                          <w:p>
                            <w:pPr>
                              <w:rPr>
                                <w:szCs w:val="24"/>
                              </w:rPr>
                            </w:pPr>
                            <w:r>
                              <w:rPr>
                                <w:szCs w:val="24"/>
                              </w:rPr>
                              <w:t>1398</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11 355,08 Eur</w:t>
                            </w:r>
                          </w:p>
                        </w:tc>
                        <w:tc>
                          <w:tcPr>
                            <w:tcW w:w="1984" w:type="dxa"/>
                          </w:tcPr>
                          <w:p>
                            <w:pPr>
                              <w:rPr>
                                <w:color w:val="000000"/>
                                <w:szCs w:val="24"/>
                              </w:rPr>
                            </w:pPr>
                            <w:r>
                              <w:rPr>
                                <w:color w:val="000000"/>
                                <w:szCs w:val="24"/>
                              </w:rPr>
                              <w:t>11 355,08 Eur</w:t>
                            </w:r>
                          </w:p>
                        </w:tc>
                        <w:tc>
                          <w:tcPr>
                            <w:tcW w:w="2467" w:type="dxa"/>
                          </w:tcPr>
                          <w:p>
                            <w:pPr>
                              <w:rPr>
                                <w:szCs w:val="24"/>
                              </w:rPr>
                            </w:pPr>
                            <w:r>
                              <w:rPr>
                                <w:szCs w:val="24"/>
                              </w:rPr>
                              <w:t>Suteiktų paslaugų skaičius.</w:t>
                            </w:r>
                          </w:p>
                          <w:p>
                            <w:pPr>
                              <w:rPr>
                                <w:szCs w:val="24"/>
                              </w:rPr>
                            </w:pPr>
                            <w:r>
                              <w:rPr>
                                <w:szCs w:val="24"/>
                              </w:rPr>
                              <w:t>Atsakingas vykdytojas: Centro administracija, padalinių vadovai, specialistas.</w:t>
                            </w:r>
                          </w:p>
                        </w:tc>
                      </w:tr>
                      <w:tr>
                        <w:trPr>
                          <w:gridAfter w:val="1"/>
                          <w:wAfter w:w="9" w:type="dxa"/>
                        </w:trPr>
                        <w:tc>
                          <w:tcPr>
                            <w:tcW w:w="3261" w:type="dxa"/>
                          </w:tcPr>
                          <w:p>
                            <w:pPr>
                              <w:rPr>
                                <w:szCs w:val="24"/>
                              </w:rPr>
                            </w:pPr>
                            <w:r>
                              <w:rPr>
                                <w:szCs w:val="24"/>
                              </w:rPr>
                              <w:t>2.1.3.Transporto organizavimo paslauga.</w:t>
                            </w:r>
                          </w:p>
                          <w:p>
                            <w:pPr>
                              <w:rPr>
                                <w:szCs w:val="24"/>
                              </w:rPr>
                            </w:pPr>
                            <w:r>
                              <w:rPr>
                                <w:szCs w:val="24"/>
                              </w:rPr>
                              <w:t>Organizuoti transporto paslaugos teikimą asmenims, kurie dėl negalios, ligos ar senatvės turi judėjimo problemų negali naudotis visuomeniniu transportu.</w:t>
                            </w:r>
                          </w:p>
                        </w:tc>
                        <w:tc>
                          <w:tcPr>
                            <w:tcW w:w="1134" w:type="dxa"/>
                          </w:tcPr>
                          <w:p>
                            <w:pPr>
                              <w:rPr>
                                <w:szCs w:val="24"/>
                              </w:rPr>
                            </w:pPr>
                            <w:r>
                              <w:rPr>
                                <w:szCs w:val="24"/>
                              </w:rPr>
                              <w:t>100</w:t>
                            </w:r>
                          </w:p>
                        </w:tc>
                        <w:tc>
                          <w:tcPr>
                            <w:tcW w:w="992" w:type="dxa"/>
                          </w:tcPr>
                          <w:p>
                            <w:pPr>
                              <w:rPr>
                                <w:szCs w:val="24"/>
                              </w:rPr>
                            </w:pPr>
                            <w:r>
                              <w:rPr>
                                <w:szCs w:val="24"/>
                              </w:rPr>
                              <w:t>499</w:t>
                            </w:r>
                          </w:p>
                        </w:tc>
                        <w:tc>
                          <w:tcPr>
                            <w:tcW w:w="851" w:type="dxa"/>
                          </w:tcPr>
                          <w:p>
                            <w:pPr>
                              <w:rPr>
                                <w:szCs w:val="24"/>
                              </w:rPr>
                            </w:pPr>
                            <w:r>
                              <w:rPr>
                                <w:szCs w:val="24"/>
                              </w:rPr>
                              <w:t>324</w:t>
                            </w:r>
                          </w:p>
                        </w:tc>
                        <w:tc>
                          <w:tcPr>
                            <w:tcW w:w="850" w:type="dxa"/>
                          </w:tcPr>
                          <w:p>
                            <w:pPr>
                              <w:rPr>
                                <w:szCs w:val="24"/>
                              </w:rPr>
                            </w:pPr>
                            <w:r>
                              <w:rPr>
                                <w:szCs w:val="24"/>
                              </w:rPr>
                              <w:t>592</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 xml:space="preserve">111 479,80 Eur </w:t>
                            </w:r>
                          </w:p>
                        </w:tc>
                        <w:tc>
                          <w:tcPr>
                            <w:tcW w:w="1984" w:type="dxa"/>
                          </w:tcPr>
                          <w:p>
                            <w:pPr>
                              <w:rPr>
                                <w:color w:val="000000"/>
                                <w:szCs w:val="24"/>
                              </w:rPr>
                            </w:pPr>
                            <w:r>
                              <w:rPr>
                                <w:color w:val="000000"/>
                                <w:szCs w:val="24"/>
                              </w:rPr>
                              <w:t xml:space="preserve">111 479,80 Eur </w:t>
                            </w:r>
                          </w:p>
                        </w:tc>
                        <w:tc>
                          <w:tcPr>
                            <w:tcW w:w="2467" w:type="dxa"/>
                          </w:tcPr>
                          <w:p>
                            <w:pPr>
                              <w:rPr>
                                <w:szCs w:val="24"/>
                              </w:rPr>
                            </w:pPr>
                            <w:r>
                              <w:rPr>
                                <w:szCs w:val="24"/>
                              </w:rPr>
                              <w:t>Paslaugų gavėjų skaičius.</w:t>
                            </w:r>
                          </w:p>
                          <w:p>
                            <w:pPr>
                              <w:rPr>
                                <w:szCs w:val="24"/>
                              </w:rPr>
                            </w:pPr>
                            <w:r>
                              <w:rPr>
                                <w:szCs w:val="24"/>
                              </w:rPr>
                              <w:t>Atsakingas vykdytojas: Centro administracija, specialistas.</w:t>
                            </w:r>
                          </w:p>
                        </w:tc>
                      </w:tr>
                      <w:tr>
                        <w:trPr>
                          <w:gridAfter w:val="1"/>
                          <w:wAfter w:w="9" w:type="dxa"/>
                        </w:trPr>
                        <w:tc>
                          <w:tcPr>
                            <w:tcW w:w="3261" w:type="dxa"/>
                          </w:tcPr>
                          <w:p>
                            <w:pPr>
                              <w:rPr>
                                <w:szCs w:val="24"/>
                              </w:rPr>
                            </w:pPr>
                            <w:r>
                              <w:rPr>
                                <w:szCs w:val="24"/>
                              </w:rPr>
                              <w:t>2.1.4. Sociokultūrinės paslaugos.</w:t>
                            </w:r>
                          </w:p>
                          <w:p>
                            <w:pPr>
                              <w:rPr>
                                <w:szCs w:val="24"/>
                              </w:rPr>
                            </w:pPr>
                            <w:r>
                              <w:rPr>
                                <w:szCs w:val="24"/>
                              </w:rPr>
                              <w:t>Organizuoti paslaugas, siekiant padėti asmenims įsitraukti į užimtumo veiklas.</w:t>
                            </w:r>
                          </w:p>
                        </w:tc>
                        <w:tc>
                          <w:tcPr>
                            <w:tcW w:w="1134" w:type="dxa"/>
                          </w:tcPr>
                          <w:p>
                            <w:pPr>
                              <w:rPr>
                                <w:szCs w:val="24"/>
                              </w:rPr>
                            </w:pPr>
                            <w:r>
                              <w:rPr>
                                <w:szCs w:val="24"/>
                              </w:rPr>
                              <w:t>40</w:t>
                            </w:r>
                          </w:p>
                        </w:tc>
                        <w:tc>
                          <w:tcPr>
                            <w:tcW w:w="992" w:type="dxa"/>
                          </w:tcPr>
                          <w:p>
                            <w:pPr>
                              <w:rPr>
                                <w:szCs w:val="24"/>
                              </w:rPr>
                            </w:pPr>
                            <w:r>
                              <w:rPr>
                                <w:szCs w:val="24"/>
                              </w:rPr>
                              <w:t>184</w:t>
                            </w:r>
                          </w:p>
                        </w:tc>
                        <w:tc>
                          <w:tcPr>
                            <w:tcW w:w="851" w:type="dxa"/>
                          </w:tcPr>
                          <w:p>
                            <w:pPr>
                              <w:rPr>
                                <w:szCs w:val="24"/>
                              </w:rPr>
                            </w:pPr>
                            <w:r>
                              <w:rPr>
                                <w:szCs w:val="24"/>
                              </w:rPr>
                              <w:t>170</w:t>
                            </w:r>
                          </w:p>
                        </w:tc>
                        <w:tc>
                          <w:tcPr>
                            <w:tcW w:w="850" w:type="dxa"/>
                          </w:tcPr>
                          <w:p>
                            <w:pPr>
                              <w:rPr>
                                <w:szCs w:val="24"/>
                              </w:rPr>
                            </w:pPr>
                            <w:r>
                              <w:rPr>
                                <w:szCs w:val="24"/>
                              </w:rPr>
                              <w:t>210</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szCs w:val="24"/>
                              </w:rPr>
                            </w:pPr>
                            <w:r>
                              <w:rPr>
                                <w:szCs w:val="24"/>
                              </w:rPr>
                              <w:t>Žmogiškieji ištekliai</w:t>
                            </w:r>
                          </w:p>
                        </w:tc>
                        <w:tc>
                          <w:tcPr>
                            <w:tcW w:w="1984" w:type="dxa"/>
                          </w:tcPr>
                          <w:p>
                            <w:pPr>
                              <w:rPr>
                                <w:szCs w:val="24"/>
                              </w:rPr>
                            </w:pPr>
                            <w:r>
                              <w:rPr>
                                <w:szCs w:val="24"/>
                              </w:rPr>
                              <w:t>Žmogiškieji ištekliai</w:t>
                            </w:r>
                          </w:p>
                        </w:tc>
                        <w:tc>
                          <w:tcPr>
                            <w:tcW w:w="2467" w:type="dxa"/>
                          </w:tcPr>
                          <w:p>
                            <w:pPr>
                              <w:rPr>
                                <w:szCs w:val="24"/>
                              </w:rPr>
                            </w:pPr>
                            <w:r>
                              <w:rPr>
                                <w:szCs w:val="24"/>
                              </w:rPr>
                              <w:t>Paslaugų skaičius.</w:t>
                            </w:r>
                          </w:p>
                          <w:p>
                            <w:pPr>
                              <w:rPr>
                                <w:szCs w:val="24"/>
                              </w:rPr>
                            </w:pPr>
                            <w:r>
                              <w:rPr>
                                <w:szCs w:val="24"/>
                              </w:rPr>
                              <w:t>Atsakingas vykdytojas: Centro administracija, padalinių vadovai, specialistas.</w:t>
                            </w:r>
                          </w:p>
                        </w:tc>
                      </w:tr>
                      <w:tr>
                        <w:trPr>
                          <w:gridAfter w:val="1"/>
                          <w:wAfter w:w="9" w:type="dxa"/>
                        </w:trPr>
                        <w:tc>
                          <w:tcPr>
                            <w:tcW w:w="3261" w:type="dxa"/>
                          </w:tcPr>
                          <w:p>
                            <w:pPr>
                              <w:rPr>
                                <w:szCs w:val="24"/>
                              </w:rPr>
                            </w:pPr>
                            <w:r>
                              <w:rPr>
                                <w:szCs w:val="24"/>
                              </w:rPr>
                              <w:t>2.1.5. Neįgaliųjų aprūpinimo TPP.</w:t>
                            </w:r>
                          </w:p>
                          <w:p>
                            <w:pPr>
                              <w:rPr>
                                <w:szCs w:val="24"/>
                              </w:rPr>
                            </w:pPr>
                            <w:r>
                              <w:rPr>
                                <w:szCs w:val="24"/>
                              </w:rPr>
                              <w:t>Organizuoti TPP išdavimą, sudaryti sąlygas padedančias kompensuoti savarankiškumą.</w:t>
                            </w:r>
                          </w:p>
                          <w:p>
                            <w:pPr>
                              <w:rPr>
                                <w:szCs w:val="24"/>
                              </w:rPr>
                            </w:pPr>
                          </w:p>
                        </w:tc>
                        <w:tc>
                          <w:tcPr>
                            <w:tcW w:w="1134" w:type="dxa"/>
                          </w:tcPr>
                          <w:p>
                            <w:pPr>
                              <w:rPr>
                                <w:szCs w:val="24"/>
                              </w:rPr>
                            </w:pPr>
                            <w:r>
                              <w:rPr>
                                <w:szCs w:val="24"/>
                              </w:rPr>
                              <w:t>450</w:t>
                            </w:r>
                          </w:p>
                        </w:tc>
                        <w:tc>
                          <w:tcPr>
                            <w:tcW w:w="992" w:type="dxa"/>
                          </w:tcPr>
                          <w:p>
                            <w:pPr>
                              <w:rPr>
                                <w:szCs w:val="24"/>
                              </w:rPr>
                            </w:pPr>
                            <w:r>
                              <w:rPr>
                                <w:szCs w:val="24"/>
                              </w:rPr>
                              <w:t>567</w:t>
                            </w:r>
                          </w:p>
                        </w:tc>
                        <w:tc>
                          <w:tcPr>
                            <w:tcW w:w="851" w:type="dxa"/>
                          </w:tcPr>
                          <w:p>
                            <w:pPr>
                              <w:rPr>
                                <w:szCs w:val="24"/>
                              </w:rPr>
                            </w:pPr>
                            <w:r>
                              <w:rPr>
                                <w:szCs w:val="24"/>
                              </w:rPr>
                              <w:t>303</w:t>
                            </w:r>
                          </w:p>
                        </w:tc>
                        <w:tc>
                          <w:tcPr>
                            <w:tcW w:w="850" w:type="dxa"/>
                          </w:tcPr>
                          <w:p>
                            <w:pPr>
                              <w:rPr>
                                <w:szCs w:val="24"/>
                              </w:rPr>
                            </w:pPr>
                            <w:r>
                              <w:rPr>
                                <w:szCs w:val="24"/>
                              </w:rPr>
                              <w:t>332</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11 355,08 Eur</w:t>
                            </w:r>
                          </w:p>
                        </w:tc>
                        <w:tc>
                          <w:tcPr>
                            <w:tcW w:w="1984" w:type="dxa"/>
                          </w:tcPr>
                          <w:p>
                            <w:pPr>
                              <w:rPr>
                                <w:color w:val="000000"/>
                                <w:szCs w:val="24"/>
                              </w:rPr>
                            </w:pPr>
                            <w:r>
                              <w:rPr>
                                <w:color w:val="000000"/>
                                <w:szCs w:val="24"/>
                              </w:rPr>
                              <w:t>11 355,08 Eur</w:t>
                            </w:r>
                          </w:p>
                        </w:tc>
                        <w:tc>
                          <w:tcPr>
                            <w:tcW w:w="2467" w:type="dxa"/>
                          </w:tcPr>
                          <w:p>
                            <w:pPr>
                              <w:rPr>
                                <w:szCs w:val="24"/>
                              </w:rPr>
                            </w:pPr>
                            <w:r>
                              <w:rPr>
                                <w:szCs w:val="24"/>
                              </w:rPr>
                              <w:t>Sudarytų sutarčių skaičius.</w:t>
                            </w:r>
                          </w:p>
                          <w:p>
                            <w:pPr>
                              <w:rPr>
                                <w:szCs w:val="24"/>
                              </w:rPr>
                            </w:pPr>
                            <w:r>
                              <w:rPr>
                                <w:szCs w:val="24"/>
                              </w:rPr>
                              <w:t>Atsakingas vykdytojas: Centro administracija, specialistas.</w:t>
                            </w:r>
                          </w:p>
                        </w:tc>
                      </w:tr>
                      <w:tr>
                        <w:trPr>
                          <w:gridAfter w:val="1"/>
                          <w:wAfter w:w="9" w:type="dxa"/>
                        </w:trPr>
                        <w:tc>
                          <w:tcPr>
                            <w:tcW w:w="3261" w:type="dxa"/>
                          </w:tcPr>
                          <w:p>
                            <w:pPr>
                              <w:rPr>
                                <w:szCs w:val="24"/>
                              </w:rPr>
                            </w:pPr>
                            <w:r>
                              <w:rPr>
                                <w:szCs w:val="24"/>
                              </w:rPr>
                              <w:t>2.1.6.Pagalbos į namus paslaugos. Organizuoti paslaugas, kurios padėtų asmenims gyventi namuose.</w:t>
                            </w:r>
                          </w:p>
                        </w:tc>
                        <w:tc>
                          <w:tcPr>
                            <w:tcW w:w="1134" w:type="dxa"/>
                          </w:tcPr>
                          <w:p>
                            <w:pPr>
                              <w:rPr>
                                <w:szCs w:val="24"/>
                              </w:rPr>
                            </w:pPr>
                            <w:r>
                              <w:rPr>
                                <w:szCs w:val="24"/>
                              </w:rPr>
                              <w:t>300</w:t>
                            </w:r>
                          </w:p>
                        </w:tc>
                        <w:tc>
                          <w:tcPr>
                            <w:tcW w:w="992" w:type="dxa"/>
                          </w:tcPr>
                          <w:p>
                            <w:pPr>
                              <w:rPr>
                                <w:szCs w:val="24"/>
                              </w:rPr>
                            </w:pPr>
                            <w:r>
                              <w:rPr>
                                <w:szCs w:val="24"/>
                              </w:rPr>
                              <w:t>320</w:t>
                            </w:r>
                          </w:p>
                        </w:tc>
                        <w:tc>
                          <w:tcPr>
                            <w:tcW w:w="851" w:type="dxa"/>
                          </w:tcPr>
                          <w:p>
                            <w:pPr>
                              <w:rPr>
                                <w:szCs w:val="24"/>
                              </w:rPr>
                            </w:pPr>
                            <w:r>
                              <w:rPr>
                                <w:szCs w:val="24"/>
                              </w:rPr>
                              <w:t>389</w:t>
                            </w:r>
                          </w:p>
                        </w:tc>
                        <w:tc>
                          <w:tcPr>
                            <w:tcW w:w="850" w:type="dxa"/>
                          </w:tcPr>
                          <w:p>
                            <w:pPr>
                              <w:rPr>
                                <w:szCs w:val="24"/>
                              </w:rPr>
                            </w:pPr>
                            <w:r>
                              <w:rPr>
                                <w:szCs w:val="24"/>
                              </w:rPr>
                              <w:t>272</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lang w:val="en-US"/>
                              </w:rPr>
                            </w:pPr>
                            <w:r>
                              <w:rPr>
                                <w:color w:val="000000"/>
                                <w:szCs w:val="24"/>
                              </w:rPr>
                              <w:t>682 841,26 Eur</w:t>
                            </w:r>
                          </w:p>
                        </w:tc>
                        <w:tc>
                          <w:tcPr>
                            <w:tcW w:w="1984" w:type="dxa"/>
                          </w:tcPr>
                          <w:p>
                            <w:pPr>
                              <w:rPr>
                                <w:color w:val="000000"/>
                                <w:szCs w:val="24"/>
                              </w:rPr>
                            </w:pPr>
                            <w:r>
                              <w:rPr>
                                <w:color w:val="000000"/>
                                <w:szCs w:val="24"/>
                              </w:rPr>
                              <w:t>682 841,26 Eur</w:t>
                            </w:r>
                          </w:p>
                        </w:tc>
                        <w:tc>
                          <w:tcPr>
                            <w:tcW w:w="2467" w:type="dxa"/>
                          </w:tcPr>
                          <w:p>
                            <w:pPr>
                              <w:rPr>
                                <w:szCs w:val="24"/>
                              </w:rPr>
                            </w:pPr>
                            <w:r>
                              <w:rPr>
                                <w:szCs w:val="24"/>
                              </w:rPr>
                              <w:t>Paslaugų gavėjų skaičius.</w:t>
                            </w:r>
                          </w:p>
                          <w:p>
                            <w:pPr>
                              <w:rPr>
                                <w:szCs w:val="24"/>
                              </w:rPr>
                            </w:pPr>
                            <w:r>
                              <w:rPr>
                                <w:szCs w:val="24"/>
                              </w:rPr>
                              <w:t>Atsakingas vykdytojas: Centro administracija, PŠT pagalbos į namus padalinys.</w:t>
                            </w:r>
                          </w:p>
                        </w:tc>
                      </w:tr>
                      <w:tr>
                        <w:trPr>
                          <w:gridAfter w:val="1"/>
                          <w:wAfter w:w="9" w:type="dxa"/>
                        </w:trPr>
                        <w:tc>
                          <w:tcPr>
                            <w:tcW w:w="3261" w:type="dxa"/>
                          </w:tcPr>
                          <w:p>
                            <w:pPr>
                              <w:rPr>
                                <w:szCs w:val="24"/>
                              </w:rPr>
                            </w:pPr>
                            <w:r>
                              <w:rPr>
                                <w:szCs w:val="24"/>
                              </w:rPr>
                              <w:t>2.1.7. Integrali pagalba (dienos socialinė globa ir slauga).</w:t>
                            </w:r>
                          </w:p>
                          <w:p>
                            <w:pPr>
                              <w:rPr>
                                <w:szCs w:val="24"/>
                              </w:rPr>
                            </w:pPr>
                            <w:r>
                              <w:rPr>
                                <w:szCs w:val="24"/>
                              </w:rPr>
                              <w:t>Organizuoti paslaugas asmenims, kuriems nustatytas slaugos poreikis</w:t>
                            </w:r>
                          </w:p>
                        </w:tc>
                        <w:tc>
                          <w:tcPr>
                            <w:tcW w:w="1134" w:type="dxa"/>
                          </w:tcPr>
                          <w:p>
                            <w:pPr>
                              <w:rPr>
                                <w:szCs w:val="24"/>
                              </w:rPr>
                            </w:pPr>
                            <w:r>
                              <w:rPr>
                                <w:szCs w:val="24"/>
                              </w:rPr>
                              <w:t>40</w:t>
                            </w:r>
                          </w:p>
                        </w:tc>
                        <w:tc>
                          <w:tcPr>
                            <w:tcW w:w="992" w:type="dxa"/>
                          </w:tcPr>
                          <w:p>
                            <w:pPr>
                              <w:rPr>
                                <w:szCs w:val="24"/>
                              </w:rPr>
                            </w:pPr>
                            <w:r>
                              <w:rPr>
                                <w:szCs w:val="24"/>
                              </w:rPr>
                              <w:t>41</w:t>
                            </w:r>
                          </w:p>
                        </w:tc>
                        <w:tc>
                          <w:tcPr>
                            <w:tcW w:w="851" w:type="dxa"/>
                          </w:tcPr>
                          <w:p>
                            <w:pPr>
                              <w:rPr>
                                <w:szCs w:val="24"/>
                              </w:rPr>
                            </w:pPr>
                            <w:r>
                              <w:rPr>
                                <w:szCs w:val="24"/>
                              </w:rPr>
                              <w:t>49</w:t>
                            </w:r>
                          </w:p>
                        </w:tc>
                        <w:tc>
                          <w:tcPr>
                            <w:tcW w:w="850" w:type="dxa"/>
                          </w:tcPr>
                          <w:p>
                            <w:pPr>
                              <w:rPr>
                                <w:szCs w:val="24"/>
                              </w:rPr>
                            </w:pPr>
                            <w:r>
                              <w:rPr>
                                <w:szCs w:val="24"/>
                              </w:rPr>
                              <w:t>44</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524 266,34 Eur</w:t>
                            </w:r>
                          </w:p>
                        </w:tc>
                        <w:tc>
                          <w:tcPr>
                            <w:tcW w:w="1984" w:type="dxa"/>
                          </w:tcPr>
                          <w:p>
                            <w:pPr>
                              <w:rPr>
                                <w:color w:val="000000"/>
                                <w:szCs w:val="24"/>
                              </w:rPr>
                            </w:pPr>
                            <w:r>
                              <w:rPr>
                                <w:color w:val="000000"/>
                                <w:szCs w:val="24"/>
                              </w:rPr>
                              <w:t>524 266,34 Eur</w:t>
                            </w:r>
                          </w:p>
                        </w:tc>
                        <w:tc>
                          <w:tcPr>
                            <w:tcW w:w="2467" w:type="dxa"/>
                          </w:tcPr>
                          <w:p>
                            <w:pPr>
                              <w:rPr>
                                <w:szCs w:val="24"/>
                              </w:rPr>
                            </w:pPr>
                            <w:r>
                              <w:rPr>
                                <w:szCs w:val="24"/>
                              </w:rPr>
                              <w:t>Paslaugų gavėjų skaičius išlaikomas pagal numatytą akreditaciją, skaičius didėja dėl paslaugų gavėjų kaitos.</w:t>
                            </w:r>
                          </w:p>
                          <w:p>
                            <w:pPr>
                              <w:rPr>
                                <w:szCs w:val="24"/>
                              </w:rPr>
                            </w:pPr>
                            <w:r>
                              <w:rPr>
                                <w:szCs w:val="24"/>
                              </w:rPr>
                              <w:t>Atsakingas vykdytojas: Centro administracija, PŠT dienos socialinės globos ir slaugos asmens namuose padalinys.</w:t>
                            </w:r>
                          </w:p>
                        </w:tc>
                      </w:tr>
                      <w:tr>
                        <w:trPr>
                          <w:gridAfter w:val="1"/>
                          <w:wAfter w:w="9" w:type="dxa"/>
                        </w:trPr>
                        <w:tc>
                          <w:tcPr>
                            <w:tcW w:w="3261" w:type="dxa"/>
                          </w:tcPr>
                          <w:p>
                            <w:pPr>
                              <w:rPr>
                                <w:szCs w:val="24"/>
                              </w:rPr>
                            </w:pPr>
                            <w:r>
                              <w:rPr>
                                <w:szCs w:val="24"/>
                              </w:rPr>
                              <w:t xml:space="preserve">2.1.8. Asmeninis asistentas. </w:t>
                            </w:r>
                          </w:p>
                          <w:p>
                            <w:pPr>
                              <w:rPr>
                                <w:szCs w:val="24"/>
                              </w:rPr>
                            </w:pPr>
                            <w:r>
                              <w:rPr>
                                <w:szCs w:val="24"/>
                              </w:rPr>
                              <w:t>Organizuoti paslaugas asmenims, kuriems nustatytas asmeninio asistento paslaugos poreikis.</w:t>
                            </w:r>
                          </w:p>
                        </w:tc>
                        <w:tc>
                          <w:tcPr>
                            <w:tcW w:w="1134" w:type="dxa"/>
                          </w:tcPr>
                          <w:p>
                            <w:pPr>
                              <w:rPr>
                                <w:szCs w:val="24"/>
                              </w:rPr>
                            </w:pPr>
                            <w:r>
                              <w:rPr>
                                <w:szCs w:val="24"/>
                              </w:rPr>
                              <w:t>10</w:t>
                            </w:r>
                          </w:p>
                        </w:tc>
                        <w:tc>
                          <w:tcPr>
                            <w:tcW w:w="992" w:type="dxa"/>
                          </w:tcPr>
                          <w:p>
                            <w:pPr>
                              <w:rPr>
                                <w:szCs w:val="24"/>
                              </w:rPr>
                            </w:pPr>
                            <w:r>
                              <w:rPr>
                                <w:szCs w:val="24"/>
                              </w:rPr>
                              <w:t>9</w:t>
                            </w:r>
                          </w:p>
                        </w:tc>
                        <w:tc>
                          <w:tcPr>
                            <w:tcW w:w="851" w:type="dxa"/>
                          </w:tcPr>
                          <w:p>
                            <w:pPr>
                              <w:rPr>
                                <w:szCs w:val="24"/>
                              </w:rPr>
                            </w:pPr>
                            <w:r>
                              <w:rPr>
                                <w:szCs w:val="24"/>
                              </w:rPr>
                              <w:t>8</w:t>
                            </w:r>
                          </w:p>
                        </w:tc>
                        <w:tc>
                          <w:tcPr>
                            <w:tcW w:w="850" w:type="dxa"/>
                          </w:tcPr>
                          <w:p>
                            <w:pPr>
                              <w:rPr>
                                <w:szCs w:val="24"/>
                              </w:rPr>
                            </w:pPr>
                            <w:r>
                              <w:rPr>
                                <w:szCs w:val="24"/>
                              </w:rPr>
                              <w:t>11</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56 503,12 Eur</w:t>
                            </w:r>
                          </w:p>
                        </w:tc>
                        <w:tc>
                          <w:tcPr>
                            <w:tcW w:w="1984" w:type="dxa"/>
                          </w:tcPr>
                          <w:p>
                            <w:pPr>
                              <w:rPr>
                                <w:color w:val="000000"/>
                                <w:szCs w:val="24"/>
                              </w:rPr>
                            </w:pPr>
                            <w:r>
                              <w:rPr>
                                <w:color w:val="000000"/>
                                <w:szCs w:val="24"/>
                              </w:rPr>
                              <w:t>56 503,12 Eur</w:t>
                            </w:r>
                          </w:p>
                        </w:tc>
                        <w:tc>
                          <w:tcPr>
                            <w:tcW w:w="2467" w:type="dxa"/>
                          </w:tcPr>
                          <w:p>
                            <w:pPr>
                              <w:rPr>
                                <w:szCs w:val="24"/>
                              </w:rPr>
                            </w:pPr>
                            <w:r>
                              <w:rPr>
                                <w:szCs w:val="24"/>
                              </w:rPr>
                              <w:t>Asmeninio asistento paslaugos teikiamos pagal poreikį. Paslaugų gavėjų skaičius.</w:t>
                            </w:r>
                          </w:p>
                          <w:p>
                            <w:pPr>
                              <w:rPr>
                                <w:szCs w:val="24"/>
                              </w:rPr>
                            </w:pPr>
                            <w:r>
                              <w:rPr>
                                <w:szCs w:val="24"/>
                              </w:rPr>
                              <w:t>Atsakingas vykdytojas: Centro administracija, PŠT dienos socialinės globos ir slaugos asmens namuose padalinys.</w:t>
                            </w:r>
                          </w:p>
                        </w:tc>
                      </w:tr>
                      <w:tr>
                        <w:trPr>
                          <w:gridAfter w:val="1"/>
                          <w:wAfter w:w="9" w:type="dxa"/>
                        </w:trPr>
                        <w:tc>
                          <w:tcPr>
                            <w:tcW w:w="3261" w:type="dxa"/>
                          </w:tcPr>
                          <w:p>
                            <w:pPr>
                              <w:rPr>
                                <w:szCs w:val="24"/>
                              </w:rPr>
                            </w:pPr>
                            <w:r>
                              <w:rPr>
                                <w:szCs w:val="24"/>
                              </w:rPr>
                              <w:t>2.1.9. Socialinės priežiūros šeimoms paslauga. Organizuoti paslaugas šeimoms.</w:t>
                            </w:r>
                          </w:p>
                        </w:tc>
                        <w:tc>
                          <w:tcPr>
                            <w:tcW w:w="1134" w:type="dxa"/>
                          </w:tcPr>
                          <w:p>
                            <w:pPr>
                              <w:rPr>
                                <w:szCs w:val="24"/>
                              </w:rPr>
                            </w:pPr>
                            <w:r>
                              <w:rPr>
                                <w:szCs w:val="24"/>
                              </w:rPr>
                              <w:t>200</w:t>
                            </w:r>
                          </w:p>
                        </w:tc>
                        <w:tc>
                          <w:tcPr>
                            <w:tcW w:w="992" w:type="dxa"/>
                          </w:tcPr>
                          <w:p>
                            <w:pPr>
                              <w:rPr>
                                <w:szCs w:val="24"/>
                              </w:rPr>
                            </w:pPr>
                            <w:r>
                              <w:rPr>
                                <w:szCs w:val="24"/>
                              </w:rPr>
                              <w:t>241</w:t>
                            </w:r>
                          </w:p>
                        </w:tc>
                        <w:tc>
                          <w:tcPr>
                            <w:tcW w:w="851" w:type="dxa"/>
                          </w:tcPr>
                          <w:p>
                            <w:pPr>
                              <w:rPr>
                                <w:szCs w:val="24"/>
                              </w:rPr>
                            </w:pPr>
                            <w:r>
                              <w:rPr>
                                <w:szCs w:val="24"/>
                              </w:rPr>
                              <w:t>226</w:t>
                            </w:r>
                          </w:p>
                        </w:tc>
                        <w:tc>
                          <w:tcPr>
                            <w:tcW w:w="850" w:type="dxa"/>
                          </w:tcPr>
                          <w:p>
                            <w:pPr>
                              <w:rPr>
                                <w:szCs w:val="24"/>
                              </w:rPr>
                            </w:pPr>
                            <w:r>
                              <w:rPr>
                                <w:szCs w:val="24"/>
                              </w:rPr>
                              <w:t>249</w:t>
                            </w:r>
                          </w:p>
                        </w:tc>
                        <w:tc>
                          <w:tcPr>
                            <w:tcW w:w="1758" w:type="dxa"/>
                          </w:tcPr>
                          <w:p>
                            <w:pPr>
                              <w:rPr>
                                <w:color w:val="000000"/>
                                <w:szCs w:val="24"/>
                              </w:rPr>
                            </w:pPr>
                            <w:r>
                              <w:rPr>
                                <w:color w:val="000000"/>
                                <w:szCs w:val="24"/>
                              </w:rPr>
                              <w:t xml:space="preserve">03  Socialinių paslaugų ir socialinės paramos teikimo programa; 03-01-02 Didinti socialinę integraciją, mažinti atskirtį; </w:t>
                            </w:r>
                          </w:p>
                          <w:p>
                            <w:pPr>
                              <w:rPr>
                                <w:szCs w:val="24"/>
                              </w:rPr>
                            </w:pPr>
                            <w:r>
                              <w:rPr>
                                <w:color w:val="000000"/>
                                <w:szCs w:val="24"/>
                              </w:rPr>
                              <w:t>RPBSPC socialinės priežiūros šeimoms paslaugos teikimo Radviliškio rajone tvarkos aprašas 2024-05-24 Nr. TA- 571(33)</w:t>
                            </w:r>
                          </w:p>
                        </w:tc>
                        <w:tc>
                          <w:tcPr>
                            <w:tcW w:w="1503" w:type="dxa"/>
                          </w:tcPr>
                          <w:p>
                            <w:pPr>
                              <w:rPr>
                                <w:color w:val="000000"/>
                                <w:szCs w:val="24"/>
                              </w:rPr>
                            </w:pPr>
                            <w:r>
                              <w:rPr>
                                <w:color w:val="000000"/>
                                <w:szCs w:val="24"/>
                              </w:rPr>
                              <w:t xml:space="preserve">718 488,25  Eur</w:t>
                            </w:r>
                          </w:p>
                        </w:tc>
                        <w:tc>
                          <w:tcPr>
                            <w:tcW w:w="1984" w:type="dxa"/>
                          </w:tcPr>
                          <w:p>
                            <w:pPr>
                              <w:rPr>
                                <w:color w:val="000000"/>
                                <w:szCs w:val="24"/>
                              </w:rPr>
                            </w:pPr>
                            <w:r>
                              <w:rPr>
                                <w:color w:val="000000"/>
                                <w:szCs w:val="24"/>
                              </w:rPr>
                              <w:t xml:space="preserve">718 488,25  Eur</w:t>
                            </w:r>
                          </w:p>
                        </w:tc>
                        <w:tc>
                          <w:tcPr>
                            <w:tcW w:w="2467" w:type="dxa"/>
                          </w:tcPr>
                          <w:p>
                            <w:pPr>
                              <w:rPr>
                                <w:szCs w:val="24"/>
                              </w:rPr>
                            </w:pPr>
                            <w:r>
                              <w:rPr>
                                <w:szCs w:val="24"/>
                              </w:rPr>
                              <w:t>Paslaugų gavėjų skaičius.</w:t>
                            </w:r>
                          </w:p>
                          <w:p>
                            <w:pPr>
                              <w:rPr>
                                <w:szCs w:val="24"/>
                              </w:rPr>
                            </w:pPr>
                            <w:r>
                              <w:rPr>
                                <w:szCs w:val="24"/>
                              </w:rPr>
                              <w:t>Atsakingas vykdytojas: Centro administracija, PŠT darbo su šeima padalinys.</w:t>
                            </w:r>
                          </w:p>
                        </w:tc>
                      </w:tr>
                      <w:tr>
                        <w:trPr>
                          <w:gridAfter w:val="1"/>
                          <w:wAfter w:w="9" w:type="dxa"/>
                        </w:trPr>
                        <w:tc>
                          <w:tcPr>
                            <w:tcW w:w="3261" w:type="dxa"/>
                          </w:tcPr>
                          <w:p>
                            <w:pPr>
                              <w:rPr>
                                <w:szCs w:val="24"/>
                              </w:rPr>
                            </w:pPr>
                            <w:r>
                              <w:rPr>
                                <w:szCs w:val="24"/>
                              </w:rPr>
                              <w:t xml:space="preserve">2.1.10. Socialinių įgūdžių ugdymo, palaikymo ir (ar) atkūrimo paslauga. </w:t>
                            </w:r>
                          </w:p>
                          <w:p>
                            <w:pPr>
                              <w:rPr>
                                <w:szCs w:val="24"/>
                              </w:rPr>
                            </w:pPr>
                            <w:r>
                              <w:rPr>
                                <w:szCs w:val="24"/>
                              </w:rPr>
                              <w:t>Organizuoti paslaugas šeimoms.</w:t>
                            </w:r>
                          </w:p>
                        </w:tc>
                        <w:tc>
                          <w:tcPr>
                            <w:tcW w:w="1134" w:type="dxa"/>
                          </w:tcPr>
                          <w:p>
                            <w:pPr>
                              <w:rPr>
                                <w:szCs w:val="24"/>
                              </w:rPr>
                            </w:pPr>
                            <w:r>
                              <w:rPr>
                                <w:szCs w:val="24"/>
                              </w:rPr>
                              <w:t>20</w:t>
                            </w:r>
                          </w:p>
                        </w:tc>
                        <w:tc>
                          <w:tcPr>
                            <w:tcW w:w="992" w:type="dxa"/>
                          </w:tcPr>
                          <w:p>
                            <w:pPr>
                              <w:rPr>
                                <w:szCs w:val="24"/>
                              </w:rPr>
                            </w:pPr>
                            <w:r>
                              <w:rPr>
                                <w:szCs w:val="24"/>
                              </w:rPr>
                              <w:t>0</w:t>
                            </w:r>
                          </w:p>
                        </w:tc>
                        <w:tc>
                          <w:tcPr>
                            <w:tcW w:w="851" w:type="dxa"/>
                          </w:tcPr>
                          <w:p>
                            <w:pPr>
                              <w:rPr>
                                <w:szCs w:val="24"/>
                              </w:rPr>
                            </w:pPr>
                            <w:r>
                              <w:rPr>
                                <w:szCs w:val="24"/>
                              </w:rPr>
                              <w:t>44</w:t>
                            </w:r>
                          </w:p>
                        </w:tc>
                        <w:tc>
                          <w:tcPr>
                            <w:tcW w:w="850" w:type="dxa"/>
                          </w:tcPr>
                          <w:p>
                            <w:pPr>
                              <w:rPr>
                                <w:szCs w:val="24"/>
                              </w:rPr>
                            </w:pPr>
                            <w:r>
                              <w:rPr>
                                <w:szCs w:val="24"/>
                              </w:rPr>
                              <w:t>0</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95 148,39 Eur</w:t>
                            </w:r>
                          </w:p>
                        </w:tc>
                        <w:tc>
                          <w:tcPr>
                            <w:tcW w:w="1984" w:type="dxa"/>
                          </w:tcPr>
                          <w:p>
                            <w:pPr>
                              <w:rPr>
                                <w:color w:val="000000"/>
                                <w:szCs w:val="24"/>
                              </w:rPr>
                            </w:pPr>
                            <w:r>
                              <w:rPr>
                                <w:color w:val="000000"/>
                                <w:szCs w:val="24"/>
                              </w:rPr>
                              <w:t>95 148,39 Eur</w:t>
                            </w:r>
                          </w:p>
                        </w:tc>
                        <w:tc>
                          <w:tcPr>
                            <w:tcW w:w="2467" w:type="dxa"/>
                          </w:tcPr>
                          <w:p>
                            <w:pPr>
                              <w:rPr>
                                <w:szCs w:val="24"/>
                              </w:rPr>
                            </w:pPr>
                            <w:r>
                              <w:rPr>
                                <w:szCs w:val="24"/>
                              </w:rPr>
                              <w:t>Paslaugų gavėjų skaičius.</w:t>
                            </w:r>
                          </w:p>
                          <w:p>
                            <w:pPr>
                              <w:rPr>
                                <w:szCs w:val="24"/>
                              </w:rPr>
                            </w:pPr>
                            <w:r>
                              <w:rPr>
                                <w:szCs w:val="24"/>
                              </w:rPr>
                              <w:t>Atsakingas vykdytojas: Centro administracija, PŠT darbo su šeima padalinys.</w:t>
                            </w:r>
                          </w:p>
                        </w:tc>
                      </w:tr>
                      <w:tr>
                        <w:trPr>
                          <w:gridAfter w:val="1"/>
                          <w:wAfter w:w="9" w:type="dxa"/>
                        </w:trPr>
                        <w:tc>
                          <w:tcPr>
                            <w:tcW w:w="3261" w:type="dxa"/>
                          </w:tcPr>
                          <w:p>
                            <w:pPr>
                              <w:rPr>
                                <w:szCs w:val="24"/>
                              </w:rPr>
                            </w:pPr>
                            <w:r>
                              <w:rPr>
                                <w:szCs w:val="24"/>
                              </w:rPr>
                              <w:t xml:space="preserve">2.1.11. Atvejo vadyba. </w:t>
                            </w:r>
                          </w:p>
                          <w:p>
                            <w:pPr>
                              <w:rPr>
                                <w:szCs w:val="24"/>
                              </w:rPr>
                            </w:pPr>
                            <w:r>
                              <w:rPr>
                                <w:szCs w:val="24"/>
                              </w:rPr>
                              <w:t>Pagalbos šeimai poreikių vertinimas, pagalbos planų sudarymas ir įgyvendinimas, šeimos stebėsenos, pagalbos plano peržiūros, atvejo vadybos proceso užbaigimas, atvejo vadybos koordinavimas.</w:t>
                            </w:r>
                          </w:p>
                        </w:tc>
                        <w:tc>
                          <w:tcPr>
                            <w:tcW w:w="1134" w:type="dxa"/>
                          </w:tcPr>
                          <w:p>
                            <w:pPr>
                              <w:rPr>
                                <w:szCs w:val="24"/>
                              </w:rPr>
                            </w:pPr>
                            <w:r>
                              <w:rPr>
                                <w:szCs w:val="24"/>
                              </w:rPr>
                              <w:t>600</w:t>
                            </w:r>
                          </w:p>
                        </w:tc>
                        <w:tc>
                          <w:tcPr>
                            <w:tcW w:w="992" w:type="dxa"/>
                          </w:tcPr>
                          <w:p>
                            <w:pPr>
                              <w:rPr>
                                <w:szCs w:val="24"/>
                              </w:rPr>
                            </w:pPr>
                            <w:r>
                              <w:rPr>
                                <w:szCs w:val="24"/>
                              </w:rPr>
                              <w:t>746</w:t>
                            </w:r>
                          </w:p>
                        </w:tc>
                        <w:tc>
                          <w:tcPr>
                            <w:tcW w:w="851" w:type="dxa"/>
                          </w:tcPr>
                          <w:p>
                            <w:pPr>
                              <w:rPr>
                                <w:szCs w:val="24"/>
                              </w:rPr>
                            </w:pPr>
                            <w:r>
                              <w:rPr>
                                <w:szCs w:val="24"/>
                              </w:rPr>
                              <w:t>745</w:t>
                            </w:r>
                          </w:p>
                        </w:tc>
                        <w:tc>
                          <w:tcPr>
                            <w:tcW w:w="850" w:type="dxa"/>
                          </w:tcPr>
                          <w:p>
                            <w:pPr>
                              <w:rPr>
                                <w:szCs w:val="24"/>
                              </w:rPr>
                            </w:pPr>
                            <w:r>
                              <w:rPr>
                                <w:szCs w:val="24"/>
                              </w:rPr>
                              <w:t>698</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331 162,18 Eur</w:t>
                            </w:r>
                          </w:p>
                        </w:tc>
                        <w:tc>
                          <w:tcPr>
                            <w:tcW w:w="1984" w:type="dxa"/>
                          </w:tcPr>
                          <w:p>
                            <w:pPr>
                              <w:ind w:firstLine="62"/>
                              <w:rPr>
                                <w:color w:val="000000"/>
                                <w:szCs w:val="24"/>
                              </w:rPr>
                            </w:pPr>
                            <w:r>
                              <w:rPr>
                                <w:color w:val="000000"/>
                                <w:szCs w:val="24"/>
                              </w:rPr>
                              <w:t>331 162,18 Eur</w:t>
                            </w:r>
                          </w:p>
                        </w:tc>
                        <w:tc>
                          <w:tcPr>
                            <w:tcW w:w="2467" w:type="dxa"/>
                          </w:tcPr>
                          <w:p>
                            <w:pPr>
                              <w:rPr>
                                <w:szCs w:val="24"/>
                              </w:rPr>
                            </w:pPr>
                            <w:r>
                              <w:rPr>
                                <w:szCs w:val="24"/>
                              </w:rPr>
                              <w:t>Vykdytų atvejo vadybos posėdžių skaičius.</w:t>
                            </w:r>
                          </w:p>
                          <w:p>
                            <w:pPr>
                              <w:rPr>
                                <w:szCs w:val="24"/>
                              </w:rPr>
                            </w:pPr>
                            <w:r>
                              <w:rPr>
                                <w:szCs w:val="24"/>
                              </w:rPr>
                              <w:t>Atsakingas vykdytojas: Centro administracija, PŠT darbo su šeima padalinys.</w:t>
                            </w:r>
                          </w:p>
                        </w:tc>
                      </w:tr>
                      <w:tr>
                        <w:trPr>
                          <w:gridAfter w:val="1"/>
                          <w:wAfter w:w="9" w:type="dxa"/>
                        </w:trPr>
                        <w:tc>
                          <w:tcPr>
                            <w:tcW w:w="3261" w:type="dxa"/>
                          </w:tcPr>
                          <w:p>
                            <w:pPr>
                              <w:rPr>
                                <w:szCs w:val="24"/>
                              </w:rPr>
                            </w:pPr>
                            <w:r>
                              <w:rPr>
                                <w:szCs w:val="24"/>
                              </w:rPr>
                              <w:t xml:space="preserve">2.1.12.Globos centro veikla. </w:t>
                            </w:r>
                          </w:p>
                          <w:p>
                            <w:pPr>
                              <w:rPr>
                                <w:szCs w:val="24"/>
                              </w:rPr>
                            </w:pPr>
                            <w:r>
                              <w:rPr>
                                <w:szCs w:val="24"/>
                              </w:rPr>
                              <w:t xml:space="preserve">Teikti  konsultacinę, psichosocialinę, teisinę ir kitą pagalbą globėjams (rūpintojams), budintiems globotojams, įtėviams ir šeimynų dalyviams ar besirengiantiems jais tapti.</w:t>
                            </w:r>
                          </w:p>
                        </w:tc>
                        <w:tc>
                          <w:tcPr>
                            <w:tcW w:w="1134" w:type="dxa"/>
                          </w:tcPr>
                          <w:p>
                            <w:pPr>
                              <w:rPr>
                                <w:szCs w:val="24"/>
                              </w:rPr>
                            </w:pPr>
                            <w:r>
                              <w:rPr>
                                <w:szCs w:val="24"/>
                              </w:rPr>
                              <w:t>2000</w:t>
                            </w:r>
                          </w:p>
                        </w:tc>
                        <w:tc>
                          <w:tcPr>
                            <w:tcW w:w="992" w:type="dxa"/>
                          </w:tcPr>
                          <w:p>
                            <w:pPr>
                              <w:rPr>
                                <w:szCs w:val="24"/>
                              </w:rPr>
                            </w:pPr>
                            <w:r>
                              <w:rPr>
                                <w:szCs w:val="24"/>
                              </w:rPr>
                              <w:t>3174</w:t>
                            </w:r>
                          </w:p>
                        </w:tc>
                        <w:tc>
                          <w:tcPr>
                            <w:tcW w:w="851" w:type="dxa"/>
                          </w:tcPr>
                          <w:p>
                            <w:pPr>
                              <w:rPr>
                                <w:szCs w:val="24"/>
                              </w:rPr>
                            </w:pPr>
                            <w:r>
                              <w:rPr>
                                <w:szCs w:val="24"/>
                              </w:rPr>
                              <w:t>4057</w:t>
                            </w:r>
                          </w:p>
                        </w:tc>
                        <w:tc>
                          <w:tcPr>
                            <w:tcW w:w="850" w:type="dxa"/>
                          </w:tcPr>
                          <w:p>
                            <w:pPr>
                              <w:rPr>
                                <w:szCs w:val="24"/>
                              </w:rPr>
                            </w:pPr>
                            <w:r>
                              <w:rPr>
                                <w:szCs w:val="24"/>
                              </w:rPr>
                              <w:t>4096</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318 015,25 Eur</w:t>
                            </w:r>
                          </w:p>
                        </w:tc>
                        <w:tc>
                          <w:tcPr>
                            <w:tcW w:w="1984" w:type="dxa"/>
                          </w:tcPr>
                          <w:p>
                            <w:pPr>
                              <w:rPr>
                                <w:color w:val="000000"/>
                                <w:szCs w:val="24"/>
                              </w:rPr>
                            </w:pPr>
                            <w:r>
                              <w:rPr>
                                <w:color w:val="000000"/>
                                <w:szCs w:val="24"/>
                              </w:rPr>
                              <w:t>318 015,25 Eur</w:t>
                            </w:r>
                          </w:p>
                        </w:tc>
                        <w:tc>
                          <w:tcPr>
                            <w:tcW w:w="2467" w:type="dxa"/>
                          </w:tcPr>
                          <w:p>
                            <w:pPr>
                              <w:rPr>
                                <w:szCs w:val="24"/>
                              </w:rPr>
                            </w:pPr>
                            <w:r>
                              <w:rPr>
                                <w:szCs w:val="24"/>
                              </w:rPr>
                              <w:t>Suteiktų konsultacijų skaičius, mokėjimai budintiems globotojams.</w:t>
                            </w:r>
                          </w:p>
                          <w:p>
                            <w:pPr>
                              <w:rPr>
                                <w:b/>
                                <w:bCs/>
                                <w:szCs w:val="24"/>
                              </w:rPr>
                            </w:pPr>
                            <w:r>
                              <w:rPr>
                                <w:szCs w:val="24"/>
                              </w:rPr>
                              <w:t>Atsakingas vykdytojas: Centro administracija, Globos centras.</w:t>
                            </w:r>
                          </w:p>
                        </w:tc>
                      </w:tr>
                      <w:tr>
                        <w:trPr>
                          <w:gridAfter w:val="1"/>
                          <w:wAfter w:w="9" w:type="dxa"/>
                        </w:trPr>
                        <w:tc>
                          <w:tcPr>
                            <w:tcW w:w="3261" w:type="dxa"/>
                          </w:tcPr>
                          <w:p>
                            <w:pPr>
                              <w:rPr>
                                <w:szCs w:val="24"/>
                              </w:rPr>
                            </w:pPr>
                            <w:r>
                              <w:rPr>
                                <w:szCs w:val="24"/>
                              </w:rPr>
                              <w:t xml:space="preserve">2.1.13.Vaikų dienos centro veikla. </w:t>
                            </w:r>
                          </w:p>
                          <w:p>
                            <w:pPr>
                              <w:rPr>
                                <w:szCs w:val="24"/>
                              </w:rPr>
                            </w:pPr>
                            <w:r>
                              <w:rPr>
                                <w:szCs w:val="24"/>
                              </w:rPr>
                              <w:t>Teikti socialinę priežiūrą vaikams dienos metu institucijoje.</w:t>
                            </w:r>
                          </w:p>
                        </w:tc>
                        <w:tc>
                          <w:tcPr>
                            <w:tcW w:w="1134" w:type="dxa"/>
                          </w:tcPr>
                          <w:p>
                            <w:pPr>
                              <w:rPr>
                                <w:szCs w:val="24"/>
                              </w:rPr>
                            </w:pPr>
                            <w:r>
                              <w:rPr>
                                <w:szCs w:val="24"/>
                              </w:rPr>
                              <w:t>65</w:t>
                            </w:r>
                          </w:p>
                        </w:tc>
                        <w:tc>
                          <w:tcPr>
                            <w:tcW w:w="992" w:type="dxa"/>
                          </w:tcPr>
                          <w:p>
                            <w:pPr>
                              <w:rPr>
                                <w:szCs w:val="24"/>
                              </w:rPr>
                            </w:pPr>
                            <w:r>
                              <w:rPr>
                                <w:szCs w:val="24"/>
                              </w:rPr>
                              <w:t>70</w:t>
                            </w:r>
                          </w:p>
                        </w:tc>
                        <w:tc>
                          <w:tcPr>
                            <w:tcW w:w="851" w:type="dxa"/>
                          </w:tcPr>
                          <w:p>
                            <w:pPr>
                              <w:rPr>
                                <w:szCs w:val="24"/>
                              </w:rPr>
                            </w:pPr>
                            <w:r>
                              <w:rPr>
                                <w:szCs w:val="24"/>
                              </w:rPr>
                              <w:t>70</w:t>
                            </w:r>
                          </w:p>
                        </w:tc>
                        <w:tc>
                          <w:tcPr>
                            <w:tcW w:w="850" w:type="dxa"/>
                          </w:tcPr>
                          <w:p>
                            <w:pPr>
                              <w:rPr>
                                <w:szCs w:val="24"/>
                              </w:rPr>
                            </w:pPr>
                            <w:r>
                              <w:rPr>
                                <w:szCs w:val="24"/>
                              </w:rPr>
                              <w:t>70</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276 727,63 Eur</w:t>
                            </w:r>
                          </w:p>
                        </w:tc>
                        <w:tc>
                          <w:tcPr>
                            <w:tcW w:w="1984" w:type="dxa"/>
                          </w:tcPr>
                          <w:p>
                            <w:pPr>
                              <w:rPr>
                                <w:color w:val="000000"/>
                                <w:szCs w:val="24"/>
                              </w:rPr>
                            </w:pPr>
                            <w:r>
                              <w:rPr>
                                <w:color w:val="000000"/>
                                <w:szCs w:val="24"/>
                              </w:rPr>
                              <w:t>276 727,63 Eur</w:t>
                            </w:r>
                          </w:p>
                        </w:tc>
                        <w:tc>
                          <w:tcPr>
                            <w:tcW w:w="2467" w:type="dxa"/>
                          </w:tcPr>
                          <w:p>
                            <w:pPr>
                              <w:rPr>
                                <w:szCs w:val="24"/>
                              </w:rPr>
                            </w:pPr>
                            <w:r>
                              <w:rPr>
                                <w:szCs w:val="24"/>
                              </w:rPr>
                              <w:t>RSPC visuose 3 VDC užpildyta 100</w:t>
                            </w:r>
                            <w:r>
                              <w:rPr>
                                <w:szCs w:val="24"/>
                                <w:lang w:val="en-US"/>
                              </w:rPr>
                              <w:t xml:space="preserve">% akredituotų vietų. </w:t>
                            </w:r>
                            <w:r>
                              <w:rPr>
                                <w:szCs w:val="24"/>
                              </w:rPr>
                              <w:t>Atsakingas vykdytojas: Centro administracija, Vaikų dienos centrai („Ąžuoliukas“, „Saulės spindulėlis“, „Gandriukas“</w:t>
                            </w:r>
                          </w:p>
                        </w:tc>
                      </w:tr>
                      <w:tr>
                        <w:trPr>
                          <w:gridAfter w:val="1"/>
                          <w:wAfter w:w="9" w:type="dxa"/>
                        </w:trPr>
                        <w:tc>
                          <w:tcPr>
                            <w:tcW w:w="3261" w:type="dxa"/>
                          </w:tcPr>
                          <w:p>
                            <w:pPr>
                              <w:rPr>
                                <w:szCs w:val="24"/>
                              </w:rPr>
                            </w:pPr>
                            <w:r>
                              <w:rPr>
                                <w:szCs w:val="24"/>
                              </w:rPr>
                              <w:t>2.1.14. Dienos socialinės globos centro veikla.</w:t>
                            </w:r>
                          </w:p>
                        </w:tc>
                        <w:tc>
                          <w:tcPr>
                            <w:tcW w:w="1134" w:type="dxa"/>
                          </w:tcPr>
                          <w:p>
                            <w:pPr>
                              <w:rPr>
                                <w:szCs w:val="24"/>
                              </w:rPr>
                            </w:pPr>
                            <w:r>
                              <w:rPr>
                                <w:szCs w:val="24"/>
                              </w:rPr>
                              <w:t>25</w:t>
                            </w:r>
                          </w:p>
                        </w:tc>
                        <w:tc>
                          <w:tcPr>
                            <w:tcW w:w="992" w:type="dxa"/>
                          </w:tcPr>
                          <w:p>
                            <w:pPr>
                              <w:rPr>
                                <w:szCs w:val="24"/>
                              </w:rPr>
                            </w:pPr>
                            <w:r>
                              <w:rPr>
                                <w:szCs w:val="24"/>
                              </w:rPr>
                              <w:t>-</w:t>
                            </w:r>
                          </w:p>
                        </w:tc>
                        <w:tc>
                          <w:tcPr>
                            <w:tcW w:w="851" w:type="dxa"/>
                          </w:tcPr>
                          <w:p>
                            <w:pPr>
                              <w:rPr>
                                <w:szCs w:val="24"/>
                              </w:rPr>
                            </w:pPr>
                            <w:r>
                              <w:rPr>
                                <w:szCs w:val="24"/>
                              </w:rPr>
                              <w:t>-</w:t>
                            </w:r>
                          </w:p>
                        </w:tc>
                        <w:tc>
                          <w:tcPr>
                            <w:tcW w:w="850" w:type="dxa"/>
                          </w:tcPr>
                          <w:p>
                            <w:pPr>
                              <w:rPr>
                                <w:szCs w:val="24"/>
                              </w:rPr>
                            </w:pPr>
                            <w:r>
                              <w:rPr>
                                <w:szCs w:val="24"/>
                              </w:rPr>
                              <w:t>23</w:t>
                            </w:r>
                          </w:p>
                        </w:tc>
                        <w:tc>
                          <w:tcPr>
                            <w:tcW w:w="1758" w:type="dxa"/>
                          </w:tcPr>
                          <w:p>
                            <w:pPr>
                              <w:rPr>
                                <w:color w:val="000000"/>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128 524,84 Eur</w:t>
                            </w:r>
                          </w:p>
                        </w:tc>
                        <w:tc>
                          <w:tcPr>
                            <w:tcW w:w="1984" w:type="dxa"/>
                          </w:tcPr>
                          <w:p>
                            <w:pPr>
                              <w:rPr>
                                <w:color w:val="000000"/>
                                <w:szCs w:val="24"/>
                              </w:rPr>
                            </w:pPr>
                            <w:r>
                              <w:rPr>
                                <w:color w:val="000000"/>
                                <w:szCs w:val="24"/>
                              </w:rPr>
                              <w:t>128 524,84 Eur</w:t>
                            </w:r>
                          </w:p>
                        </w:tc>
                        <w:tc>
                          <w:tcPr>
                            <w:tcW w:w="2467" w:type="dxa"/>
                          </w:tcPr>
                          <w:p>
                            <w:pPr>
                              <w:rPr>
                                <w:szCs w:val="24"/>
                              </w:rPr>
                            </w:pPr>
                            <w:r>
                              <w:rPr>
                                <w:szCs w:val="24"/>
                              </w:rPr>
                              <w:t>Paslaugų gavėjų skaičius.</w:t>
                            </w:r>
                          </w:p>
                          <w:p>
                            <w:pPr>
                              <w:rPr>
                                <w:szCs w:val="24"/>
                              </w:rPr>
                            </w:pPr>
                            <w:r>
                              <w:rPr>
                                <w:szCs w:val="24"/>
                              </w:rPr>
                              <w:t>Atsakingas vykdytojas: Centro administracija, Dienos socialinės globos centro padalinys.</w:t>
                            </w:r>
                          </w:p>
                        </w:tc>
                      </w:tr>
                      <w:tr>
                        <w:trPr>
                          <w:gridAfter w:val="1"/>
                          <w:wAfter w:w="9" w:type="dxa"/>
                        </w:trPr>
                        <w:tc>
                          <w:tcPr>
                            <w:tcW w:w="3261" w:type="dxa"/>
                          </w:tcPr>
                          <w:p>
                            <w:pPr>
                              <w:rPr>
                                <w:szCs w:val="24"/>
                              </w:rPr>
                            </w:pPr>
                            <w:r>
                              <w:rPr>
                                <w:szCs w:val="24"/>
                              </w:rPr>
                              <w:t>2.1.15. Psichologinė pagalba. Psichologinis konsultavimas.</w:t>
                            </w:r>
                          </w:p>
                        </w:tc>
                        <w:tc>
                          <w:tcPr>
                            <w:tcW w:w="1134" w:type="dxa"/>
                          </w:tcPr>
                          <w:p>
                            <w:pPr>
                              <w:rPr>
                                <w:szCs w:val="24"/>
                              </w:rPr>
                            </w:pPr>
                            <w:r>
                              <w:rPr>
                                <w:szCs w:val="24"/>
                              </w:rPr>
                              <w:t>100</w:t>
                            </w:r>
                          </w:p>
                        </w:tc>
                        <w:tc>
                          <w:tcPr>
                            <w:tcW w:w="992" w:type="dxa"/>
                          </w:tcPr>
                          <w:p>
                            <w:pPr>
                              <w:rPr>
                                <w:szCs w:val="24"/>
                              </w:rPr>
                            </w:pPr>
                            <w:r>
                              <w:rPr>
                                <w:szCs w:val="24"/>
                              </w:rPr>
                              <w:t>746</w:t>
                            </w:r>
                          </w:p>
                        </w:tc>
                        <w:tc>
                          <w:tcPr>
                            <w:tcW w:w="851" w:type="dxa"/>
                          </w:tcPr>
                          <w:p>
                            <w:pPr>
                              <w:rPr>
                                <w:szCs w:val="24"/>
                              </w:rPr>
                            </w:pPr>
                            <w:r>
                              <w:rPr>
                                <w:szCs w:val="24"/>
                              </w:rPr>
                              <w:t>0</w:t>
                            </w:r>
                          </w:p>
                        </w:tc>
                        <w:tc>
                          <w:tcPr>
                            <w:tcW w:w="850" w:type="dxa"/>
                          </w:tcPr>
                          <w:p>
                            <w:pPr>
                              <w:rPr>
                                <w:szCs w:val="24"/>
                              </w:rPr>
                            </w:pPr>
                            <w:r>
                              <w:rPr>
                                <w:szCs w:val="24"/>
                              </w:rPr>
                              <w:t>628</w:t>
                            </w:r>
                          </w:p>
                        </w:tc>
                        <w:tc>
                          <w:tcPr>
                            <w:tcW w:w="1758" w:type="dxa"/>
                          </w:tcPr>
                          <w:p>
                            <w:pPr>
                              <w:rPr>
                                <w:szCs w:val="24"/>
                              </w:rPr>
                            </w:pPr>
                            <w:r>
                              <w:rPr>
                                <w:color w:val="000000"/>
                                <w:szCs w:val="24"/>
                              </w:rPr>
                              <w:t xml:space="preserve">03  Socialinių paslaugų ir socialinės paramos teikimo programa; 03-01-02 Didinti socialinę integraciją, mažinti atskirtį</w:t>
                            </w:r>
                          </w:p>
                        </w:tc>
                        <w:tc>
                          <w:tcPr>
                            <w:tcW w:w="1503" w:type="dxa"/>
                          </w:tcPr>
                          <w:p>
                            <w:pPr>
                              <w:rPr>
                                <w:color w:val="000000"/>
                                <w:szCs w:val="24"/>
                              </w:rPr>
                            </w:pPr>
                            <w:r>
                              <w:rPr>
                                <w:color w:val="000000"/>
                                <w:szCs w:val="24"/>
                              </w:rPr>
                              <w:t>27 262,23 Eur</w:t>
                            </w:r>
                          </w:p>
                        </w:tc>
                        <w:tc>
                          <w:tcPr>
                            <w:tcW w:w="1984" w:type="dxa"/>
                          </w:tcPr>
                          <w:p>
                            <w:pPr>
                              <w:rPr>
                                <w:color w:val="000000"/>
                                <w:szCs w:val="24"/>
                              </w:rPr>
                            </w:pPr>
                            <w:r>
                              <w:rPr>
                                <w:color w:val="000000"/>
                                <w:szCs w:val="24"/>
                              </w:rPr>
                              <w:t>27 262,23 Eur</w:t>
                            </w:r>
                          </w:p>
                        </w:tc>
                        <w:tc>
                          <w:tcPr>
                            <w:tcW w:w="2467" w:type="dxa"/>
                          </w:tcPr>
                          <w:p>
                            <w:pPr>
                              <w:rPr>
                                <w:szCs w:val="24"/>
                              </w:rPr>
                            </w:pPr>
                            <w:r>
                              <w:rPr>
                                <w:szCs w:val="24"/>
                              </w:rPr>
                              <w:t>Suteikta paslaugų.</w:t>
                            </w:r>
                          </w:p>
                          <w:p>
                            <w:pPr>
                              <w:rPr>
                                <w:szCs w:val="24"/>
                              </w:rPr>
                            </w:pPr>
                            <w:r>
                              <w:rPr>
                                <w:szCs w:val="24"/>
                              </w:rPr>
                              <w:t>Atsakingas vykdytojas: Centro administracija, psichologas.</w:t>
                            </w:r>
                          </w:p>
                        </w:tc>
                      </w:tr>
                      <w:tr>
                        <w:tc>
                          <w:tcPr>
                            <w:tcW w:w="14809" w:type="dxa"/>
                            <w:gridSpan w:val="10"/>
                          </w:tcPr>
                          <w:p>
                            <w:pPr>
                              <w:rPr>
                                <w:color w:val="808080"/>
                                <w:szCs w:val="24"/>
                              </w:rPr>
                            </w:pPr>
                            <w:r>
                              <w:rPr>
                                <w:szCs w:val="24"/>
                              </w:rPr>
                              <w:t>2.2. Uždavinys: Tobulinti Centro teikiamų paslaugų kokybę, atsižvelgiant į paslaugų gavėjų poreikius.</w:t>
                            </w:r>
                          </w:p>
                        </w:tc>
                      </w:tr>
                      <w:tr>
                        <w:trPr>
                          <w:gridAfter w:val="1"/>
                          <w:wAfter w:w="9" w:type="dxa"/>
                        </w:trPr>
                        <w:tc>
                          <w:tcPr>
                            <w:tcW w:w="3261" w:type="dxa"/>
                          </w:tcPr>
                          <w:p>
                            <w:pPr>
                              <w:rPr>
                                <w:szCs w:val="24"/>
                              </w:rPr>
                            </w:pPr>
                            <w:r>
                              <w:rPr>
                                <w:szCs w:val="24"/>
                              </w:rPr>
                              <w:t>2.2.1. Centro teikiamų paslaugų ir paslaugų organizavimo proceso įvertinimas.</w:t>
                            </w:r>
                          </w:p>
                        </w:tc>
                        <w:tc>
                          <w:tcPr>
                            <w:tcW w:w="1134" w:type="dxa"/>
                          </w:tcPr>
                          <w:p>
                            <w:pPr>
                              <w:rPr>
                                <w:szCs w:val="24"/>
                              </w:rPr>
                            </w:pPr>
                            <w:r>
                              <w:rPr>
                                <w:szCs w:val="24"/>
                              </w:rPr>
                              <w:t>2</w:t>
                            </w:r>
                          </w:p>
                        </w:tc>
                        <w:tc>
                          <w:tcPr>
                            <w:tcW w:w="992" w:type="dxa"/>
                          </w:tcPr>
                          <w:p>
                            <w:pPr>
                              <w:rPr>
                                <w:szCs w:val="24"/>
                              </w:rPr>
                            </w:pPr>
                            <w:r>
                              <w:rPr>
                                <w:szCs w:val="24"/>
                              </w:rPr>
                              <w:t>2</w:t>
                            </w:r>
                          </w:p>
                        </w:tc>
                        <w:tc>
                          <w:tcPr>
                            <w:tcW w:w="851" w:type="dxa"/>
                          </w:tcPr>
                          <w:p>
                            <w:pPr>
                              <w:rPr>
                                <w:szCs w:val="24"/>
                              </w:rPr>
                            </w:pPr>
                            <w:r>
                              <w:rPr>
                                <w:szCs w:val="24"/>
                              </w:rPr>
                              <w:t>4</w:t>
                            </w:r>
                          </w:p>
                        </w:tc>
                        <w:tc>
                          <w:tcPr>
                            <w:tcW w:w="850" w:type="dxa"/>
                          </w:tcPr>
                          <w:p>
                            <w:pPr>
                              <w:rPr>
                                <w:szCs w:val="24"/>
                              </w:rPr>
                            </w:pPr>
                            <w:r>
                              <w:rPr>
                                <w:szCs w:val="24"/>
                              </w:rPr>
                              <w:t>4</w:t>
                            </w:r>
                          </w:p>
                        </w:tc>
                        <w:tc>
                          <w:tcPr>
                            <w:tcW w:w="1758" w:type="dxa"/>
                          </w:tcPr>
                          <w:p>
                            <w:pPr>
                              <w:rPr>
                                <w:szCs w:val="24"/>
                              </w:rPr>
                            </w:pPr>
                            <w:r>
                              <w:rPr>
                                <w:color w:val="000000"/>
                                <w:szCs w:val="24"/>
                              </w:rPr>
                              <w:t xml:space="preserve">03  Socialinių paslaugų ir socialinės paramos teikimo programa; 03-01-01 Gerinti socialinių paslaugų kokybę ir pasiekiamumą</w:t>
                            </w:r>
                          </w:p>
                        </w:tc>
                        <w:tc>
                          <w:tcPr>
                            <w:tcW w:w="1503" w:type="dxa"/>
                          </w:tcPr>
                          <w:p>
                            <w:pPr>
                              <w:rPr>
                                <w:szCs w:val="24"/>
                              </w:rPr>
                            </w:pPr>
                            <w:r>
                              <w:rPr>
                                <w:szCs w:val="24"/>
                              </w:rPr>
                              <w:t>Žmogiškieji ištekliai</w:t>
                            </w:r>
                          </w:p>
                        </w:tc>
                        <w:tc>
                          <w:tcPr>
                            <w:tcW w:w="1984" w:type="dxa"/>
                          </w:tcPr>
                          <w:p>
                            <w:pPr>
                              <w:rPr>
                                <w:szCs w:val="24"/>
                              </w:rPr>
                            </w:pPr>
                            <w:r>
                              <w:rPr>
                                <w:szCs w:val="24"/>
                              </w:rPr>
                              <w:t>Žmogiškieji ištekliai</w:t>
                            </w:r>
                          </w:p>
                        </w:tc>
                        <w:tc>
                          <w:tcPr>
                            <w:tcW w:w="2467" w:type="dxa"/>
                          </w:tcPr>
                          <w:p>
                            <w:pPr>
                              <w:rPr>
                                <w:szCs w:val="24"/>
                              </w:rPr>
                            </w:pPr>
                            <w:r>
                              <w:rPr>
                                <w:szCs w:val="24"/>
                              </w:rPr>
                              <w:t>RSPC teikiamų paslaugų įvertinimas, administracijos pasitarimai.</w:t>
                            </w:r>
                          </w:p>
                          <w:p>
                            <w:pPr>
                              <w:rPr>
                                <w:szCs w:val="24"/>
                              </w:rPr>
                            </w:pPr>
                            <w:r>
                              <w:rPr>
                                <w:szCs w:val="24"/>
                              </w:rPr>
                              <w:t>Atsakingas vykdytojas: Centro administracija, padalinių vadovai.</w:t>
                            </w:r>
                          </w:p>
                          <w:p>
                            <w:pPr>
                              <w:rPr>
                                <w:szCs w:val="24"/>
                              </w:rPr>
                            </w:pPr>
                          </w:p>
                        </w:tc>
                      </w:tr>
                      <w:tr>
                        <w:trPr>
                          <w:gridAfter w:val="1"/>
                          <w:wAfter w:w="9" w:type="dxa"/>
                        </w:trPr>
                        <w:tc>
                          <w:tcPr>
                            <w:tcW w:w="3261" w:type="dxa"/>
                          </w:tcPr>
                          <w:p>
                            <w:pPr>
                              <w:rPr>
                                <w:szCs w:val="24"/>
                              </w:rPr>
                            </w:pPr>
                            <w:r>
                              <w:rPr>
                                <w:szCs w:val="24"/>
                              </w:rPr>
                              <w:t>2.2.2. Atlikta paslaugas gaunančių paslaugų gavėjų anketinė apklausa, dėl paslaugų kokybės, organizavimo ir atliekama jų analizė.</w:t>
                            </w:r>
                          </w:p>
                        </w:tc>
                        <w:tc>
                          <w:tcPr>
                            <w:tcW w:w="1134" w:type="dxa"/>
                          </w:tcPr>
                          <w:p>
                            <w:pPr>
                              <w:rPr>
                                <w:szCs w:val="24"/>
                              </w:rPr>
                            </w:pPr>
                            <w:r>
                              <w:rPr>
                                <w:szCs w:val="24"/>
                              </w:rPr>
                              <w:t>80%</w:t>
                            </w:r>
                          </w:p>
                        </w:tc>
                        <w:tc>
                          <w:tcPr>
                            <w:tcW w:w="992" w:type="dxa"/>
                          </w:tcPr>
                          <w:p>
                            <w:pPr>
                              <w:rPr>
                                <w:szCs w:val="24"/>
                              </w:rPr>
                            </w:pPr>
                            <w:r>
                              <w:rPr>
                                <w:szCs w:val="24"/>
                              </w:rPr>
                              <w:t>91%</w:t>
                            </w:r>
                          </w:p>
                        </w:tc>
                        <w:tc>
                          <w:tcPr>
                            <w:tcW w:w="851" w:type="dxa"/>
                          </w:tcPr>
                          <w:p>
                            <w:pPr>
                              <w:rPr>
                                <w:szCs w:val="24"/>
                              </w:rPr>
                            </w:pPr>
                            <w:r>
                              <w:rPr>
                                <w:szCs w:val="24"/>
                              </w:rPr>
                              <w:t>90%</w:t>
                            </w:r>
                          </w:p>
                        </w:tc>
                        <w:tc>
                          <w:tcPr>
                            <w:tcW w:w="850" w:type="dxa"/>
                          </w:tcPr>
                          <w:p>
                            <w:pPr>
                              <w:rPr>
                                <w:szCs w:val="24"/>
                              </w:rPr>
                            </w:pPr>
                            <w:r>
                              <w:rPr>
                                <w:szCs w:val="24"/>
                              </w:rPr>
                              <w:t>94%</w:t>
                            </w:r>
                          </w:p>
                        </w:tc>
                        <w:tc>
                          <w:tcPr>
                            <w:tcW w:w="1758" w:type="dxa"/>
                          </w:tcPr>
                          <w:p>
                            <w:pPr>
                              <w:rPr>
                                <w:szCs w:val="24"/>
                              </w:rPr>
                            </w:pPr>
                            <w:r>
                              <w:rPr>
                                <w:color w:val="000000"/>
                                <w:szCs w:val="24"/>
                              </w:rPr>
                              <w:t xml:space="preserve">03  Socialinių paslaugų ir socialinės paramos teikimo programa; 03-01-01 Gerinti socialinių paslaugų kokybę ir pasiekiamumą; RPBSPC teikiamų paslaugų vertinimo tvarkos aprašas 2024-03-20 Nr. TA-324 (33)</w:t>
                            </w:r>
                          </w:p>
                        </w:tc>
                        <w:tc>
                          <w:tcPr>
                            <w:tcW w:w="1503" w:type="dxa"/>
                          </w:tcPr>
                          <w:p>
                            <w:pPr>
                              <w:rPr>
                                <w:szCs w:val="24"/>
                              </w:rPr>
                            </w:pPr>
                            <w:r>
                              <w:rPr>
                                <w:szCs w:val="24"/>
                              </w:rPr>
                              <w:t>Žmogiškieji ištekliai</w:t>
                            </w:r>
                          </w:p>
                        </w:tc>
                        <w:tc>
                          <w:tcPr>
                            <w:tcW w:w="1984" w:type="dxa"/>
                          </w:tcPr>
                          <w:p>
                            <w:pPr>
                              <w:rPr>
                                <w:szCs w:val="24"/>
                              </w:rPr>
                            </w:pPr>
                            <w:r>
                              <w:rPr>
                                <w:szCs w:val="24"/>
                              </w:rPr>
                              <w:t>Žmogiškieji ištekliai</w:t>
                            </w:r>
                          </w:p>
                        </w:tc>
                        <w:tc>
                          <w:tcPr>
                            <w:tcW w:w="2467" w:type="dxa"/>
                          </w:tcPr>
                          <w:p>
                            <w:pPr>
                              <w:rPr>
                                <w:szCs w:val="24"/>
                              </w:rPr>
                            </w:pPr>
                            <w:r>
                              <w:rPr>
                                <w:szCs w:val="24"/>
                              </w:rPr>
                              <w:t xml:space="preserve">RSPC teikiamų paslaugų įvertinimas, anketinė apklausa, pasitenkinimas paslaugomis.  </w:t>
                            </w:r>
                          </w:p>
                          <w:p>
                            <w:pPr>
                              <w:rPr>
                                <w:szCs w:val="24"/>
                              </w:rPr>
                            </w:pPr>
                            <w:r>
                              <w:rPr>
                                <w:szCs w:val="24"/>
                              </w:rPr>
                              <w:t>Atsakingas vykdytojas: Centro administracija, padalinių vadovai.</w:t>
                            </w:r>
                          </w:p>
                        </w:tc>
                      </w:tr>
                      <w:tr>
                        <w:trPr>
                          <w:gridAfter w:val="1"/>
                          <w:wAfter w:w="9" w:type="dxa"/>
                        </w:trPr>
                        <w:tc>
                          <w:tcPr>
                            <w:tcW w:w="3261" w:type="dxa"/>
                          </w:tcPr>
                          <w:p>
                            <w:pPr>
                              <w:rPr>
                                <w:szCs w:val="24"/>
                              </w:rPr>
                            </w:pPr>
                            <w:r>
                              <w:rPr>
                                <w:szCs w:val="24"/>
                              </w:rPr>
                              <w:t>2.2.3. Atlikta paslaugas teikiančių darbuotojų anketinė apklausa</w:t>
                            </w:r>
                          </w:p>
                        </w:tc>
                        <w:tc>
                          <w:tcPr>
                            <w:tcW w:w="1134" w:type="dxa"/>
                          </w:tcPr>
                          <w:p>
                            <w:pPr>
                              <w:rPr>
                                <w:szCs w:val="24"/>
                              </w:rPr>
                            </w:pPr>
                            <w:r>
                              <w:rPr>
                                <w:szCs w:val="24"/>
                              </w:rPr>
                              <w:t>80%</w:t>
                            </w:r>
                          </w:p>
                        </w:tc>
                        <w:tc>
                          <w:tcPr>
                            <w:tcW w:w="992" w:type="dxa"/>
                          </w:tcPr>
                          <w:p>
                            <w:pPr>
                              <w:rPr>
                                <w:szCs w:val="24"/>
                              </w:rPr>
                            </w:pPr>
                            <w:r>
                              <w:rPr>
                                <w:szCs w:val="24"/>
                              </w:rPr>
                              <w:t>94%</w:t>
                            </w:r>
                          </w:p>
                        </w:tc>
                        <w:tc>
                          <w:tcPr>
                            <w:tcW w:w="851" w:type="dxa"/>
                          </w:tcPr>
                          <w:p>
                            <w:pPr>
                              <w:rPr>
                                <w:szCs w:val="24"/>
                              </w:rPr>
                            </w:pPr>
                            <w:r>
                              <w:rPr>
                                <w:szCs w:val="24"/>
                              </w:rPr>
                              <w:t>94%</w:t>
                            </w:r>
                          </w:p>
                        </w:tc>
                        <w:tc>
                          <w:tcPr>
                            <w:tcW w:w="850" w:type="dxa"/>
                          </w:tcPr>
                          <w:p>
                            <w:pPr>
                              <w:rPr>
                                <w:szCs w:val="24"/>
                              </w:rPr>
                            </w:pPr>
                            <w:r>
                              <w:rPr>
                                <w:szCs w:val="24"/>
                              </w:rPr>
                              <w:t>95%</w:t>
                            </w:r>
                          </w:p>
                        </w:tc>
                        <w:tc>
                          <w:tcPr>
                            <w:tcW w:w="1758" w:type="dxa"/>
                          </w:tcPr>
                          <w:p>
                            <w:pPr>
                              <w:rPr>
                                <w:color w:val="000000"/>
                                <w:szCs w:val="24"/>
                              </w:rPr>
                            </w:pPr>
                            <w:r>
                              <w:rPr>
                                <w:color w:val="000000"/>
                                <w:szCs w:val="24"/>
                              </w:rPr>
                              <w:t xml:space="preserve">03  Socialinių paslaugų ir socialinės paramos teikimo programa; 03-01-01 Gerinti socialinių paslaugų kokybę ir pasiekiamumą;</w:t>
                            </w:r>
                          </w:p>
                          <w:p>
                            <w:pPr>
                              <w:rPr>
                                <w:szCs w:val="24"/>
                              </w:rPr>
                            </w:pPr>
                            <w:r>
                              <w:rPr>
                                <w:color w:val="000000"/>
                                <w:szCs w:val="24"/>
                              </w:rPr>
                              <w:t>RPBSPC Darbuotojų samdymo išsaugojimo politika 2024-03-20 Nr. TA-329(33)</w:t>
                            </w:r>
                          </w:p>
                        </w:tc>
                        <w:tc>
                          <w:tcPr>
                            <w:tcW w:w="1503" w:type="dxa"/>
                          </w:tcPr>
                          <w:p>
                            <w:pPr>
                              <w:rPr>
                                <w:szCs w:val="24"/>
                              </w:rPr>
                            </w:pPr>
                            <w:r>
                              <w:rPr>
                                <w:szCs w:val="24"/>
                              </w:rPr>
                              <w:t>Žmogiškieji ištekliai</w:t>
                            </w:r>
                          </w:p>
                        </w:tc>
                        <w:tc>
                          <w:tcPr>
                            <w:tcW w:w="1984" w:type="dxa"/>
                          </w:tcPr>
                          <w:p>
                            <w:pPr>
                              <w:rPr>
                                <w:szCs w:val="24"/>
                              </w:rPr>
                            </w:pPr>
                            <w:r>
                              <w:rPr>
                                <w:szCs w:val="24"/>
                              </w:rPr>
                              <w:t>Žmogiškieji ištekliai</w:t>
                            </w:r>
                          </w:p>
                        </w:tc>
                        <w:tc>
                          <w:tcPr>
                            <w:tcW w:w="2467" w:type="dxa"/>
                          </w:tcPr>
                          <w:p>
                            <w:pPr>
                              <w:rPr>
                                <w:szCs w:val="24"/>
                              </w:rPr>
                            </w:pPr>
                            <w:r>
                              <w:rPr>
                                <w:szCs w:val="24"/>
                              </w:rPr>
                              <w:t>Pasitenkinimas darbu.</w:t>
                            </w:r>
                          </w:p>
                          <w:p>
                            <w:pPr>
                              <w:rPr>
                                <w:szCs w:val="24"/>
                              </w:rPr>
                            </w:pPr>
                            <w:r>
                              <w:rPr>
                                <w:szCs w:val="24"/>
                              </w:rPr>
                              <w:t>Atsakingas vykdytojas: Centro administracija.</w:t>
                            </w:r>
                          </w:p>
                        </w:tc>
                      </w:tr>
                      <w:tr>
                        <w:trPr>
                          <w:gridAfter w:val="1"/>
                          <w:wAfter w:w="9" w:type="dxa"/>
                        </w:trPr>
                        <w:tc>
                          <w:tcPr>
                            <w:tcW w:w="3261" w:type="dxa"/>
                          </w:tcPr>
                          <w:p>
                            <w:pPr>
                              <w:rPr>
                                <w:szCs w:val="24"/>
                              </w:rPr>
                            </w:pPr>
                            <w:r>
                              <w:rPr>
                                <w:szCs w:val="24"/>
                              </w:rPr>
                              <w:t>2.2.4.Vidinių kokybės rodiklių užtikrinimo priemonių įgyvendinimas.</w:t>
                            </w:r>
                          </w:p>
                        </w:tc>
                        <w:tc>
                          <w:tcPr>
                            <w:tcW w:w="1134" w:type="dxa"/>
                          </w:tcPr>
                          <w:p>
                            <w:pPr>
                              <w:rPr>
                                <w:szCs w:val="24"/>
                              </w:rPr>
                            </w:pPr>
                            <w:r>
                              <w:rPr>
                                <w:szCs w:val="24"/>
                              </w:rPr>
                              <w:t>1</w:t>
                            </w:r>
                          </w:p>
                        </w:tc>
                        <w:tc>
                          <w:tcPr>
                            <w:tcW w:w="992" w:type="dxa"/>
                          </w:tcPr>
                          <w:p>
                            <w:pPr>
                              <w:rPr>
                                <w:szCs w:val="24"/>
                              </w:rPr>
                            </w:pPr>
                            <w:r>
                              <w:rPr>
                                <w:szCs w:val="24"/>
                              </w:rPr>
                              <w:t>-</w:t>
                            </w:r>
                          </w:p>
                        </w:tc>
                        <w:tc>
                          <w:tcPr>
                            <w:tcW w:w="851" w:type="dxa"/>
                          </w:tcPr>
                          <w:p>
                            <w:pPr>
                              <w:rPr>
                                <w:szCs w:val="24"/>
                              </w:rPr>
                            </w:pPr>
                            <w:r>
                              <w:rPr>
                                <w:szCs w:val="24"/>
                              </w:rPr>
                              <w:t>1</w:t>
                            </w:r>
                          </w:p>
                        </w:tc>
                        <w:tc>
                          <w:tcPr>
                            <w:tcW w:w="850" w:type="dxa"/>
                          </w:tcPr>
                          <w:p>
                            <w:pPr>
                              <w:rPr>
                                <w:szCs w:val="24"/>
                              </w:rPr>
                            </w:pPr>
                            <w:r>
                              <w:rPr>
                                <w:szCs w:val="24"/>
                              </w:rPr>
                              <w:t>1</w:t>
                            </w:r>
                          </w:p>
                        </w:tc>
                        <w:tc>
                          <w:tcPr>
                            <w:tcW w:w="1758" w:type="dxa"/>
                          </w:tcPr>
                          <w:p>
                            <w:pPr>
                              <w:rPr>
                                <w:szCs w:val="24"/>
                              </w:rPr>
                            </w:pPr>
                            <w:r>
                              <w:rPr>
                                <w:color w:val="000000"/>
                                <w:szCs w:val="24"/>
                              </w:rPr>
                              <w:t xml:space="preserve">03  Socialinių paslaugų ir socialinės paramos teikimo programa; 03-01-01 Gerinti socialinių paslaugų kokybę ir pasiekiamumą</w:t>
                            </w:r>
                          </w:p>
                        </w:tc>
                        <w:tc>
                          <w:tcPr>
                            <w:tcW w:w="1503" w:type="dxa"/>
                          </w:tcPr>
                          <w:p>
                            <w:pPr>
                              <w:rPr>
                                <w:szCs w:val="24"/>
                              </w:rPr>
                            </w:pPr>
                            <w:r>
                              <w:rPr>
                                <w:szCs w:val="24"/>
                              </w:rPr>
                              <w:t>Žmogiškieji ištekliai</w:t>
                            </w:r>
                          </w:p>
                        </w:tc>
                        <w:tc>
                          <w:tcPr>
                            <w:tcW w:w="1984" w:type="dxa"/>
                          </w:tcPr>
                          <w:p>
                            <w:pPr>
                              <w:rPr>
                                <w:szCs w:val="24"/>
                              </w:rPr>
                            </w:pPr>
                            <w:r>
                              <w:rPr>
                                <w:szCs w:val="24"/>
                              </w:rPr>
                              <w:t>Žmogiškieji ištekliai</w:t>
                            </w:r>
                          </w:p>
                        </w:tc>
                        <w:tc>
                          <w:tcPr>
                            <w:tcW w:w="2467" w:type="dxa"/>
                          </w:tcPr>
                          <w:p>
                            <w:pPr>
                              <w:rPr>
                                <w:szCs w:val="24"/>
                              </w:rPr>
                            </w:pPr>
                            <w:r>
                              <w:rPr>
                                <w:szCs w:val="24"/>
                              </w:rPr>
                              <w:t>Teikiamų paslaugų kokybės gerinimas taikant EQUASS Assurance kokybės sistemos taikymo sertifikatas/ataskaita.</w:t>
                            </w:r>
                          </w:p>
                          <w:p>
                            <w:pPr>
                              <w:rPr>
                                <w:szCs w:val="24"/>
                              </w:rPr>
                            </w:pPr>
                            <w:r>
                              <w:rPr>
                                <w:szCs w:val="24"/>
                              </w:rPr>
                              <w:t>Atsakingas vykdytojas: Centro administracija, padalinių vadovai.</w:t>
                            </w:r>
                          </w:p>
                        </w:tc>
                      </w:tr>
                      <w:tr>
                        <w:trPr>
                          <w:gridAfter w:val="1"/>
                          <w:wAfter w:w="9" w:type="dxa"/>
                        </w:trPr>
                        <w:tc>
                          <w:tcPr>
                            <w:tcW w:w="3261" w:type="dxa"/>
                          </w:tcPr>
                          <w:p>
                            <w:pPr>
                              <w:rPr>
                                <w:szCs w:val="24"/>
                              </w:rPr>
                            </w:pPr>
                            <w:r>
                              <w:rPr>
                                <w:szCs w:val="24"/>
                              </w:rPr>
                              <w:t>2.2.5. Sudaromi metiniai socialinių paslaugų kokybės vertinimo grafikai.</w:t>
                            </w:r>
                          </w:p>
                        </w:tc>
                        <w:tc>
                          <w:tcPr>
                            <w:tcW w:w="1134" w:type="dxa"/>
                          </w:tcPr>
                          <w:p>
                            <w:pPr>
                              <w:rPr>
                                <w:szCs w:val="24"/>
                              </w:rPr>
                            </w:pPr>
                            <w:r>
                              <w:rPr>
                                <w:szCs w:val="24"/>
                              </w:rPr>
                              <w:t>60</w:t>
                            </w:r>
                          </w:p>
                        </w:tc>
                        <w:tc>
                          <w:tcPr>
                            <w:tcW w:w="992" w:type="dxa"/>
                          </w:tcPr>
                          <w:p>
                            <w:pPr>
                              <w:rPr>
                                <w:szCs w:val="24"/>
                              </w:rPr>
                            </w:pPr>
                            <w:r>
                              <w:rPr>
                                <w:szCs w:val="24"/>
                              </w:rPr>
                              <w:t>55</w:t>
                            </w:r>
                          </w:p>
                        </w:tc>
                        <w:tc>
                          <w:tcPr>
                            <w:tcW w:w="851" w:type="dxa"/>
                          </w:tcPr>
                          <w:p>
                            <w:pPr>
                              <w:rPr>
                                <w:szCs w:val="24"/>
                              </w:rPr>
                            </w:pPr>
                            <w:r>
                              <w:rPr>
                                <w:szCs w:val="24"/>
                              </w:rPr>
                              <w:t>86</w:t>
                            </w:r>
                          </w:p>
                        </w:tc>
                        <w:tc>
                          <w:tcPr>
                            <w:tcW w:w="850" w:type="dxa"/>
                          </w:tcPr>
                          <w:p>
                            <w:pPr>
                              <w:rPr>
                                <w:szCs w:val="24"/>
                              </w:rPr>
                            </w:pPr>
                            <w:r>
                              <w:rPr>
                                <w:szCs w:val="24"/>
                              </w:rPr>
                              <w:t>84</w:t>
                            </w:r>
                          </w:p>
                        </w:tc>
                        <w:tc>
                          <w:tcPr>
                            <w:tcW w:w="1758" w:type="dxa"/>
                          </w:tcPr>
                          <w:p>
                            <w:pPr>
                              <w:rPr>
                                <w:szCs w:val="24"/>
                              </w:rPr>
                            </w:pPr>
                            <w:r>
                              <w:rPr>
                                <w:color w:val="000000"/>
                                <w:szCs w:val="24"/>
                              </w:rPr>
                              <w:t xml:space="preserve">03  Socialinių paslaugų ir socialinės paramos teikimo programa; 03-01-01 Gerinti socialinių paslaugų kokybę ir pasiekiamumą</w:t>
                            </w:r>
                          </w:p>
                        </w:tc>
                        <w:tc>
                          <w:tcPr>
                            <w:tcW w:w="1503" w:type="dxa"/>
                          </w:tcPr>
                          <w:p>
                            <w:pPr>
                              <w:rPr>
                                <w:szCs w:val="24"/>
                              </w:rPr>
                            </w:pPr>
                            <w:r>
                              <w:rPr>
                                <w:szCs w:val="24"/>
                              </w:rPr>
                              <w:t>Žmogiškieji ištekliai</w:t>
                            </w:r>
                          </w:p>
                        </w:tc>
                        <w:tc>
                          <w:tcPr>
                            <w:tcW w:w="1984" w:type="dxa"/>
                          </w:tcPr>
                          <w:p>
                            <w:pPr>
                              <w:rPr>
                                <w:szCs w:val="24"/>
                              </w:rPr>
                            </w:pPr>
                            <w:r>
                              <w:rPr>
                                <w:szCs w:val="24"/>
                              </w:rPr>
                              <w:t>Žmogiškieji ištekliai</w:t>
                            </w:r>
                          </w:p>
                        </w:tc>
                        <w:tc>
                          <w:tcPr>
                            <w:tcW w:w="2467" w:type="dxa"/>
                          </w:tcPr>
                          <w:p>
                            <w:pPr>
                              <w:rPr>
                                <w:szCs w:val="24"/>
                              </w:rPr>
                            </w:pPr>
                            <w:r>
                              <w:rPr>
                                <w:szCs w:val="24"/>
                              </w:rPr>
                              <w:t>Kokybės vertinimo grafikai, surašyti vertinimo aktai.</w:t>
                            </w:r>
                          </w:p>
                          <w:p>
                            <w:pPr>
                              <w:rPr>
                                <w:szCs w:val="24"/>
                              </w:rPr>
                            </w:pPr>
                            <w:r>
                              <w:rPr>
                                <w:szCs w:val="24"/>
                              </w:rPr>
                              <w:t>Atsakingas vykdytojas: Centro administracija, padalinių vadovai.</w:t>
                            </w:r>
                          </w:p>
                        </w:tc>
                      </w:tr>
                      <w:tr>
                        <w:tc>
                          <w:tcPr>
                            <w:tcW w:w="14809" w:type="dxa"/>
                            <w:gridSpan w:val="10"/>
                          </w:tcPr>
                          <w:p>
                            <w:pPr>
                              <w:rPr>
                                <w:b/>
                                <w:bCs/>
                                <w:szCs w:val="24"/>
                              </w:rPr>
                            </w:pPr>
                            <w:r>
                              <w:rPr>
                                <w:b/>
                                <w:bCs/>
                                <w:szCs w:val="24"/>
                              </w:rPr>
                              <w:t xml:space="preserve">3. Tikslas. Pagalbos teikimą seniūnijos teritorijoje plėtojimas </w:t>
                            </w:r>
                          </w:p>
                        </w:tc>
                      </w:tr>
                      <w:tr>
                        <w:tc>
                          <w:tcPr>
                            <w:tcW w:w="14809" w:type="dxa"/>
                            <w:gridSpan w:val="10"/>
                          </w:tcPr>
                          <w:p>
                            <w:pPr>
                              <w:rPr>
                                <w:szCs w:val="24"/>
                              </w:rPr>
                            </w:pPr>
                            <w:r>
                              <w:rPr>
                                <w:szCs w:val="24"/>
                              </w:rPr>
                              <w:t>3.1. Didinti paslaugų prieinamumą teikiant pagalbą.</w:t>
                            </w:r>
                          </w:p>
                        </w:tc>
                      </w:tr>
                      <w:tr>
                        <w:trPr>
                          <w:gridAfter w:val="1"/>
                          <w:wAfter w:w="9" w:type="dxa"/>
                        </w:trPr>
                        <w:tc>
                          <w:tcPr>
                            <w:tcW w:w="3261" w:type="dxa"/>
                          </w:tcPr>
                          <w:p>
                            <w:pPr>
                              <w:rPr>
                                <w:szCs w:val="24"/>
                              </w:rPr>
                            </w:pPr>
                            <w:r>
                              <w:rPr>
                                <w:szCs w:val="24"/>
                              </w:rPr>
                              <w:t xml:space="preserve">3.1.1. Teikti paslaugas kuo arčiau  paslaugų gavėjų gyvenamosios vietos.</w:t>
                            </w:r>
                          </w:p>
                        </w:tc>
                        <w:tc>
                          <w:tcPr>
                            <w:tcW w:w="1134" w:type="dxa"/>
                          </w:tcPr>
                          <w:p>
                            <w:pPr>
                              <w:rPr>
                                <w:szCs w:val="24"/>
                              </w:rPr>
                            </w:pPr>
                            <w:r>
                              <w:rPr>
                                <w:szCs w:val="24"/>
                              </w:rPr>
                              <w:t>1</w:t>
                            </w:r>
                          </w:p>
                        </w:tc>
                        <w:tc>
                          <w:tcPr>
                            <w:tcW w:w="992" w:type="dxa"/>
                          </w:tcPr>
                          <w:p>
                            <w:pPr>
                              <w:rPr>
                                <w:szCs w:val="24"/>
                              </w:rPr>
                            </w:pPr>
                            <w:r>
                              <w:rPr>
                                <w:szCs w:val="24"/>
                              </w:rPr>
                              <w:t>-</w:t>
                            </w:r>
                          </w:p>
                        </w:tc>
                        <w:tc>
                          <w:tcPr>
                            <w:tcW w:w="851" w:type="dxa"/>
                          </w:tcPr>
                          <w:p>
                            <w:pPr>
                              <w:rPr>
                                <w:szCs w:val="24"/>
                              </w:rPr>
                            </w:pPr>
                            <w:r>
                              <w:rPr>
                                <w:szCs w:val="24"/>
                              </w:rPr>
                              <w:t>1</w:t>
                            </w:r>
                          </w:p>
                        </w:tc>
                        <w:tc>
                          <w:tcPr>
                            <w:tcW w:w="850" w:type="dxa"/>
                          </w:tcPr>
                          <w:p>
                            <w:pPr>
                              <w:rPr>
                                <w:szCs w:val="24"/>
                              </w:rPr>
                            </w:pPr>
                            <w:r>
                              <w:rPr>
                                <w:szCs w:val="24"/>
                              </w:rPr>
                              <w:t>1</w:t>
                            </w:r>
                          </w:p>
                        </w:tc>
                        <w:tc>
                          <w:tcPr>
                            <w:tcW w:w="1758" w:type="dxa"/>
                          </w:tcPr>
                          <w:p>
                            <w:pPr>
                              <w:rPr>
                                <w:szCs w:val="24"/>
                              </w:rPr>
                            </w:pPr>
                            <w:r>
                              <w:rPr>
                                <w:color w:val="000000"/>
                                <w:szCs w:val="24"/>
                              </w:rPr>
                              <w:t xml:space="preserve">03  Socialinių paslaugų ir socialinės paramos teikimo programa</w:t>
                            </w:r>
                          </w:p>
                        </w:tc>
                        <w:tc>
                          <w:tcPr>
                            <w:tcW w:w="1503" w:type="dxa"/>
                          </w:tcPr>
                          <w:p>
                            <w:pPr>
                              <w:rPr>
                                <w:color w:val="FF0000"/>
                                <w:szCs w:val="24"/>
                              </w:rPr>
                            </w:pPr>
                            <w:r>
                              <w:rPr>
                                <w:szCs w:val="24"/>
                              </w:rPr>
                              <w:t xml:space="preserve">3 830 Eur </w:t>
                            </w:r>
                          </w:p>
                        </w:tc>
                        <w:tc>
                          <w:tcPr>
                            <w:tcW w:w="1984" w:type="dxa"/>
                          </w:tcPr>
                          <w:p>
                            <w:pPr>
                              <w:rPr>
                                <w:color w:val="FF0000"/>
                                <w:szCs w:val="24"/>
                              </w:rPr>
                            </w:pPr>
                            <w:r>
                              <w:rPr>
                                <w:szCs w:val="24"/>
                              </w:rPr>
                              <w:t>3 829,10 Eur</w:t>
                            </w:r>
                          </w:p>
                        </w:tc>
                        <w:tc>
                          <w:tcPr>
                            <w:tcW w:w="2467" w:type="dxa"/>
                          </w:tcPr>
                          <w:p>
                            <w:pPr>
                              <w:rPr>
                                <w:szCs w:val="24"/>
                              </w:rPr>
                            </w:pPr>
                            <w:r>
                              <w:rPr>
                                <w:szCs w:val="24"/>
                              </w:rPr>
                              <w:t>Padidintas asmeninę pagalbą teikiančių darbuotojų skaičius.</w:t>
                            </w:r>
                          </w:p>
                          <w:p>
                            <w:pPr>
                              <w:rPr>
                                <w:szCs w:val="24"/>
                              </w:rPr>
                            </w:pPr>
                            <w:r>
                              <w:rPr>
                                <w:szCs w:val="24"/>
                              </w:rPr>
                              <w:t xml:space="preserve">Atsakingas vykdytojas: Centro administracija, padalinių vadovai. </w:t>
                            </w:r>
                          </w:p>
                        </w:tc>
                      </w:tr>
                    </w:tbl>
                    <w:p>
                      <w:pPr>
                        <w:rPr>
                          <w:bCs/>
                          <w:szCs w:val="24"/>
                        </w:rPr>
                      </w:pPr>
                    </w:p>
                  </w:sdtContent>
                </w:sdt>
                <w:sdt>
                  <w:sdtPr>
                    <w:alias w:val="skirsnis"/>
                    <w:tag w:val="part_a27c66b968634bf0a26abfd85d176a1e"/>
                    <w:lock w:val="sdtLocked"/>
                    <w:richText/>
                  </w:sdtPr>
                  <w:sdtContent>
                    <w:p>
                      <w:pPr>
                        <w:jc w:val="center"/>
                        <w:rPr>
                          <w:b/>
                          <w:bCs/>
                          <w:szCs w:val="24"/>
                        </w:rPr>
                      </w:pPr>
                      <w:sdt>
                        <w:sdtPr>
                          <w:alias w:val="Pavadinimas"/>
                          <w:tag w:val="title_a27c66b968634bf0a26abfd85d176a1e"/>
                          <w:lock w:val="sdtLocked"/>
                          <w:richText/>
                        </w:sdtPr>
                        <w:sdtContent>
                          <w:r>
                            <w:rPr>
                              <w:b/>
                              <w:bCs/>
                              <w:szCs w:val="24"/>
                            </w:rPr>
                            <w:t>RADVILIŠKIO PAGALBOS ŠEIMAI CENTRAS</w:t>
                          </w:r>
                        </w:sdtContent>
                      </w:sdt>
                    </w:p>
                    <w:p>
                      <w:pPr>
                        <w:rPr>
                          <w:b/>
                          <w:bCs/>
                          <w:szCs w:val="24"/>
                          <w:u w:val="single"/>
                        </w:rPr>
                      </w:pPr>
                    </w:p>
                    <w:p>
                      <w:pPr>
                        <w:rPr>
                          <w:bCs/>
                          <w:szCs w:val="24"/>
                        </w:rPr>
                      </w:pPr>
                      <w:r>
                        <w:rPr>
                          <w:bCs/>
                          <w:szCs w:val="24"/>
                        </w:rPr>
                        <w:t>Programų, strateginių ir (arba) metų veiklos tikslų įgyvendinimo rodikliai</w:t>
                      </w: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
                        <w:gridCol w:w="1133"/>
                        <w:gridCol w:w="1"/>
                        <w:gridCol w:w="991"/>
                        <w:gridCol w:w="2"/>
                        <w:gridCol w:w="849"/>
                        <w:gridCol w:w="3"/>
                        <w:gridCol w:w="847"/>
                        <w:gridCol w:w="4"/>
                        <w:gridCol w:w="1759"/>
                        <w:gridCol w:w="80"/>
                        <w:gridCol w:w="1417"/>
                        <w:gridCol w:w="7"/>
                        <w:gridCol w:w="1978"/>
                        <w:gridCol w:w="7"/>
                        <w:gridCol w:w="2544"/>
                      </w:tblGrid>
                      <w:tr>
                        <w:tc>
                          <w:tcPr>
                            <w:tcW w:w="3262" w:type="dxa"/>
                            <w:gridSpan w:val="2"/>
                            <w:vMerge w:val="restart"/>
                            <w:shd w:val="clear" w:color="auto" w:fill="DBE5F1"/>
                            <w:vAlign w:val="center"/>
                          </w:tcPr>
                          <w:p>
                            <w:pPr>
                              <w:rPr>
                                <w:b/>
                                <w:color w:val="000000"/>
                                <w:szCs w:val="24"/>
                              </w:rPr>
                            </w:pPr>
                            <w:r>
                              <w:rPr>
                                <w:b/>
                                <w:color w:val="000000"/>
                                <w:szCs w:val="24"/>
                              </w:rPr>
                              <w:t>Priemonės ir (arba) rodiklio kodas ir pavadinimas</w:t>
                            </w:r>
                          </w:p>
                        </w:tc>
                        <w:tc>
                          <w:tcPr>
                            <w:tcW w:w="1134" w:type="dxa"/>
                            <w:gridSpan w:val="2"/>
                            <w:vMerge w:val="restart"/>
                            <w:shd w:val="clear" w:color="auto" w:fill="DBE5F1"/>
                            <w:vAlign w:val="center"/>
                          </w:tcPr>
                          <w:p>
                            <w:pPr>
                              <w:rPr>
                                <w:b/>
                                <w:color w:val="000000"/>
                                <w:szCs w:val="24"/>
                              </w:rPr>
                            </w:pPr>
                            <w:r>
                              <w:rPr>
                                <w:b/>
                                <w:color w:val="000000"/>
                                <w:szCs w:val="24"/>
                              </w:rPr>
                              <w:t xml:space="preserve">Planuota reikšmė, matavimo vienetas </w:t>
                            </w:r>
                          </w:p>
                        </w:tc>
                        <w:tc>
                          <w:tcPr>
                            <w:tcW w:w="2696" w:type="dxa"/>
                            <w:gridSpan w:val="6"/>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759" w:type="dxa"/>
                            <w:vMerge w:val="restart"/>
                            <w:shd w:val="clear" w:color="auto" w:fill="DBE5F1"/>
                            <w:vAlign w:val="center"/>
                          </w:tcPr>
                          <w:p>
                            <w:pPr>
                              <w:rPr>
                                <w:b/>
                                <w:color w:val="000000"/>
                                <w:szCs w:val="24"/>
                              </w:rPr>
                            </w:pPr>
                            <w:r>
                              <w:rPr>
                                <w:b/>
                                <w:color w:val="000000"/>
                                <w:szCs w:val="24"/>
                              </w:rPr>
                              <w:t>Sąsaja su Savivaldybės, kitų institucijų, įstaigos planavimo dokumentais</w:t>
                            </w:r>
                          </w:p>
                        </w:tc>
                        <w:tc>
                          <w:tcPr>
                            <w:tcW w:w="3489" w:type="dxa"/>
                            <w:gridSpan w:val="5"/>
                            <w:shd w:val="clear" w:color="auto" w:fill="DBE5F1"/>
                            <w:vAlign w:val="center"/>
                          </w:tcPr>
                          <w:p>
                            <w:pPr>
                              <w:rPr>
                                <w:b/>
                                <w:color w:val="000000"/>
                                <w:szCs w:val="24"/>
                              </w:rPr>
                            </w:pPr>
                            <w:r>
                              <w:rPr>
                                <w:b/>
                                <w:color w:val="000000"/>
                                <w:szCs w:val="24"/>
                              </w:rPr>
                              <w:t xml:space="preserve">Finansavimas </w:t>
                            </w:r>
                          </w:p>
                        </w:tc>
                        <w:tc>
                          <w:tcPr>
                            <w:tcW w:w="2544"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c>
                          <w:tcPr>
                            <w:tcW w:w="3262" w:type="dxa"/>
                            <w:gridSpan w:val="2"/>
                            <w:vMerge/>
                            <w:shd w:val="clear" w:color="auto" w:fill="DBE5F1"/>
                            <w:vAlign w:val="center"/>
                          </w:tcPr>
                          <w:p>
                            <w:pPr>
                              <w:rPr>
                                <w:b/>
                                <w:color w:val="000000"/>
                                <w:szCs w:val="24"/>
                              </w:rPr>
                            </w:pPr>
                          </w:p>
                        </w:tc>
                        <w:tc>
                          <w:tcPr>
                            <w:tcW w:w="1134" w:type="dxa"/>
                            <w:gridSpan w:val="2"/>
                            <w:vMerge/>
                            <w:shd w:val="clear" w:color="auto" w:fill="DBE5F1"/>
                            <w:vAlign w:val="center"/>
                          </w:tcPr>
                          <w:p>
                            <w:pPr>
                              <w:rPr>
                                <w:b/>
                                <w:color w:val="000000"/>
                                <w:szCs w:val="24"/>
                              </w:rPr>
                            </w:pPr>
                          </w:p>
                        </w:tc>
                        <w:tc>
                          <w:tcPr>
                            <w:tcW w:w="993" w:type="dxa"/>
                            <w:gridSpan w:val="2"/>
                            <w:shd w:val="clear" w:color="auto" w:fill="DBE5F1"/>
                            <w:vAlign w:val="center"/>
                          </w:tcPr>
                          <w:p>
                            <w:pPr>
                              <w:rPr>
                                <w:b/>
                                <w:color w:val="000000"/>
                                <w:szCs w:val="24"/>
                              </w:rPr>
                            </w:pPr>
                            <w:r>
                              <w:rPr>
                                <w:b/>
                                <w:color w:val="000000"/>
                                <w:szCs w:val="24"/>
                              </w:rPr>
                              <w:t>2023 metai</w:t>
                            </w:r>
                          </w:p>
                        </w:tc>
                        <w:tc>
                          <w:tcPr>
                            <w:tcW w:w="852" w:type="dxa"/>
                            <w:gridSpan w:val="2"/>
                            <w:shd w:val="clear" w:color="auto" w:fill="DBE5F1"/>
                            <w:vAlign w:val="center"/>
                          </w:tcPr>
                          <w:p>
                            <w:pPr>
                              <w:rPr>
                                <w:b/>
                                <w:color w:val="000000"/>
                                <w:szCs w:val="24"/>
                              </w:rPr>
                            </w:pPr>
                            <w:r>
                              <w:rPr>
                                <w:b/>
                                <w:color w:val="000000"/>
                                <w:szCs w:val="24"/>
                              </w:rPr>
                              <w:t>2024 metai</w:t>
                            </w:r>
                          </w:p>
                        </w:tc>
                        <w:tc>
                          <w:tcPr>
                            <w:tcW w:w="851" w:type="dxa"/>
                            <w:gridSpan w:val="2"/>
                            <w:shd w:val="clear" w:color="auto" w:fill="DBE5F1"/>
                            <w:vAlign w:val="center"/>
                          </w:tcPr>
                          <w:p>
                            <w:pPr>
                              <w:rPr>
                                <w:b/>
                                <w:color w:val="000000"/>
                                <w:szCs w:val="24"/>
                              </w:rPr>
                            </w:pPr>
                            <w:r>
                              <w:rPr>
                                <w:b/>
                                <w:color w:val="000000"/>
                                <w:szCs w:val="24"/>
                              </w:rPr>
                              <w:t>2025 metai</w:t>
                            </w:r>
                          </w:p>
                        </w:tc>
                        <w:tc>
                          <w:tcPr>
                            <w:tcW w:w="1759" w:type="dxa"/>
                            <w:vMerge/>
                            <w:shd w:val="clear" w:color="auto" w:fill="DBE5F1"/>
                            <w:vAlign w:val="center"/>
                          </w:tcPr>
                          <w:p>
                            <w:pPr>
                              <w:rPr>
                                <w:b/>
                                <w:color w:val="000000"/>
                                <w:szCs w:val="24"/>
                              </w:rPr>
                            </w:pPr>
                          </w:p>
                        </w:tc>
                        <w:tc>
                          <w:tcPr>
                            <w:tcW w:w="1504" w:type="dxa"/>
                            <w:gridSpan w:val="3"/>
                            <w:shd w:val="clear" w:color="auto" w:fill="DBE5F1"/>
                            <w:vAlign w:val="center"/>
                          </w:tcPr>
                          <w:p>
                            <w:pPr>
                              <w:rPr>
                                <w:b/>
                                <w:color w:val="000000"/>
                                <w:szCs w:val="24"/>
                              </w:rPr>
                            </w:pPr>
                            <w:r>
                              <w:rPr>
                                <w:b/>
                                <w:color w:val="000000"/>
                                <w:szCs w:val="24"/>
                              </w:rPr>
                              <w:t>Patvirtintas planas</w:t>
                            </w:r>
                          </w:p>
                        </w:tc>
                        <w:tc>
                          <w:tcPr>
                            <w:tcW w:w="1985" w:type="dxa"/>
                            <w:gridSpan w:val="2"/>
                            <w:shd w:val="clear" w:color="auto" w:fill="DBE5F1"/>
                            <w:vAlign w:val="center"/>
                          </w:tcPr>
                          <w:p>
                            <w:pPr>
                              <w:rPr>
                                <w:b/>
                                <w:color w:val="000000"/>
                                <w:szCs w:val="24"/>
                              </w:rPr>
                            </w:pPr>
                            <w:r>
                              <w:rPr>
                                <w:b/>
                                <w:color w:val="000000"/>
                                <w:szCs w:val="24"/>
                              </w:rPr>
                              <w:t xml:space="preserve">Įvykdymas, asignavimų šaltinis </w:t>
                            </w:r>
                          </w:p>
                        </w:tc>
                        <w:tc>
                          <w:tcPr>
                            <w:tcW w:w="2544" w:type="dxa"/>
                            <w:vMerge/>
                            <w:shd w:val="clear" w:color="auto" w:fill="DBE5F1"/>
                            <w:vAlign w:val="center"/>
                          </w:tcPr>
                          <w:p>
                            <w:pPr>
                              <w:rPr>
                                <w:b/>
                                <w:color w:val="000000"/>
                                <w:szCs w:val="24"/>
                              </w:rPr>
                            </w:pPr>
                          </w:p>
                        </w:tc>
                      </w:tr>
                      <w:tr>
                        <w:trPr>
                          <w:trHeight w:val="108"/>
                        </w:trPr>
                        <w:tc>
                          <w:tcPr>
                            <w:tcW w:w="3262" w:type="dxa"/>
                            <w:gridSpan w:val="2"/>
                            <w:shd w:val="clear" w:color="auto" w:fill="DBE5F1"/>
                          </w:tcPr>
                          <w:p>
                            <w:pPr>
                              <w:rPr>
                                <w:color w:val="000000"/>
                                <w:szCs w:val="24"/>
                              </w:rPr>
                            </w:pPr>
                            <w:r>
                              <w:rPr>
                                <w:color w:val="000000"/>
                                <w:szCs w:val="24"/>
                              </w:rPr>
                              <w:t>1</w:t>
                            </w:r>
                          </w:p>
                        </w:tc>
                        <w:tc>
                          <w:tcPr>
                            <w:tcW w:w="1134" w:type="dxa"/>
                            <w:gridSpan w:val="2"/>
                            <w:shd w:val="clear" w:color="auto" w:fill="DBE5F1"/>
                          </w:tcPr>
                          <w:p>
                            <w:pPr>
                              <w:rPr>
                                <w:color w:val="000000"/>
                                <w:szCs w:val="24"/>
                              </w:rPr>
                            </w:pPr>
                            <w:r>
                              <w:rPr>
                                <w:color w:val="000000"/>
                                <w:szCs w:val="24"/>
                              </w:rPr>
                              <w:t>2</w:t>
                            </w:r>
                          </w:p>
                        </w:tc>
                        <w:tc>
                          <w:tcPr>
                            <w:tcW w:w="993" w:type="dxa"/>
                            <w:gridSpan w:val="2"/>
                            <w:shd w:val="clear" w:color="auto" w:fill="DBE5F1"/>
                          </w:tcPr>
                          <w:p>
                            <w:pPr>
                              <w:rPr>
                                <w:color w:val="000000"/>
                                <w:szCs w:val="24"/>
                              </w:rPr>
                            </w:pPr>
                            <w:r>
                              <w:rPr>
                                <w:color w:val="000000"/>
                                <w:szCs w:val="24"/>
                              </w:rPr>
                              <w:t>3</w:t>
                            </w:r>
                          </w:p>
                        </w:tc>
                        <w:tc>
                          <w:tcPr>
                            <w:tcW w:w="852" w:type="dxa"/>
                            <w:gridSpan w:val="2"/>
                            <w:shd w:val="clear" w:color="auto" w:fill="DBE5F1"/>
                          </w:tcPr>
                          <w:p>
                            <w:pPr>
                              <w:rPr>
                                <w:color w:val="000000"/>
                                <w:szCs w:val="24"/>
                              </w:rPr>
                            </w:pPr>
                            <w:r>
                              <w:rPr>
                                <w:color w:val="000000"/>
                                <w:szCs w:val="24"/>
                              </w:rPr>
                              <w:t>4</w:t>
                            </w:r>
                          </w:p>
                        </w:tc>
                        <w:tc>
                          <w:tcPr>
                            <w:tcW w:w="851" w:type="dxa"/>
                            <w:gridSpan w:val="2"/>
                            <w:shd w:val="clear" w:color="auto" w:fill="DBE5F1"/>
                          </w:tcPr>
                          <w:p>
                            <w:pPr>
                              <w:rPr>
                                <w:color w:val="000000"/>
                                <w:szCs w:val="24"/>
                              </w:rPr>
                            </w:pPr>
                            <w:r>
                              <w:rPr>
                                <w:color w:val="000000"/>
                                <w:szCs w:val="24"/>
                              </w:rPr>
                              <w:t>5</w:t>
                            </w:r>
                          </w:p>
                        </w:tc>
                        <w:tc>
                          <w:tcPr>
                            <w:tcW w:w="1759" w:type="dxa"/>
                            <w:shd w:val="clear" w:color="auto" w:fill="DBE5F1"/>
                          </w:tcPr>
                          <w:p>
                            <w:pPr>
                              <w:rPr>
                                <w:color w:val="000000"/>
                                <w:szCs w:val="24"/>
                              </w:rPr>
                            </w:pPr>
                            <w:r>
                              <w:rPr>
                                <w:color w:val="000000"/>
                                <w:szCs w:val="24"/>
                              </w:rPr>
                              <w:t>6</w:t>
                            </w:r>
                          </w:p>
                        </w:tc>
                        <w:tc>
                          <w:tcPr>
                            <w:tcW w:w="1504" w:type="dxa"/>
                            <w:gridSpan w:val="3"/>
                            <w:shd w:val="clear" w:color="auto" w:fill="DBE5F1"/>
                          </w:tcPr>
                          <w:p>
                            <w:pPr>
                              <w:rPr>
                                <w:color w:val="000000"/>
                                <w:szCs w:val="24"/>
                              </w:rPr>
                            </w:pPr>
                            <w:r>
                              <w:rPr>
                                <w:color w:val="000000"/>
                                <w:szCs w:val="24"/>
                              </w:rPr>
                              <w:t>7</w:t>
                            </w:r>
                          </w:p>
                        </w:tc>
                        <w:tc>
                          <w:tcPr>
                            <w:tcW w:w="1985" w:type="dxa"/>
                            <w:gridSpan w:val="2"/>
                            <w:shd w:val="clear" w:color="auto" w:fill="DBE5F1"/>
                          </w:tcPr>
                          <w:p>
                            <w:pPr>
                              <w:rPr>
                                <w:color w:val="000000"/>
                                <w:szCs w:val="24"/>
                              </w:rPr>
                            </w:pPr>
                            <w:r>
                              <w:rPr>
                                <w:color w:val="000000"/>
                                <w:szCs w:val="24"/>
                              </w:rPr>
                              <w:t>8</w:t>
                            </w:r>
                          </w:p>
                        </w:tc>
                        <w:tc>
                          <w:tcPr>
                            <w:tcW w:w="2544" w:type="dxa"/>
                            <w:shd w:val="clear" w:color="auto" w:fill="DBE5F1"/>
                          </w:tcPr>
                          <w:p>
                            <w:pPr>
                              <w:rPr>
                                <w:color w:val="000000"/>
                                <w:szCs w:val="24"/>
                              </w:rPr>
                            </w:pPr>
                            <w:r>
                              <w:rPr>
                                <w:color w:val="000000"/>
                                <w:szCs w:val="24"/>
                              </w:rPr>
                              <w:t>9</w:t>
                            </w:r>
                          </w:p>
                        </w:tc>
                      </w:tr>
                      <w:tr>
                        <w:tblPrEx>
                          <w:tblCellMar>
                            <w:left w:w="0" w:type="dxa"/>
                            <w:right w:w="0" w:type="dxa"/>
                          </w:tblCellMar>
                          <w:tblLook w:val="01E0" w:firstRow="1" w:lastRow="1" w:firstColumn="1" w:lastColumn="1" w:noHBand="0" w:noVBand="0"/>
                        </w:tblPrEx>
                        <w:trPr>
                          <w:trHeight w:val="239"/>
                        </w:trPr>
                        <w:tc>
                          <w:tcPr>
                            <w:tcW w:w="14884" w:type="dxa"/>
                            <w:gridSpan w:val="17"/>
                          </w:tcPr>
                          <w:p>
                            <w:pPr>
                              <w:widowControl w:val="0"/>
                              <w:rPr>
                                <w:b/>
                                <w:bCs/>
                                <w:szCs w:val="24"/>
                              </w:rPr>
                            </w:pPr>
                            <w:r>
                              <w:rPr>
                                <w:b/>
                                <w:bCs/>
                                <w:spacing w:val="-2"/>
                                <w:szCs w:val="24"/>
                              </w:rPr>
                              <w:t xml:space="preserve">1. Tikslas: </w:t>
                            </w:r>
                            <w:r>
                              <w:rPr>
                                <w:b/>
                                <w:bCs/>
                                <w:szCs w:val="24"/>
                              </w:rPr>
                              <w:t>Taiklus socialinių paslaugų teikimas.</w:t>
                            </w:r>
                          </w:p>
                        </w:tc>
                      </w:tr>
                      <w:tr>
                        <w:tblPrEx>
                          <w:tblCellMar>
                            <w:left w:w="0" w:type="dxa"/>
                            <w:right w:w="0" w:type="dxa"/>
                          </w:tblCellMar>
                          <w:tblLook w:val="01E0" w:firstRow="1" w:lastRow="1" w:firstColumn="1" w:lastColumn="1" w:noHBand="0" w:noVBand="0"/>
                        </w:tblPrEx>
                        <w:trPr>
                          <w:trHeight w:val="219"/>
                        </w:trPr>
                        <w:tc>
                          <w:tcPr>
                            <w:tcW w:w="14884" w:type="dxa"/>
                            <w:gridSpan w:val="17"/>
                          </w:tcPr>
                          <w:p>
                            <w:pPr>
                              <w:widowControl w:val="0"/>
                              <w:rPr>
                                <w:spacing w:val="-5"/>
                                <w:szCs w:val="24"/>
                              </w:rPr>
                            </w:pPr>
                            <w:r>
                              <w:rPr>
                                <w:spacing w:val="-5"/>
                                <w:szCs w:val="24"/>
                              </w:rPr>
                              <w:t>1.1. Uždavinys: Teikti kokybiškas specialiąsias socialines paslaugas.</w:t>
                            </w:r>
                          </w:p>
                        </w:tc>
                      </w:tr>
                      <w:tr>
                        <w:tblPrEx>
                          <w:tblCellMar>
                            <w:left w:w="0" w:type="dxa"/>
                            <w:right w:w="0" w:type="dxa"/>
                          </w:tblCellMar>
                          <w:tblLook w:val="01E0" w:firstRow="1" w:lastRow="1" w:firstColumn="1" w:lastColumn="1" w:noHBand="0" w:noVBand="0"/>
                        </w:tblPrEx>
                        <w:trPr>
                          <w:trHeight w:val="1132"/>
                        </w:trPr>
                        <w:tc>
                          <w:tcPr>
                            <w:tcW w:w="3261" w:type="dxa"/>
                          </w:tcPr>
                          <w:p>
                            <w:pPr>
                              <w:widowControl w:val="0"/>
                              <w:rPr>
                                <w:rFonts w:eastAsia="Calibri"/>
                                <w:szCs w:val="24"/>
                              </w:rPr>
                            </w:pPr>
                            <w:r>
                              <w:rPr>
                                <w:rFonts w:eastAsia="Calibri"/>
                                <w:szCs w:val="24"/>
                              </w:rPr>
                              <w:t>1.1.1. Intensyvi krizių įveikimo paslauga.</w:t>
                            </w:r>
                          </w:p>
                        </w:tc>
                        <w:tc>
                          <w:tcPr>
                            <w:tcW w:w="1134" w:type="dxa"/>
                            <w:gridSpan w:val="2"/>
                          </w:tcPr>
                          <w:p>
                            <w:pPr>
                              <w:widowControl w:val="0"/>
                              <w:rPr>
                                <w:szCs w:val="24"/>
                              </w:rPr>
                            </w:pPr>
                            <w:r>
                              <w:rPr>
                                <w:szCs w:val="24"/>
                              </w:rPr>
                              <w:t>Paslaugų gavėjų skaičius</w:t>
                            </w:r>
                          </w:p>
                        </w:tc>
                        <w:tc>
                          <w:tcPr>
                            <w:tcW w:w="992" w:type="dxa"/>
                            <w:gridSpan w:val="2"/>
                          </w:tcPr>
                          <w:p>
                            <w:pPr>
                              <w:widowControl w:val="0"/>
                              <w:rPr>
                                <w:szCs w:val="24"/>
                              </w:rPr>
                            </w:pPr>
                            <w:r>
                              <w:rPr>
                                <w:szCs w:val="24"/>
                              </w:rPr>
                              <w:t>98,</w:t>
                            </w:r>
                          </w:p>
                          <w:p>
                            <w:pPr>
                              <w:widowControl w:val="0"/>
                              <w:rPr>
                                <w:szCs w:val="24"/>
                              </w:rPr>
                            </w:pPr>
                            <w:r>
                              <w:rPr>
                                <w:szCs w:val="24"/>
                              </w:rPr>
                              <w:t>iš jų 52 vaikai.</w:t>
                            </w:r>
                          </w:p>
                        </w:tc>
                        <w:tc>
                          <w:tcPr>
                            <w:tcW w:w="851" w:type="dxa"/>
                            <w:gridSpan w:val="2"/>
                          </w:tcPr>
                          <w:p>
                            <w:pPr>
                              <w:widowControl w:val="0"/>
                              <w:rPr>
                                <w:szCs w:val="24"/>
                              </w:rPr>
                            </w:pPr>
                            <w:r>
                              <w:rPr>
                                <w:szCs w:val="24"/>
                              </w:rPr>
                              <w:t>107,</w:t>
                            </w:r>
                          </w:p>
                          <w:p>
                            <w:pPr>
                              <w:widowControl w:val="0"/>
                              <w:rPr>
                                <w:szCs w:val="24"/>
                              </w:rPr>
                            </w:pPr>
                            <w:r>
                              <w:rPr>
                                <w:szCs w:val="24"/>
                              </w:rPr>
                              <w:t>iš jų 71 vaikas</w:t>
                            </w:r>
                          </w:p>
                        </w:tc>
                        <w:tc>
                          <w:tcPr>
                            <w:tcW w:w="850" w:type="dxa"/>
                            <w:gridSpan w:val="2"/>
                          </w:tcPr>
                          <w:p>
                            <w:pPr>
                              <w:widowControl w:val="0"/>
                              <w:rPr>
                                <w:szCs w:val="24"/>
                              </w:rPr>
                            </w:pPr>
                            <w:r>
                              <w:rPr>
                                <w:szCs w:val="24"/>
                              </w:rPr>
                              <w:t xml:space="preserve">79, </w:t>
                            </w:r>
                          </w:p>
                          <w:p>
                            <w:pPr>
                              <w:widowControl w:val="0"/>
                              <w:rPr>
                                <w:szCs w:val="24"/>
                              </w:rPr>
                            </w:pPr>
                            <w:r>
                              <w:rPr>
                                <w:szCs w:val="24"/>
                              </w:rPr>
                              <w:t>iš jų</w:t>
                            </w:r>
                          </w:p>
                          <w:p>
                            <w:pPr>
                              <w:widowControl w:val="0"/>
                              <w:rPr>
                                <w:szCs w:val="24"/>
                              </w:rPr>
                            </w:pPr>
                            <w:r>
                              <w:rPr>
                                <w:szCs w:val="24"/>
                              </w:rPr>
                              <w:t xml:space="preserve">55 vaikai </w:t>
                            </w:r>
                          </w:p>
                        </w:tc>
                        <w:tc>
                          <w:tcPr>
                            <w:tcW w:w="1843" w:type="dxa"/>
                            <w:gridSpan w:val="3"/>
                          </w:tcPr>
                          <w:p>
                            <w:pPr>
                              <w:widowControl w:val="0"/>
                              <w:rPr>
                                <w:szCs w:val="24"/>
                              </w:rPr>
                            </w:pPr>
                            <w:r>
                              <w:rPr>
                                <w:szCs w:val="24"/>
                              </w:rPr>
                              <w:t>Radviliškio raj. sav. adm. dir. įsakymas</w:t>
                            </w:r>
                          </w:p>
                          <w:p>
                            <w:pPr>
                              <w:widowControl w:val="0"/>
                              <w:rPr>
                                <w:szCs w:val="24"/>
                              </w:rPr>
                            </w:pPr>
                            <w:r>
                              <w:rPr>
                                <w:szCs w:val="24"/>
                              </w:rPr>
                              <w:t>2024-12-31</w:t>
                            </w:r>
                          </w:p>
                          <w:p>
                            <w:pPr>
                              <w:widowControl w:val="0"/>
                              <w:rPr>
                                <w:szCs w:val="24"/>
                              </w:rPr>
                            </w:pPr>
                            <w:r>
                              <w:rPr>
                                <w:szCs w:val="24"/>
                              </w:rPr>
                              <w:t>Nr. A-672 (8.2).</w:t>
                            </w:r>
                          </w:p>
                        </w:tc>
                        <w:tc>
                          <w:tcPr>
                            <w:tcW w:w="1417" w:type="dxa"/>
                          </w:tcPr>
                          <w:p>
                            <w:pPr>
                              <w:widowControl w:val="0"/>
                              <w:rPr>
                                <w:szCs w:val="24"/>
                              </w:rPr>
                            </w:pPr>
                            <w:r>
                              <w:rPr>
                                <w:szCs w:val="24"/>
                              </w:rPr>
                              <w:t>Mėnesio kaina</w:t>
                            </w:r>
                          </w:p>
                          <w:p>
                            <w:pPr>
                              <w:widowControl w:val="0"/>
                              <w:rPr>
                                <w:szCs w:val="24"/>
                              </w:rPr>
                            </w:pPr>
                            <w:r>
                              <w:rPr>
                                <w:szCs w:val="24"/>
                              </w:rPr>
                              <w:t>669,24</w:t>
                            </w:r>
                          </w:p>
                          <w:p>
                            <w:pPr>
                              <w:widowControl w:val="0"/>
                              <w:rPr>
                                <w:szCs w:val="24"/>
                              </w:rPr>
                            </w:pPr>
                            <w:r>
                              <w:rPr>
                                <w:szCs w:val="24"/>
                              </w:rPr>
                              <w:t>Eur.</w:t>
                            </w:r>
                          </w:p>
                        </w:tc>
                        <w:tc>
                          <w:tcPr>
                            <w:tcW w:w="1985" w:type="dxa"/>
                            <w:gridSpan w:val="2"/>
                          </w:tcPr>
                          <w:p>
                            <w:pPr>
                              <w:widowControl w:val="0"/>
                              <w:rPr>
                                <w:szCs w:val="24"/>
                              </w:rPr>
                            </w:pPr>
                            <w:r>
                              <w:rPr>
                                <w:szCs w:val="24"/>
                              </w:rPr>
                              <w:t>SAV_B.</w:t>
                            </w:r>
                          </w:p>
                        </w:tc>
                        <w:tc>
                          <w:tcPr>
                            <w:tcW w:w="2551" w:type="dxa"/>
                            <w:gridSpan w:val="2"/>
                          </w:tcPr>
                          <w:p>
                            <w:pPr>
                              <w:widowControl w:val="0"/>
                              <w:ind w:right="102"/>
                              <w:rPr>
                                <w:szCs w:val="24"/>
                              </w:rPr>
                            </w:pPr>
                            <w:r>
                              <w:rPr>
                                <w:szCs w:val="24"/>
                              </w:rPr>
                              <w:t>26,17% sumažėjo paslaugų gavėjų skaičius, patekusių į krizinę situaciją.</w:t>
                            </w:r>
                          </w:p>
                        </w:tc>
                      </w:tr>
                      <w:tr>
                        <w:tblPrEx>
                          <w:tblCellMar>
                            <w:left w:w="0" w:type="dxa"/>
                            <w:right w:w="0" w:type="dxa"/>
                          </w:tblCellMar>
                          <w:tblLook w:val="01E0" w:firstRow="1" w:lastRow="1" w:firstColumn="1" w:lastColumn="1" w:noHBand="0" w:noVBand="0"/>
                        </w:tblPrEx>
                        <w:trPr>
                          <w:trHeight w:val="1150"/>
                        </w:trPr>
                        <w:tc>
                          <w:tcPr>
                            <w:tcW w:w="3261" w:type="dxa"/>
                          </w:tcPr>
                          <w:p>
                            <w:pPr>
                              <w:widowControl w:val="0"/>
                              <w:rPr>
                                <w:rFonts w:eastAsia="SimSun"/>
                                <w:szCs w:val="24"/>
                                <w:lang w:eastAsia="zh-CN"/>
                              </w:rPr>
                            </w:pPr>
                            <w:r>
                              <w:rPr>
                                <w:rFonts w:eastAsia="SimSun"/>
                                <w:szCs w:val="24"/>
                                <w:lang w:eastAsia="zh-CN"/>
                              </w:rPr>
                              <w:t>1.1.2. Socialinė priežiūra (Socialinių įgūdžių ugdymo, palaikymo ir (ar) atkūrimo paslauga).</w:t>
                            </w:r>
                          </w:p>
                        </w:tc>
                        <w:tc>
                          <w:tcPr>
                            <w:tcW w:w="1134" w:type="dxa"/>
                            <w:gridSpan w:val="2"/>
                          </w:tcPr>
                          <w:p>
                            <w:pPr>
                              <w:widowControl w:val="0"/>
                              <w:rPr>
                                <w:szCs w:val="24"/>
                              </w:rPr>
                            </w:pPr>
                            <w:r>
                              <w:rPr>
                                <w:szCs w:val="24"/>
                              </w:rPr>
                              <w:t>Paslaugų gavėjų skaičius.</w:t>
                            </w:r>
                          </w:p>
                        </w:tc>
                        <w:tc>
                          <w:tcPr>
                            <w:tcW w:w="992" w:type="dxa"/>
                            <w:gridSpan w:val="2"/>
                          </w:tcPr>
                          <w:p>
                            <w:pPr>
                              <w:widowControl w:val="0"/>
                              <w:rPr>
                                <w:szCs w:val="24"/>
                              </w:rPr>
                            </w:pPr>
                            <w:r>
                              <w:rPr>
                                <w:szCs w:val="24"/>
                              </w:rPr>
                              <w:t>-</w:t>
                            </w:r>
                          </w:p>
                        </w:tc>
                        <w:tc>
                          <w:tcPr>
                            <w:tcW w:w="851" w:type="dxa"/>
                            <w:gridSpan w:val="2"/>
                          </w:tcPr>
                          <w:p>
                            <w:pPr>
                              <w:widowControl w:val="0"/>
                              <w:rPr>
                                <w:szCs w:val="24"/>
                              </w:rPr>
                            </w:pPr>
                            <w:r>
                              <w:rPr>
                                <w:szCs w:val="24"/>
                              </w:rPr>
                              <w:t>-</w:t>
                            </w:r>
                          </w:p>
                        </w:tc>
                        <w:tc>
                          <w:tcPr>
                            <w:tcW w:w="850" w:type="dxa"/>
                            <w:gridSpan w:val="2"/>
                          </w:tcPr>
                          <w:p>
                            <w:pPr>
                              <w:widowControl w:val="0"/>
                              <w:rPr>
                                <w:szCs w:val="24"/>
                              </w:rPr>
                            </w:pPr>
                            <w:r>
                              <w:rPr>
                                <w:szCs w:val="24"/>
                              </w:rPr>
                              <w:t>-</w:t>
                            </w:r>
                          </w:p>
                        </w:tc>
                        <w:tc>
                          <w:tcPr>
                            <w:tcW w:w="1843" w:type="dxa"/>
                            <w:gridSpan w:val="3"/>
                          </w:tcPr>
                          <w:p>
                            <w:pPr>
                              <w:widowControl w:val="0"/>
                              <w:rPr>
                                <w:szCs w:val="24"/>
                              </w:rPr>
                            </w:pPr>
                            <w:r>
                              <w:rPr>
                                <w:szCs w:val="24"/>
                              </w:rPr>
                              <w:t>Radviliškio raj. sav. adm. dir. įsakymas</w:t>
                            </w:r>
                          </w:p>
                          <w:p>
                            <w:pPr>
                              <w:widowControl w:val="0"/>
                              <w:rPr>
                                <w:szCs w:val="24"/>
                              </w:rPr>
                            </w:pPr>
                            <w:r>
                              <w:rPr>
                                <w:szCs w:val="24"/>
                              </w:rPr>
                              <w:t>2022-11-21</w:t>
                            </w:r>
                          </w:p>
                          <w:p>
                            <w:pPr>
                              <w:widowControl w:val="0"/>
                              <w:ind w:left="107" w:right="165"/>
                              <w:rPr>
                                <w:szCs w:val="24"/>
                              </w:rPr>
                            </w:pPr>
                            <w:r>
                              <w:rPr>
                                <w:szCs w:val="24"/>
                              </w:rPr>
                              <w:t>Nr. A-1183 (8.2).</w:t>
                            </w:r>
                          </w:p>
                        </w:tc>
                        <w:tc>
                          <w:tcPr>
                            <w:tcW w:w="1417" w:type="dxa"/>
                          </w:tcPr>
                          <w:p>
                            <w:pPr>
                              <w:widowControl w:val="0"/>
                              <w:rPr>
                                <w:szCs w:val="24"/>
                              </w:rPr>
                            </w:pPr>
                            <w:r>
                              <w:rPr>
                                <w:szCs w:val="24"/>
                              </w:rPr>
                              <w:t>Mėnesio kaina</w:t>
                            </w:r>
                          </w:p>
                          <w:p>
                            <w:pPr>
                              <w:widowControl w:val="0"/>
                              <w:rPr>
                                <w:szCs w:val="24"/>
                              </w:rPr>
                            </w:pPr>
                            <w:r>
                              <w:rPr>
                                <w:szCs w:val="24"/>
                              </w:rPr>
                              <w:t>369,90</w:t>
                            </w:r>
                          </w:p>
                          <w:p>
                            <w:pPr>
                              <w:widowControl w:val="0"/>
                              <w:rPr>
                                <w:szCs w:val="24"/>
                              </w:rPr>
                            </w:pPr>
                            <w:r>
                              <w:rPr>
                                <w:szCs w:val="24"/>
                              </w:rPr>
                              <w:t>Eur.</w:t>
                            </w:r>
                          </w:p>
                        </w:tc>
                        <w:tc>
                          <w:tcPr>
                            <w:tcW w:w="1985" w:type="dxa"/>
                            <w:gridSpan w:val="2"/>
                          </w:tcPr>
                          <w:p>
                            <w:pPr>
                              <w:widowControl w:val="0"/>
                              <w:rPr>
                                <w:szCs w:val="24"/>
                              </w:rPr>
                            </w:pPr>
                            <w:r>
                              <w:rPr>
                                <w:szCs w:val="24"/>
                              </w:rPr>
                              <w:t>SAV_B.</w:t>
                            </w:r>
                          </w:p>
                        </w:tc>
                        <w:tc>
                          <w:tcPr>
                            <w:tcW w:w="2551" w:type="dxa"/>
                            <w:gridSpan w:val="2"/>
                          </w:tcPr>
                          <w:p>
                            <w:pPr>
                              <w:widowControl w:val="0"/>
                              <w:rPr>
                                <w:rFonts w:eastAsia="Calibri"/>
                                <w:szCs w:val="24"/>
                              </w:rPr>
                            </w:pPr>
                            <w:r>
                              <w:rPr>
                                <w:rFonts w:eastAsia="Calibri"/>
                                <w:szCs w:val="24"/>
                              </w:rPr>
                              <w:t>Nebuvo gauta priimtų sprendimų dėl paslaugos teikimo.</w:t>
                            </w:r>
                          </w:p>
                        </w:tc>
                      </w:tr>
                      <w:tr>
                        <w:tblPrEx>
                          <w:tblCellMar>
                            <w:left w:w="0" w:type="dxa"/>
                            <w:right w:w="0" w:type="dxa"/>
                          </w:tblCellMar>
                          <w:tblLook w:val="01E0" w:firstRow="1" w:lastRow="1" w:firstColumn="1" w:lastColumn="1" w:noHBand="0" w:noVBand="0"/>
                        </w:tblPrEx>
                        <w:trPr>
                          <w:trHeight w:val="556"/>
                        </w:trPr>
                        <w:tc>
                          <w:tcPr>
                            <w:tcW w:w="3261" w:type="dxa"/>
                          </w:tcPr>
                          <w:p>
                            <w:pPr>
                              <w:widowControl w:val="0"/>
                              <w:rPr>
                                <w:rFonts w:eastAsia="Calibri"/>
                                <w:szCs w:val="24"/>
                              </w:rPr>
                            </w:pPr>
                            <w:r>
                              <w:rPr>
                                <w:rFonts w:eastAsia="Calibri"/>
                                <w:szCs w:val="24"/>
                              </w:rPr>
                              <w:t>1.1.3. Kreipėsi savarankiškai</w:t>
                            </w:r>
                          </w:p>
                          <w:p>
                            <w:pPr>
                              <w:widowControl w:val="0"/>
                              <w:rPr>
                                <w:rFonts w:eastAsia="SimSun"/>
                                <w:szCs w:val="24"/>
                                <w:lang w:eastAsia="zh-CN"/>
                              </w:rPr>
                            </w:pPr>
                            <w:r>
                              <w:rPr>
                                <w:rFonts w:eastAsia="Calibri"/>
                                <w:szCs w:val="24"/>
                              </w:rPr>
                              <w:t>dėl gaisro, būsto stokos ar kitų priežasčių.</w:t>
                            </w:r>
                          </w:p>
                        </w:tc>
                        <w:tc>
                          <w:tcPr>
                            <w:tcW w:w="1134" w:type="dxa"/>
                            <w:gridSpan w:val="2"/>
                          </w:tcPr>
                          <w:p>
                            <w:pPr>
                              <w:widowControl w:val="0"/>
                              <w:rPr>
                                <w:szCs w:val="24"/>
                              </w:rPr>
                            </w:pPr>
                            <w:r>
                              <w:rPr>
                                <w:szCs w:val="24"/>
                              </w:rPr>
                              <w:t>Paslaugų gavėjų skaičius.</w:t>
                            </w:r>
                          </w:p>
                        </w:tc>
                        <w:tc>
                          <w:tcPr>
                            <w:tcW w:w="992" w:type="dxa"/>
                            <w:gridSpan w:val="2"/>
                          </w:tcPr>
                          <w:p>
                            <w:pPr>
                              <w:widowControl w:val="0"/>
                              <w:rPr>
                                <w:szCs w:val="24"/>
                              </w:rPr>
                            </w:pPr>
                            <w:r>
                              <w:rPr>
                                <w:szCs w:val="24"/>
                              </w:rPr>
                              <w:t>8</w:t>
                            </w:r>
                          </w:p>
                        </w:tc>
                        <w:tc>
                          <w:tcPr>
                            <w:tcW w:w="851" w:type="dxa"/>
                            <w:gridSpan w:val="2"/>
                          </w:tcPr>
                          <w:p>
                            <w:pPr>
                              <w:widowControl w:val="0"/>
                              <w:rPr>
                                <w:szCs w:val="24"/>
                              </w:rPr>
                            </w:pPr>
                            <w:r>
                              <w:rPr>
                                <w:szCs w:val="24"/>
                              </w:rPr>
                              <w:t>4</w:t>
                            </w:r>
                          </w:p>
                        </w:tc>
                        <w:tc>
                          <w:tcPr>
                            <w:tcW w:w="850" w:type="dxa"/>
                            <w:gridSpan w:val="2"/>
                          </w:tcPr>
                          <w:p>
                            <w:pPr>
                              <w:widowControl w:val="0"/>
                              <w:rPr>
                                <w:szCs w:val="24"/>
                              </w:rPr>
                            </w:pPr>
                            <w:r>
                              <w:rPr>
                                <w:szCs w:val="24"/>
                              </w:rPr>
                              <w:t xml:space="preserve">15, iš jų </w:t>
                            </w:r>
                          </w:p>
                          <w:p>
                            <w:pPr>
                              <w:widowControl w:val="0"/>
                              <w:rPr>
                                <w:szCs w:val="24"/>
                              </w:rPr>
                            </w:pPr>
                            <w:r>
                              <w:rPr>
                                <w:szCs w:val="24"/>
                              </w:rPr>
                              <w:t>10 vaikų.</w:t>
                            </w:r>
                          </w:p>
                        </w:tc>
                        <w:tc>
                          <w:tcPr>
                            <w:tcW w:w="1843" w:type="dxa"/>
                            <w:gridSpan w:val="3"/>
                          </w:tcPr>
                          <w:p>
                            <w:pPr>
                              <w:widowControl w:val="0"/>
                              <w:rPr>
                                <w:szCs w:val="24"/>
                              </w:rPr>
                            </w:pPr>
                            <w:r>
                              <w:rPr>
                                <w:szCs w:val="24"/>
                              </w:rPr>
                              <w:t>Radviliškio raj. sav. adm. dir. įsakymas</w:t>
                            </w:r>
                          </w:p>
                          <w:p>
                            <w:pPr>
                              <w:widowControl w:val="0"/>
                              <w:rPr>
                                <w:szCs w:val="24"/>
                              </w:rPr>
                            </w:pPr>
                            <w:r>
                              <w:rPr>
                                <w:szCs w:val="24"/>
                              </w:rPr>
                              <w:t>2024-12-31</w:t>
                            </w:r>
                          </w:p>
                          <w:p>
                            <w:pPr>
                              <w:widowControl w:val="0"/>
                              <w:ind w:left="107" w:right="165"/>
                              <w:rPr>
                                <w:szCs w:val="24"/>
                              </w:rPr>
                            </w:pPr>
                            <w:r>
                              <w:rPr>
                                <w:szCs w:val="24"/>
                              </w:rPr>
                              <w:t>Nr. A-672 (8.2).</w:t>
                            </w:r>
                          </w:p>
                        </w:tc>
                        <w:tc>
                          <w:tcPr>
                            <w:tcW w:w="1417" w:type="dxa"/>
                          </w:tcPr>
                          <w:p>
                            <w:pPr>
                              <w:widowControl w:val="0"/>
                              <w:rPr>
                                <w:szCs w:val="24"/>
                              </w:rPr>
                            </w:pPr>
                            <w:r>
                              <w:rPr>
                                <w:szCs w:val="24"/>
                              </w:rPr>
                              <w:t>Mėnesio kaina</w:t>
                            </w:r>
                          </w:p>
                          <w:p>
                            <w:pPr>
                              <w:widowControl w:val="0"/>
                              <w:rPr>
                                <w:szCs w:val="24"/>
                              </w:rPr>
                            </w:pPr>
                            <w:r>
                              <w:rPr>
                                <w:szCs w:val="24"/>
                              </w:rPr>
                              <w:t xml:space="preserve">669,24 </w:t>
                            </w:r>
                          </w:p>
                          <w:p>
                            <w:pPr>
                              <w:widowControl w:val="0"/>
                              <w:rPr>
                                <w:szCs w:val="24"/>
                              </w:rPr>
                            </w:pPr>
                            <w:r>
                              <w:rPr>
                                <w:szCs w:val="24"/>
                              </w:rPr>
                              <w:t>Eur.</w:t>
                            </w:r>
                          </w:p>
                        </w:tc>
                        <w:tc>
                          <w:tcPr>
                            <w:tcW w:w="1985" w:type="dxa"/>
                            <w:gridSpan w:val="2"/>
                          </w:tcPr>
                          <w:p>
                            <w:pPr>
                              <w:widowControl w:val="0"/>
                              <w:rPr>
                                <w:szCs w:val="24"/>
                              </w:rPr>
                            </w:pPr>
                            <w:r>
                              <w:rPr>
                                <w:szCs w:val="24"/>
                              </w:rPr>
                              <w:t>SAV_B.</w:t>
                            </w:r>
                          </w:p>
                        </w:tc>
                        <w:tc>
                          <w:tcPr>
                            <w:tcW w:w="2551" w:type="dxa"/>
                            <w:gridSpan w:val="2"/>
                          </w:tcPr>
                          <w:p>
                            <w:pPr>
                              <w:widowControl w:val="0"/>
                              <w:rPr>
                                <w:rFonts w:eastAsia="Calibri"/>
                                <w:szCs w:val="24"/>
                              </w:rPr>
                            </w:pPr>
                            <w:r>
                              <w:rPr>
                                <w:rFonts w:eastAsia="Calibri"/>
                                <w:szCs w:val="24"/>
                              </w:rPr>
                              <w:t xml:space="preserve">11 paslaugų gavėjų sudarė </w:t>
                            </w:r>
                          </w:p>
                          <w:p>
                            <w:pPr>
                              <w:widowControl w:val="0"/>
                              <w:rPr>
                                <w:rFonts w:eastAsia="Calibri"/>
                                <w:szCs w:val="24"/>
                              </w:rPr>
                            </w:pPr>
                            <w:r>
                              <w:rPr>
                                <w:rFonts w:eastAsia="Calibri"/>
                                <w:szCs w:val="24"/>
                              </w:rPr>
                              <w:t>1 šeimą.</w:t>
                            </w:r>
                          </w:p>
                          <w:p>
                            <w:pPr>
                              <w:widowControl w:val="0"/>
                              <w:rPr>
                                <w:rFonts w:eastAsia="Calibri"/>
                                <w:szCs w:val="24"/>
                              </w:rPr>
                            </w:pPr>
                          </w:p>
                        </w:tc>
                      </w:tr>
                      <w:tr>
                        <w:tblPrEx>
                          <w:tblCellMar>
                            <w:left w:w="0" w:type="dxa"/>
                            <w:right w:w="0" w:type="dxa"/>
                          </w:tblCellMar>
                          <w:tblLook w:val="01E0" w:firstRow="1" w:lastRow="1" w:firstColumn="1" w:lastColumn="1" w:noHBand="0" w:noVBand="0"/>
                        </w:tblPrEx>
                        <w:trPr>
                          <w:trHeight w:val="1117"/>
                        </w:trPr>
                        <w:tc>
                          <w:tcPr>
                            <w:tcW w:w="3261" w:type="dxa"/>
                          </w:tcPr>
                          <w:p>
                            <w:pPr>
                              <w:widowControl w:val="0"/>
                              <w:rPr>
                                <w:rFonts w:eastAsia="SimSun"/>
                                <w:szCs w:val="24"/>
                                <w:lang w:eastAsia="zh-CN"/>
                              </w:rPr>
                            </w:pPr>
                            <w:r>
                              <w:rPr>
                                <w:rFonts w:eastAsia="Calibri"/>
                                <w:szCs w:val="24"/>
                              </w:rPr>
                              <w:t>1.1.4. Laikino apnakvindinimo paslauga.</w:t>
                            </w:r>
                          </w:p>
                        </w:tc>
                        <w:tc>
                          <w:tcPr>
                            <w:tcW w:w="1134" w:type="dxa"/>
                            <w:gridSpan w:val="2"/>
                          </w:tcPr>
                          <w:p>
                            <w:pPr>
                              <w:widowControl w:val="0"/>
                              <w:rPr>
                                <w:szCs w:val="24"/>
                              </w:rPr>
                            </w:pPr>
                            <w:r>
                              <w:rPr>
                                <w:szCs w:val="24"/>
                              </w:rPr>
                              <w:t xml:space="preserve">Paslaugų gavėjų skaičius  per metus.</w:t>
                            </w:r>
                          </w:p>
                        </w:tc>
                        <w:tc>
                          <w:tcPr>
                            <w:tcW w:w="992" w:type="dxa"/>
                            <w:gridSpan w:val="2"/>
                          </w:tcPr>
                          <w:p>
                            <w:pPr>
                              <w:widowControl w:val="0"/>
                              <w:rPr>
                                <w:szCs w:val="24"/>
                              </w:rPr>
                            </w:pPr>
                            <w:r>
                              <w:rPr>
                                <w:szCs w:val="24"/>
                              </w:rPr>
                              <w:t>34</w:t>
                            </w:r>
                          </w:p>
                        </w:tc>
                        <w:tc>
                          <w:tcPr>
                            <w:tcW w:w="851" w:type="dxa"/>
                            <w:gridSpan w:val="2"/>
                          </w:tcPr>
                          <w:p>
                            <w:pPr>
                              <w:widowControl w:val="0"/>
                              <w:rPr>
                                <w:szCs w:val="24"/>
                              </w:rPr>
                            </w:pPr>
                            <w:r>
                              <w:rPr>
                                <w:szCs w:val="24"/>
                              </w:rPr>
                              <w:t>88</w:t>
                            </w:r>
                          </w:p>
                        </w:tc>
                        <w:tc>
                          <w:tcPr>
                            <w:tcW w:w="850" w:type="dxa"/>
                            <w:gridSpan w:val="2"/>
                          </w:tcPr>
                          <w:p>
                            <w:pPr>
                              <w:widowControl w:val="0"/>
                              <w:rPr>
                                <w:szCs w:val="24"/>
                              </w:rPr>
                            </w:pPr>
                            <w:r>
                              <w:rPr>
                                <w:szCs w:val="24"/>
                              </w:rPr>
                              <w:t>80</w:t>
                            </w:r>
                          </w:p>
                        </w:tc>
                        <w:tc>
                          <w:tcPr>
                            <w:tcW w:w="1843" w:type="dxa"/>
                            <w:gridSpan w:val="3"/>
                          </w:tcPr>
                          <w:p>
                            <w:pPr>
                              <w:widowControl w:val="0"/>
                              <w:ind w:left="107" w:right="165"/>
                              <w:rPr>
                                <w:szCs w:val="24"/>
                              </w:rPr>
                            </w:pPr>
                            <w:r>
                              <w:rPr>
                                <w:szCs w:val="24"/>
                              </w:rPr>
                              <w:t xml:space="preserve">Radviliškio rajono savivaldybės Tarybos sprendimas 2024-04-11 </w:t>
                            </w:r>
                          </w:p>
                          <w:p>
                            <w:pPr>
                              <w:widowControl w:val="0"/>
                              <w:ind w:left="107" w:right="165"/>
                              <w:rPr>
                                <w:szCs w:val="24"/>
                              </w:rPr>
                            </w:pPr>
                            <w:r>
                              <w:rPr>
                                <w:szCs w:val="24"/>
                              </w:rPr>
                              <w:t>Nr. T-363.</w:t>
                            </w:r>
                          </w:p>
                        </w:tc>
                        <w:tc>
                          <w:tcPr>
                            <w:tcW w:w="1417" w:type="dxa"/>
                          </w:tcPr>
                          <w:p>
                            <w:pPr>
                              <w:widowControl w:val="0"/>
                              <w:rPr>
                                <w:szCs w:val="24"/>
                              </w:rPr>
                            </w:pPr>
                            <w:r>
                              <w:rPr>
                                <w:szCs w:val="24"/>
                              </w:rPr>
                              <w:t>Paros kaina 15,88</w:t>
                            </w:r>
                          </w:p>
                          <w:p>
                            <w:pPr>
                              <w:widowControl w:val="0"/>
                              <w:rPr>
                                <w:color w:val="FF0000"/>
                                <w:szCs w:val="24"/>
                              </w:rPr>
                            </w:pPr>
                            <w:r>
                              <w:rPr>
                                <w:szCs w:val="24"/>
                              </w:rPr>
                              <w:t>Eur.</w:t>
                            </w:r>
                          </w:p>
                        </w:tc>
                        <w:tc>
                          <w:tcPr>
                            <w:tcW w:w="1985" w:type="dxa"/>
                            <w:gridSpan w:val="2"/>
                          </w:tcPr>
                          <w:p>
                            <w:pPr>
                              <w:widowControl w:val="0"/>
                              <w:rPr>
                                <w:szCs w:val="24"/>
                              </w:rPr>
                            </w:pPr>
                            <w:r>
                              <w:rPr>
                                <w:szCs w:val="24"/>
                              </w:rPr>
                              <w:t>SAV_B.</w:t>
                            </w:r>
                          </w:p>
                        </w:tc>
                        <w:tc>
                          <w:tcPr>
                            <w:tcW w:w="2551" w:type="dxa"/>
                            <w:gridSpan w:val="2"/>
                          </w:tcPr>
                          <w:p>
                            <w:pPr>
                              <w:widowControl w:val="0"/>
                              <w:ind w:right="102"/>
                              <w:rPr>
                                <w:szCs w:val="24"/>
                              </w:rPr>
                            </w:pPr>
                            <w:r>
                              <w:rPr>
                                <w:szCs w:val="24"/>
                              </w:rPr>
                              <w:t>10 % sumažintas benamių paslaugų gavėjų skaičius.</w:t>
                            </w:r>
                          </w:p>
                        </w:tc>
                      </w:tr>
                      <w:tr>
                        <w:tblPrEx>
                          <w:tblCellMar>
                            <w:left w:w="0" w:type="dxa"/>
                            <w:right w:w="0" w:type="dxa"/>
                          </w:tblCellMar>
                          <w:tblLook w:val="01E0" w:firstRow="1" w:lastRow="1" w:firstColumn="1" w:lastColumn="1" w:noHBand="0" w:noVBand="0"/>
                        </w:tblPrEx>
                        <w:trPr>
                          <w:trHeight w:val="1119"/>
                        </w:trPr>
                        <w:tc>
                          <w:tcPr>
                            <w:tcW w:w="3261" w:type="dxa"/>
                          </w:tcPr>
                          <w:p>
                            <w:pPr>
                              <w:widowControl w:val="0"/>
                              <w:rPr>
                                <w:rFonts w:eastAsia="Calibri"/>
                                <w:szCs w:val="24"/>
                              </w:rPr>
                            </w:pPr>
                            <w:r>
                              <w:rPr>
                                <w:rFonts w:eastAsia="Calibri"/>
                                <w:szCs w:val="24"/>
                              </w:rPr>
                              <w:t>1.1.5. Laikino apnakvindinimo paslauga su ROIK (Smurtas artimoje aplinkoje).</w:t>
                            </w:r>
                          </w:p>
                        </w:tc>
                        <w:tc>
                          <w:tcPr>
                            <w:tcW w:w="1134" w:type="dxa"/>
                            <w:gridSpan w:val="2"/>
                          </w:tcPr>
                          <w:p>
                            <w:pPr>
                              <w:widowControl w:val="0"/>
                              <w:rPr>
                                <w:szCs w:val="24"/>
                              </w:rPr>
                            </w:pPr>
                            <w:r>
                              <w:rPr>
                                <w:szCs w:val="24"/>
                              </w:rPr>
                              <w:t xml:space="preserve">Paslaugų gavėjų skaičius  per metus.</w:t>
                            </w:r>
                          </w:p>
                        </w:tc>
                        <w:tc>
                          <w:tcPr>
                            <w:tcW w:w="992" w:type="dxa"/>
                            <w:gridSpan w:val="2"/>
                          </w:tcPr>
                          <w:p>
                            <w:pPr>
                              <w:widowControl w:val="0"/>
                              <w:rPr>
                                <w:szCs w:val="24"/>
                              </w:rPr>
                            </w:pPr>
                            <w:r>
                              <w:rPr>
                                <w:szCs w:val="24"/>
                              </w:rPr>
                              <w:t>1</w:t>
                            </w:r>
                          </w:p>
                        </w:tc>
                        <w:tc>
                          <w:tcPr>
                            <w:tcW w:w="851" w:type="dxa"/>
                            <w:gridSpan w:val="2"/>
                          </w:tcPr>
                          <w:p>
                            <w:pPr>
                              <w:widowControl w:val="0"/>
                              <w:rPr>
                                <w:szCs w:val="24"/>
                              </w:rPr>
                            </w:pPr>
                            <w:r>
                              <w:rPr>
                                <w:szCs w:val="24"/>
                              </w:rPr>
                              <w:t>14</w:t>
                            </w:r>
                          </w:p>
                        </w:tc>
                        <w:tc>
                          <w:tcPr>
                            <w:tcW w:w="850" w:type="dxa"/>
                            <w:gridSpan w:val="2"/>
                          </w:tcPr>
                          <w:p>
                            <w:pPr>
                              <w:widowControl w:val="0"/>
                              <w:rPr>
                                <w:szCs w:val="24"/>
                              </w:rPr>
                            </w:pPr>
                            <w:r>
                              <w:rPr>
                                <w:szCs w:val="24"/>
                              </w:rPr>
                              <w:t>35</w:t>
                            </w:r>
                          </w:p>
                          <w:p>
                            <w:pPr>
                              <w:widowControl w:val="0"/>
                              <w:rPr>
                                <w:szCs w:val="24"/>
                              </w:rPr>
                            </w:pPr>
                            <w:r>
                              <w:rPr>
                                <w:szCs w:val="24"/>
                              </w:rPr>
                              <w:t>iš jų 9 moterys</w:t>
                            </w:r>
                          </w:p>
                        </w:tc>
                        <w:tc>
                          <w:tcPr>
                            <w:tcW w:w="1843" w:type="dxa"/>
                            <w:gridSpan w:val="3"/>
                          </w:tcPr>
                          <w:p>
                            <w:pPr>
                              <w:widowControl w:val="0"/>
                              <w:ind w:left="107" w:right="165"/>
                              <w:rPr>
                                <w:szCs w:val="24"/>
                              </w:rPr>
                            </w:pPr>
                            <w:r>
                              <w:rPr>
                                <w:szCs w:val="24"/>
                              </w:rPr>
                              <w:t xml:space="preserve">Radviliškio rajono savivaldybės tarybos sprendimas 2024-04-11 </w:t>
                            </w:r>
                          </w:p>
                          <w:p>
                            <w:pPr>
                              <w:widowControl w:val="0"/>
                              <w:ind w:left="107" w:right="165"/>
                              <w:rPr>
                                <w:szCs w:val="24"/>
                              </w:rPr>
                            </w:pPr>
                            <w:r>
                              <w:rPr>
                                <w:szCs w:val="24"/>
                              </w:rPr>
                              <w:t>Nr. T363.</w:t>
                            </w:r>
                          </w:p>
                        </w:tc>
                        <w:tc>
                          <w:tcPr>
                            <w:tcW w:w="1417" w:type="dxa"/>
                          </w:tcPr>
                          <w:p>
                            <w:pPr>
                              <w:widowControl w:val="0"/>
                              <w:rPr>
                                <w:szCs w:val="24"/>
                              </w:rPr>
                            </w:pPr>
                            <w:r>
                              <w:rPr>
                                <w:szCs w:val="24"/>
                              </w:rPr>
                              <w:t>Paros kaina 15,18</w:t>
                            </w:r>
                          </w:p>
                          <w:p>
                            <w:pPr>
                              <w:widowControl w:val="0"/>
                              <w:rPr>
                                <w:color w:val="FF0000"/>
                                <w:szCs w:val="24"/>
                              </w:rPr>
                            </w:pPr>
                            <w:r>
                              <w:rPr>
                                <w:szCs w:val="24"/>
                              </w:rPr>
                              <w:t>Eur.</w:t>
                            </w:r>
                          </w:p>
                        </w:tc>
                        <w:tc>
                          <w:tcPr>
                            <w:tcW w:w="1985" w:type="dxa"/>
                            <w:gridSpan w:val="2"/>
                          </w:tcPr>
                          <w:p>
                            <w:pPr>
                              <w:widowControl w:val="0"/>
                              <w:rPr>
                                <w:color w:val="FF0000"/>
                                <w:szCs w:val="24"/>
                              </w:rPr>
                            </w:pPr>
                            <w:r>
                              <w:rPr>
                                <w:szCs w:val="24"/>
                              </w:rPr>
                              <w:t>SAV_B.</w:t>
                            </w:r>
                          </w:p>
                        </w:tc>
                        <w:tc>
                          <w:tcPr>
                            <w:tcW w:w="2551" w:type="dxa"/>
                            <w:gridSpan w:val="2"/>
                          </w:tcPr>
                          <w:p>
                            <w:pPr>
                              <w:widowControl w:val="0"/>
                              <w:rPr>
                                <w:szCs w:val="24"/>
                              </w:rPr>
                            </w:pPr>
                            <w:r>
                              <w:rPr>
                                <w:szCs w:val="24"/>
                              </w:rPr>
                              <w:t>150 % padidėjo paslaugų gavėjų skaičius su ROIK.</w:t>
                            </w:r>
                          </w:p>
                        </w:tc>
                      </w:tr>
                      <w:tr>
                        <w:tblPrEx>
                          <w:tblCellMar>
                            <w:left w:w="0" w:type="dxa"/>
                            <w:right w:w="0" w:type="dxa"/>
                          </w:tblCellMar>
                          <w:tblLook w:val="01E0" w:firstRow="1" w:lastRow="1" w:firstColumn="1" w:lastColumn="1" w:noHBand="0" w:noVBand="0"/>
                        </w:tblPrEx>
                        <w:trPr>
                          <w:trHeight w:val="1133"/>
                        </w:trPr>
                        <w:tc>
                          <w:tcPr>
                            <w:tcW w:w="3261" w:type="dxa"/>
                          </w:tcPr>
                          <w:p>
                            <w:pPr>
                              <w:widowControl w:val="0"/>
                              <w:rPr>
                                <w:rFonts w:eastAsia="Calibri"/>
                                <w:szCs w:val="24"/>
                              </w:rPr>
                            </w:pPr>
                            <w:r>
                              <w:rPr>
                                <w:rFonts w:eastAsia="Calibri"/>
                                <w:szCs w:val="24"/>
                              </w:rPr>
                              <w:t xml:space="preserve">1.1.6. Sutvarkyti dokumentai gyventi  savarankiško gyvenimo namuose Aukštelkuose.</w:t>
                            </w:r>
                          </w:p>
                        </w:tc>
                        <w:tc>
                          <w:tcPr>
                            <w:tcW w:w="1134" w:type="dxa"/>
                            <w:gridSpan w:val="2"/>
                          </w:tcPr>
                          <w:p>
                            <w:pPr>
                              <w:widowControl w:val="0"/>
                              <w:rPr>
                                <w:szCs w:val="24"/>
                              </w:rPr>
                            </w:pPr>
                            <w:r>
                              <w:rPr>
                                <w:szCs w:val="24"/>
                              </w:rPr>
                              <w:t>Paslaugų gavėjų skaičius.</w:t>
                            </w:r>
                          </w:p>
                        </w:tc>
                        <w:tc>
                          <w:tcPr>
                            <w:tcW w:w="992" w:type="dxa"/>
                            <w:gridSpan w:val="2"/>
                          </w:tcPr>
                          <w:p>
                            <w:pPr>
                              <w:widowControl w:val="0"/>
                              <w:rPr>
                                <w:szCs w:val="24"/>
                              </w:rPr>
                            </w:pPr>
                            <w:r>
                              <w:rPr>
                                <w:szCs w:val="24"/>
                              </w:rPr>
                              <w:t>1</w:t>
                            </w:r>
                          </w:p>
                        </w:tc>
                        <w:tc>
                          <w:tcPr>
                            <w:tcW w:w="851" w:type="dxa"/>
                            <w:gridSpan w:val="2"/>
                          </w:tcPr>
                          <w:p>
                            <w:pPr>
                              <w:widowControl w:val="0"/>
                              <w:rPr>
                                <w:szCs w:val="24"/>
                              </w:rPr>
                            </w:pPr>
                            <w:r>
                              <w:rPr>
                                <w:szCs w:val="24"/>
                              </w:rPr>
                              <w:t>1</w:t>
                            </w:r>
                          </w:p>
                        </w:tc>
                        <w:tc>
                          <w:tcPr>
                            <w:tcW w:w="850" w:type="dxa"/>
                            <w:gridSpan w:val="2"/>
                          </w:tcPr>
                          <w:p>
                            <w:pPr>
                              <w:widowControl w:val="0"/>
                              <w:rPr>
                                <w:szCs w:val="24"/>
                              </w:rPr>
                            </w:pPr>
                            <w:r>
                              <w:rPr>
                                <w:szCs w:val="24"/>
                              </w:rPr>
                              <w:t>1</w:t>
                            </w:r>
                          </w:p>
                        </w:tc>
                        <w:tc>
                          <w:tcPr>
                            <w:tcW w:w="1843" w:type="dxa"/>
                            <w:gridSpan w:val="3"/>
                          </w:tcPr>
                          <w:p>
                            <w:pPr>
                              <w:widowControl w:val="0"/>
                              <w:rPr>
                                <w:color w:val="000000"/>
                                <w:szCs w:val="24"/>
                              </w:rPr>
                            </w:pPr>
                            <w:r>
                              <w:rPr>
                                <w:color w:val="000000"/>
                                <w:szCs w:val="24"/>
                              </w:rPr>
                              <w:t>Metinis veiklos planas</w:t>
                            </w:r>
                          </w:p>
                          <w:p>
                            <w:pPr>
                              <w:widowControl w:val="0"/>
                              <w:rPr>
                                <w:color w:val="000000"/>
                                <w:szCs w:val="24"/>
                              </w:rPr>
                            </w:pPr>
                            <w:r>
                              <w:rPr>
                                <w:color w:val="000000"/>
                                <w:szCs w:val="24"/>
                              </w:rPr>
                              <w:t xml:space="preserve">2025-01-15 įsakymu </w:t>
                            </w:r>
                          </w:p>
                          <w:p>
                            <w:pPr>
                              <w:widowControl w:val="0"/>
                              <w:rPr>
                                <w:color w:val="000000"/>
                                <w:szCs w:val="24"/>
                              </w:rPr>
                            </w:pPr>
                            <w:r>
                              <w:rPr>
                                <w:color w:val="000000"/>
                                <w:szCs w:val="24"/>
                              </w:rPr>
                              <w:t>Nr. V- 40.</w:t>
                            </w:r>
                          </w:p>
                          <w:p>
                            <w:pPr>
                              <w:widowControl w:val="0"/>
                              <w:ind w:left="107" w:right="165"/>
                              <w:rPr>
                                <w:szCs w:val="24"/>
                              </w:rPr>
                            </w:pPr>
                          </w:p>
                        </w:tc>
                        <w:tc>
                          <w:tcPr>
                            <w:tcW w:w="1417" w:type="dxa"/>
                          </w:tcPr>
                          <w:p>
                            <w:pPr>
                              <w:widowControl w:val="0"/>
                              <w:rPr>
                                <w:szCs w:val="24"/>
                              </w:rPr>
                            </w:pPr>
                            <w:r>
                              <w:rPr>
                                <w:szCs w:val="24"/>
                              </w:rPr>
                              <w:t>Žmogiškieji ištekliai.</w:t>
                            </w:r>
                          </w:p>
                        </w:tc>
                        <w:tc>
                          <w:tcPr>
                            <w:tcW w:w="1985" w:type="dxa"/>
                            <w:gridSpan w:val="2"/>
                          </w:tcPr>
                          <w:p>
                            <w:pPr>
                              <w:widowControl w:val="0"/>
                              <w:rPr>
                                <w:color w:val="FF0000"/>
                                <w:szCs w:val="24"/>
                              </w:rPr>
                            </w:pPr>
                            <w:r>
                              <w:rPr>
                                <w:szCs w:val="24"/>
                              </w:rPr>
                              <w:t>-</w:t>
                            </w:r>
                          </w:p>
                        </w:tc>
                        <w:tc>
                          <w:tcPr>
                            <w:tcW w:w="2551" w:type="dxa"/>
                            <w:gridSpan w:val="2"/>
                          </w:tcPr>
                          <w:p>
                            <w:pPr>
                              <w:widowControl w:val="0"/>
                              <w:ind w:right="102"/>
                              <w:rPr>
                                <w:szCs w:val="24"/>
                              </w:rPr>
                            </w:pPr>
                            <w:r>
                              <w:rPr>
                                <w:szCs w:val="24"/>
                              </w:rPr>
                              <w:t>Išvyko į Aukštelkų savarankiško gyvenimo namus.</w:t>
                            </w:r>
                          </w:p>
                        </w:tc>
                      </w:tr>
                      <w:tr>
                        <w:tblPrEx>
                          <w:tblCellMar>
                            <w:left w:w="0" w:type="dxa"/>
                            <w:right w:w="0" w:type="dxa"/>
                          </w:tblCellMar>
                          <w:tblLook w:val="01E0" w:firstRow="1" w:lastRow="1" w:firstColumn="1" w:lastColumn="1" w:noHBand="0" w:noVBand="0"/>
                        </w:tblPrEx>
                        <w:trPr>
                          <w:trHeight w:val="219"/>
                        </w:trPr>
                        <w:tc>
                          <w:tcPr>
                            <w:tcW w:w="14884" w:type="dxa"/>
                            <w:gridSpan w:val="17"/>
                          </w:tcPr>
                          <w:p>
                            <w:pPr>
                              <w:widowControl w:val="0"/>
                              <w:rPr>
                                <w:b/>
                                <w:bCs/>
                                <w:szCs w:val="24"/>
                              </w:rPr>
                            </w:pPr>
                            <w:r>
                              <w:rPr>
                                <w:b/>
                                <w:bCs/>
                                <w:szCs w:val="24"/>
                              </w:rPr>
                              <w:t>1.2. Uždavinys: Užtikrinti kokybišką ir efektyvų paslaugų teikimą vaikams gyvenantiems šeiminiuose namuose.</w:t>
                            </w:r>
                          </w:p>
                        </w:tc>
                      </w:tr>
                      <w:tr>
                        <w:tblPrEx>
                          <w:tblCellMar>
                            <w:left w:w="0" w:type="dxa"/>
                            <w:right w:w="0" w:type="dxa"/>
                          </w:tblCellMar>
                          <w:tblLook w:val="01E0" w:firstRow="1" w:lastRow="1" w:firstColumn="1" w:lastColumn="1" w:noHBand="0" w:noVBand="0"/>
                        </w:tblPrEx>
                        <w:trPr>
                          <w:trHeight w:val="1102"/>
                        </w:trPr>
                        <w:tc>
                          <w:tcPr>
                            <w:tcW w:w="3261" w:type="dxa"/>
                          </w:tcPr>
                          <w:p>
                            <w:pPr>
                              <w:widowControl w:val="0"/>
                              <w:rPr>
                                <w:rFonts w:eastAsia="Calibri"/>
                                <w:color w:val="FF0000"/>
                                <w:szCs w:val="24"/>
                              </w:rPr>
                            </w:pPr>
                            <w:r>
                              <w:rPr>
                                <w:rFonts w:eastAsia="Calibri"/>
                                <w:szCs w:val="24"/>
                              </w:rPr>
                              <w:t>1.2.1. Trumpalaikė socialinė globa likusiems be tėvų globos vaikams.</w:t>
                            </w:r>
                          </w:p>
                        </w:tc>
                        <w:tc>
                          <w:tcPr>
                            <w:tcW w:w="1134" w:type="dxa"/>
                            <w:gridSpan w:val="2"/>
                          </w:tcPr>
                          <w:p>
                            <w:pPr>
                              <w:widowControl w:val="0"/>
                              <w:rPr>
                                <w:szCs w:val="24"/>
                              </w:rPr>
                            </w:pPr>
                            <w:r>
                              <w:rPr>
                                <w:szCs w:val="24"/>
                              </w:rPr>
                              <w:t>Rūpintinių skaičius.</w:t>
                            </w:r>
                          </w:p>
                        </w:tc>
                        <w:tc>
                          <w:tcPr>
                            <w:tcW w:w="992" w:type="dxa"/>
                            <w:gridSpan w:val="2"/>
                          </w:tcPr>
                          <w:p>
                            <w:pPr>
                              <w:widowControl w:val="0"/>
                              <w:rPr>
                                <w:szCs w:val="24"/>
                              </w:rPr>
                            </w:pPr>
                            <w:r>
                              <w:rPr>
                                <w:szCs w:val="24"/>
                              </w:rPr>
                              <w:t>5</w:t>
                            </w:r>
                          </w:p>
                        </w:tc>
                        <w:tc>
                          <w:tcPr>
                            <w:tcW w:w="851" w:type="dxa"/>
                            <w:gridSpan w:val="2"/>
                          </w:tcPr>
                          <w:p>
                            <w:pPr>
                              <w:widowControl w:val="0"/>
                              <w:rPr>
                                <w:szCs w:val="24"/>
                              </w:rPr>
                            </w:pPr>
                            <w:r>
                              <w:rPr>
                                <w:szCs w:val="24"/>
                              </w:rPr>
                              <w:t>9</w:t>
                            </w:r>
                          </w:p>
                        </w:tc>
                        <w:tc>
                          <w:tcPr>
                            <w:tcW w:w="850" w:type="dxa"/>
                            <w:gridSpan w:val="2"/>
                          </w:tcPr>
                          <w:p>
                            <w:pPr>
                              <w:widowControl w:val="0"/>
                              <w:rPr>
                                <w:szCs w:val="24"/>
                              </w:rPr>
                            </w:pPr>
                            <w:r>
                              <w:rPr>
                                <w:szCs w:val="24"/>
                              </w:rPr>
                              <w:t>12</w:t>
                            </w:r>
                          </w:p>
                        </w:tc>
                        <w:tc>
                          <w:tcPr>
                            <w:tcW w:w="1843" w:type="dxa"/>
                            <w:gridSpan w:val="3"/>
                          </w:tcPr>
                          <w:p>
                            <w:pPr>
                              <w:widowControl w:val="0"/>
                              <w:rPr>
                                <w:szCs w:val="24"/>
                              </w:rPr>
                            </w:pPr>
                            <w:r>
                              <w:rPr>
                                <w:szCs w:val="24"/>
                              </w:rPr>
                              <w:t>Licencija išduota 2025-09-17</w:t>
                            </w:r>
                          </w:p>
                          <w:p>
                            <w:pPr>
                              <w:widowControl w:val="0"/>
                              <w:rPr>
                                <w:szCs w:val="24"/>
                              </w:rPr>
                            </w:pPr>
                            <w:r>
                              <w:rPr>
                                <w:szCs w:val="24"/>
                              </w:rPr>
                              <w:t>Nr. L000001482.</w:t>
                            </w:r>
                          </w:p>
                          <w:p>
                            <w:pPr>
                              <w:widowControl w:val="0"/>
                              <w:rPr>
                                <w:szCs w:val="24"/>
                              </w:rPr>
                            </w:pPr>
                          </w:p>
                        </w:tc>
                        <w:tc>
                          <w:tcPr>
                            <w:tcW w:w="1417" w:type="dxa"/>
                          </w:tcPr>
                          <w:p>
                            <w:pPr>
                              <w:widowControl w:val="0"/>
                              <w:rPr>
                                <w:szCs w:val="24"/>
                              </w:rPr>
                            </w:pPr>
                            <w:r>
                              <w:rPr>
                                <w:szCs w:val="24"/>
                              </w:rPr>
                              <w:t xml:space="preserve">Mėnesio kaina </w:t>
                            </w:r>
                          </w:p>
                          <w:p>
                            <w:pPr>
                              <w:widowControl w:val="0"/>
                              <w:rPr>
                                <w:szCs w:val="24"/>
                              </w:rPr>
                            </w:pPr>
                            <w:r>
                              <w:rPr>
                                <w:szCs w:val="24"/>
                              </w:rPr>
                              <w:t>2789,19 Eur.</w:t>
                            </w:r>
                          </w:p>
                        </w:tc>
                        <w:tc>
                          <w:tcPr>
                            <w:tcW w:w="1985" w:type="dxa"/>
                            <w:gridSpan w:val="2"/>
                          </w:tcPr>
                          <w:p>
                            <w:pPr>
                              <w:widowControl w:val="0"/>
                              <w:rPr>
                                <w:szCs w:val="24"/>
                              </w:rPr>
                            </w:pPr>
                            <w:r>
                              <w:rPr>
                                <w:szCs w:val="24"/>
                              </w:rPr>
                              <w:t>SAV_B</w:t>
                            </w:r>
                          </w:p>
                          <w:p>
                            <w:pPr>
                              <w:widowControl w:val="0"/>
                              <w:rPr>
                                <w:szCs w:val="24"/>
                              </w:rPr>
                            </w:pPr>
                            <w:r>
                              <w:rPr>
                                <w:szCs w:val="24"/>
                              </w:rPr>
                              <w:t>Globos (rūpybos) lėšos.</w:t>
                            </w:r>
                          </w:p>
                        </w:tc>
                        <w:tc>
                          <w:tcPr>
                            <w:tcW w:w="2551" w:type="dxa"/>
                            <w:gridSpan w:val="2"/>
                          </w:tcPr>
                          <w:p>
                            <w:pPr>
                              <w:widowControl w:val="0"/>
                              <w:rPr>
                                <w:szCs w:val="24"/>
                              </w:rPr>
                            </w:pPr>
                            <w:r>
                              <w:rPr>
                                <w:szCs w:val="24"/>
                              </w:rPr>
                              <w:t>33,3 % padidėjo vaikų skaičius, dėl nesaugios aplinkos namuose.</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rFonts w:eastAsia="Calibri"/>
                                <w:szCs w:val="24"/>
                              </w:rPr>
                            </w:pPr>
                            <w:r>
                              <w:rPr>
                                <w:rFonts w:eastAsia="Calibri"/>
                                <w:szCs w:val="24"/>
                              </w:rPr>
                              <w:t>1.2.2. Ilgalaikė socialinė globa tėvų globos netekusiems vaikams.</w:t>
                            </w:r>
                          </w:p>
                        </w:tc>
                        <w:tc>
                          <w:tcPr>
                            <w:tcW w:w="1134" w:type="dxa"/>
                            <w:gridSpan w:val="2"/>
                          </w:tcPr>
                          <w:p>
                            <w:pPr>
                              <w:widowControl w:val="0"/>
                              <w:rPr>
                                <w:szCs w:val="24"/>
                              </w:rPr>
                            </w:pPr>
                            <w:r>
                              <w:rPr>
                                <w:szCs w:val="24"/>
                              </w:rPr>
                              <w:t>Rūpintinių skaičius.</w:t>
                            </w:r>
                          </w:p>
                        </w:tc>
                        <w:tc>
                          <w:tcPr>
                            <w:tcW w:w="992" w:type="dxa"/>
                            <w:gridSpan w:val="2"/>
                          </w:tcPr>
                          <w:p>
                            <w:pPr>
                              <w:widowControl w:val="0"/>
                              <w:rPr>
                                <w:szCs w:val="24"/>
                              </w:rPr>
                            </w:pPr>
                            <w:r>
                              <w:rPr>
                                <w:szCs w:val="24"/>
                              </w:rPr>
                              <w:t>8</w:t>
                            </w:r>
                          </w:p>
                        </w:tc>
                        <w:tc>
                          <w:tcPr>
                            <w:tcW w:w="851" w:type="dxa"/>
                            <w:gridSpan w:val="2"/>
                          </w:tcPr>
                          <w:p>
                            <w:pPr>
                              <w:widowControl w:val="0"/>
                              <w:rPr>
                                <w:szCs w:val="24"/>
                              </w:rPr>
                            </w:pPr>
                            <w:r>
                              <w:rPr>
                                <w:szCs w:val="24"/>
                              </w:rPr>
                              <w:t>6</w:t>
                            </w:r>
                          </w:p>
                        </w:tc>
                        <w:tc>
                          <w:tcPr>
                            <w:tcW w:w="850" w:type="dxa"/>
                            <w:gridSpan w:val="2"/>
                          </w:tcPr>
                          <w:p>
                            <w:pPr>
                              <w:widowControl w:val="0"/>
                              <w:rPr>
                                <w:szCs w:val="24"/>
                              </w:rPr>
                            </w:pPr>
                            <w:r>
                              <w:rPr>
                                <w:szCs w:val="24"/>
                              </w:rPr>
                              <w:t>8</w:t>
                            </w:r>
                          </w:p>
                        </w:tc>
                        <w:tc>
                          <w:tcPr>
                            <w:tcW w:w="1843" w:type="dxa"/>
                            <w:gridSpan w:val="3"/>
                          </w:tcPr>
                          <w:p>
                            <w:pPr>
                              <w:widowControl w:val="0"/>
                              <w:rPr>
                                <w:szCs w:val="24"/>
                              </w:rPr>
                            </w:pPr>
                            <w:r>
                              <w:rPr>
                                <w:szCs w:val="24"/>
                              </w:rPr>
                              <w:t>Licencija išduota 2025-09-17</w:t>
                            </w:r>
                          </w:p>
                          <w:p>
                            <w:pPr>
                              <w:widowControl w:val="0"/>
                              <w:rPr>
                                <w:szCs w:val="24"/>
                              </w:rPr>
                            </w:pPr>
                            <w:r>
                              <w:rPr>
                                <w:szCs w:val="24"/>
                              </w:rPr>
                              <w:t>Nr. L000001482.</w:t>
                            </w:r>
                          </w:p>
                          <w:p>
                            <w:pPr>
                              <w:widowControl w:val="0"/>
                              <w:rPr>
                                <w:szCs w:val="24"/>
                              </w:rPr>
                            </w:pPr>
                          </w:p>
                        </w:tc>
                        <w:tc>
                          <w:tcPr>
                            <w:tcW w:w="1417" w:type="dxa"/>
                          </w:tcPr>
                          <w:p>
                            <w:pPr>
                              <w:widowControl w:val="0"/>
                              <w:rPr>
                                <w:szCs w:val="24"/>
                              </w:rPr>
                            </w:pPr>
                            <w:r>
                              <w:rPr>
                                <w:szCs w:val="24"/>
                              </w:rPr>
                              <w:t xml:space="preserve">Mėnesio kaina </w:t>
                            </w:r>
                          </w:p>
                          <w:p>
                            <w:pPr>
                              <w:widowControl w:val="0"/>
                              <w:rPr>
                                <w:color w:val="FF0000"/>
                                <w:szCs w:val="24"/>
                              </w:rPr>
                            </w:pPr>
                            <w:r>
                              <w:rPr>
                                <w:szCs w:val="24"/>
                              </w:rPr>
                              <w:t>2789,19 Eur.</w:t>
                            </w:r>
                          </w:p>
                        </w:tc>
                        <w:tc>
                          <w:tcPr>
                            <w:tcW w:w="1985" w:type="dxa"/>
                            <w:gridSpan w:val="2"/>
                          </w:tcPr>
                          <w:p>
                            <w:pPr>
                              <w:widowControl w:val="0"/>
                              <w:rPr>
                                <w:szCs w:val="24"/>
                              </w:rPr>
                            </w:pPr>
                            <w:r>
                              <w:rPr>
                                <w:szCs w:val="24"/>
                              </w:rPr>
                              <w:t>SAV_B</w:t>
                            </w:r>
                          </w:p>
                          <w:p>
                            <w:pPr>
                              <w:widowControl w:val="0"/>
                              <w:rPr>
                                <w:szCs w:val="24"/>
                              </w:rPr>
                            </w:pPr>
                            <w:r>
                              <w:rPr>
                                <w:szCs w:val="24"/>
                              </w:rPr>
                              <w:t>Globos (rūpybos) lėšos.</w:t>
                            </w:r>
                          </w:p>
                        </w:tc>
                        <w:tc>
                          <w:tcPr>
                            <w:tcW w:w="2551" w:type="dxa"/>
                            <w:gridSpan w:val="2"/>
                          </w:tcPr>
                          <w:p>
                            <w:pPr>
                              <w:widowControl w:val="0"/>
                              <w:rPr>
                                <w:szCs w:val="24"/>
                              </w:rPr>
                            </w:pPr>
                            <w:r>
                              <w:rPr>
                                <w:szCs w:val="24"/>
                              </w:rPr>
                              <w:t>32,8 % padidėjo vaikų skaičius, dėl tėvų noro pokyčiams stokos.</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rFonts w:eastAsia="Calibri"/>
                                <w:szCs w:val="24"/>
                              </w:rPr>
                            </w:pPr>
                            <w:r>
                              <w:rPr>
                                <w:rFonts w:eastAsia="Calibri"/>
                                <w:szCs w:val="24"/>
                              </w:rPr>
                              <w:t xml:space="preserve">1.2.3. </w:t>
                            </w:r>
                            <w:r>
                              <w:rPr>
                                <w:rFonts w:eastAsia="Calibri"/>
                                <w:color w:val="000000"/>
                                <w:szCs w:val="24"/>
                              </w:rPr>
                              <w:t>Išėjo gyventi savarankiškai sulaukus pilnametystės.</w:t>
                            </w:r>
                          </w:p>
                        </w:tc>
                        <w:tc>
                          <w:tcPr>
                            <w:tcW w:w="1134" w:type="dxa"/>
                            <w:gridSpan w:val="2"/>
                          </w:tcPr>
                          <w:p>
                            <w:pPr>
                              <w:widowControl w:val="0"/>
                              <w:rPr>
                                <w:szCs w:val="24"/>
                              </w:rPr>
                            </w:pPr>
                            <w:r>
                              <w:rPr>
                                <w:szCs w:val="24"/>
                              </w:rPr>
                              <w:t>Rūpintinių skaičius.</w:t>
                            </w:r>
                          </w:p>
                        </w:tc>
                        <w:tc>
                          <w:tcPr>
                            <w:tcW w:w="992" w:type="dxa"/>
                            <w:gridSpan w:val="2"/>
                          </w:tcPr>
                          <w:p>
                            <w:pPr>
                              <w:widowControl w:val="0"/>
                              <w:rPr>
                                <w:szCs w:val="24"/>
                              </w:rPr>
                            </w:pPr>
                            <w:r>
                              <w:rPr>
                                <w:szCs w:val="24"/>
                              </w:rPr>
                              <w:t>3</w:t>
                            </w:r>
                          </w:p>
                        </w:tc>
                        <w:tc>
                          <w:tcPr>
                            <w:tcW w:w="851" w:type="dxa"/>
                            <w:gridSpan w:val="2"/>
                          </w:tcPr>
                          <w:p>
                            <w:pPr>
                              <w:widowControl w:val="0"/>
                              <w:rPr>
                                <w:szCs w:val="24"/>
                              </w:rPr>
                            </w:pPr>
                            <w:r>
                              <w:rPr>
                                <w:szCs w:val="24"/>
                              </w:rPr>
                              <w:t>1</w:t>
                            </w:r>
                          </w:p>
                        </w:tc>
                        <w:tc>
                          <w:tcPr>
                            <w:tcW w:w="850" w:type="dxa"/>
                            <w:gridSpan w:val="2"/>
                          </w:tcPr>
                          <w:p>
                            <w:pPr>
                              <w:widowControl w:val="0"/>
                              <w:rPr>
                                <w:szCs w:val="24"/>
                              </w:rPr>
                            </w:pPr>
                            <w:r>
                              <w:rPr>
                                <w:szCs w:val="24"/>
                              </w:rPr>
                              <w:t>1</w:t>
                            </w:r>
                          </w:p>
                        </w:tc>
                        <w:tc>
                          <w:tcPr>
                            <w:tcW w:w="1843" w:type="dxa"/>
                            <w:gridSpan w:val="3"/>
                          </w:tcPr>
                          <w:p>
                            <w:pPr>
                              <w:widowControl w:val="0"/>
                              <w:rPr>
                                <w:szCs w:val="24"/>
                              </w:rPr>
                            </w:pPr>
                            <w:r>
                              <w:rPr>
                                <w:szCs w:val="24"/>
                              </w:rPr>
                              <w:t xml:space="preserve">Lietuvos Respublikos socialinės apsaugos ir darbo ministro 2024-05-30 įsakymu </w:t>
                            </w:r>
                          </w:p>
                          <w:p>
                            <w:pPr>
                              <w:widowControl w:val="0"/>
                              <w:rPr>
                                <w:szCs w:val="24"/>
                              </w:rPr>
                            </w:pPr>
                            <w:r>
                              <w:rPr>
                                <w:szCs w:val="24"/>
                              </w:rPr>
                              <w:t>Nr. A1-374 Šeiminiu namų veiklos aprašas.</w:t>
                            </w:r>
                          </w:p>
                        </w:tc>
                        <w:tc>
                          <w:tcPr>
                            <w:tcW w:w="1417" w:type="dxa"/>
                          </w:tcPr>
                          <w:p>
                            <w:pPr>
                              <w:widowControl w:val="0"/>
                              <w:rPr>
                                <w:szCs w:val="24"/>
                              </w:rPr>
                            </w:pPr>
                            <w:r>
                              <w:rPr>
                                <w:szCs w:val="24"/>
                              </w:rPr>
                              <w:t>Žmogiškieji ištekliai.</w:t>
                            </w:r>
                          </w:p>
                        </w:tc>
                        <w:tc>
                          <w:tcPr>
                            <w:tcW w:w="1985" w:type="dxa"/>
                            <w:gridSpan w:val="2"/>
                          </w:tcPr>
                          <w:p>
                            <w:pPr>
                              <w:widowControl w:val="0"/>
                              <w:rPr>
                                <w:szCs w:val="24"/>
                              </w:rPr>
                            </w:pPr>
                            <w:r>
                              <w:rPr>
                                <w:szCs w:val="24"/>
                              </w:rPr>
                              <w:t>-</w:t>
                            </w:r>
                          </w:p>
                        </w:tc>
                        <w:tc>
                          <w:tcPr>
                            <w:tcW w:w="2551" w:type="dxa"/>
                            <w:gridSpan w:val="2"/>
                          </w:tcPr>
                          <w:p>
                            <w:pPr>
                              <w:widowControl w:val="0"/>
                              <w:rPr>
                                <w:szCs w:val="24"/>
                              </w:rPr>
                            </w:pPr>
                            <w:r>
                              <w:rPr>
                                <w:szCs w:val="24"/>
                              </w:rPr>
                              <w:t>-</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rFonts w:eastAsia="Calibri"/>
                                <w:szCs w:val="24"/>
                              </w:rPr>
                            </w:pPr>
                            <w:r>
                              <w:rPr>
                                <w:rFonts w:eastAsia="Calibri"/>
                                <w:szCs w:val="24"/>
                              </w:rPr>
                              <w:t>1.2.4. Grįžo į šeimą, pas globėjus.</w:t>
                            </w:r>
                          </w:p>
                        </w:tc>
                        <w:tc>
                          <w:tcPr>
                            <w:tcW w:w="1134" w:type="dxa"/>
                            <w:gridSpan w:val="2"/>
                          </w:tcPr>
                          <w:p>
                            <w:pPr>
                              <w:widowControl w:val="0"/>
                              <w:rPr>
                                <w:szCs w:val="24"/>
                              </w:rPr>
                            </w:pPr>
                            <w:r>
                              <w:rPr>
                                <w:szCs w:val="24"/>
                              </w:rPr>
                              <w:t>Rūpintinių skaičius.</w:t>
                            </w:r>
                          </w:p>
                        </w:tc>
                        <w:tc>
                          <w:tcPr>
                            <w:tcW w:w="992" w:type="dxa"/>
                            <w:gridSpan w:val="2"/>
                          </w:tcPr>
                          <w:p>
                            <w:pPr>
                              <w:widowControl w:val="0"/>
                              <w:rPr>
                                <w:szCs w:val="24"/>
                              </w:rPr>
                            </w:pPr>
                            <w:r>
                              <w:rPr>
                                <w:szCs w:val="24"/>
                              </w:rPr>
                              <w:t>1</w:t>
                            </w:r>
                          </w:p>
                        </w:tc>
                        <w:tc>
                          <w:tcPr>
                            <w:tcW w:w="851" w:type="dxa"/>
                            <w:gridSpan w:val="2"/>
                          </w:tcPr>
                          <w:p>
                            <w:pPr>
                              <w:widowControl w:val="0"/>
                              <w:rPr>
                                <w:szCs w:val="24"/>
                              </w:rPr>
                            </w:pPr>
                            <w:r>
                              <w:rPr>
                                <w:szCs w:val="24"/>
                              </w:rPr>
                              <w:t>4</w:t>
                            </w:r>
                          </w:p>
                        </w:tc>
                        <w:tc>
                          <w:tcPr>
                            <w:tcW w:w="850" w:type="dxa"/>
                            <w:gridSpan w:val="2"/>
                          </w:tcPr>
                          <w:p>
                            <w:pPr>
                              <w:widowControl w:val="0"/>
                              <w:rPr>
                                <w:szCs w:val="24"/>
                              </w:rPr>
                            </w:pPr>
                            <w:r>
                              <w:rPr>
                                <w:szCs w:val="24"/>
                              </w:rPr>
                              <w:t>6</w:t>
                            </w:r>
                          </w:p>
                        </w:tc>
                        <w:tc>
                          <w:tcPr>
                            <w:tcW w:w="1843" w:type="dxa"/>
                            <w:gridSpan w:val="3"/>
                          </w:tcPr>
                          <w:p>
                            <w:pPr>
                              <w:widowControl w:val="0"/>
                              <w:rPr>
                                <w:szCs w:val="24"/>
                              </w:rPr>
                            </w:pPr>
                            <w:r>
                              <w:rPr>
                                <w:szCs w:val="24"/>
                              </w:rPr>
                              <w:t>-</w:t>
                            </w:r>
                          </w:p>
                        </w:tc>
                        <w:tc>
                          <w:tcPr>
                            <w:tcW w:w="1417" w:type="dxa"/>
                          </w:tcPr>
                          <w:p>
                            <w:pPr>
                              <w:widowControl w:val="0"/>
                              <w:rPr>
                                <w:szCs w:val="24"/>
                              </w:rPr>
                            </w:pPr>
                            <w:r>
                              <w:rPr>
                                <w:szCs w:val="24"/>
                              </w:rPr>
                              <w:t>Žmogiškieji ištekliai.</w:t>
                            </w:r>
                          </w:p>
                        </w:tc>
                        <w:tc>
                          <w:tcPr>
                            <w:tcW w:w="1985" w:type="dxa"/>
                            <w:gridSpan w:val="2"/>
                          </w:tcPr>
                          <w:p>
                            <w:pPr>
                              <w:widowControl w:val="0"/>
                              <w:rPr>
                                <w:szCs w:val="24"/>
                              </w:rPr>
                            </w:pPr>
                            <w:r>
                              <w:rPr>
                                <w:szCs w:val="24"/>
                              </w:rPr>
                              <w:t>-</w:t>
                            </w:r>
                          </w:p>
                        </w:tc>
                        <w:tc>
                          <w:tcPr>
                            <w:tcW w:w="2551" w:type="dxa"/>
                            <w:gridSpan w:val="2"/>
                          </w:tcPr>
                          <w:p>
                            <w:pPr>
                              <w:widowControl w:val="0"/>
                              <w:rPr>
                                <w:szCs w:val="24"/>
                              </w:rPr>
                            </w:pPr>
                            <w:r>
                              <w:rPr>
                                <w:szCs w:val="24"/>
                              </w:rPr>
                              <w:t>2 vaikai grįžo į šeimą, 4 vaikams surasti globėjai.</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rFonts w:eastAsia="Calibri"/>
                                <w:szCs w:val="24"/>
                              </w:rPr>
                            </w:pPr>
                            <w:r>
                              <w:rPr>
                                <w:rFonts w:eastAsia="Calibri"/>
                                <w:szCs w:val="24"/>
                              </w:rPr>
                              <w:t>1.2.5. Finansinio raštingumo ugdymas - kišenpinigiai.</w:t>
                            </w:r>
                          </w:p>
                        </w:tc>
                        <w:tc>
                          <w:tcPr>
                            <w:tcW w:w="1134" w:type="dxa"/>
                            <w:gridSpan w:val="2"/>
                          </w:tcPr>
                          <w:p>
                            <w:pPr>
                              <w:widowControl w:val="0"/>
                              <w:rPr>
                                <w:szCs w:val="24"/>
                              </w:rPr>
                            </w:pPr>
                            <w:r>
                              <w:rPr>
                                <w:szCs w:val="24"/>
                              </w:rPr>
                              <w:t>Mokamas pinigų dydis per mėnesį.</w:t>
                            </w:r>
                          </w:p>
                        </w:tc>
                        <w:tc>
                          <w:tcPr>
                            <w:tcW w:w="992" w:type="dxa"/>
                            <w:gridSpan w:val="2"/>
                          </w:tcPr>
                          <w:p>
                            <w:pPr>
                              <w:widowControl w:val="0"/>
                              <w:rPr>
                                <w:szCs w:val="24"/>
                              </w:rPr>
                            </w:pPr>
                            <w:r>
                              <w:rPr>
                                <w:szCs w:val="24"/>
                              </w:rPr>
                              <w:t>39,20</w:t>
                            </w:r>
                          </w:p>
                          <w:p>
                            <w:pPr>
                              <w:widowControl w:val="0"/>
                              <w:rPr>
                                <w:szCs w:val="24"/>
                              </w:rPr>
                            </w:pPr>
                            <w:r>
                              <w:rPr>
                                <w:szCs w:val="24"/>
                              </w:rPr>
                              <w:t>Eur.</w:t>
                            </w:r>
                          </w:p>
                        </w:tc>
                        <w:tc>
                          <w:tcPr>
                            <w:tcW w:w="851" w:type="dxa"/>
                            <w:gridSpan w:val="2"/>
                          </w:tcPr>
                          <w:p>
                            <w:pPr>
                              <w:widowControl w:val="0"/>
                              <w:rPr>
                                <w:szCs w:val="24"/>
                              </w:rPr>
                            </w:pPr>
                            <w:r>
                              <w:rPr>
                                <w:szCs w:val="24"/>
                              </w:rPr>
                              <w:t>55,00</w:t>
                            </w:r>
                          </w:p>
                          <w:p>
                            <w:pPr>
                              <w:widowControl w:val="0"/>
                              <w:rPr>
                                <w:szCs w:val="24"/>
                              </w:rPr>
                            </w:pPr>
                            <w:r>
                              <w:rPr>
                                <w:szCs w:val="24"/>
                              </w:rPr>
                              <w:t>Eur.</w:t>
                            </w:r>
                          </w:p>
                        </w:tc>
                        <w:tc>
                          <w:tcPr>
                            <w:tcW w:w="850" w:type="dxa"/>
                            <w:gridSpan w:val="2"/>
                          </w:tcPr>
                          <w:p>
                            <w:pPr>
                              <w:widowControl w:val="0"/>
                              <w:rPr>
                                <w:szCs w:val="24"/>
                              </w:rPr>
                            </w:pPr>
                            <w:r>
                              <w:rPr>
                                <w:szCs w:val="24"/>
                              </w:rPr>
                              <w:t>70,00</w:t>
                            </w:r>
                          </w:p>
                          <w:p>
                            <w:pPr>
                              <w:widowControl w:val="0"/>
                              <w:rPr>
                                <w:szCs w:val="24"/>
                              </w:rPr>
                            </w:pPr>
                            <w:r>
                              <w:rPr>
                                <w:szCs w:val="24"/>
                              </w:rPr>
                              <w:t>Eur.</w:t>
                            </w:r>
                          </w:p>
                        </w:tc>
                        <w:tc>
                          <w:tcPr>
                            <w:tcW w:w="1843" w:type="dxa"/>
                            <w:gridSpan w:val="3"/>
                          </w:tcPr>
                          <w:p>
                            <w:pPr>
                              <w:widowControl w:val="0"/>
                              <w:rPr>
                                <w:szCs w:val="24"/>
                              </w:rPr>
                            </w:pPr>
                            <w:r>
                              <w:rPr>
                                <w:szCs w:val="24"/>
                              </w:rPr>
                              <w:t>Kišenpinigių skyrimo ir panaudojimo tvarkos aprašas 2024-12-31 įsakymas Nr. V-786.</w:t>
                            </w:r>
                          </w:p>
                        </w:tc>
                        <w:tc>
                          <w:tcPr>
                            <w:tcW w:w="1417" w:type="dxa"/>
                          </w:tcPr>
                          <w:p>
                            <w:pPr>
                              <w:widowControl w:val="0"/>
                              <w:rPr>
                                <w:color w:val="000000"/>
                                <w:szCs w:val="24"/>
                              </w:rPr>
                            </w:pPr>
                            <w:r>
                              <w:rPr>
                                <w:color w:val="000000"/>
                                <w:szCs w:val="24"/>
                              </w:rPr>
                              <w:t>4163.00</w:t>
                            </w:r>
                          </w:p>
                          <w:p>
                            <w:pPr>
                              <w:widowControl w:val="0"/>
                              <w:rPr>
                                <w:szCs w:val="24"/>
                              </w:rPr>
                            </w:pPr>
                            <w:r>
                              <w:rPr>
                                <w:color w:val="000000"/>
                                <w:szCs w:val="24"/>
                              </w:rPr>
                              <w:t>Eur.</w:t>
                            </w:r>
                          </w:p>
                        </w:tc>
                        <w:tc>
                          <w:tcPr>
                            <w:tcW w:w="1985" w:type="dxa"/>
                            <w:gridSpan w:val="2"/>
                          </w:tcPr>
                          <w:p>
                            <w:pPr>
                              <w:widowControl w:val="0"/>
                              <w:rPr>
                                <w:szCs w:val="24"/>
                              </w:rPr>
                            </w:pPr>
                            <w:r>
                              <w:rPr>
                                <w:szCs w:val="24"/>
                              </w:rPr>
                              <w:t>Globos (rūpybos) lėšos.</w:t>
                            </w:r>
                          </w:p>
                        </w:tc>
                        <w:tc>
                          <w:tcPr>
                            <w:tcW w:w="2551" w:type="dxa"/>
                            <w:gridSpan w:val="2"/>
                          </w:tcPr>
                          <w:p>
                            <w:pPr>
                              <w:widowControl w:val="0"/>
                              <w:rPr>
                                <w:szCs w:val="24"/>
                              </w:rPr>
                            </w:pPr>
                            <w:r>
                              <w:rPr>
                                <w:szCs w:val="24"/>
                              </w:rPr>
                              <w:t>Kiekvienam vaikui nuo 7 metų mokami kišenpinigiai.</w:t>
                            </w:r>
                          </w:p>
                        </w:tc>
                      </w:tr>
                      <w:tr>
                        <w:tblPrEx>
                          <w:tblCellMar>
                            <w:left w:w="0" w:type="dxa"/>
                            <w:right w:w="0" w:type="dxa"/>
                          </w:tblCellMar>
                          <w:tblLook w:val="01E0" w:firstRow="1" w:lastRow="1" w:firstColumn="1" w:lastColumn="1" w:noHBand="0" w:noVBand="0"/>
                        </w:tblPrEx>
                        <w:trPr>
                          <w:trHeight w:val="219"/>
                        </w:trPr>
                        <w:tc>
                          <w:tcPr>
                            <w:tcW w:w="14884" w:type="dxa"/>
                            <w:gridSpan w:val="17"/>
                          </w:tcPr>
                          <w:p>
                            <w:pPr>
                              <w:widowControl w:val="0"/>
                              <w:rPr>
                                <w:rFonts w:eastAsia="Calibri"/>
                                <w:b/>
                                <w:bCs/>
                                <w:szCs w:val="24"/>
                              </w:rPr>
                            </w:pPr>
                            <w:r>
                              <w:rPr>
                                <w:rFonts w:eastAsia="Calibri"/>
                                <w:b/>
                                <w:bCs/>
                                <w:szCs w:val="24"/>
                              </w:rPr>
                              <w:t>2. Tikslas: Kokybiškas centro valdymas.</w:t>
                            </w:r>
                          </w:p>
                        </w:tc>
                      </w:tr>
                      <w:tr>
                        <w:tblPrEx>
                          <w:tblCellMar>
                            <w:left w:w="0" w:type="dxa"/>
                            <w:right w:w="0" w:type="dxa"/>
                          </w:tblCellMar>
                          <w:tblLook w:val="01E0" w:firstRow="1" w:lastRow="1" w:firstColumn="1" w:lastColumn="1" w:noHBand="0" w:noVBand="0"/>
                        </w:tblPrEx>
                        <w:trPr>
                          <w:trHeight w:val="219"/>
                        </w:trPr>
                        <w:tc>
                          <w:tcPr>
                            <w:tcW w:w="14884" w:type="dxa"/>
                            <w:gridSpan w:val="17"/>
                          </w:tcPr>
                          <w:p>
                            <w:pPr>
                              <w:widowControl w:val="0"/>
                              <w:rPr>
                                <w:rFonts w:eastAsia="Calibri"/>
                                <w:szCs w:val="24"/>
                              </w:rPr>
                            </w:pPr>
                            <w:r>
                              <w:rPr>
                                <w:rFonts w:eastAsia="Calibri"/>
                                <w:szCs w:val="24"/>
                              </w:rPr>
                              <w:t>2.1. Uždavinys: Užtikrinti vidinį centro kokybės veiklos gerinimą, žmogiškųjų išteklių stiprinimą ir materialinės bazės gerinimą.</w:t>
                            </w:r>
                          </w:p>
                        </w:tc>
                      </w:tr>
                      <w:tr>
                        <w:tblPrEx>
                          <w:tblCellMar>
                            <w:left w:w="0" w:type="dxa"/>
                            <w:right w:w="0" w:type="dxa"/>
                          </w:tblCellMar>
                          <w:tblLook w:val="01E0" w:firstRow="1" w:lastRow="1" w:firstColumn="1" w:lastColumn="1" w:noHBand="0" w:noVBand="0"/>
                        </w:tblPrEx>
                        <w:trPr>
                          <w:trHeight w:val="1295"/>
                        </w:trPr>
                        <w:tc>
                          <w:tcPr>
                            <w:tcW w:w="3261" w:type="dxa"/>
                          </w:tcPr>
                          <w:p>
                            <w:pPr>
                              <w:widowControl w:val="0"/>
                              <w:rPr>
                                <w:szCs w:val="24"/>
                              </w:rPr>
                            </w:pPr>
                            <w:r>
                              <w:rPr>
                                <w:szCs w:val="24"/>
                              </w:rPr>
                              <w:t>2.1.1. Atliktas 2025 metų RPŠC paslaugų gavėjų, darbuotojų pasitenkinimo teikiamomis paslaugomis ar darbu įsivertinimas.</w:t>
                            </w:r>
                          </w:p>
                        </w:tc>
                        <w:tc>
                          <w:tcPr>
                            <w:tcW w:w="1134" w:type="dxa"/>
                            <w:gridSpan w:val="2"/>
                          </w:tcPr>
                          <w:p>
                            <w:pPr>
                              <w:widowControl w:val="0"/>
                              <w:rPr>
                                <w:szCs w:val="24"/>
                              </w:rPr>
                            </w:pPr>
                            <w:r>
                              <w:rPr>
                                <w:szCs w:val="24"/>
                              </w:rPr>
                              <w:t>Darbuotojai</w:t>
                            </w:r>
                          </w:p>
                          <w:p>
                            <w:pPr>
                              <w:widowControl w:val="0"/>
                              <w:rPr>
                                <w:szCs w:val="24"/>
                              </w:rPr>
                            </w:pPr>
                          </w:p>
                          <w:p>
                            <w:pPr>
                              <w:widowControl w:val="0"/>
                              <w:rPr>
                                <w:szCs w:val="24"/>
                              </w:rPr>
                            </w:pPr>
                            <w:r>
                              <w:rPr>
                                <w:szCs w:val="24"/>
                              </w:rPr>
                              <w:t>Klientai</w:t>
                            </w:r>
                          </w:p>
                          <w:p>
                            <w:pPr>
                              <w:widowControl w:val="0"/>
                              <w:rPr>
                                <w:szCs w:val="24"/>
                              </w:rPr>
                            </w:pPr>
                          </w:p>
                          <w:p>
                            <w:pPr>
                              <w:widowControl w:val="0"/>
                              <w:ind w:firstLine="310"/>
                              <w:rPr>
                                <w:szCs w:val="24"/>
                              </w:rPr>
                            </w:pPr>
                            <w:r>
                              <w:rPr>
                                <w:szCs w:val="24"/>
                              </w:rPr>
                              <w:t>Vaikai</w:t>
                            </w:r>
                          </w:p>
                        </w:tc>
                        <w:tc>
                          <w:tcPr>
                            <w:tcW w:w="992" w:type="dxa"/>
                            <w:gridSpan w:val="2"/>
                          </w:tcPr>
                          <w:p>
                            <w:pPr>
                              <w:widowControl w:val="0"/>
                              <w:rPr>
                                <w:szCs w:val="24"/>
                              </w:rPr>
                            </w:pPr>
                            <w:r>
                              <w:rPr>
                                <w:szCs w:val="24"/>
                              </w:rPr>
                              <w:t>-</w:t>
                            </w:r>
                          </w:p>
                          <w:p>
                            <w:pPr>
                              <w:widowControl w:val="0"/>
                              <w:rPr>
                                <w:szCs w:val="24"/>
                              </w:rPr>
                            </w:pPr>
                          </w:p>
                          <w:p>
                            <w:pPr>
                              <w:widowControl w:val="0"/>
                              <w:rPr>
                                <w:szCs w:val="24"/>
                              </w:rPr>
                            </w:pPr>
                            <w:r>
                              <w:rPr>
                                <w:szCs w:val="24"/>
                              </w:rPr>
                              <w:t>-</w:t>
                            </w:r>
                          </w:p>
                          <w:p>
                            <w:pPr>
                              <w:widowControl w:val="0"/>
                              <w:rPr>
                                <w:szCs w:val="24"/>
                              </w:rPr>
                            </w:pPr>
                          </w:p>
                          <w:p>
                            <w:pPr>
                              <w:widowControl w:val="0"/>
                              <w:rPr>
                                <w:szCs w:val="24"/>
                              </w:rPr>
                            </w:pPr>
                            <w:r>
                              <w:rPr>
                                <w:szCs w:val="24"/>
                              </w:rPr>
                              <w:t>-</w:t>
                            </w:r>
                          </w:p>
                        </w:tc>
                        <w:tc>
                          <w:tcPr>
                            <w:tcW w:w="851" w:type="dxa"/>
                            <w:gridSpan w:val="2"/>
                          </w:tcPr>
                          <w:p>
                            <w:pPr>
                              <w:widowControl w:val="0"/>
                              <w:rPr>
                                <w:szCs w:val="24"/>
                              </w:rPr>
                            </w:pPr>
                            <w:r>
                              <w:rPr>
                                <w:szCs w:val="24"/>
                              </w:rPr>
                              <w:t>32</w:t>
                            </w:r>
                          </w:p>
                          <w:p>
                            <w:pPr>
                              <w:widowControl w:val="0"/>
                              <w:rPr>
                                <w:szCs w:val="24"/>
                              </w:rPr>
                            </w:pPr>
                          </w:p>
                          <w:p>
                            <w:pPr>
                              <w:widowControl w:val="0"/>
                              <w:rPr>
                                <w:szCs w:val="24"/>
                              </w:rPr>
                            </w:pPr>
                            <w:r>
                              <w:rPr>
                                <w:szCs w:val="24"/>
                              </w:rPr>
                              <w:t>11</w:t>
                            </w:r>
                          </w:p>
                          <w:p>
                            <w:pPr>
                              <w:widowControl w:val="0"/>
                              <w:rPr>
                                <w:szCs w:val="24"/>
                              </w:rPr>
                            </w:pPr>
                          </w:p>
                          <w:p>
                            <w:pPr>
                              <w:widowControl w:val="0"/>
                              <w:rPr>
                                <w:szCs w:val="24"/>
                              </w:rPr>
                            </w:pPr>
                            <w:r>
                              <w:rPr>
                                <w:szCs w:val="24"/>
                              </w:rPr>
                              <w:t>-</w:t>
                            </w:r>
                          </w:p>
                        </w:tc>
                        <w:tc>
                          <w:tcPr>
                            <w:tcW w:w="850" w:type="dxa"/>
                            <w:gridSpan w:val="2"/>
                          </w:tcPr>
                          <w:p>
                            <w:pPr>
                              <w:widowControl w:val="0"/>
                              <w:rPr>
                                <w:szCs w:val="24"/>
                              </w:rPr>
                            </w:pPr>
                            <w:r>
                              <w:rPr>
                                <w:szCs w:val="24"/>
                              </w:rPr>
                              <w:t>37</w:t>
                            </w:r>
                          </w:p>
                          <w:p>
                            <w:pPr>
                              <w:widowControl w:val="0"/>
                              <w:rPr>
                                <w:szCs w:val="24"/>
                              </w:rPr>
                            </w:pPr>
                          </w:p>
                          <w:p>
                            <w:pPr>
                              <w:widowControl w:val="0"/>
                              <w:rPr>
                                <w:szCs w:val="24"/>
                              </w:rPr>
                            </w:pPr>
                            <w:r>
                              <w:rPr>
                                <w:szCs w:val="24"/>
                              </w:rPr>
                              <w:t>6</w:t>
                            </w:r>
                          </w:p>
                          <w:p>
                            <w:pPr>
                              <w:widowControl w:val="0"/>
                              <w:rPr>
                                <w:szCs w:val="24"/>
                              </w:rPr>
                            </w:pPr>
                          </w:p>
                          <w:p>
                            <w:pPr>
                              <w:widowControl w:val="0"/>
                              <w:rPr>
                                <w:szCs w:val="24"/>
                              </w:rPr>
                            </w:pPr>
                            <w:r>
                              <w:rPr>
                                <w:szCs w:val="24"/>
                              </w:rPr>
                              <w:t>12</w:t>
                            </w:r>
                          </w:p>
                        </w:tc>
                        <w:tc>
                          <w:tcPr>
                            <w:tcW w:w="1843" w:type="dxa"/>
                            <w:gridSpan w:val="3"/>
                          </w:tcPr>
                          <w:p>
                            <w:pPr>
                              <w:widowControl w:val="0"/>
                              <w:rPr>
                                <w:szCs w:val="24"/>
                              </w:rPr>
                            </w:pPr>
                            <w:r>
                              <w:rPr>
                                <w:szCs w:val="24"/>
                              </w:rPr>
                              <w:t xml:space="preserve">Radviliškio pagalbos šeimai centro direktoriaus  </w:t>
                            </w:r>
                          </w:p>
                          <w:p>
                            <w:pPr>
                              <w:widowControl w:val="0"/>
                              <w:rPr>
                                <w:szCs w:val="24"/>
                              </w:rPr>
                            </w:pPr>
                            <w:r>
                              <w:rPr>
                                <w:szCs w:val="24"/>
                              </w:rPr>
                              <w:t xml:space="preserve">2024-12-31 įsakymu </w:t>
                            </w:r>
                          </w:p>
                          <w:p>
                            <w:pPr>
                              <w:widowControl w:val="0"/>
                              <w:rPr>
                                <w:szCs w:val="24"/>
                              </w:rPr>
                            </w:pPr>
                            <w:r>
                              <w:rPr>
                                <w:szCs w:val="24"/>
                              </w:rPr>
                              <w:t>Nr. V-720.</w:t>
                            </w:r>
                          </w:p>
                        </w:tc>
                        <w:tc>
                          <w:tcPr>
                            <w:tcW w:w="1417" w:type="dxa"/>
                          </w:tcPr>
                          <w:p>
                            <w:pPr>
                              <w:widowControl w:val="0"/>
                              <w:rPr>
                                <w:szCs w:val="24"/>
                              </w:rPr>
                            </w:pPr>
                            <w:r>
                              <w:rPr>
                                <w:szCs w:val="24"/>
                              </w:rPr>
                              <w:t>Žmogiškieji ištekliai.</w:t>
                            </w:r>
                          </w:p>
                        </w:tc>
                        <w:tc>
                          <w:tcPr>
                            <w:tcW w:w="1985" w:type="dxa"/>
                            <w:gridSpan w:val="2"/>
                          </w:tcPr>
                          <w:p>
                            <w:pPr>
                              <w:widowControl w:val="0"/>
                              <w:rPr>
                                <w:szCs w:val="24"/>
                              </w:rPr>
                            </w:pPr>
                            <w:r>
                              <w:rPr>
                                <w:szCs w:val="24"/>
                              </w:rPr>
                              <w:t>-</w:t>
                            </w:r>
                          </w:p>
                        </w:tc>
                        <w:tc>
                          <w:tcPr>
                            <w:tcW w:w="2551" w:type="dxa"/>
                            <w:gridSpan w:val="2"/>
                          </w:tcPr>
                          <w:p>
                            <w:pPr>
                              <w:widowControl w:val="0"/>
                              <w:rPr>
                                <w:szCs w:val="24"/>
                              </w:rPr>
                            </w:pPr>
                            <w:r>
                              <w:rPr>
                                <w:szCs w:val="24"/>
                              </w:rPr>
                              <w:t>Išvada: patenkinti teikiamomis paslaugomis bei darbu.</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szCs w:val="24"/>
                              </w:rPr>
                            </w:pPr>
                            <w:r>
                              <w:rPr>
                                <w:szCs w:val="24"/>
                              </w:rPr>
                              <w:t>2.1.2. Atliktas atitikties socialinės globos normoms įvertinimas.</w:t>
                            </w:r>
                          </w:p>
                        </w:tc>
                        <w:tc>
                          <w:tcPr>
                            <w:tcW w:w="1134" w:type="dxa"/>
                            <w:gridSpan w:val="2"/>
                          </w:tcPr>
                          <w:p>
                            <w:pPr>
                              <w:widowControl w:val="0"/>
                              <w:rPr>
                                <w:szCs w:val="24"/>
                              </w:rPr>
                            </w:pPr>
                            <w:r>
                              <w:rPr>
                                <w:szCs w:val="24"/>
                              </w:rPr>
                              <w:t>Įvertinimas.</w:t>
                            </w:r>
                          </w:p>
                        </w:tc>
                        <w:tc>
                          <w:tcPr>
                            <w:tcW w:w="992" w:type="dxa"/>
                            <w:gridSpan w:val="2"/>
                          </w:tcPr>
                          <w:p>
                            <w:pPr>
                              <w:widowControl w:val="0"/>
                              <w:rPr>
                                <w:szCs w:val="24"/>
                              </w:rPr>
                            </w:pPr>
                            <w:r>
                              <w:rPr>
                                <w:szCs w:val="24"/>
                              </w:rPr>
                              <w:t>Atitinka</w:t>
                            </w:r>
                          </w:p>
                        </w:tc>
                        <w:tc>
                          <w:tcPr>
                            <w:tcW w:w="851" w:type="dxa"/>
                            <w:gridSpan w:val="2"/>
                          </w:tcPr>
                          <w:p>
                            <w:pPr>
                              <w:widowControl w:val="0"/>
                              <w:rPr>
                                <w:szCs w:val="24"/>
                              </w:rPr>
                            </w:pPr>
                            <w:r>
                              <w:rPr>
                                <w:szCs w:val="24"/>
                              </w:rPr>
                              <w:t>Atitinka</w:t>
                            </w:r>
                          </w:p>
                        </w:tc>
                        <w:tc>
                          <w:tcPr>
                            <w:tcW w:w="850" w:type="dxa"/>
                            <w:gridSpan w:val="2"/>
                          </w:tcPr>
                          <w:p>
                            <w:pPr>
                              <w:widowControl w:val="0"/>
                              <w:rPr>
                                <w:szCs w:val="24"/>
                              </w:rPr>
                            </w:pPr>
                            <w:r>
                              <w:rPr>
                                <w:szCs w:val="24"/>
                              </w:rPr>
                              <w:t>Atitinka</w:t>
                            </w:r>
                          </w:p>
                        </w:tc>
                        <w:tc>
                          <w:tcPr>
                            <w:tcW w:w="1843" w:type="dxa"/>
                            <w:gridSpan w:val="3"/>
                          </w:tcPr>
                          <w:p>
                            <w:pPr>
                              <w:widowControl w:val="0"/>
                              <w:rPr>
                                <w:szCs w:val="24"/>
                              </w:rPr>
                            </w:pPr>
                            <w:r>
                              <w:rPr>
                                <w:szCs w:val="24"/>
                              </w:rPr>
                              <w:t>Atitikties socialinės globos normoms vertinimo (įsivertinimo) tvarkos aprašas.</w:t>
                            </w:r>
                          </w:p>
                        </w:tc>
                        <w:tc>
                          <w:tcPr>
                            <w:tcW w:w="1417" w:type="dxa"/>
                          </w:tcPr>
                          <w:p>
                            <w:pPr>
                              <w:widowControl w:val="0"/>
                              <w:rPr>
                                <w:szCs w:val="24"/>
                              </w:rPr>
                            </w:pPr>
                            <w:r>
                              <w:rPr>
                                <w:szCs w:val="24"/>
                              </w:rPr>
                              <w:t>Žmogiškieji ištekliai.</w:t>
                            </w:r>
                          </w:p>
                        </w:tc>
                        <w:tc>
                          <w:tcPr>
                            <w:tcW w:w="1985" w:type="dxa"/>
                            <w:gridSpan w:val="2"/>
                          </w:tcPr>
                          <w:p>
                            <w:pPr>
                              <w:widowControl w:val="0"/>
                              <w:rPr>
                                <w:szCs w:val="24"/>
                              </w:rPr>
                            </w:pPr>
                            <w:r>
                              <w:rPr>
                                <w:szCs w:val="24"/>
                              </w:rPr>
                              <w:t>-</w:t>
                            </w:r>
                          </w:p>
                        </w:tc>
                        <w:tc>
                          <w:tcPr>
                            <w:tcW w:w="2551" w:type="dxa"/>
                            <w:gridSpan w:val="2"/>
                          </w:tcPr>
                          <w:p>
                            <w:pPr>
                              <w:widowControl w:val="0"/>
                              <w:rPr>
                                <w:szCs w:val="24"/>
                              </w:rPr>
                            </w:pPr>
                            <w:r>
                              <w:rPr>
                                <w:szCs w:val="24"/>
                              </w:rPr>
                              <w:t>Surašytas paslaugų gerinimo planas.</w:t>
                            </w:r>
                          </w:p>
                        </w:tc>
                      </w:tr>
                      <w:tr>
                        <w:tblPrEx>
                          <w:tblCellMar>
                            <w:left w:w="0" w:type="dxa"/>
                            <w:right w:w="0" w:type="dxa"/>
                          </w:tblCellMar>
                          <w:tblLook w:val="01E0" w:firstRow="1" w:lastRow="1" w:firstColumn="1" w:lastColumn="1" w:noHBand="0" w:noVBand="0"/>
                        </w:tblPrEx>
                        <w:trPr>
                          <w:trHeight w:val="219"/>
                        </w:trPr>
                        <w:tc>
                          <w:tcPr>
                            <w:tcW w:w="14884" w:type="dxa"/>
                            <w:gridSpan w:val="17"/>
                            <w:vAlign w:val="center"/>
                          </w:tcPr>
                          <w:p>
                            <w:pPr>
                              <w:widowControl w:val="0"/>
                              <w:rPr>
                                <w:szCs w:val="24"/>
                              </w:rPr>
                            </w:pPr>
                            <w:r>
                              <w:rPr>
                                <w:szCs w:val="24"/>
                              </w:rPr>
                              <w:t xml:space="preserve">2.2. </w:t>
                            </w:r>
                            <w:r>
                              <w:rPr>
                                <w:rFonts w:eastAsia="Calibri"/>
                                <w:szCs w:val="24"/>
                              </w:rPr>
                              <w:t>Uždavinys: Įgyvendinti socialinių paslaugų teikimo programas, vykdyti projektinę veiklą.</w:t>
                            </w:r>
                          </w:p>
                        </w:tc>
                      </w:tr>
                      <w:tr>
                        <w:tblPrEx>
                          <w:tblCellMar>
                            <w:left w:w="0" w:type="dxa"/>
                            <w:right w:w="0" w:type="dxa"/>
                          </w:tblCellMar>
                          <w:tblLook w:val="01E0" w:firstRow="1" w:lastRow="1" w:firstColumn="1" w:lastColumn="1" w:noHBand="0" w:noVBand="0"/>
                        </w:tblPrEx>
                        <w:trPr>
                          <w:trHeight w:val="511"/>
                        </w:trPr>
                        <w:tc>
                          <w:tcPr>
                            <w:tcW w:w="3261" w:type="dxa"/>
                          </w:tcPr>
                          <w:p>
                            <w:pPr>
                              <w:widowControl w:val="0"/>
                              <w:rPr>
                                <w:color w:val="000000"/>
                                <w:szCs w:val="24"/>
                              </w:rPr>
                            </w:pPr>
                            <w:r>
                              <w:rPr>
                                <w:color w:val="000000"/>
                                <w:szCs w:val="24"/>
                              </w:rPr>
                              <w:t>2.2.1. Sudarytos bendradarbiavimo sutartys.</w:t>
                            </w:r>
                          </w:p>
                        </w:tc>
                        <w:tc>
                          <w:tcPr>
                            <w:tcW w:w="1134" w:type="dxa"/>
                            <w:gridSpan w:val="2"/>
                          </w:tcPr>
                          <w:p>
                            <w:pPr>
                              <w:widowControl w:val="0"/>
                              <w:rPr>
                                <w:szCs w:val="24"/>
                              </w:rPr>
                            </w:pPr>
                            <w:r>
                              <w:rPr>
                                <w:szCs w:val="24"/>
                              </w:rPr>
                              <w:t>Sutarčių skaičius.</w:t>
                            </w:r>
                          </w:p>
                        </w:tc>
                        <w:tc>
                          <w:tcPr>
                            <w:tcW w:w="992" w:type="dxa"/>
                            <w:gridSpan w:val="2"/>
                          </w:tcPr>
                          <w:p>
                            <w:pPr>
                              <w:widowControl w:val="0"/>
                              <w:rPr>
                                <w:szCs w:val="24"/>
                              </w:rPr>
                            </w:pPr>
                            <w:r>
                              <w:rPr>
                                <w:szCs w:val="24"/>
                              </w:rPr>
                              <w:t>1</w:t>
                            </w:r>
                          </w:p>
                        </w:tc>
                        <w:tc>
                          <w:tcPr>
                            <w:tcW w:w="851" w:type="dxa"/>
                            <w:gridSpan w:val="2"/>
                          </w:tcPr>
                          <w:p>
                            <w:pPr>
                              <w:widowControl w:val="0"/>
                              <w:rPr>
                                <w:szCs w:val="24"/>
                              </w:rPr>
                            </w:pPr>
                            <w:r>
                              <w:rPr>
                                <w:szCs w:val="24"/>
                              </w:rPr>
                              <w:t>2</w:t>
                            </w:r>
                          </w:p>
                        </w:tc>
                        <w:tc>
                          <w:tcPr>
                            <w:tcW w:w="850" w:type="dxa"/>
                            <w:gridSpan w:val="2"/>
                          </w:tcPr>
                          <w:p>
                            <w:pPr>
                              <w:widowControl w:val="0"/>
                              <w:rPr>
                                <w:szCs w:val="24"/>
                              </w:rPr>
                            </w:pPr>
                            <w:r>
                              <w:rPr>
                                <w:szCs w:val="24"/>
                              </w:rPr>
                              <w:t>5</w:t>
                            </w:r>
                          </w:p>
                        </w:tc>
                        <w:tc>
                          <w:tcPr>
                            <w:tcW w:w="1843" w:type="dxa"/>
                            <w:gridSpan w:val="3"/>
                          </w:tcPr>
                          <w:p>
                            <w:pPr>
                              <w:widowControl w:val="0"/>
                              <w:rPr>
                                <w:color w:val="000000"/>
                                <w:szCs w:val="24"/>
                              </w:rPr>
                            </w:pPr>
                            <w:r>
                              <w:rPr>
                                <w:color w:val="000000"/>
                                <w:szCs w:val="24"/>
                              </w:rPr>
                              <w:t xml:space="preserve">Metinis veiklos planas </w:t>
                            </w:r>
                          </w:p>
                          <w:p>
                            <w:pPr>
                              <w:widowControl w:val="0"/>
                              <w:rPr>
                                <w:szCs w:val="24"/>
                              </w:rPr>
                            </w:pPr>
                            <w:r>
                              <w:rPr>
                                <w:color w:val="000000"/>
                                <w:szCs w:val="24"/>
                              </w:rPr>
                              <w:t>2025 metams.</w:t>
                            </w:r>
                          </w:p>
                        </w:tc>
                        <w:tc>
                          <w:tcPr>
                            <w:tcW w:w="1417" w:type="dxa"/>
                          </w:tcPr>
                          <w:p>
                            <w:pPr>
                              <w:widowControl w:val="0"/>
                              <w:rPr>
                                <w:szCs w:val="24"/>
                              </w:rPr>
                            </w:pPr>
                            <w:r>
                              <w:rPr>
                                <w:szCs w:val="24"/>
                              </w:rPr>
                              <w:t>Žmogiškieji ištekliai.</w:t>
                            </w:r>
                          </w:p>
                        </w:tc>
                        <w:tc>
                          <w:tcPr>
                            <w:tcW w:w="1985" w:type="dxa"/>
                            <w:gridSpan w:val="2"/>
                          </w:tcPr>
                          <w:p>
                            <w:pPr>
                              <w:widowControl w:val="0"/>
                              <w:rPr>
                                <w:szCs w:val="24"/>
                              </w:rPr>
                            </w:pPr>
                            <w:r>
                              <w:rPr>
                                <w:szCs w:val="24"/>
                              </w:rPr>
                              <w:t>-</w:t>
                            </w:r>
                          </w:p>
                        </w:tc>
                        <w:tc>
                          <w:tcPr>
                            <w:tcW w:w="2551" w:type="dxa"/>
                            <w:gridSpan w:val="2"/>
                          </w:tcPr>
                          <w:p>
                            <w:pPr>
                              <w:widowControl w:val="0"/>
                              <w:rPr>
                                <w:szCs w:val="24"/>
                                <w:shd w:val="clear" w:color="auto" w:fill="FFFFFF"/>
                              </w:rPr>
                            </w:pPr>
                            <w:r>
                              <w:rPr>
                                <w:szCs w:val="24"/>
                              </w:rPr>
                              <w:t>60 % sudaryta daugiau sutarčių.</w:t>
                            </w:r>
                          </w:p>
                        </w:tc>
                      </w:tr>
                      <w:tr>
                        <w:tblPrEx>
                          <w:tblCellMar>
                            <w:left w:w="0" w:type="dxa"/>
                            <w:right w:w="0" w:type="dxa"/>
                          </w:tblCellMar>
                          <w:tblLook w:val="01E0" w:firstRow="1" w:lastRow="1" w:firstColumn="1" w:lastColumn="1" w:noHBand="0" w:noVBand="0"/>
                        </w:tblPrEx>
                        <w:trPr>
                          <w:trHeight w:val="694"/>
                        </w:trPr>
                        <w:tc>
                          <w:tcPr>
                            <w:tcW w:w="3261" w:type="dxa"/>
                          </w:tcPr>
                          <w:p>
                            <w:pPr>
                              <w:widowControl w:val="0"/>
                              <w:rPr>
                                <w:color w:val="000000"/>
                                <w:szCs w:val="24"/>
                              </w:rPr>
                            </w:pPr>
                            <w:r>
                              <w:rPr>
                                <w:color w:val="000000"/>
                                <w:szCs w:val="24"/>
                              </w:rPr>
                              <w:t>2.2.2.</w:t>
                            </w:r>
                            <w:r>
                              <w:rPr>
                                <w:szCs w:val="24"/>
                              </w:rPr>
                              <w:t xml:space="preserve"> Projektinė veikla.</w:t>
                            </w:r>
                          </w:p>
                        </w:tc>
                        <w:tc>
                          <w:tcPr>
                            <w:tcW w:w="1134" w:type="dxa"/>
                            <w:gridSpan w:val="2"/>
                          </w:tcPr>
                          <w:p>
                            <w:pPr>
                              <w:widowControl w:val="0"/>
                              <w:rPr>
                                <w:szCs w:val="24"/>
                              </w:rPr>
                            </w:pPr>
                            <w:r>
                              <w:rPr>
                                <w:szCs w:val="24"/>
                              </w:rPr>
                              <w:t>Projektų skaičius.</w:t>
                            </w:r>
                          </w:p>
                        </w:tc>
                        <w:tc>
                          <w:tcPr>
                            <w:tcW w:w="992" w:type="dxa"/>
                            <w:gridSpan w:val="2"/>
                          </w:tcPr>
                          <w:p>
                            <w:pPr>
                              <w:widowControl w:val="0"/>
                              <w:rPr>
                                <w:szCs w:val="24"/>
                              </w:rPr>
                            </w:pPr>
                            <w:r>
                              <w:rPr>
                                <w:szCs w:val="24"/>
                              </w:rPr>
                              <w:t>-</w:t>
                            </w:r>
                          </w:p>
                        </w:tc>
                        <w:tc>
                          <w:tcPr>
                            <w:tcW w:w="851" w:type="dxa"/>
                            <w:gridSpan w:val="2"/>
                          </w:tcPr>
                          <w:p>
                            <w:pPr>
                              <w:widowControl w:val="0"/>
                              <w:rPr>
                                <w:szCs w:val="24"/>
                              </w:rPr>
                            </w:pPr>
                            <w:r>
                              <w:rPr>
                                <w:szCs w:val="24"/>
                              </w:rPr>
                              <w:t>9</w:t>
                            </w:r>
                          </w:p>
                        </w:tc>
                        <w:tc>
                          <w:tcPr>
                            <w:tcW w:w="850" w:type="dxa"/>
                            <w:gridSpan w:val="2"/>
                          </w:tcPr>
                          <w:p>
                            <w:pPr>
                              <w:widowControl w:val="0"/>
                              <w:ind w:firstLine="248"/>
                              <w:rPr>
                                <w:szCs w:val="24"/>
                              </w:rPr>
                            </w:pPr>
                            <w:r>
                              <w:rPr>
                                <w:szCs w:val="24"/>
                              </w:rPr>
                              <w:t>10</w:t>
                            </w:r>
                          </w:p>
                        </w:tc>
                        <w:tc>
                          <w:tcPr>
                            <w:tcW w:w="1843" w:type="dxa"/>
                            <w:gridSpan w:val="3"/>
                          </w:tcPr>
                          <w:p>
                            <w:pPr>
                              <w:widowControl w:val="0"/>
                              <w:rPr>
                                <w:color w:val="000000"/>
                                <w:szCs w:val="24"/>
                              </w:rPr>
                            </w:pPr>
                            <w:r>
                              <w:rPr>
                                <w:color w:val="000000"/>
                                <w:szCs w:val="24"/>
                              </w:rPr>
                              <w:t xml:space="preserve">Metinis veiklos planas </w:t>
                            </w:r>
                          </w:p>
                          <w:p>
                            <w:pPr>
                              <w:widowControl w:val="0"/>
                              <w:rPr>
                                <w:color w:val="000000"/>
                                <w:szCs w:val="24"/>
                              </w:rPr>
                            </w:pPr>
                            <w:r>
                              <w:rPr>
                                <w:color w:val="000000"/>
                                <w:szCs w:val="24"/>
                              </w:rPr>
                              <w:t>2025 metams.</w:t>
                            </w:r>
                          </w:p>
                        </w:tc>
                        <w:tc>
                          <w:tcPr>
                            <w:tcW w:w="1417" w:type="dxa"/>
                          </w:tcPr>
                          <w:p>
                            <w:pPr>
                              <w:widowControl w:val="0"/>
                              <w:rPr>
                                <w:szCs w:val="24"/>
                              </w:rPr>
                            </w:pPr>
                            <w:r>
                              <w:rPr>
                                <w:szCs w:val="24"/>
                              </w:rPr>
                              <w:t>Žmogiškieji ištekliai.</w:t>
                            </w:r>
                          </w:p>
                        </w:tc>
                        <w:tc>
                          <w:tcPr>
                            <w:tcW w:w="1985" w:type="dxa"/>
                            <w:gridSpan w:val="2"/>
                          </w:tcPr>
                          <w:p>
                            <w:pPr>
                              <w:widowControl w:val="0"/>
                              <w:rPr>
                                <w:szCs w:val="24"/>
                              </w:rPr>
                            </w:pPr>
                            <w:r>
                              <w:rPr>
                                <w:szCs w:val="24"/>
                              </w:rPr>
                              <w:t>SAV_B – 93,35 eur.</w:t>
                            </w:r>
                          </w:p>
                          <w:p>
                            <w:pPr>
                              <w:widowControl w:val="0"/>
                              <w:rPr>
                                <w:szCs w:val="24"/>
                              </w:rPr>
                            </w:pPr>
                            <w:r>
                              <w:rPr>
                                <w:szCs w:val="24"/>
                              </w:rPr>
                              <w:t>Globos (rūpybos) lėšos – 804,00 Eur.</w:t>
                            </w:r>
                          </w:p>
                        </w:tc>
                        <w:tc>
                          <w:tcPr>
                            <w:tcW w:w="2551" w:type="dxa"/>
                            <w:gridSpan w:val="2"/>
                          </w:tcPr>
                          <w:p>
                            <w:pPr>
                              <w:widowControl w:val="0"/>
                              <w:rPr>
                                <w:color w:val="EE0000"/>
                                <w:szCs w:val="24"/>
                                <w:shd w:val="clear" w:color="auto" w:fill="FFFFFF"/>
                              </w:rPr>
                            </w:pPr>
                            <w:r>
                              <w:rPr>
                                <w:szCs w:val="24"/>
                                <w:shd w:val="clear" w:color="auto" w:fill="FFFFFF"/>
                              </w:rPr>
                              <w:t>10,1 % daugiau projektų.</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rFonts w:eastAsia="Calibri"/>
                                <w:szCs w:val="24"/>
                              </w:rPr>
                            </w:pPr>
                            <w:r>
                              <w:rPr>
                                <w:rFonts w:eastAsia="Calibri"/>
                                <w:szCs w:val="24"/>
                              </w:rPr>
                              <w:t>2.2.3. Dalyvauta Radviliškio raj. sav. organizuojamame vasaros vaikų socializacijos ir poilsio programų rėmimo konkurse.</w:t>
                            </w:r>
                          </w:p>
                        </w:tc>
                        <w:tc>
                          <w:tcPr>
                            <w:tcW w:w="1134" w:type="dxa"/>
                            <w:gridSpan w:val="2"/>
                          </w:tcPr>
                          <w:p>
                            <w:pPr>
                              <w:widowControl w:val="0"/>
                              <w:rPr>
                                <w:szCs w:val="24"/>
                              </w:rPr>
                            </w:pPr>
                            <w:r>
                              <w:rPr>
                                <w:szCs w:val="24"/>
                              </w:rPr>
                              <w:t>Programų skaičius.</w:t>
                            </w:r>
                          </w:p>
                        </w:tc>
                        <w:tc>
                          <w:tcPr>
                            <w:tcW w:w="992" w:type="dxa"/>
                            <w:gridSpan w:val="2"/>
                          </w:tcPr>
                          <w:p>
                            <w:pPr>
                              <w:widowControl w:val="0"/>
                              <w:rPr>
                                <w:szCs w:val="24"/>
                              </w:rPr>
                            </w:pPr>
                            <w:r>
                              <w:rPr>
                                <w:szCs w:val="24"/>
                              </w:rPr>
                              <w:t>1</w:t>
                            </w:r>
                          </w:p>
                        </w:tc>
                        <w:tc>
                          <w:tcPr>
                            <w:tcW w:w="851" w:type="dxa"/>
                            <w:gridSpan w:val="2"/>
                          </w:tcPr>
                          <w:p>
                            <w:pPr>
                              <w:widowControl w:val="0"/>
                              <w:rPr>
                                <w:szCs w:val="24"/>
                              </w:rPr>
                            </w:pPr>
                            <w:r>
                              <w:rPr>
                                <w:szCs w:val="24"/>
                              </w:rPr>
                              <w:t>1</w:t>
                            </w:r>
                          </w:p>
                        </w:tc>
                        <w:tc>
                          <w:tcPr>
                            <w:tcW w:w="850" w:type="dxa"/>
                            <w:gridSpan w:val="2"/>
                          </w:tcPr>
                          <w:p>
                            <w:pPr>
                              <w:widowControl w:val="0"/>
                              <w:rPr>
                                <w:szCs w:val="24"/>
                              </w:rPr>
                            </w:pPr>
                            <w:r>
                              <w:rPr>
                                <w:szCs w:val="24"/>
                              </w:rPr>
                              <w:t>1</w:t>
                            </w:r>
                          </w:p>
                        </w:tc>
                        <w:tc>
                          <w:tcPr>
                            <w:tcW w:w="1843" w:type="dxa"/>
                            <w:gridSpan w:val="3"/>
                          </w:tcPr>
                          <w:p>
                            <w:pPr>
                              <w:widowControl w:val="0"/>
                              <w:rPr>
                                <w:szCs w:val="24"/>
                              </w:rPr>
                            </w:pPr>
                            <w:r>
                              <w:rPr>
                                <w:szCs w:val="24"/>
                              </w:rPr>
                              <w:t xml:space="preserve">Radviliškio rajono sav. mero potvarkis  2025 m. gegužės 21 d. Nr. M- 279 (2.5 E).</w:t>
                            </w:r>
                          </w:p>
                        </w:tc>
                        <w:tc>
                          <w:tcPr>
                            <w:tcW w:w="1417" w:type="dxa"/>
                          </w:tcPr>
                          <w:p>
                            <w:pPr>
                              <w:widowControl w:val="0"/>
                              <w:rPr>
                                <w:color w:val="FF0000"/>
                                <w:szCs w:val="24"/>
                              </w:rPr>
                            </w:pPr>
                            <w:r>
                              <w:rPr>
                                <w:color w:val="000000"/>
                                <w:szCs w:val="24"/>
                              </w:rPr>
                              <w:t>774,00 Eur.</w:t>
                            </w:r>
                          </w:p>
                        </w:tc>
                        <w:tc>
                          <w:tcPr>
                            <w:tcW w:w="1985" w:type="dxa"/>
                            <w:gridSpan w:val="2"/>
                          </w:tcPr>
                          <w:p>
                            <w:pPr>
                              <w:widowControl w:val="0"/>
                              <w:rPr>
                                <w:color w:val="FF0000"/>
                                <w:szCs w:val="24"/>
                              </w:rPr>
                            </w:pPr>
                            <w:r>
                              <w:rPr>
                                <w:color w:val="000000"/>
                                <w:szCs w:val="24"/>
                              </w:rPr>
                              <w:t>SAV_B</w:t>
                            </w:r>
                          </w:p>
                        </w:tc>
                        <w:tc>
                          <w:tcPr>
                            <w:tcW w:w="2551" w:type="dxa"/>
                            <w:gridSpan w:val="2"/>
                          </w:tcPr>
                          <w:p>
                            <w:pPr>
                              <w:widowControl w:val="0"/>
                              <w:rPr>
                                <w:szCs w:val="24"/>
                              </w:rPr>
                            </w:pPr>
                            <w:r>
                              <w:rPr>
                                <w:szCs w:val="24"/>
                              </w:rPr>
                              <w:t>Projektas „Gyvenimo keliu“.</w:t>
                            </w:r>
                          </w:p>
                        </w:tc>
                      </w:tr>
                      <w:tr>
                        <w:tblPrEx>
                          <w:tblCellMar>
                            <w:left w:w="0" w:type="dxa"/>
                            <w:right w:w="0" w:type="dxa"/>
                          </w:tblCellMar>
                          <w:tblLook w:val="01E0" w:firstRow="1" w:lastRow="1" w:firstColumn="1" w:lastColumn="1" w:noHBand="0" w:noVBand="0"/>
                        </w:tblPrEx>
                        <w:trPr>
                          <w:trHeight w:val="860"/>
                        </w:trPr>
                        <w:tc>
                          <w:tcPr>
                            <w:tcW w:w="3261" w:type="dxa"/>
                          </w:tcPr>
                          <w:p>
                            <w:pPr>
                              <w:widowControl w:val="0"/>
                              <w:rPr>
                                <w:szCs w:val="24"/>
                              </w:rPr>
                            </w:pPr>
                            <w:r>
                              <w:rPr>
                                <w:szCs w:val="24"/>
                              </w:rPr>
                              <w:t>2.2.4. Vasaros poilsio stovyklos organizavimas.</w:t>
                            </w:r>
                          </w:p>
                        </w:tc>
                        <w:tc>
                          <w:tcPr>
                            <w:tcW w:w="1134" w:type="dxa"/>
                            <w:gridSpan w:val="2"/>
                          </w:tcPr>
                          <w:p>
                            <w:pPr>
                              <w:widowControl w:val="0"/>
                              <w:rPr>
                                <w:szCs w:val="24"/>
                              </w:rPr>
                            </w:pPr>
                            <w:r>
                              <w:rPr>
                                <w:szCs w:val="24"/>
                              </w:rPr>
                              <w:t>Rūpintinių skaičius.</w:t>
                            </w:r>
                          </w:p>
                        </w:tc>
                        <w:tc>
                          <w:tcPr>
                            <w:tcW w:w="992" w:type="dxa"/>
                            <w:gridSpan w:val="2"/>
                          </w:tcPr>
                          <w:p>
                            <w:pPr>
                              <w:widowControl w:val="0"/>
                              <w:rPr>
                                <w:szCs w:val="24"/>
                              </w:rPr>
                            </w:pPr>
                            <w:r>
                              <w:rPr>
                                <w:szCs w:val="24"/>
                              </w:rPr>
                              <w:t>4</w:t>
                            </w:r>
                          </w:p>
                          <w:p>
                            <w:pPr>
                              <w:widowControl w:val="0"/>
                              <w:rPr>
                                <w:szCs w:val="24"/>
                              </w:rPr>
                            </w:pPr>
                          </w:p>
                        </w:tc>
                        <w:tc>
                          <w:tcPr>
                            <w:tcW w:w="851" w:type="dxa"/>
                            <w:gridSpan w:val="2"/>
                          </w:tcPr>
                          <w:p>
                            <w:pPr>
                              <w:widowControl w:val="0"/>
                              <w:rPr>
                                <w:szCs w:val="24"/>
                              </w:rPr>
                            </w:pPr>
                            <w:r>
                              <w:rPr>
                                <w:szCs w:val="24"/>
                              </w:rPr>
                              <w:t>1</w:t>
                            </w:r>
                          </w:p>
                          <w:p>
                            <w:pPr>
                              <w:widowControl w:val="0"/>
                              <w:rPr>
                                <w:szCs w:val="24"/>
                              </w:rPr>
                            </w:pPr>
                          </w:p>
                        </w:tc>
                        <w:tc>
                          <w:tcPr>
                            <w:tcW w:w="850" w:type="dxa"/>
                            <w:gridSpan w:val="2"/>
                          </w:tcPr>
                          <w:p>
                            <w:pPr>
                              <w:widowControl w:val="0"/>
                              <w:rPr>
                                <w:szCs w:val="24"/>
                              </w:rPr>
                            </w:pPr>
                            <w:r>
                              <w:rPr>
                                <w:szCs w:val="24"/>
                              </w:rPr>
                              <w:t>4</w:t>
                            </w:r>
                          </w:p>
                        </w:tc>
                        <w:tc>
                          <w:tcPr>
                            <w:tcW w:w="1843" w:type="dxa"/>
                            <w:gridSpan w:val="3"/>
                          </w:tcPr>
                          <w:p>
                            <w:pPr>
                              <w:widowControl w:val="0"/>
                              <w:rPr>
                                <w:color w:val="000000"/>
                                <w:szCs w:val="24"/>
                              </w:rPr>
                            </w:pPr>
                            <w:r>
                              <w:rPr>
                                <w:color w:val="000000"/>
                                <w:szCs w:val="24"/>
                              </w:rPr>
                              <w:t xml:space="preserve">Metinis veiklos planas </w:t>
                            </w:r>
                          </w:p>
                          <w:p>
                            <w:pPr>
                              <w:widowControl w:val="0"/>
                              <w:rPr>
                                <w:color w:val="000000"/>
                                <w:szCs w:val="24"/>
                              </w:rPr>
                            </w:pPr>
                            <w:r>
                              <w:rPr>
                                <w:color w:val="000000"/>
                                <w:szCs w:val="24"/>
                              </w:rPr>
                              <w:t>2025 metams.</w:t>
                            </w:r>
                          </w:p>
                        </w:tc>
                        <w:tc>
                          <w:tcPr>
                            <w:tcW w:w="1417" w:type="dxa"/>
                          </w:tcPr>
                          <w:p>
                            <w:pPr>
                              <w:widowControl w:val="0"/>
                              <w:rPr>
                                <w:szCs w:val="24"/>
                              </w:rPr>
                            </w:pPr>
                            <w:r>
                              <w:rPr>
                                <w:szCs w:val="24"/>
                              </w:rPr>
                              <w:t>900,00 Eur.</w:t>
                            </w:r>
                          </w:p>
                          <w:p>
                            <w:pPr>
                              <w:widowControl w:val="0"/>
                              <w:rPr>
                                <w:szCs w:val="24"/>
                              </w:rPr>
                            </w:pPr>
                          </w:p>
                        </w:tc>
                        <w:tc>
                          <w:tcPr>
                            <w:tcW w:w="1985" w:type="dxa"/>
                            <w:gridSpan w:val="2"/>
                          </w:tcPr>
                          <w:p>
                            <w:pPr>
                              <w:widowControl w:val="0"/>
                              <w:rPr>
                                <w:szCs w:val="24"/>
                              </w:rPr>
                            </w:pPr>
                            <w:r>
                              <w:rPr>
                                <w:szCs w:val="24"/>
                              </w:rPr>
                              <w:t>Globos (rūpybos išlaidos).</w:t>
                            </w:r>
                          </w:p>
                        </w:tc>
                        <w:tc>
                          <w:tcPr>
                            <w:tcW w:w="2551" w:type="dxa"/>
                            <w:gridSpan w:val="2"/>
                          </w:tcPr>
                          <w:p>
                            <w:pPr>
                              <w:widowControl w:val="0"/>
                              <w:rPr>
                                <w:szCs w:val="24"/>
                              </w:rPr>
                            </w:pPr>
                            <w:r>
                              <w:rPr>
                                <w:szCs w:val="24"/>
                              </w:rPr>
                              <w:t>Vaikų vasaros stovykla „Merkurijus“.</w:t>
                            </w:r>
                          </w:p>
                        </w:tc>
                      </w:tr>
                      <w:tr>
                        <w:tblPrEx>
                          <w:tblCellMar>
                            <w:left w:w="0" w:type="dxa"/>
                            <w:right w:w="0" w:type="dxa"/>
                          </w:tblCellMar>
                          <w:tblLook w:val="01E0" w:firstRow="1" w:lastRow="1" w:firstColumn="1" w:lastColumn="1" w:noHBand="0" w:noVBand="0"/>
                        </w:tblPrEx>
                        <w:trPr>
                          <w:trHeight w:val="219"/>
                        </w:trPr>
                        <w:tc>
                          <w:tcPr>
                            <w:tcW w:w="3261" w:type="dxa"/>
                          </w:tcPr>
                          <w:p>
                            <w:pPr>
                              <w:widowControl w:val="0"/>
                              <w:rPr>
                                <w:color w:val="000000"/>
                                <w:szCs w:val="24"/>
                              </w:rPr>
                            </w:pPr>
                            <w:r>
                              <w:rPr>
                                <w:color w:val="000000"/>
                                <w:szCs w:val="24"/>
                              </w:rPr>
                              <w:t xml:space="preserve">2.2.5.Atviros parodomosios veiklos visuomenei ir kitos laisvalaikio veiklos. </w:t>
                            </w:r>
                          </w:p>
                          <w:p>
                            <w:pPr>
                              <w:widowControl w:val="0"/>
                              <w:rPr>
                                <w:color w:val="000000"/>
                                <w:szCs w:val="24"/>
                              </w:rPr>
                            </w:pPr>
                          </w:p>
                        </w:tc>
                        <w:tc>
                          <w:tcPr>
                            <w:tcW w:w="1134" w:type="dxa"/>
                            <w:gridSpan w:val="2"/>
                          </w:tcPr>
                          <w:p>
                            <w:pPr>
                              <w:widowControl w:val="0"/>
                              <w:rPr>
                                <w:color w:val="000000"/>
                                <w:szCs w:val="24"/>
                              </w:rPr>
                            </w:pPr>
                            <w:r>
                              <w:rPr>
                                <w:color w:val="000000"/>
                                <w:szCs w:val="24"/>
                              </w:rPr>
                              <w:t>Veiklų skaičius.</w:t>
                            </w:r>
                          </w:p>
                        </w:tc>
                        <w:tc>
                          <w:tcPr>
                            <w:tcW w:w="992" w:type="dxa"/>
                            <w:gridSpan w:val="2"/>
                          </w:tcPr>
                          <w:p>
                            <w:pPr>
                              <w:widowControl w:val="0"/>
                              <w:rPr>
                                <w:color w:val="000000"/>
                                <w:szCs w:val="24"/>
                              </w:rPr>
                            </w:pPr>
                            <w:r>
                              <w:rPr>
                                <w:color w:val="000000"/>
                                <w:szCs w:val="24"/>
                              </w:rPr>
                              <w:t>2</w:t>
                            </w:r>
                          </w:p>
                        </w:tc>
                        <w:tc>
                          <w:tcPr>
                            <w:tcW w:w="851" w:type="dxa"/>
                            <w:gridSpan w:val="2"/>
                          </w:tcPr>
                          <w:p>
                            <w:pPr>
                              <w:widowControl w:val="0"/>
                              <w:rPr>
                                <w:color w:val="000000"/>
                                <w:szCs w:val="24"/>
                              </w:rPr>
                            </w:pPr>
                            <w:r>
                              <w:rPr>
                                <w:color w:val="000000"/>
                                <w:szCs w:val="24"/>
                              </w:rPr>
                              <w:t>2</w:t>
                            </w:r>
                          </w:p>
                        </w:tc>
                        <w:tc>
                          <w:tcPr>
                            <w:tcW w:w="850" w:type="dxa"/>
                            <w:gridSpan w:val="2"/>
                          </w:tcPr>
                          <w:p>
                            <w:pPr>
                              <w:widowControl w:val="0"/>
                              <w:rPr>
                                <w:color w:val="EE0000"/>
                                <w:szCs w:val="24"/>
                              </w:rPr>
                            </w:pPr>
                            <w:r>
                              <w:rPr>
                                <w:color w:val="000000"/>
                                <w:szCs w:val="24"/>
                              </w:rPr>
                              <w:t>7</w:t>
                            </w:r>
                          </w:p>
                        </w:tc>
                        <w:tc>
                          <w:tcPr>
                            <w:tcW w:w="1843" w:type="dxa"/>
                            <w:gridSpan w:val="3"/>
                          </w:tcPr>
                          <w:p>
                            <w:pPr>
                              <w:widowControl w:val="0"/>
                              <w:rPr>
                                <w:color w:val="000000"/>
                                <w:szCs w:val="24"/>
                              </w:rPr>
                            </w:pPr>
                            <w:r>
                              <w:rPr>
                                <w:color w:val="000000"/>
                                <w:szCs w:val="24"/>
                              </w:rPr>
                              <w:t xml:space="preserve">Metinis veiklos planas </w:t>
                            </w:r>
                          </w:p>
                          <w:p>
                            <w:pPr>
                              <w:widowControl w:val="0"/>
                              <w:rPr>
                                <w:color w:val="EE0000"/>
                                <w:szCs w:val="24"/>
                              </w:rPr>
                            </w:pPr>
                            <w:r>
                              <w:rPr>
                                <w:color w:val="000000"/>
                                <w:szCs w:val="24"/>
                              </w:rPr>
                              <w:t>2025 metams.</w:t>
                            </w:r>
                          </w:p>
                        </w:tc>
                        <w:tc>
                          <w:tcPr>
                            <w:tcW w:w="1417" w:type="dxa"/>
                          </w:tcPr>
                          <w:p>
                            <w:pPr>
                              <w:widowControl w:val="0"/>
                              <w:rPr>
                                <w:color w:val="EE0000"/>
                                <w:szCs w:val="24"/>
                              </w:rPr>
                            </w:pPr>
                            <w:r>
                              <w:rPr>
                                <w:szCs w:val="24"/>
                              </w:rPr>
                              <w:t>Žmogiškieji ištekliai.</w:t>
                            </w:r>
                          </w:p>
                        </w:tc>
                        <w:tc>
                          <w:tcPr>
                            <w:tcW w:w="1985" w:type="dxa"/>
                            <w:gridSpan w:val="2"/>
                          </w:tcPr>
                          <w:p>
                            <w:pPr>
                              <w:widowControl w:val="0"/>
                              <w:rPr>
                                <w:color w:val="EE0000"/>
                                <w:szCs w:val="24"/>
                              </w:rPr>
                            </w:pPr>
                            <w:r>
                              <w:rPr>
                                <w:szCs w:val="24"/>
                              </w:rPr>
                              <w:t>Globos (rūpybos išlaidos) -797,00 Eur.</w:t>
                            </w:r>
                          </w:p>
                        </w:tc>
                        <w:tc>
                          <w:tcPr>
                            <w:tcW w:w="2551" w:type="dxa"/>
                            <w:gridSpan w:val="2"/>
                          </w:tcPr>
                          <w:p>
                            <w:pPr>
                              <w:widowControl w:val="0"/>
                              <w:rPr>
                                <w:color w:val="EE0000"/>
                                <w:szCs w:val="24"/>
                              </w:rPr>
                            </w:pPr>
                            <w:r>
                              <w:rPr>
                                <w:szCs w:val="24"/>
                              </w:rPr>
                              <w:t>Visa kita veikla skelbiama įstaigos internetinėje svetainėje.</w:t>
                            </w:r>
                          </w:p>
                        </w:tc>
                      </w:tr>
                    </w:tbl>
                    <w:p>
                      <w:pPr>
                        <w:rPr>
                          <w:szCs w:val="24"/>
                        </w:rPr>
                      </w:pPr>
                    </w:p>
                  </w:sdtContent>
                </w:sdt>
                <w:sdt>
                  <w:sdtPr>
                    <w:alias w:val="skirsnis"/>
                    <w:tag w:val="part_f916352aaf76415890f9b0eedd06c4fc"/>
                    <w:lock w:val="sdtLocked"/>
                    <w:richText/>
                  </w:sdtPr>
                  <w:sdtContent>
                    <w:p>
                      <w:pPr>
                        <w:jc w:val="center"/>
                        <w:rPr>
                          <w:b/>
                          <w:bCs/>
                          <w:szCs w:val="24"/>
                        </w:rPr>
                      </w:pPr>
                      <w:sdt>
                        <w:sdtPr>
                          <w:alias w:val="Pavadinimas"/>
                          <w:tag w:val="title_f916352aaf76415890f9b0eedd06c4fc"/>
                          <w:lock w:val="sdtLocked"/>
                          <w:richText/>
                        </w:sdtPr>
                        <w:sdtContent>
                          <w:r>
                            <w:rPr>
                              <w:b/>
                              <w:bCs/>
                              <w:szCs w:val="24"/>
                            </w:rPr>
                            <w:t>ŠEDUVOS GLOBOS NAMAI</w:t>
                          </w:r>
                        </w:sdtContent>
                      </w:sdt>
                    </w:p>
                    <w:p>
                      <w:pPr>
                        <w:rPr>
                          <w:szCs w:val="24"/>
                        </w:rPr>
                      </w:pPr>
                    </w:p>
                    <w:p>
                      <w:pPr>
                        <w:rPr>
                          <w:bCs/>
                          <w:szCs w:val="24"/>
                        </w:rPr>
                      </w:pPr>
                      <w:r>
                        <w:rPr>
                          <w:bCs/>
                          <w:szCs w:val="24"/>
                        </w:rPr>
                        <w:t>Programų, strateginių ir (arba) metų veiklos tikslų įgyvendinimo rodikliai</w:t>
                      </w: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
                        <w:gridCol w:w="1133"/>
                        <w:gridCol w:w="1"/>
                        <w:gridCol w:w="849"/>
                        <w:gridCol w:w="144"/>
                        <w:gridCol w:w="707"/>
                        <w:gridCol w:w="145"/>
                        <w:gridCol w:w="705"/>
                        <w:gridCol w:w="146"/>
                        <w:gridCol w:w="1697"/>
                        <w:gridCol w:w="62"/>
                        <w:gridCol w:w="1497"/>
                        <w:gridCol w:w="7"/>
                        <w:gridCol w:w="1978"/>
                        <w:gridCol w:w="7"/>
                        <w:gridCol w:w="2544"/>
                      </w:tblGrid>
                      <w:tr>
                        <w:tc>
                          <w:tcPr>
                            <w:tcW w:w="3262" w:type="dxa"/>
                            <w:gridSpan w:val="2"/>
                            <w:vMerge w:val="restart"/>
                            <w:shd w:val="clear" w:color="auto" w:fill="DBE5F1"/>
                            <w:vAlign w:val="center"/>
                          </w:tcPr>
                          <w:p>
                            <w:pPr>
                              <w:rPr>
                                <w:b/>
                                <w:color w:val="000000"/>
                                <w:szCs w:val="24"/>
                              </w:rPr>
                            </w:pPr>
                            <w:r>
                              <w:rPr>
                                <w:b/>
                                <w:color w:val="000000"/>
                                <w:szCs w:val="24"/>
                              </w:rPr>
                              <w:t>Priemonės ir (arba) rodiklio kodas ir pavadinimas</w:t>
                            </w:r>
                          </w:p>
                        </w:tc>
                        <w:tc>
                          <w:tcPr>
                            <w:tcW w:w="1134" w:type="dxa"/>
                            <w:gridSpan w:val="2"/>
                            <w:vMerge w:val="restart"/>
                            <w:shd w:val="clear" w:color="auto" w:fill="DBE5F1"/>
                            <w:vAlign w:val="center"/>
                          </w:tcPr>
                          <w:p>
                            <w:pPr>
                              <w:rPr>
                                <w:b/>
                                <w:color w:val="000000"/>
                                <w:szCs w:val="24"/>
                              </w:rPr>
                            </w:pPr>
                            <w:r>
                              <w:rPr>
                                <w:b/>
                                <w:color w:val="000000"/>
                                <w:szCs w:val="24"/>
                              </w:rPr>
                              <w:t xml:space="preserve">Planuota reikšmė, matavimo vienetas </w:t>
                            </w:r>
                          </w:p>
                        </w:tc>
                        <w:tc>
                          <w:tcPr>
                            <w:tcW w:w="2696" w:type="dxa"/>
                            <w:gridSpan w:val="6"/>
                            <w:shd w:val="clear" w:color="auto" w:fill="DBE5F1"/>
                            <w:vAlign w:val="center"/>
                          </w:tcPr>
                          <w:p>
                            <w:pPr>
                              <w:rPr>
                                <w:b/>
                                <w:color w:val="000000"/>
                                <w:szCs w:val="24"/>
                              </w:rPr>
                            </w:pPr>
                            <w:r>
                              <w:rPr>
                                <w:b/>
                                <w:color w:val="000000"/>
                                <w:szCs w:val="24"/>
                              </w:rPr>
                              <w:t>Praėjusių 2 ataskaitinių laikotarpių ir ataskaitinio laikotarpio reikšmės (faktas)</w:t>
                            </w:r>
                          </w:p>
                        </w:tc>
                        <w:tc>
                          <w:tcPr>
                            <w:tcW w:w="1759" w:type="dxa"/>
                            <w:gridSpan w:val="2"/>
                            <w:vMerge w:val="restart"/>
                            <w:shd w:val="clear" w:color="auto" w:fill="DBE5F1"/>
                            <w:vAlign w:val="center"/>
                          </w:tcPr>
                          <w:p>
                            <w:pPr>
                              <w:rPr>
                                <w:b/>
                                <w:color w:val="000000"/>
                                <w:szCs w:val="24"/>
                              </w:rPr>
                            </w:pPr>
                            <w:r>
                              <w:rPr>
                                <w:b/>
                                <w:color w:val="000000"/>
                                <w:szCs w:val="24"/>
                              </w:rPr>
                              <w:t>Sąsaja su Savivaldybės, kitų institucijų, įstaigos planavimo dokumentais</w:t>
                            </w:r>
                          </w:p>
                        </w:tc>
                        <w:tc>
                          <w:tcPr>
                            <w:tcW w:w="3489" w:type="dxa"/>
                            <w:gridSpan w:val="4"/>
                            <w:shd w:val="clear" w:color="auto" w:fill="DBE5F1"/>
                            <w:vAlign w:val="center"/>
                          </w:tcPr>
                          <w:p>
                            <w:pPr>
                              <w:rPr>
                                <w:b/>
                                <w:color w:val="000000"/>
                                <w:szCs w:val="24"/>
                              </w:rPr>
                            </w:pPr>
                            <w:r>
                              <w:rPr>
                                <w:b/>
                                <w:color w:val="000000"/>
                                <w:szCs w:val="24"/>
                              </w:rPr>
                              <w:t xml:space="preserve">Finansavimas </w:t>
                            </w:r>
                          </w:p>
                        </w:tc>
                        <w:tc>
                          <w:tcPr>
                            <w:tcW w:w="2544" w:type="dxa"/>
                            <w:vMerge w:val="restart"/>
                            <w:shd w:val="clear" w:color="auto" w:fill="DBE5F1"/>
                            <w:vAlign w:val="center"/>
                          </w:tcPr>
                          <w:p>
                            <w:pPr>
                              <w:rPr>
                                <w:b/>
                                <w:color w:val="000000"/>
                                <w:szCs w:val="24"/>
                              </w:rPr>
                            </w:pPr>
                            <w:r>
                              <w:rPr>
                                <w:b/>
                                <w:color w:val="000000"/>
                                <w:szCs w:val="24"/>
                              </w:rPr>
                              <w:t>Komentaras</w:t>
                            </w:r>
                          </w:p>
                          <w:p>
                            <w:pPr>
                              <w:rPr>
                                <w:b/>
                                <w:color w:val="000000"/>
                                <w:szCs w:val="24"/>
                              </w:rPr>
                            </w:pPr>
                            <w:r>
                              <w:rPr>
                                <w:b/>
                                <w:color w:val="000000"/>
                                <w:szCs w:val="24"/>
                              </w:rPr>
                              <w:t>(Atsakingas vykdytojas)</w:t>
                            </w:r>
                          </w:p>
                        </w:tc>
                      </w:tr>
                      <w:tr>
                        <w:tc>
                          <w:tcPr>
                            <w:tcW w:w="3262" w:type="dxa"/>
                            <w:gridSpan w:val="2"/>
                            <w:vMerge/>
                            <w:shd w:val="clear" w:color="auto" w:fill="DBE5F1"/>
                            <w:vAlign w:val="center"/>
                          </w:tcPr>
                          <w:p>
                            <w:pPr>
                              <w:rPr>
                                <w:b/>
                                <w:color w:val="000000"/>
                                <w:szCs w:val="24"/>
                              </w:rPr>
                            </w:pPr>
                          </w:p>
                        </w:tc>
                        <w:tc>
                          <w:tcPr>
                            <w:tcW w:w="1134" w:type="dxa"/>
                            <w:gridSpan w:val="2"/>
                            <w:vMerge/>
                            <w:shd w:val="clear" w:color="auto" w:fill="DBE5F1"/>
                            <w:vAlign w:val="center"/>
                          </w:tcPr>
                          <w:p>
                            <w:pPr>
                              <w:rPr>
                                <w:b/>
                                <w:color w:val="000000"/>
                                <w:szCs w:val="24"/>
                              </w:rPr>
                            </w:pPr>
                          </w:p>
                        </w:tc>
                        <w:tc>
                          <w:tcPr>
                            <w:tcW w:w="993" w:type="dxa"/>
                            <w:gridSpan w:val="2"/>
                            <w:shd w:val="clear" w:color="auto" w:fill="DBE5F1"/>
                            <w:vAlign w:val="center"/>
                          </w:tcPr>
                          <w:p>
                            <w:pPr>
                              <w:rPr>
                                <w:b/>
                                <w:color w:val="000000"/>
                                <w:szCs w:val="24"/>
                              </w:rPr>
                            </w:pPr>
                            <w:r>
                              <w:rPr>
                                <w:b/>
                                <w:color w:val="000000"/>
                                <w:szCs w:val="24"/>
                              </w:rPr>
                              <w:t>2023 metai</w:t>
                            </w:r>
                          </w:p>
                        </w:tc>
                        <w:tc>
                          <w:tcPr>
                            <w:tcW w:w="852" w:type="dxa"/>
                            <w:gridSpan w:val="2"/>
                            <w:shd w:val="clear" w:color="auto" w:fill="DBE5F1"/>
                            <w:vAlign w:val="center"/>
                          </w:tcPr>
                          <w:p>
                            <w:pPr>
                              <w:rPr>
                                <w:b/>
                                <w:color w:val="000000"/>
                                <w:szCs w:val="24"/>
                              </w:rPr>
                            </w:pPr>
                            <w:r>
                              <w:rPr>
                                <w:b/>
                                <w:color w:val="000000"/>
                                <w:szCs w:val="24"/>
                              </w:rPr>
                              <w:t>2024 metai</w:t>
                            </w:r>
                          </w:p>
                        </w:tc>
                        <w:tc>
                          <w:tcPr>
                            <w:tcW w:w="851" w:type="dxa"/>
                            <w:gridSpan w:val="2"/>
                            <w:shd w:val="clear" w:color="auto" w:fill="DBE5F1"/>
                            <w:vAlign w:val="center"/>
                          </w:tcPr>
                          <w:p>
                            <w:pPr>
                              <w:rPr>
                                <w:b/>
                                <w:color w:val="000000"/>
                                <w:szCs w:val="24"/>
                              </w:rPr>
                            </w:pPr>
                            <w:r>
                              <w:rPr>
                                <w:b/>
                                <w:color w:val="000000"/>
                                <w:szCs w:val="24"/>
                              </w:rPr>
                              <w:t>2025 metai</w:t>
                            </w:r>
                          </w:p>
                        </w:tc>
                        <w:tc>
                          <w:tcPr>
                            <w:tcW w:w="1759" w:type="dxa"/>
                            <w:gridSpan w:val="2"/>
                            <w:vMerge/>
                            <w:shd w:val="clear" w:color="auto" w:fill="DBE5F1"/>
                            <w:vAlign w:val="center"/>
                          </w:tcPr>
                          <w:p>
                            <w:pPr>
                              <w:rPr>
                                <w:b/>
                                <w:color w:val="000000"/>
                                <w:szCs w:val="24"/>
                              </w:rPr>
                            </w:pPr>
                          </w:p>
                        </w:tc>
                        <w:tc>
                          <w:tcPr>
                            <w:tcW w:w="1504" w:type="dxa"/>
                            <w:gridSpan w:val="2"/>
                            <w:shd w:val="clear" w:color="auto" w:fill="DBE5F1"/>
                            <w:vAlign w:val="center"/>
                          </w:tcPr>
                          <w:p>
                            <w:pPr>
                              <w:rPr>
                                <w:b/>
                                <w:color w:val="000000"/>
                                <w:szCs w:val="24"/>
                              </w:rPr>
                            </w:pPr>
                            <w:r>
                              <w:rPr>
                                <w:b/>
                                <w:color w:val="000000"/>
                                <w:szCs w:val="24"/>
                              </w:rPr>
                              <w:t>Patvirtintas planas</w:t>
                            </w:r>
                          </w:p>
                        </w:tc>
                        <w:tc>
                          <w:tcPr>
                            <w:tcW w:w="1985" w:type="dxa"/>
                            <w:gridSpan w:val="2"/>
                            <w:shd w:val="clear" w:color="auto" w:fill="DBE5F1"/>
                            <w:vAlign w:val="center"/>
                          </w:tcPr>
                          <w:p>
                            <w:pPr>
                              <w:rPr>
                                <w:b/>
                                <w:color w:val="000000"/>
                                <w:szCs w:val="24"/>
                              </w:rPr>
                            </w:pPr>
                            <w:r>
                              <w:rPr>
                                <w:b/>
                                <w:color w:val="000000"/>
                                <w:szCs w:val="24"/>
                              </w:rPr>
                              <w:t xml:space="preserve">Įvykdymas, asignavimų šaltinis </w:t>
                            </w:r>
                          </w:p>
                        </w:tc>
                        <w:tc>
                          <w:tcPr>
                            <w:tcW w:w="2544" w:type="dxa"/>
                            <w:vMerge/>
                            <w:shd w:val="clear" w:color="auto" w:fill="DBE5F1"/>
                            <w:vAlign w:val="center"/>
                          </w:tcPr>
                          <w:p>
                            <w:pPr>
                              <w:rPr>
                                <w:b/>
                                <w:color w:val="000000"/>
                                <w:szCs w:val="24"/>
                              </w:rPr>
                            </w:pPr>
                          </w:p>
                        </w:tc>
                      </w:tr>
                      <w:tr>
                        <w:trPr>
                          <w:trHeight w:val="108"/>
                        </w:trPr>
                        <w:tc>
                          <w:tcPr>
                            <w:tcW w:w="3262" w:type="dxa"/>
                            <w:gridSpan w:val="2"/>
                            <w:shd w:val="clear" w:color="auto" w:fill="DBE5F1"/>
                          </w:tcPr>
                          <w:p>
                            <w:pPr>
                              <w:rPr>
                                <w:color w:val="000000"/>
                                <w:szCs w:val="24"/>
                              </w:rPr>
                            </w:pPr>
                            <w:r>
                              <w:rPr>
                                <w:color w:val="000000"/>
                                <w:szCs w:val="24"/>
                              </w:rPr>
                              <w:t>1</w:t>
                            </w:r>
                          </w:p>
                        </w:tc>
                        <w:tc>
                          <w:tcPr>
                            <w:tcW w:w="1134" w:type="dxa"/>
                            <w:gridSpan w:val="2"/>
                            <w:shd w:val="clear" w:color="auto" w:fill="DBE5F1"/>
                          </w:tcPr>
                          <w:p>
                            <w:pPr>
                              <w:rPr>
                                <w:color w:val="000000"/>
                                <w:szCs w:val="24"/>
                              </w:rPr>
                            </w:pPr>
                            <w:r>
                              <w:rPr>
                                <w:color w:val="000000"/>
                                <w:szCs w:val="24"/>
                              </w:rPr>
                              <w:t>2</w:t>
                            </w:r>
                          </w:p>
                        </w:tc>
                        <w:tc>
                          <w:tcPr>
                            <w:tcW w:w="993" w:type="dxa"/>
                            <w:gridSpan w:val="2"/>
                            <w:shd w:val="clear" w:color="auto" w:fill="DBE5F1"/>
                          </w:tcPr>
                          <w:p>
                            <w:pPr>
                              <w:rPr>
                                <w:color w:val="000000"/>
                                <w:szCs w:val="24"/>
                              </w:rPr>
                            </w:pPr>
                            <w:r>
                              <w:rPr>
                                <w:color w:val="000000"/>
                                <w:szCs w:val="24"/>
                              </w:rPr>
                              <w:t>3</w:t>
                            </w:r>
                          </w:p>
                        </w:tc>
                        <w:tc>
                          <w:tcPr>
                            <w:tcW w:w="852" w:type="dxa"/>
                            <w:gridSpan w:val="2"/>
                            <w:shd w:val="clear" w:color="auto" w:fill="DBE5F1"/>
                          </w:tcPr>
                          <w:p>
                            <w:pPr>
                              <w:rPr>
                                <w:color w:val="000000"/>
                                <w:szCs w:val="24"/>
                              </w:rPr>
                            </w:pPr>
                            <w:r>
                              <w:rPr>
                                <w:color w:val="000000"/>
                                <w:szCs w:val="24"/>
                              </w:rPr>
                              <w:t>4</w:t>
                            </w:r>
                          </w:p>
                        </w:tc>
                        <w:tc>
                          <w:tcPr>
                            <w:tcW w:w="851" w:type="dxa"/>
                            <w:gridSpan w:val="2"/>
                            <w:shd w:val="clear" w:color="auto" w:fill="DBE5F1"/>
                          </w:tcPr>
                          <w:p>
                            <w:pPr>
                              <w:rPr>
                                <w:color w:val="000000"/>
                                <w:szCs w:val="24"/>
                              </w:rPr>
                            </w:pPr>
                            <w:r>
                              <w:rPr>
                                <w:color w:val="000000"/>
                                <w:szCs w:val="24"/>
                              </w:rPr>
                              <w:t>5</w:t>
                            </w:r>
                          </w:p>
                        </w:tc>
                        <w:tc>
                          <w:tcPr>
                            <w:tcW w:w="1759" w:type="dxa"/>
                            <w:gridSpan w:val="2"/>
                            <w:shd w:val="clear" w:color="auto" w:fill="DBE5F1"/>
                          </w:tcPr>
                          <w:p>
                            <w:pPr>
                              <w:rPr>
                                <w:color w:val="000000"/>
                                <w:szCs w:val="24"/>
                              </w:rPr>
                            </w:pPr>
                            <w:r>
                              <w:rPr>
                                <w:color w:val="000000"/>
                                <w:szCs w:val="24"/>
                              </w:rPr>
                              <w:t>6</w:t>
                            </w:r>
                          </w:p>
                        </w:tc>
                        <w:tc>
                          <w:tcPr>
                            <w:tcW w:w="1504" w:type="dxa"/>
                            <w:gridSpan w:val="2"/>
                            <w:shd w:val="clear" w:color="auto" w:fill="DBE5F1"/>
                          </w:tcPr>
                          <w:p>
                            <w:pPr>
                              <w:rPr>
                                <w:color w:val="000000"/>
                                <w:szCs w:val="24"/>
                              </w:rPr>
                            </w:pPr>
                            <w:r>
                              <w:rPr>
                                <w:color w:val="000000"/>
                                <w:szCs w:val="24"/>
                              </w:rPr>
                              <w:t>7</w:t>
                            </w:r>
                          </w:p>
                        </w:tc>
                        <w:tc>
                          <w:tcPr>
                            <w:tcW w:w="1985" w:type="dxa"/>
                            <w:gridSpan w:val="2"/>
                            <w:shd w:val="clear" w:color="auto" w:fill="DBE5F1"/>
                          </w:tcPr>
                          <w:p>
                            <w:pPr>
                              <w:rPr>
                                <w:color w:val="000000"/>
                                <w:szCs w:val="24"/>
                              </w:rPr>
                            </w:pPr>
                            <w:r>
                              <w:rPr>
                                <w:color w:val="000000"/>
                                <w:szCs w:val="24"/>
                              </w:rPr>
                              <w:t>8</w:t>
                            </w:r>
                          </w:p>
                        </w:tc>
                        <w:tc>
                          <w:tcPr>
                            <w:tcW w:w="2544" w:type="dxa"/>
                            <w:shd w:val="clear" w:color="auto" w:fill="DBE5F1"/>
                          </w:tcPr>
                          <w:p>
                            <w:pPr>
                              <w:rPr>
                                <w:color w:val="000000"/>
                                <w:szCs w:val="24"/>
                              </w:rPr>
                            </w:pPr>
                            <w:r>
                              <w:rPr>
                                <w:color w:val="000000"/>
                                <w:szCs w:val="24"/>
                              </w:rPr>
                              <w:t>9</w:t>
                            </w:r>
                          </w:p>
                        </w:tc>
                      </w:tr>
                      <w:tr>
                        <w:trPr>
                          <w:trHeight w:val="108"/>
                        </w:trPr>
                        <w:tc>
                          <w:tcPr>
                            <w:tcW w:w="14884" w:type="dxa"/>
                            <w:gridSpan w:val="17"/>
                          </w:tcPr>
                          <w:p>
                            <w:pPr>
                              <w:rPr>
                                <w:b/>
                                <w:bCs/>
                                <w:color w:val="000000"/>
                                <w:szCs w:val="24"/>
                              </w:rPr>
                            </w:pPr>
                            <w:r>
                              <w:rPr>
                                <w:b/>
                                <w:bCs/>
                                <w:color w:val="000000"/>
                                <w:szCs w:val="24"/>
                              </w:rPr>
                              <w:t>1.Tikslas: Socialinių paslaugų teikimas.</w:t>
                            </w:r>
                          </w:p>
                        </w:tc>
                      </w:tr>
                      <w:tr>
                        <w:trPr>
                          <w:trHeight w:val="108"/>
                        </w:trPr>
                        <w:tc>
                          <w:tcPr>
                            <w:tcW w:w="14884" w:type="dxa"/>
                            <w:gridSpan w:val="17"/>
                          </w:tcPr>
                          <w:p>
                            <w:pPr>
                              <w:rPr>
                                <w:color w:val="000000"/>
                                <w:szCs w:val="24"/>
                              </w:rPr>
                            </w:pPr>
                            <w:r>
                              <w:rPr>
                                <w:color w:val="000000"/>
                                <w:szCs w:val="24"/>
                              </w:rPr>
                              <w:t>1.1. Uždavinys: Teikti kokybiškas specialiąsias socialines paslaugas.</w:t>
                            </w:r>
                          </w:p>
                        </w:tc>
                      </w:tr>
                      <w:tr>
                        <w:trPr>
                          <w:trHeight w:val="3833"/>
                        </w:trPr>
                        <w:tc>
                          <w:tcPr>
                            <w:tcW w:w="3261" w:type="dxa"/>
                          </w:tcPr>
                          <w:p>
                            <w:pPr>
                              <w:ind w:left="36"/>
                              <w:rPr>
                                <w:color w:val="000000"/>
                                <w:szCs w:val="24"/>
                                <w:lang w:eastAsia="lt-LT"/>
                              </w:rPr>
                            </w:pPr>
                            <w:r>
                              <w:rPr>
                                <w:color w:val="000000"/>
                                <w:szCs w:val="24"/>
                                <w:lang w:eastAsia="lt-LT"/>
                              </w:rPr>
                              <w:t>1.1.1.Ilgalaikė/ trumpalaikė socialinė globa senyvo amžiaus asmenims ir suaugusiems asmenims su negalia.</w:t>
                            </w: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1.1.2.Ilgalaikė/ trumpalaikė socialinė globa senyvo amžiaus asmenims ir suaugusiems asmenims su sunkia negalia.</w:t>
                            </w: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1.1.3. Ilgalaikė/ trumpalaikė socialinė priežiūra senyvo amžiaus asmenims ir suaugusiems asmenims su negalia.</w:t>
                            </w:r>
                          </w:p>
                          <w:p>
                            <w:pPr>
                              <w:rPr>
                                <w:bCs/>
                                <w:color w:val="000000"/>
                                <w:szCs w:val="24"/>
                                <w:lang w:eastAsia="lt-LT"/>
                              </w:rPr>
                            </w:pPr>
                          </w:p>
                        </w:tc>
                        <w:tc>
                          <w:tcPr>
                            <w:tcW w:w="1134" w:type="dxa"/>
                            <w:gridSpan w:val="2"/>
                          </w:tcPr>
                          <w:p>
                            <w:pPr>
                              <w:rPr>
                                <w:color w:val="000000"/>
                                <w:szCs w:val="24"/>
                              </w:rPr>
                            </w:pPr>
                            <w:r>
                              <w:rPr>
                                <w:color w:val="000000"/>
                                <w:szCs w:val="24"/>
                              </w:rPr>
                              <w:t>Paslaugų gavėjų skaičius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850" w:type="dxa"/>
                            <w:gridSpan w:val="2"/>
                          </w:tcPr>
                          <w:p>
                            <w:pPr>
                              <w:rPr>
                                <w:color w:val="000000"/>
                                <w:szCs w:val="24"/>
                              </w:rPr>
                            </w:pPr>
                            <w:r>
                              <w:rPr>
                                <w:color w:val="000000"/>
                                <w:szCs w:val="24"/>
                              </w:rPr>
                              <w:t>56</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32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16</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851" w:type="dxa"/>
                            <w:gridSpan w:val="2"/>
                          </w:tcPr>
                          <w:p>
                            <w:pPr>
                              <w:rPr>
                                <w:color w:val="000000"/>
                                <w:szCs w:val="24"/>
                              </w:rPr>
                            </w:pPr>
                            <w:r>
                              <w:rPr>
                                <w:color w:val="000000"/>
                                <w:szCs w:val="24"/>
                              </w:rPr>
                              <w:t>56</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32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18</w:t>
                            </w:r>
                          </w:p>
                        </w:tc>
                        <w:tc>
                          <w:tcPr>
                            <w:tcW w:w="850" w:type="dxa"/>
                            <w:gridSpan w:val="2"/>
                          </w:tcPr>
                          <w:p>
                            <w:pPr>
                              <w:rPr>
                                <w:color w:val="000000"/>
                                <w:szCs w:val="24"/>
                              </w:rPr>
                            </w:pPr>
                            <w:r>
                              <w:rPr>
                                <w:color w:val="000000"/>
                                <w:szCs w:val="24"/>
                              </w:rPr>
                              <w:t>57</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31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19</w:t>
                            </w:r>
                          </w:p>
                        </w:tc>
                        <w:tc>
                          <w:tcPr>
                            <w:tcW w:w="1843" w:type="dxa"/>
                            <w:gridSpan w:val="2"/>
                          </w:tcPr>
                          <w:p>
                            <w:pPr>
                              <w:rPr>
                                <w:color w:val="000000"/>
                                <w:szCs w:val="24"/>
                              </w:rPr>
                            </w:pPr>
                            <w:r>
                              <w:rPr>
                                <w:color w:val="000000"/>
                                <w:szCs w:val="24"/>
                              </w:rPr>
                              <w:t>Licencija išduota 2014-07-23 (papildyta 2017-09-20) Nr. L000000165</w:t>
                            </w:r>
                          </w:p>
                          <w:p>
                            <w:pPr>
                              <w:rPr>
                                <w:color w:val="000000"/>
                                <w:szCs w:val="24"/>
                              </w:rPr>
                            </w:pPr>
                          </w:p>
                          <w:p>
                            <w:pPr>
                              <w:rPr>
                                <w:color w:val="000000"/>
                                <w:szCs w:val="24"/>
                              </w:rPr>
                            </w:pPr>
                            <w:r>
                              <w:rPr>
                                <w:color w:val="000000"/>
                                <w:szCs w:val="24"/>
                              </w:rPr>
                              <w:t>Licencija išduota 2014-07-23 (papildyta 2017-10-110 Nr. L000000166.</w:t>
                            </w:r>
                          </w:p>
                          <w:p>
                            <w:pPr>
                              <w:rPr>
                                <w:color w:val="000000"/>
                                <w:szCs w:val="24"/>
                              </w:rPr>
                            </w:pPr>
                          </w:p>
                          <w:p>
                            <w:pPr>
                              <w:rPr>
                                <w:color w:val="000000"/>
                                <w:szCs w:val="24"/>
                              </w:rPr>
                            </w:pPr>
                          </w:p>
                          <w:p>
                            <w:pPr>
                              <w:rPr>
                                <w:color w:val="000000"/>
                                <w:szCs w:val="24"/>
                              </w:rPr>
                            </w:pPr>
                            <w:r>
                              <w:rPr>
                                <w:color w:val="000000"/>
                                <w:szCs w:val="24"/>
                              </w:rPr>
                              <w:t>Radviliškio r. sav. administracijos direktoriaus įsakymas 2024-12-31 Nr. A-667 (8.2)</w:t>
                            </w:r>
                          </w:p>
                          <w:p>
                            <w:pPr>
                              <w:rPr>
                                <w:color w:val="000000"/>
                                <w:szCs w:val="24"/>
                              </w:rPr>
                            </w:pPr>
                          </w:p>
                        </w:tc>
                        <w:tc>
                          <w:tcPr>
                            <w:tcW w:w="1559" w:type="dxa"/>
                            <w:gridSpan w:val="2"/>
                          </w:tcPr>
                          <w:p>
                            <w:pPr>
                              <w:rPr>
                                <w:color w:val="000000"/>
                                <w:szCs w:val="24"/>
                              </w:rPr>
                            </w:pPr>
                            <w:r>
                              <w:rPr>
                                <w:color w:val="000000"/>
                                <w:szCs w:val="24"/>
                              </w:rPr>
                              <w:t>Mėnesio kaina 1300,00 Eur.</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Mėnesio kaina 1500,00 Eur.</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Mėnesio kaina 650,00 Eur.</w:t>
                            </w:r>
                          </w:p>
                        </w:tc>
                        <w:tc>
                          <w:tcPr>
                            <w:tcW w:w="1985" w:type="dxa"/>
                            <w:gridSpan w:val="2"/>
                          </w:tcPr>
                          <w:p>
                            <w:pPr>
                              <w:rPr>
                                <w:color w:val="000000"/>
                                <w:szCs w:val="24"/>
                              </w:rPr>
                            </w:pPr>
                            <w:r>
                              <w:rPr>
                                <w:color w:val="000000"/>
                                <w:szCs w:val="24"/>
                              </w:rPr>
                              <w:t>SAV_B</w:t>
                            </w:r>
                          </w:p>
                          <w:p>
                            <w:pPr>
                              <w:rPr>
                                <w:color w:val="000000"/>
                                <w:szCs w:val="24"/>
                              </w:rPr>
                            </w:pPr>
                            <w:r>
                              <w:rPr>
                                <w:color w:val="000000"/>
                                <w:szCs w:val="24"/>
                              </w:rPr>
                              <w:t>SPEC lėšos.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SAV_B</w:t>
                            </w:r>
                          </w:p>
                          <w:p>
                            <w:pPr>
                              <w:rPr>
                                <w:color w:val="000000"/>
                                <w:szCs w:val="24"/>
                              </w:rPr>
                            </w:pPr>
                            <w:r>
                              <w:rPr>
                                <w:color w:val="000000"/>
                                <w:szCs w:val="24"/>
                              </w:rPr>
                              <w:t>SPEC lėšos, specialiosios tikslinės dotacijos</w:t>
                            </w:r>
                          </w:p>
                          <w:p>
                            <w:pPr>
                              <w:rPr>
                                <w:color w:val="000000"/>
                                <w:szCs w:val="24"/>
                              </w:rPr>
                            </w:pPr>
                          </w:p>
                          <w:p>
                            <w:pPr>
                              <w:rPr>
                                <w:color w:val="000000"/>
                                <w:szCs w:val="24"/>
                              </w:rPr>
                            </w:pPr>
                          </w:p>
                          <w:p>
                            <w:pPr>
                              <w:rPr>
                                <w:color w:val="000000"/>
                                <w:szCs w:val="24"/>
                              </w:rPr>
                            </w:pPr>
                          </w:p>
                          <w:p>
                            <w:pPr>
                              <w:rPr>
                                <w:color w:val="000000"/>
                                <w:szCs w:val="24"/>
                              </w:rPr>
                            </w:pPr>
                            <w:r>
                              <w:rPr>
                                <w:color w:val="000000"/>
                                <w:szCs w:val="24"/>
                              </w:rPr>
                              <w:t>SAV_B</w:t>
                            </w:r>
                          </w:p>
                          <w:p>
                            <w:pPr>
                              <w:rPr>
                                <w:color w:val="000000"/>
                                <w:szCs w:val="24"/>
                              </w:rPr>
                            </w:pPr>
                            <w:r>
                              <w:rPr>
                                <w:color w:val="000000"/>
                                <w:szCs w:val="24"/>
                              </w:rPr>
                              <w:t>SPEC lėšos.</w:t>
                            </w:r>
                          </w:p>
                        </w:tc>
                        <w:tc>
                          <w:tcPr>
                            <w:tcW w:w="2551" w:type="dxa"/>
                            <w:gridSpan w:val="2"/>
                          </w:tcPr>
                          <w:p>
                            <w:pPr>
                              <w:rPr>
                                <w:color w:val="000000"/>
                                <w:szCs w:val="24"/>
                              </w:rPr>
                            </w:pPr>
                            <w:r>
                              <w:rPr>
                                <w:color w:val="000000"/>
                                <w:szCs w:val="24"/>
                              </w:rPr>
                              <w:t xml:space="preserve">100 % vietų yra užpildytos.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Savarankiško gyvenimo namų padalinyje 86% vietų yra užpildytos. Paslaugų gavėjų skaičius kinta pasikeitus jų sveikatos būklei ir prireikus ilgalaikės socialinės globos paslaugų.</w:t>
                            </w:r>
                          </w:p>
                        </w:tc>
                      </w:tr>
                      <w:tr>
                        <w:tc>
                          <w:tcPr>
                            <w:tcW w:w="14884" w:type="dxa"/>
                            <w:gridSpan w:val="17"/>
                          </w:tcPr>
                          <w:p>
                            <w:pPr>
                              <w:rPr>
                                <w:b/>
                                <w:bCs/>
                                <w:color w:val="000000"/>
                                <w:szCs w:val="24"/>
                              </w:rPr>
                            </w:pPr>
                            <w:r>
                              <w:rPr>
                                <w:b/>
                                <w:bCs/>
                                <w:color w:val="000000"/>
                                <w:szCs w:val="24"/>
                              </w:rPr>
                              <w:t>2. Tikslas: Gerinti socialinio darbo ir sveikatos priežiūros (slaugos) paslaugų kokybę.</w:t>
                            </w:r>
                          </w:p>
                        </w:tc>
                      </w:tr>
                      <w:tr>
                        <w:tc>
                          <w:tcPr>
                            <w:tcW w:w="14884" w:type="dxa"/>
                            <w:gridSpan w:val="17"/>
                          </w:tcPr>
                          <w:p>
                            <w:pPr>
                              <w:rPr>
                                <w:color w:val="000000"/>
                                <w:szCs w:val="24"/>
                              </w:rPr>
                            </w:pPr>
                            <w:r>
                              <w:rPr>
                                <w:color w:val="000000"/>
                                <w:szCs w:val="24"/>
                              </w:rPr>
                              <w:t>2.1. Uždavinys: Vertinti ir planuoti socialinių paslaugų kokybę.</w:t>
                            </w:r>
                          </w:p>
                        </w:tc>
                      </w:tr>
                      <w:tr>
                        <w:tc>
                          <w:tcPr>
                            <w:tcW w:w="3261" w:type="dxa"/>
                          </w:tcPr>
                          <w:p>
                            <w:pPr>
                              <w:rPr>
                                <w:color w:val="000000"/>
                                <w:szCs w:val="24"/>
                                <w:lang w:eastAsia="lt-LT"/>
                              </w:rPr>
                            </w:pPr>
                            <w:r>
                              <w:rPr>
                                <w:color w:val="000000"/>
                                <w:szCs w:val="24"/>
                                <w:lang w:eastAsia="lt-LT"/>
                              </w:rPr>
                              <w:t>2.1.1. Senyvo amžiaus asmenų ir suaugusių asmenų su negalia ilgalaikės (trumpalaikės) socialinės globos normų atitikties ir vertinimo (įsivertinimo) pagal įstaigos veiklą parengimas už 2025 m.</w:t>
                            </w: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2.1.2. Šeduvos globos namų Savarankiško gyvenimo namų padalinio teikiamų socialinės priežiūros paslaugų kokybės įvertinimo už 2025m. paslaugų gavėjų, jų artimųjų ir darbuotojų atžvilgiu atlikto tyrimo ataskaitos parengimas.</w:t>
                            </w:r>
                          </w:p>
                          <w:p>
                            <w:pPr>
                              <w:rPr>
                                <w:color w:val="000000"/>
                                <w:szCs w:val="24"/>
                                <w:lang w:eastAsia="lt-LT"/>
                              </w:rPr>
                            </w:pPr>
                          </w:p>
                          <w:p>
                            <w:pPr>
                              <w:rPr>
                                <w:color w:val="000000"/>
                                <w:szCs w:val="24"/>
                                <w:lang w:eastAsia="lt-LT"/>
                              </w:rPr>
                            </w:pPr>
                            <w:r>
                              <w:rPr>
                                <w:color w:val="000000"/>
                                <w:szCs w:val="24"/>
                                <w:lang w:eastAsia="lt-LT"/>
                              </w:rPr>
                              <w:t>2.1.3.Kiekvieno asmens individualių poreikių vertinimas ir individualaus socialinio globos plano (ISGP) sudarymas.</w:t>
                            </w: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2.1.4.Sveikatos priežiūros, gydomojo masažo bei kineziterapijos paslaugų teikimas Šeduvos globos namuose ir Šeduvos globos namų Polekėlės padalinyje.</w:t>
                            </w:r>
                          </w:p>
                        </w:tc>
                        <w:tc>
                          <w:tcPr>
                            <w:tcW w:w="1134" w:type="dxa"/>
                            <w:gridSpan w:val="2"/>
                          </w:tcPr>
                          <w:p>
                            <w:pPr>
                              <w:rPr>
                                <w:color w:val="000000"/>
                                <w:szCs w:val="24"/>
                              </w:rPr>
                            </w:pPr>
                            <w:r>
                              <w:rPr>
                                <w:color w:val="000000"/>
                                <w:szCs w:val="24"/>
                              </w:rPr>
                              <w:t>Paslaugų gavėjų skaičius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Apklaustų paslaugų gavėjų, jų artimųjų ir darbuoto-jų skaičius.</w:t>
                            </w:r>
                          </w:p>
                          <w:p>
                            <w:pPr>
                              <w:rPr>
                                <w:color w:val="000000"/>
                                <w:szCs w:val="24"/>
                              </w:rPr>
                            </w:pPr>
                          </w:p>
                          <w:p>
                            <w:pPr>
                              <w:rPr>
                                <w:color w:val="000000"/>
                                <w:szCs w:val="24"/>
                              </w:rPr>
                            </w:pPr>
                            <w:r>
                              <w:rPr>
                                <w:color w:val="000000"/>
                                <w:szCs w:val="24"/>
                              </w:rPr>
                              <w:t>Procentai</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Procentai</w:t>
                            </w:r>
                          </w:p>
                        </w:tc>
                        <w:tc>
                          <w:tcPr>
                            <w:tcW w:w="850" w:type="dxa"/>
                            <w:gridSpan w:val="2"/>
                          </w:tcPr>
                          <w:p>
                            <w:pPr>
                              <w:rPr>
                                <w:color w:val="000000"/>
                                <w:szCs w:val="24"/>
                              </w:rPr>
                            </w:pPr>
                            <w:r>
                              <w:rPr>
                                <w:color w:val="000000"/>
                                <w:szCs w:val="24"/>
                              </w:rPr>
                              <w:t>88</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26</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100</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100</w:t>
                            </w:r>
                          </w:p>
                        </w:tc>
                        <w:tc>
                          <w:tcPr>
                            <w:tcW w:w="851" w:type="dxa"/>
                            <w:gridSpan w:val="2"/>
                          </w:tcPr>
                          <w:p>
                            <w:pPr>
                              <w:rPr>
                                <w:color w:val="000000"/>
                                <w:szCs w:val="24"/>
                              </w:rPr>
                            </w:pPr>
                            <w:r>
                              <w:rPr>
                                <w:color w:val="000000"/>
                                <w:szCs w:val="24"/>
                              </w:rPr>
                              <w:t>88</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26</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100</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100</w:t>
                            </w:r>
                          </w:p>
                        </w:tc>
                        <w:tc>
                          <w:tcPr>
                            <w:tcW w:w="850" w:type="dxa"/>
                            <w:gridSpan w:val="2"/>
                          </w:tcPr>
                          <w:p>
                            <w:pPr>
                              <w:rPr>
                                <w:color w:val="000000"/>
                                <w:szCs w:val="24"/>
                              </w:rPr>
                            </w:pPr>
                            <w:r>
                              <w:rPr>
                                <w:color w:val="000000"/>
                                <w:szCs w:val="24"/>
                              </w:rPr>
                              <w:t>88</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28</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100</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100</w:t>
                            </w:r>
                          </w:p>
                          <w:p>
                            <w:pPr>
                              <w:rPr>
                                <w:color w:val="000000"/>
                                <w:szCs w:val="24"/>
                              </w:rPr>
                            </w:pPr>
                          </w:p>
                          <w:p>
                            <w:pPr>
                              <w:rPr>
                                <w:color w:val="000000"/>
                                <w:szCs w:val="24"/>
                              </w:rPr>
                            </w:pPr>
                          </w:p>
                          <w:p>
                            <w:pPr>
                              <w:rPr>
                                <w:color w:val="000000"/>
                                <w:szCs w:val="24"/>
                              </w:rPr>
                            </w:pPr>
                          </w:p>
                        </w:tc>
                        <w:tc>
                          <w:tcPr>
                            <w:tcW w:w="1843" w:type="dxa"/>
                            <w:gridSpan w:val="2"/>
                          </w:tcPr>
                          <w:p>
                            <w:pPr>
                              <w:rPr>
                                <w:color w:val="000000"/>
                                <w:szCs w:val="24"/>
                              </w:rPr>
                            </w:pPr>
                            <w:r>
                              <w:rPr>
                                <w:color w:val="000000"/>
                                <w:szCs w:val="24"/>
                              </w:rPr>
                              <w:t>LR Socialinės apsaugos ir darbo ministro įsakymas 2024-09-20 Nr. A1-626.</w:t>
                            </w:r>
                          </w:p>
                          <w:p>
                            <w:pPr>
                              <w:rPr>
                                <w:color w:val="000000"/>
                                <w:szCs w:val="24"/>
                              </w:rPr>
                            </w:pPr>
                            <w:r>
                              <w:rPr>
                                <w:color w:val="000000"/>
                                <w:szCs w:val="24"/>
                              </w:rPr>
                              <w:t>Šeduvos globos namų direktorės įsakymas 2025-12-22 Nr. V-92(1.4.);</w:t>
                            </w:r>
                          </w:p>
                          <w:p>
                            <w:pPr>
                              <w:rPr>
                                <w:color w:val="000000"/>
                                <w:szCs w:val="24"/>
                              </w:rPr>
                            </w:pPr>
                          </w:p>
                          <w:p>
                            <w:pPr>
                              <w:rPr>
                                <w:color w:val="000000"/>
                                <w:szCs w:val="24"/>
                              </w:rPr>
                            </w:pPr>
                            <w:r>
                              <w:rPr>
                                <w:color w:val="000000"/>
                                <w:szCs w:val="24"/>
                              </w:rPr>
                              <w:t>Šeduvos globos namų direktorės įsakymas 2025-12-22 Nr. V- 93(1.4.)</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LR Socialinės apsaugos ir darbo ministro įsakymas 2024-09-20 Nr. A1-626.</w:t>
                            </w:r>
                          </w:p>
                          <w:p>
                            <w:pPr>
                              <w:rPr>
                                <w:color w:val="000000"/>
                                <w:szCs w:val="24"/>
                              </w:rPr>
                            </w:pPr>
                          </w:p>
                          <w:p>
                            <w:pPr>
                              <w:rPr>
                                <w:color w:val="000000"/>
                                <w:szCs w:val="24"/>
                              </w:rPr>
                            </w:pPr>
                            <w:r>
                              <w:rPr>
                                <w:color w:val="000000"/>
                                <w:szCs w:val="24"/>
                              </w:rPr>
                              <w:t>Licencija išduota 2010-05-13 Nr. 3308.</w:t>
                            </w:r>
                          </w:p>
                          <w:p>
                            <w:pPr>
                              <w:rPr>
                                <w:color w:val="000000"/>
                                <w:szCs w:val="24"/>
                              </w:rPr>
                            </w:pPr>
                          </w:p>
                        </w:tc>
                        <w:tc>
                          <w:tcPr>
                            <w:tcW w:w="1559" w:type="dxa"/>
                            <w:gridSpan w:val="2"/>
                          </w:tcPr>
                          <w:p>
                            <w:pPr>
                              <w:rPr>
                                <w:color w:val="000000"/>
                                <w:szCs w:val="24"/>
                              </w:rPr>
                            </w:pPr>
                            <w:r>
                              <w:rPr>
                                <w:color w:val="000000"/>
                                <w:szCs w:val="24"/>
                              </w:rPr>
                              <w:t>Žmogiškieji ištekliai</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Žmogiškieji ištekliai</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Žmogiškieji ištekliai</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Žmogiškieji ištekliai</w:t>
                            </w:r>
                          </w:p>
                        </w:tc>
                        <w:tc>
                          <w:tcPr>
                            <w:tcW w:w="1985" w:type="dxa"/>
                            <w:gridSpan w:val="2"/>
                          </w:tcPr>
                          <w:p>
                            <w:pPr>
                              <w:rPr>
                                <w:color w:val="000000"/>
                                <w:szCs w:val="24"/>
                              </w:rPr>
                            </w:pPr>
                            <w:r>
                              <w:rPr>
                                <w:color w:val="000000"/>
                                <w:szCs w:val="24"/>
                              </w:rPr>
                              <w:t>-</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w:t>
                            </w:r>
                          </w:p>
                        </w:tc>
                        <w:tc>
                          <w:tcPr>
                            <w:tcW w:w="2551" w:type="dxa"/>
                            <w:gridSpan w:val="2"/>
                          </w:tcPr>
                          <w:p>
                            <w:pPr>
                              <w:rPr>
                                <w:color w:val="000000"/>
                                <w:szCs w:val="24"/>
                              </w:rPr>
                            </w:pPr>
                            <w:r>
                              <w:rPr>
                                <w:color w:val="000000"/>
                                <w:szCs w:val="24"/>
                              </w:rPr>
                              <w:t>Atliktas įsivertinimas ir surašytas paslaugų gerinimo planas.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Atliktas anketavimas, parengtos išvados, pristatytos Savarankiško gyvenimo namų bendruomenei.</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Įgyvendinta ir viršyta. Papildomai atlikti socialinės globos poreikių vertinimai pasikeitus asmens sveikatos būklei.</w:t>
                            </w:r>
                          </w:p>
                          <w:p>
                            <w:pPr>
                              <w:rPr>
                                <w:color w:val="000000"/>
                                <w:szCs w:val="24"/>
                              </w:rPr>
                            </w:pPr>
                          </w:p>
                          <w:p>
                            <w:pPr>
                              <w:rPr>
                                <w:color w:val="000000"/>
                                <w:szCs w:val="24"/>
                              </w:rPr>
                            </w:pPr>
                            <w:r>
                              <w:rPr>
                                <w:color w:val="000000"/>
                                <w:szCs w:val="24"/>
                              </w:rPr>
                              <w:t xml:space="preserve">Įgyvendinta. </w:t>
                            </w:r>
                          </w:p>
                        </w:tc>
                      </w:tr>
                      <w:tr>
                        <w:trPr>
                          <w:trHeight w:val="108"/>
                        </w:trPr>
                        <w:tc>
                          <w:tcPr>
                            <w:tcW w:w="14884" w:type="dxa"/>
                            <w:gridSpan w:val="17"/>
                          </w:tcPr>
                          <w:p>
                            <w:pPr>
                              <w:rPr>
                                <w:b/>
                                <w:bCs/>
                                <w:szCs w:val="24"/>
                              </w:rPr>
                            </w:pPr>
                            <w:r>
                              <w:rPr>
                                <w:b/>
                                <w:bCs/>
                                <w:szCs w:val="24"/>
                              </w:rPr>
                              <w:t>3. Tikslas: Gerinti socialinės globos įstaigos valdymo kokybę</w:t>
                            </w:r>
                          </w:p>
                        </w:tc>
                      </w:tr>
                      <w:tr>
                        <w:tc>
                          <w:tcPr>
                            <w:tcW w:w="14884" w:type="dxa"/>
                            <w:gridSpan w:val="17"/>
                          </w:tcPr>
                          <w:p>
                            <w:pPr>
                              <w:rPr>
                                <w:szCs w:val="24"/>
                              </w:rPr>
                            </w:pPr>
                            <w:r>
                              <w:rPr>
                                <w:szCs w:val="24"/>
                              </w:rPr>
                              <w:t>3.1. Uždavinys: Tobulinti globos namų darbuotojų kompetencijas ir motyvuoti darbuotojus</w:t>
                            </w:r>
                          </w:p>
                        </w:tc>
                      </w:tr>
                      <w:tr>
                        <w:tc>
                          <w:tcPr>
                            <w:tcW w:w="3261" w:type="dxa"/>
                          </w:tcPr>
                          <w:p>
                            <w:pPr>
                              <w:rPr>
                                <w:color w:val="000000"/>
                                <w:szCs w:val="24"/>
                              </w:rPr>
                            </w:pPr>
                            <w:r>
                              <w:rPr>
                                <w:color w:val="000000"/>
                                <w:szCs w:val="24"/>
                              </w:rPr>
                              <w:t>3.1.1. Globos namų veikla grindžiama skaidrumo, atskaitomybės, viešumo principais.</w:t>
                            </w:r>
                          </w:p>
                        </w:tc>
                        <w:tc>
                          <w:tcPr>
                            <w:tcW w:w="1134" w:type="dxa"/>
                            <w:gridSpan w:val="2"/>
                          </w:tcPr>
                          <w:p>
                            <w:pPr>
                              <w:rPr>
                                <w:color w:val="000000"/>
                                <w:szCs w:val="24"/>
                              </w:rPr>
                            </w:pPr>
                            <w:r>
                              <w:rPr>
                                <w:color w:val="000000"/>
                                <w:szCs w:val="24"/>
                              </w:rPr>
                              <w:t>STT e- mokymų skaičius.</w:t>
                            </w:r>
                          </w:p>
                          <w:p>
                            <w:pPr>
                              <w:rPr>
                                <w:color w:val="000000"/>
                                <w:szCs w:val="24"/>
                              </w:rPr>
                            </w:pPr>
                          </w:p>
                        </w:tc>
                        <w:tc>
                          <w:tcPr>
                            <w:tcW w:w="850" w:type="dxa"/>
                            <w:gridSpan w:val="2"/>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851" w:type="dxa"/>
                            <w:gridSpan w:val="2"/>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850" w:type="dxa"/>
                            <w:gridSpan w:val="2"/>
                          </w:tcPr>
                          <w:p>
                            <w:pPr>
                              <w:rPr>
                                <w:color w:val="000000"/>
                                <w:szCs w:val="24"/>
                              </w:rPr>
                            </w:pPr>
                            <w:r>
                              <w:rPr>
                                <w:color w:val="000000"/>
                                <w:szCs w:val="24"/>
                              </w:rPr>
                              <w:t>4</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43" w:type="dxa"/>
                            <w:gridSpan w:val="2"/>
                          </w:tcPr>
                          <w:p>
                            <w:pPr>
                              <w:rPr>
                                <w:color w:val="000000"/>
                                <w:szCs w:val="24"/>
                              </w:rPr>
                            </w:pPr>
                            <w:r>
                              <w:rPr>
                                <w:color w:val="000000"/>
                                <w:szCs w:val="24"/>
                              </w:rPr>
                              <w:t>Šeduvos globos namų ir jiems priklausančių padalinių korupcijos prevencijos 2024-2026m. programos priemonių planas.</w:t>
                            </w:r>
                          </w:p>
                          <w:p>
                            <w:pPr>
                              <w:rPr>
                                <w:color w:val="000000"/>
                                <w:szCs w:val="24"/>
                              </w:rPr>
                            </w:pPr>
                          </w:p>
                        </w:tc>
                        <w:tc>
                          <w:tcPr>
                            <w:tcW w:w="1559" w:type="dxa"/>
                            <w:gridSpan w:val="2"/>
                          </w:tcPr>
                          <w:p>
                            <w:pPr>
                              <w:rPr>
                                <w:color w:val="000000"/>
                                <w:szCs w:val="24"/>
                              </w:rPr>
                            </w:pPr>
                            <w:r>
                              <w:rPr>
                                <w:color w:val="000000"/>
                                <w:szCs w:val="24"/>
                              </w:rPr>
                              <w:t>Žmogiškieji ištekliai</w:t>
                            </w:r>
                          </w:p>
                          <w:p>
                            <w:pPr>
                              <w:rPr>
                                <w:color w:val="000000"/>
                                <w:szCs w:val="24"/>
                              </w:rPr>
                            </w:pPr>
                          </w:p>
                          <w:p>
                            <w:pPr>
                              <w:rPr>
                                <w:color w:val="000000"/>
                                <w:szCs w:val="24"/>
                              </w:rPr>
                            </w:pPr>
                          </w:p>
                          <w:p>
                            <w:pPr>
                              <w:rPr>
                                <w:color w:val="000000"/>
                                <w:szCs w:val="24"/>
                              </w:rPr>
                            </w:pPr>
                          </w:p>
                          <w:p>
                            <w:pPr>
                              <w:rPr>
                                <w:color w:val="000000"/>
                                <w:szCs w:val="24"/>
                              </w:rPr>
                            </w:pPr>
                          </w:p>
                        </w:tc>
                        <w:tc>
                          <w:tcPr>
                            <w:tcW w:w="1985" w:type="dxa"/>
                            <w:gridSpan w:val="2"/>
                          </w:tcPr>
                          <w:p>
                            <w:pPr>
                              <w:rPr>
                                <w:color w:val="000000"/>
                                <w:szCs w:val="24"/>
                              </w:rPr>
                            </w:pPr>
                            <w:r>
                              <w:rPr>
                                <w:color w:val="000000"/>
                                <w:szCs w:val="24"/>
                              </w:rPr>
                              <w:t>-</w:t>
                            </w:r>
                          </w:p>
                          <w:p>
                            <w:pPr>
                              <w:rPr>
                                <w:color w:val="000000"/>
                                <w:szCs w:val="24"/>
                              </w:rPr>
                            </w:pPr>
                          </w:p>
                          <w:p>
                            <w:pPr>
                              <w:rPr>
                                <w:color w:val="000000"/>
                                <w:szCs w:val="24"/>
                              </w:rPr>
                            </w:pPr>
                          </w:p>
                          <w:p>
                            <w:pPr>
                              <w:rPr>
                                <w:color w:val="000000"/>
                                <w:szCs w:val="24"/>
                              </w:rPr>
                            </w:pPr>
                          </w:p>
                        </w:tc>
                        <w:tc>
                          <w:tcPr>
                            <w:tcW w:w="2551" w:type="dxa"/>
                            <w:gridSpan w:val="2"/>
                          </w:tcPr>
                          <w:p>
                            <w:pPr>
                              <w:rPr>
                                <w:color w:val="000000"/>
                                <w:szCs w:val="24"/>
                              </w:rPr>
                            </w:pPr>
                            <w:r>
                              <w:rPr>
                                <w:color w:val="000000"/>
                                <w:szCs w:val="24"/>
                              </w:rPr>
                              <w:t>Atlikus anketavimą, korupcijos apraiškos nenustatyta. Parengta išvada.</w:t>
                            </w:r>
                          </w:p>
                          <w:p>
                            <w:pPr>
                              <w:rPr>
                                <w:color w:val="000000"/>
                                <w:szCs w:val="24"/>
                              </w:rPr>
                            </w:pPr>
                          </w:p>
                        </w:tc>
                      </w:tr>
                    </w:tbl>
                    <w:p>
                      <w:pPr>
                        <w:rPr>
                          <w:bCs/>
                          <w:szCs w:val="24"/>
                        </w:rPr>
                      </w:pPr>
                    </w:p>
                  </w:sdtContent>
                </w:sdt>
                <w:sdt>
                  <w:sdtPr>
                    <w:alias w:val="skirsnis"/>
                    <w:tag w:val="part_5dc5e28785b64b6887365b558ecd7f43"/>
                    <w:lock w:val="sdtLocked"/>
                    <w:richText/>
                  </w:sdtPr>
                  <w:sdtContent>
                    <w:p>
                      <w:pPr>
                        <w:jc w:val="center"/>
                        <w:rPr>
                          <w:b/>
                          <w:bCs/>
                          <w:szCs w:val="24"/>
                        </w:rPr>
                      </w:pPr>
                      <w:sdt>
                        <w:sdtPr>
                          <w:alias w:val="Pavadinimas"/>
                          <w:tag w:val="title_5dc5e28785b64b6887365b558ecd7f43"/>
                          <w:lock w:val="sdtLocked"/>
                          <w:richText/>
                        </w:sdtPr>
                        <w:sdtContent>
                          <w:r>
                            <w:rPr>
                              <w:b/>
                              <w:bCs/>
                              <w:szCs w:val="24"/>
                            </w:rPr>
                            <w:t>UŽDAROSIOS AKCINĖS BENDROVĖS</w:t>
                          </w:r>
                        </w:sdtContent>
                      </w:sdt>
                    </w:p>
                    <w:p>
                      <w:pPr>
                        <w:jc w:val="center"/>
                        <w:rPr>
                          <w:szCs w:val="24"/>
                        </w:rPr>
                      </w:pPr>
                    </w:p>
                  </w:sdtContent>
                </w:sdt>
                <w:sdt>
                  <w:sdtPr>
                    <w:alias w:val="skirsnis"/>
                    <w:tag w:val="part_d38b02227c2e4de79d993e50e4bc0854"/>
                    <w:lock w:val="sdtLocked"/>
                    <w:richText/>
                  </w:sdtPr>
                  <w:sdtContent>
                    <w:p>
                      <w:pPr>
                        <w:jc w:val="center"/>
                        <w:rPr>
                          <w:b/>
                          <w:bCs/>
                          <w:szCs w:val="24"/>
                        </w:rPr>
                      </w:pPr>
                      <w:sdt>
                        <w:sdtPr>
                          <w:alias w:val="Pavadinimas"/>
                          <w:tag w:val="title_d38b02227c2e4de79d993e50e4bc0854"/>
                          <w:lock w:val="sdtLocked"/>
                          <w:richText/>
                        </w:sdtPr>
                        <w:sdtContent>
                          <w:r>
                            <w:rPr>
                              <w:b/>
                              <w:bCs/>
                              <w:szCs w:val="24"/>
                            </w:rPr>
                            <w:t>UAB „RADVILIŠKIO VANDUO“</w:t>
                          </w:r>
                        </w:sdtContent>
                      </w:sdt>
                    </w:p>
                    <w:p>
                      <w:pPr>
                        <w:ind w:firstLine="851"/>
                        <w:rPr>
                          <w:szCs w:val="24"/>
                        </w:rPr>
                      </w:pPr>
                    </w:p>
                    <w:p>
                      <w:pPr>
                        <w:rPr>
                          <w:szCs w:val="24"/>
                        </w:rPr>
                      </w:pPr>
                      <w:r>
                        <w:rPr>
                          <w:szCs w:val="24"/>
                        </w:rPr>
                        <w:t>UAB „Radviliškio vanduo“ 2025 m. veiklą užbaigė reikšmingai pagerindama rezultatus tiek finansinėje, tiek infrastruktūros srityje. Bendrosios pardavimo pajamos, lyginant su ankstesniu laikotarpiu, išaugo nuo 2,78 mln. eurų iki 3,02 mln. eurų. Pajamų padidėjimą iš vandens tiekimo ir nuotekų tvarkymo veiklos sąlygojo 5,6 proc. padidėjęs realizuoto geriamojo vandens kiekis ir 3,3 proc. padidėjęs realizuotas nuotekų kiekis. Ypač svarbu, kad vandens pardavimo kiekiai padidėjo maždaug 5 proc. – nuo 717,9 tūkst. m³ 2024 m. iki 758,5 tūkst. m³ 2025 m. Geriamasis vanduo tiekiamas 20 393 gyventojams. Prie centralizuotų nuotekų tvarkymo sistemų yra prisijungę 19 471 gyventojas. Tai rodo didėjančią paslaugų paklausą bei aktyviai augantį vartotojų ratą.</w:t>
                      </w:r>
                    </w:p>
                    <w:p>
                      <w:pPr>
                        <w:rPr>
                          <w:szCs w:val="24"/>
                        </w:rPr>
                        <w:sectPr>
                          <w:pgSz w:w="16840" w:h="11907" w:orient="landscape" w:code="9"/>
                          <w:pgMar w:top="1701" w:right="1701" w:bottom="567" w:left="1134" w:header="709" w:footer="709" w:gutter="0"/>
                          <w:cols w:space="708"/>
                          <w:docGrid w:linePitch="360"/>
                        </w:sectPr>
                      </w:pPr>
                      <w:r>
                        <w:rPr>
                          <w:szCs w:val="24"/>
                        </w:rPr>
                        <w:t xml:space="preserve">Grynojo pelno rodiklis sumažėjo nuo 303,9 tūkst. eurų iki 253,4 tūkst. eurų. Tai lėmė didesnės išlaidos susijusios su kryptingomis investicijomis į modernizaciją ir tinklų plėtrą, išaugo ilgalaikio turto vertė nuo 2,15 mln. eurų 2024 m. iki 2,69 mln. eurų 2025 m. Įmonės ilgalaikio turto vertė ataskaitinio </w:t>
                      </w:r>
                    </w:p>
                    <w:p>
                      <w:pPr>
                        <w:rPr>
                          <w:szCs w:val="24"/>
                        </w:rPr>
                      </w:pPr>
                      <w:r>
                        <w:rPr>
                          <w:szCs w:val="24"/>
                        </w:rPr>
                        <w:t>laikotarpio pabaigoje pasiekė apie 21,6 mln. eurų (lyginant su ankstesniais metais, augimas siekė per 2 proc.). Bendrovei įstatinio kapitalo didinimo būdu yra perduotos dar 7 vandenvietės ir gerinimo įrenginiai bei 3 nuotekų siurblinės, kuriuos pagal nuomos sutartį eksploatavo UAB „Baisogalos bioenergija“ iki bendrovės licencijos atnaujinimo.</w:t>
                      </w:r>
                    </w:p>
                    <w:p>
                      <w:pPr>
                        <w:rPr>
                          <w:szCs w:val="24"/>
                        </w:rPr>
                      </w:pPr>
                      <w:r>
                        <w:rPr>
                          <w:szCs w:val="24"/>
                        </w:rPr>
                        <w:t>Svarbus indėlis į tinklų plėtrą – Radviliškio rajono savivaldybės finansavimas. 2025 m. vasario 13 d. sprendimu Nr. T-557 Radviliškio rajono savivaldybė vandentvarkos infrastruktūrai skyrė reikšmingas lėšas, kurios ženkliai prisidėjo prie paslaugų prieinamumo plėtros visame rajone.</w:t>
                      </w:r>
                    </w:p>
                    <w:p>
                      <w:pPr>
                        <w:rPr>
                          <w:szCs w:val="24"/>
                        </w:rPr>
                      </w:pPr>
                      <w:r>
                        <w:rPr>
                          <w:szCs w:val="24"/>
                        </w:rPr>
                        <w:t xml:space="preserve">Iš viso 530,0 tūkst. Eur buvo skirta vandentiekio ir nuotekų tinklų statyboms, iš kurių atlikta darbų už 529,9 tūkst. Eur. Lėšos panaudotos tinklų plėtrai Dvaro g., Šiaulėnų mstl.; Alyvų g., Pievų g., Senolių g. Polekėlės mstl.; Baisogalos mstl. ir Pakiršinio k. vandens gerinimo įrenginių rekonstrukcijai; hidranto įrengimui Skirjočių g., Radviliškis. </w:t>
                      </w:r>
                    </w:p>
                    <w:p>
                      <w:pPr>
                        <w:rPr>
                          <w:szCs w:val="24"/>
                        </w:rPr>
                      </w:pPr>
                      <w:r>
                        <w:rPr>
                          <w:szCs w:val="24"/>
                        </w:rPr>
                        <w:t>Papildomai 865,87 tūkst. Eur buvo skirta Radviliškio aglomeracijos tinklų plėtrai, įskaitant sodų bendrijas „Bitutė“ ir „Vyturėlis“. Čia atlikta darbų už 865,82 tūkst. Eur, ženkliai išplečiant galimybes gyventojams prisijungti prie centralizuoto vandentiekio ir nuotekų tinklų.</w:t>
                      </w:r>
                    </w:p>
                    <w:p>
                      <w:pPr>
                        <w:rPr>
                          <w:szCs w:val="24"/>
                        </w:rPr>
                      </w:pPr>
                      <w:r>
                        <w:rPr>
                          <w:szCs w:val="24"/>
                        </w:rPr>
                        <w:t>Taip pat iš Aplinkos apsaugos rėmimo specialiosios programos skirta 49 tūkst. Eur, iš kurių 49 tūkst. Eur buvo panaudoti buitinių nuotekų tinklų rekonstrukcijai ir nuotekų siurblinės įrengimui Polekėlės k.; vandentiekio ir nuotekų tinklų statybai (socialiniams būstams) Taikos g., Kalnelio Gražioniai; J. Basanavičiaus g. Radviliškis; Laisvėsl al. Šeduva</w:t>
                      </w:r>
                    </w:p>
                    <w:p>
                      <w:pPr>
                        <w:rPr>
                          <w:szCs w:val="24"/>
                        </w:rPr>
                      </w:pPr>
                      <w:r>
                        <w:rPr>
                          <w:szCs w:val="24"/>
                        </w:rPr>
                        <w:t xml:space="preserve">Be to, UAB „Radviliškio vanduo“ sėkmingai įgyvendina projektą „Vandentiekio ir nuotekų tinklų statyba Radviliškio aglomeracijoje“ . Projektas finansuojamas Radviliškio rajono savivaldybės lėšomis. 2025 m. vasario 14 d. pasirašyta projekto rangos darbų sutartis tarp UAB „Radviliškio vanduo“ ir UAB „SROS“ dėl vandentiekio ir nuotekų tinklų plėtros Radviliškio aglomeracijoje darbų pirkimo. Sutarties suma 421 995,00 Eur (be PVM). Sutarties galiojimo terminas – 18 mėn. nuo sutarties pasirašymo dienos. Įgyvendinus sutartį bus paklota apie 1,36 km nuotekų surinkimo tinklų ir 1,35 km vandentiekio tinklų, bus suteikta galimybė 44 būstams prisijungti prie centralizuotų tinklų. Ši investicija prisidės prie Radviliškio rajono socialinės-ekonominės plėtros, bei suteiks galimybes Radviliškio miesto gyventojams prisijungti prie centralizuotos vandens tiekimo ir nuotekų tvarkymo sistemos, taip pagerinant žmonių gyvenimo kokybę. </w:t>
                      </w:r>
                    </w:p>
                    <w:p>
                      <w:pPr>
                        <w:rPr>
                          <w:szCs w:val="24"/>
                        </w:rPr>
                      </w:pPr>
                      <w:r>
                        <w:rPr>
                          <w:szCs w:val="24"/>
                        </w:rPr>
                        <w:t xml:space="preserve">Taip pat UAB „Radviliškio vanduo“ įgyvendina vandentvarkos objektų plėtros projektą Aukštelkų k., Baisogalos mstl., Pavartyčių k., Šeduvos mstl. ir Sidabravo mstl. Projektui skirta 1 393 092,51 Eur Europos Sąjungos Sanglaudos fondo lėšų. Įgyvendinant projektą numatoma pakloti apie 4,77 km vandens tiekimo ir apie 10,97 km nuotekų surinkimo tinklų, rekonstruoti nuotekų valymo įrenginius (1 vnt.). Planuojama prie vandentiekio tinklų prijungti 93 gyventojus, o prie nuotekų tinklų prijungti 575 gyventojus. Projektu sprendžiama problema dėl nepakankamo viešai tiekiamų geriamojo vandens tiekimo ir nuotekų surinkimo bei tvarkymo paslaugų prieinamumo. </w:t>
                      </w:r>
                    </w:p>
                    <w:p>
                      <w:pPr>
                        <w:ind w:firstLine="851"/>
                        <w:rPr>
                          <w:szCs w:val="24"/>
                        </w:rPr>
                      </w:pPr>
                    </w:p>
                    <w:p>
                      <w:pPr>
                        <w:rPr>
                          <w:szCs w:val="24"/>
                        </w:rPr>
                      </w:pPr>
                      <w:r>
                        <w:rPr>
                          <w:szCs w:val="24"/>
                        </w:rPr>
                        <w:t>Kitu projektu, pasirašyta 2025 m. gruodžio 31 d. rangos darbų sutartis tarp UAB „Radviliškio vanduo“ ir UAB „Infes Tech“ dėl Šeduvos vandenvietės rezervuaro darbų. Sutarties suma – 537900,00 Eur (be PVM). Įgyvendinus projektą Šeduvoje bus pastatytas 350 m</w:t>
                      </w:r>
                      <w:r>
                        <w:rPr>
                          <w:szCs w:val="24"/>
                          <w:vertAlign w:val="superscript"/>
                        </w:rPr>
                        <w:t xml:space="preserve">3 </w:t>
                      </w:r>
                      <w:r>
                        <w:rPr>
                          <w:szCs w:val="24"/>
                        </w:rPr>
                        <w:t>geriamojo vandens rezervuaras, II kėlimo stotis, kurios našumas – 80 m</w:t>
                      </w:r>
                      <w:r>
                        <w:rPr>
                          <w:szCs w:val="24"/>
                          <w:vertAlign w:val="superscript"/>
                        </w:rPr>
                        <w:t xml:space="preserve">3 </w:t>
                      </w:r>
                      <w:r>
                        <w:rPr>
                          <w:szCs w:val="24"/>
                        </w:rPr>
                        <w:t>per parą. Darbų pabaiga numatyta 2026 m. rugsėjo 15 d.</w:t>
                      </w:r>
                    </w:p>
                    <w:p>
                      <w:pPr>
                        <w:ind w:firstLine="62"/>
                        <w:rPr>
                          <w:szCs w:val="24"/>
                        </w:rPr>
                      </w:pPr>
                    </w:p>
                  </w:sdtContent>
                </w:sdt>
                <w:sdt>
                  <w:sdtPr>
                    <w:alias w:val="skirsnis"/>
                    <w:tag w:val="part_ae6a191125f445339a54a084363ff0bf"/>
                    <w:lock w:val="sdtLocked"/>
                    <w:richText/>
                  </w:sdtPr>
                  <w:sdtContent>
                    <w:p>
                      <w:pPr>
                        <w:jc w:val="center"/>
                        <w:rPr>
                          <w:b/>
                          <w:bCs/>
                          <w:szCs w:val="24"/>
                        </w:rPr>
                      </w:pPr>
                      <w:sdt>
                        <w:sdtPr>
                          <w:alias w:val="Pavadinimas"/>
                          <w:tag w:val="title_ae6a191125f445339a54a084363ff0bf"/>
                          <w:lock w:val="sdtLocked"/>
                          <w:richText/>
                        </w:sdtPr>
                        <w:sdtContent>
                          <w:r>
                            <w:rPr>
                              <w:b/>
                              <w:bCs/>
                              <w:szCs w:val="24"/>
                            </w:rPr>
                            <w:t>Veiklos efektyvumas</w:t>
                          </w:r>
                        </w:sdtContent>
                      </w:sdt>
                    </w:p>
                    <w:p>
                      <w:pPr>
                        <w:rPr>
                          <w:b/>
                          <w:bCs/>
                          <w:szCs w:val="24"/>
                        </w:rPr>
                      </w:pPr>
                    </w:p>
                    <w:p>
                      <w:pPr>
                        <w:rPr>
                          <w:szCs w:val="24"/>
                        </w:rPr>
                      </w:pPr>
                      <w:r>
                        <w:rPr>
                          <w:szCs w:val="24"/>
                        </w:rPr>
                        <w:t>Įmonės veiklos rodikliai taip pat gerėjo. 2025 metais gyventojams parduota apie 5,6 proc. daugiau geriamojo vandens nei 2024-aisiais – tai liudija augantį vartotojų poreikį ir pasitikėjimą centralizuotai tiekiamu vandeniu. Per ataskaitinį 2025 metų laikotarpį vandens išgauta 7,6 proc. daugiau nei 2024 metais, tai lėmė, kad bendros vandens netektys lyginant 2025 metus su 2024 metais padidėjo 1,4 proc. Tačiau įvertinus technologiniams tikslams reikalingą vandens kiekį ir atsižvelgus į 2025 metais įvykusias avarijas, bendros vandens netektys sudarytų 16,7 proc., t. y., būtų 0,36 proc. mažesnes nei 2024 metais. Mažesni nuostoliai reiškia, kad didesnė dalis išgauto vandens pasiekia vartotojus, o tai gerina tiek ekonominius, tiek aplinkosauginius veiklos rodiklius.</w:t>
                      </w:r>
                    </w:p>
                    <w:p>
                      <w:pPr>
                        <w:rPr>
                          <w:szCs w:val="24"/>
                        </w:rPr>
                      </w:pPr>
                    </w:p>
                  </w:sdtContent>
                </w:sdt>
                <w:sdt>
                  <w:sdtPr>
                    <w:alias w:val="skirsnis"/>
                    <w:tag w:val="part_75571764b9a14f9e86555b8bf65cdcb3"/>
                    <w:lock w:val="sdtLocked"/>
                    <w:richText/>
                  </w:sdtPr>
                  <w:sdtContent>
                    <w:p>
                      <w:pPr>
                        <w:jc w:val="center"/>
                        <w:rPr>
                          <w:b/>
                          <w:bCs/>
                          <w:szCs w:val="24"/>
                        </w:rPr>
                      </w:pPr>
                      <w:sdt>
                        <w:sdtPr>
                          <w:alias w:val="Pavadinimas"/>
                          <w:tag w:val="title_75571764b9a14f9e86555b8bf65cdcb3"/>
                          <w:lock w:val="sdtLocked"/>
                          <w:richText/>
                        </w:sdtPr>
                        <w:sdtContent>
                          <w:r>
                            <w:rPr>
                              <w:b/>
                              <w:bCs/>
                              <w:szCs w:val="24"/>
                            </w:rPr>
                            <w:t>Infrastruktūros plėtra</w:t>
                          </w:r>
                        </w:sdtContent>
                      </w:sdt>
                    </w:p>
                    <w:p>
                      <w:pPr>
                        <w:rPr>
                          <w:b/>
                          <w:bCs/>
                          <w:szCs w:val="24"/>
                        </w:rPr>
                      </w:pPr>
                    </w:p>
                    <w:p>
                      <w:pPr>
                        <w:rPr>
                          <w:szCs w:val="24"/>
                        </w:rPr>
                      </w:pPr>
                      <w:r>
                        <w:rPr>
                          <w:szCs w:val="24"/>
                        </w:rPr>
                        <w:t xml:space="preserve">Siekiant užtikrinti kokybiškas paslaugas ir patenkinti augančius poreikius, 2025 m. bendrovė tęsė vandentiekio ir nuotekų tinklų plėtrą. Vandentiekio tinklų ilgis padidėjo nuo 273,8 km iki 329 km. Nuotekų tinklai išplėsti nuo 260,5 km iki 286,2 km. Ši plėtra reiškia, kad centralizuotos paslaugos pasiekė dar daugiau gyventojų. Centralizuotu vandentiekiu aprūpintų būstų skaičius išaugo 165 būstais, centralizuotų nuotekų surinkimu – 177 būstais.   </w:t>
                      </w:r>
                    </w:p>
                    <w:p>
                      <w:pPr>
                        <w:rPr>
                          <w:szCs w:val="24"/>
                        </w:rPr>
                      </w:pPr>
                    </w:p>
                  </w:sdtContent>
                </w:sdt>
                <w:sdt>
                  <w:sdtPr>
                    <w:alias w:val="skirsnis"/>
                    <w:tag w:val="part_89099f30d2a04dca9b91fcd9217ec9a2"/>
                    <w:lock w:val="sdtLocked"/>
                    <w:richText/>
                  </w:sdtPr>
                  <w:sdtContent>
                    <w:p>
                      <w:pPr>
                        <w:jc w:val="center"/>
                        <w:rPr>
                          <w:b/>
                          <w:bCs/>
                          <w:szCs w:val="24"/>
                        </w:rPr>
                      </w:pPr>
                      <w:sdt>
                        <w:sdtPr>
                          <w:alias w:val="Pavadinimas"/>
                          <w:tag w:val="title_89099f30d2a04dca9b91fcd9217ec9a2"/>
                          <w:lock w:val="sdtLocked"/>
                          <w:richText/>
                        </w:sdtPr>
                        <w:sdtContent>
                          <w:r>
                            <w:rPr>
                              <w:b/>
                              <w:bCs/>
                              <w:szCs w:val="24"/>
                            </w:rPr>
                            <w:t>Komanda ir patikimumas</w:t>
                          </w:r>
                        </w:sdtContent>
                      </w:sdt>
                    </w:p>
                    <w:p>
                      <w:pPr>
                        <w:rPr>
                          <w:b/>
                          <w:bCs/>
                          <w:szCs w:val="24"/>
                        </w:rPr>
                      </w:pPr>
                    </w:p>
                    <w:p>
                      <w:pPr>
                        <w:rPr>
                          <w:szCs w:val="24"/>
                        </w:rPr>
                      </w:pPr>
                      <w:r>
                        <w:rPr>
                          <w:szCs w:val="24"/>
                        </w:rPr>
                        <w:t>Šiuos pasiekimus lėmė ne tik skaičiai, bet ir žmonės. Bendrovėje 2025 m. vidutiniškai dirbo 61 darbuotojas – kompetentinga ir atsidavusi komanda, kurios dėka pavyko įgyvendinti užsibrėžtus tikslus. Skatinant jų kompetencijų augimą, buvo rengiami mokymai ir seminarai, prisidedantys prie aukštesnės darbų kokybės, operatyvesnės avarijų prevencijos ir didesnio vartotojų pasitenkinimo. Ši solidi žmogiškųjų išteklių bazė padeda užtikrinti profesionalų ir operatyvų vartotojų aptarnavimą, o modernizuojant ir prižiūrint vandentiekio bei nuotekų sistemas ji tampa nepakeičiama bendrovės konkurencinio pranašumo dalimi.</w:t>
                      </w:r>
                    </w:p>
                    <w:p>
                      <w:pPr>
                        <w:rPr>
                          <w:szCs w:val="24"/>
                        </w:rPr>
                      </w:pPr>
                      <w:r>
                        <w:rPr>
                          <w:szCs w:val="24"/>
                        </w:rPr>
                        <w:t>Visa tai rodo sistemingą įmonės politikos tvarumą, kurį patvirtina ir nepriklausomo auditoriaus išvada: 2025 m. finansinės ataskaitos yra tvarkingos, esminių neatitikimų nenustatyta, o visa apskaita atitinka galiojančius standartus. Tai reiškia, kad bendrovės veikla vykdoma skaidriai ir atsakingai, o finansiniai rezultatai yra patikimi. Šis nepriklausomo audito įvertinimas dar labiau sustiprina partnerių ir visuomenės pasitikėjimą UAB „Radviliškio vanduo“. 2025 m. finansinės ataskaitos sudarytos laikantis teisės aktų ir Lietuvos finansinės atskaitomybės standartų. Tai reiškia, kad įmonės finansiniai rodikliai yra tikslūs, skaidrūs ir atspindi realų bendrovės augimą.</w:t>
                      </w:r>
                    </w:p>
                    <w:p>
                      <w:pPr>
                        <w:rPr>
                          <w:szCs w:val="24"/>
                        </w:rPr>
                      </w:pPr>
                      <w:r>
                        <w:rPr>
                          <w:szCs w:val="24"/>
                        </w:rPr>
                        <w:t>2025 metų pasiekimai tapo tvirtu pagrindu tolimesnei pažangai. Bendrovė pasitinka ateinančius metus kupina ryžto toliau gerinti paslaugų kokybę, plėsti infrastruktūrą ir pateisinti klientų bei partnerių pasitikėjimą. Ji siekia ir toliau teikti Radviliškio rajono gyventojams patikimas bei modernias vandentvarkos paslaugas.</w:t>
                      </w:r>
                    </w:p>
                    <w:p>
                      <w:pPr>
                        <w:rPr>
                          <w:szCs w:val="24"/>
                        </w:rPr>
                      </w:pPr>
                      <w:r>
                        <w:rPr>
                          <w:szCs w:val="24"/>
                        </w:rPr>
                        <w:t>Apibendrintai galima sakyti, jog UAB „Radviliškio vanduo“ 2025-aisiais pasiekė svarbių kokybinių ir kiekybinių rodiklių – padidino tiek pajamas, tiek pelną, investavo į didesnio masto vandens bei nuotekų tinklų plėtrą, o efektyviau tvarkydama vandentiekio infrastruktūrą sumažino vandens nuostolius. Visa tai liudija, kad bendrovė nuosekliai juda pirmyn, geba reaguoti į dinamiškus rinkos pokyčius ir toliau stiprina savo, kaip patikimo vandens tiekėjo, reputaciją. Ši sėkminga veiklos eiga ne tik didina Radviliškio rajono gyventojų pasitikėjimą bendrove, bet ir formuoja tvirtą pagrindą ateities projektams, kurie leis dar labiau kelti paslaugų kokybės kartelę.</w:t>
                      </w:r>
                    </w:p>
                    <w:p>
                      <w:pPr>
                        <w:ind w:firstLine="851"/>
                        <w:rPr>
                          <w:szCs w:val="24"/>
                        </w:rPr>
                      </w:pPr>
                    </w:p>
                  </w:sdtContent>
                </w:sdt>
                <w:sdt>
                  <w:sdtPr>
                    <w:alias w:val="skirsnis"/>
                    <w:tag w:val="part_eea6c8bed1e34532a57cf5fba3c020a0"/>
                    <w:lock w:val="sdtLocked"/>
                    <w:richText/>
                  </w:sdtPr>
                  <w:sdtContent>
                    <w:p>
                      <w:pPr>
                        <w:jc w:val="center"/>
                        <w:rPr>
                          <w:b/>
                          <w:bCs/>
                          <w:szCs w:val="24"/>
                        </w:rPr>
                      </w:pPr>
                      <w:sdt>
                        <w:sdtPr>
                          <w:alias w:val="Pavadinimas"/>
                          <w:tag w:val="title_eea6c8bed1e34532a57cf5fba3c020a0"/>
                          <w:lock w:val="sdtLocked"/>
                          <w:richText/>
                        </w:sdtPr>
                        <w:sdtContent>
                          <w:r>
                            <w:rPr>
                              <w:b/>
                              <w:bCs/>
                              <w:szCs w:val="24"/>
                            </w:rPr>
                            <w:t>UAB „RADVILIŠKIO AUTOBUSŲ PARKAS“</w:t>
                          </w:r>
                        </w:sdtContent>
                      </w:sdt>
                    </w:p>
                    <w:p>
                      <w:pPr>
                        <w:rPr>
                          <w:szCs w:val="24"/>
                        </w:rPr>
                      </w:pPr>
                    </w:p>
                    <w:p>
                      <w:pPr>
                        <w:ind w:firstLine="851"/>
                        <w:rPr>
                          <w:szCs w:val="24"/>
                        </w:rPr>
                      </w:pPr>
                      <w:r>
                        <w:rPr>
                          <w:szCs w:val="24"/>
                        </w:rPr>
                        <w:t xml:space="preserve">2025-ieji UAB „Radviliškio autobusų parkas“ buvo intensyvių pokyčių, atsakomybės ir kryptingo augimo metai. Per metus įmonė nuosekliai įgyvendino savo strateginius tikslus, o svarbiausiu metų pokyčiu tapo autobusų stoties perėmimas, laimėtas keleivių vežimo konkursas ir sėkmingai atnaujinta keleivių vežimo licencija. Nuo 2025 m. rugsėjo mėn. pradėta vykdyti keleivių vežimo paslauga Radviliškio rajone. Tai buvo svarbus žingsnis po ilgos pertraukos, kai Savivaldybės įmonė vėl pradėjo tiesiogiai teikti viešojo transporto paslaugas rajono gyventojams. </w:t>
                      </w:r>
                    </w:p>
                    <w:p>
                      <w:pPr>
                        <w:ind w:firstLine="851"/>
                        <w:rPr>
                          <w:szCs w:val="24"/>
                        </w:rPr>
                      </w:pPr>
                      <w:r>
                        <w:rPr>
                          <w:szCs w:val="24"/>
                        </w:rPr>
                        <w:t>Be pagrindinės funkcijos – stoties veiklos, įmonė ir toliau vykdė nekilnojamojo turto, automobilių aikštelių, įrangos ir inventoriaus nuomos paslaugas, taip diversifikuodama veiklos kryptis ir pajamų šaltinius. Šis balansas tarp komercinių ir viešųjų paslaugų sustiprino įmonės finansinį atsparumą.</w:t>
                      </w:r>
                    </w:p>
                    <w:p>
                      <w:pPr>
                        <w:ind w:firstLine="851"/>
                        <w:rPr>
                          <w:color w:val="000000"/>
                          <w:szCs w:val="24"/>
                        </w:rPr>
                      </w:pPr>
                      <w:r>
                        <w:rPr>
                          <w:color w:val="000000"/>
                          <w:szCs w:val="24"/>
                        </w:rPr>
                        <w:t>Finansiniai rezultatai 2025 m. parodė reikšmingus pokyčius. Įmonės pardavimo pajamos siekė 209779 Eur, tai yra beveik 5 kartais daugiau nei 2024 m., kai jos sudarė 41926 Eur. Pajamų augimą lėmė išplėstas veiklos spektras, ypač – autobusų stoties perėmimas ir atnaujintų paslaugų teikimas.</w:t>
                      </w:r>
                    </w:p>
                    <w:p>
                      <w:pPr>
                        <w:ind w:firstLine="851"/>
                        <w:rPr>
                          <w:color w:val="000000"/>
                          <w:szCs w:val="24"/>
                        </w:rPr>
                      </w:pPr>
                      <w:r>
                        <w:rPr>
                          <w:color w:val="000000"/>
                          <w:szCs w:val="24"/>
                        </w:rPr>
                        <w:t xml:space="preserve">Ženkliai išaugusios pajamos 2025 m. lėmė ir grynojo pelno gavimą, kuris siekė 26237 Eur, kai 2024 m. dar buvo fiksuotas 13141 Eur nuostolis. Tiek išaugusias pajamas, tiek pelną lėmė pradėta teikti nauja paslauga – keleivių vežimas vietiniais susisiekimo maršrutais. </w:t>
                      </w:r>
                    </w:p>
                    <w:p>
                      <w:pPr>
                        <w:ind w:firstLine="851"/>
                        <w:rPr>
                          <w:szCs w:val="24"/>
                        </w:rPr>
                      </w:pPr>
                      <w:r>
                        <w:rPr>
                          <w:szCs w:val="24"/>
                        </w:rPr>
                        <w:t>Pasiruošimo etape įmonė sustiprino komandą – įsteigtos naujos pareigybės – į darbą priimti 2 vairuotojai ir 0,2 etato transporto vadybininkė. Darbuotojams buvo organizuoti įvairūs mokymai, skirti pasirengti darbui su keleiviais, užtikrinti paslaugų kokybę, saugą ir efektyvų darbo organizavimą.</w:t>
                      </w:r>
                    </w:p>
                    <w:p>
                      <w:pPr>
                        <w:ind w:firstLine="851"/>
                        <w:rPr>
                          <w:szCs w:val="24"/>
                        </w:rPr>
                      </w:pPr>
                      <w:r>
                        <w:rPr>
                          <w:szCs w:val="24"/>
                        </w:rPr>
                        <w:t xml:space="preserve">2025 m. pareikalavo reikšmingų technologinių atnaujinimų tiek dispečerinėje, tiek transporto priemonėse. Dispečerinėje buvo įdiegta fiskalinės drausmės įranga, tai leido automatizuoti kasos aparato duomenų perdavimą ir užtikrinti aukštą apskaitos skaidrumo lygį. </w:t>
                      </w:r>
                    </w:p>
                    <w:p>
                      <w:pPr>
                        <w:ind w:firstLine="851"/>
                        <w:rPr>
                          <w:szCs w:val="24"/>
                        </w:rPr>
                      </w:pPr>
                      <w:r>
                        <w:rPr>
                          <w:szCs w:val="24"/>
                        </w:rPr>
                        <w:t>Žvelgdama į 2026 metus, įmonė kartu su Radviliškio rajono savivaldybės administracija planuoja tęsti keleivių vežimą vietinio ir priemiestinio susiekimo maršrutais plėtrą, užtikrinti sklandų ir nenutrūkstamą autobusų stoties darbą, gerinti stoties infrastruktūrą. Tai leis užtikrinti geresnį prieinamumą visiems keleiviams.</w:t>
                      </w:r>
                    </w:p>
                    <w:p>
                      <w:pPr>
                        <w:ind w:firstLine="851"/>
                        <w:rPr>
                          <w:szCs w:val="24"/>
                        </w:rPr>
                      </w:pPr>
                      <w:r>
                        <w:rPr>
                          <w:szCs w:val="24"/>
                        </w:rPr>
                        <w:t>Apžvelgiant 2025 m. rezultatus, matyti, kad UAB „Radviliškio autobusų parkas“ sėkmingai įgyvendino svarbiausią metų tikslą – perėmė autobusų stoties valdymą ir atnaujino savo, kaip viešųjų paslaugų teikėjo, vaidmenį. Tvirta vadovybės kryptis, augantis paslaugų spektras, darbuotojų kompetencijų stiprinimas ir regioninės partnerystės leidžia žengti į naują įmonės plėtros etapą – kokybiškų, patikimų ir gyventojams aktualių paslaugų link.</w:t>
                      </w:r>
                    </w:p>
                    <w:p>
                      <w:pPr>
                        <w:rPr>
                          <w:szCs w:val="24"/>
                        </w:rPr>
                      </w:pPr>
                    </w:p>
                  </w:sdtContent>
                </w:sdt>
                <w:sdt>
                  <w:sdtPr>
                    <w:alias w:val="skirsnis"/>
                    <w:tag w:val="part_e81acd88d9414ce2a2a40229c9fa649f"/>
                    <w:lock w:val="sdtLocked"/>
                    <w:richText/>
                  </w:sdtPr>
                  <w:sdtContent>
                    <w:p>
                      <w:pPr>
                        <w:jc w:val="center"/>
                        <w:rPr>
                          <w:b/>
                          <w:bCs/>
                          <w:szCs w:val="24"/>
                        </w:rPr>
                      </w:pPr>
                      <w:sdt>
                        <w:sdtPr>
                          <w:alias w:val="Pavadinimas"/>
                          <w:tag w:val="title_e81acd88d9414ce2a2a40229c9fa649f"/>
                          <w:lock w:val="sdtLocked"/>
                          <w:richText/>
                        </w:sdtPr>
                        <w:sdtContent>
                          <w:r>
                            <w:rPr>
                              <w:b/>
                              <w:bCs/>
                              <w:szCs w:val="24"/>
                            </w:rPr>
                            <w:t>UAB „RADVILIŠKIO ŠILUMA“</w:t>
                          </w:r>
                        </w:sdtContent>
                      </w:sdt>
                    </w:p>
                    <w:p>
                      <w:pPr>
                        <w:rPr>
                          <w:szCs w:val="24"/>
                        </w:rPr>
                      </w:pPr>
                    </w:p>
                    <w:p>
                      <w:pPr>
                        <w:ind w:firstLine="1296"/>
                        <w:rPr>
                          <w:szCs w:val="24"/>
                        </w:rPr>
                      </w:pPr>
                      <w:r>
                        <w:rPr>
                          <w:szCs w:val="24"/>
                        </w:rPr>
                        <w:t>2025-ieji UAB „Radviliškio šiluma“ buvo stabilios veiklos, atsakingo valdymo ir investicijų į šilumos tiekimo modernizaciją metai. 2025 m. gruodis buvo ganėtinai šiltas ir nepareikalavimo padidėjusios šilumos paklausos, bendrovė užtikrino patikimą tiekimą visiems vartotojams, plėtė tvarių sprendimų diegimą ir išlaikė teigiamą finansinį rezultatą</w:t>
                      </w:r>
                    </w:p>
                    <w:p>
                      <w:pPr>
                        <w:ind w:firstLine="1296"/>
                        <w:rPr>
                          <w:szCs w:val="24"/>
                        </w:rPr>
                      </w:pPr>
                      <w:r>
                        <w:rPr>
                          <w:szCs w:val="24"/>
                        </w:rPr>
                        <w:t>Per metus bendrovė pagamino 53 549 MWh šilumos energijos – šiek tiek mažiau nei 2024 m. (54 739 MWh). Parduota 44 839 MWh (2024 m. – 46 544 MWh). Šiluma daugiausiai buvo tiekiama patalpų šildymui ir karšto vandens ruošimui.</w:t>
                      </w:r>
                    </w:p>
                    <w:p>
                      <w:pPr>
                        <w:ind w:firstLine="1296"/>
                        <w:rPr>
                          <w:szCs w:val="24"/>
                        </w:rPr>
                      </w:pPr>
                      <w:r>
                        <w:rPr>
                          <w:szCs w:val="24"/>
                        </w:rPr>
                        <w:t xml:space="preserve">Pagal paskirtį 2025 m. šilumos energijos buvo paskirstyta taip: </w:t>
                      </w:r>
                    </w:p>
                    <w:p>
                      <w:pPr>
                        <w:ind w:left="2016" w:hanging="360"/>
                        <w:rPr>
                          <w:szCs w:val="24"/>
                        </w:rPr>
                      </w:pPr>
                      <w:r>
                        <w:rPr>
                          <w:rFonts w:ascii="Symbol" w:hAnsi="Symbol"/>
                          <w:szCs w:val="24"/>
                        </w:rPr>
                        <w:t></w:t>
                        <w:tab/>
                      </w:r>
                      <w:r>
                        <w:rPr>
                          <w:szCs w:val="24"/>
                        </w:rPr>
                        <w:t>patalpų šildymui – 21 178 MWh (2024 m. – 22 675 MWh),</w:t>
                      </w:r>
                    </w:p>
                    <w:p>
                      <w:pPr>
                        <w:ind w:left="2016" w:hanging="360"/>
                        <w:rPr>
                          <w:szCs w:val="24"/>
                        </w:rPr>
                      </w:pPr>
                      <w:r>
                        <w:rPr>
                          <w:rFonts w:ascii="Symbol" w:hAnsi="Symbol"/>
                          <w:szCs w:val="24"/>
                        </w:rPr>
                        <w:t></w:t>
                        <w:tab/>
                      </w:r>
                      <w:r>
                        <w:rPr>
                          <w:szCs w:val="24"/>
                        </w:rPr>
                        <w:t xml:space="preserve">karšto vandens ruošimui – 3 665 MWh (2024 m. – 3 646 MWh), </w:t>
                      </w:r>
                    </w:p>
                    <w:p>
                      <w:pPr>
                        <w:ind w:left="2016" w:hanging="360"/>
                        <w:rPr>
                          <w:szCs w:val="24"/>
                        </w:rPr>
                      </w:pPr>
                      <w:r>
                        <w:rPr>
                          <w:rFonts w:ascii="Symbol" w:hAnsi="Symbol"/>
                          <w:szCs w:val="24"/>
                        </w:rPr>
                        <w:t></w:t>
                        <w:tab/>
                      </w:r>
                      <w:r>
                        <w:rPr>
                          <w:szCs w:val="24"/>
                        </w:rPr>
                        <w:t xml:space="preserve">karšto vandens temperatūros palaikymui – 7 558 MWh (2024 m. – 7 347 MWh), </w:t>
                      </w:r>
                    </w:p>
                    <w:p>
                      <w:pPr>
                        <w:ind w:left="2016" w:hanging="360"/>
                        <w:rPr>
                          <w:szCs w:val="24"/>
                        </w:rPr>
                      </w:pPr>
                      <w:r>
                        <w:rPr>
                          <w:rFonts w:ascii="Symbol" w:hAnsi="Symbol"/>
                          <w:szCs w:val="24"/>
                        </w:rPr>
                        <w:t></w:t>
                        <w:tab/>
                      </w:r>
                      <w:r>
                        <w:rPr>
                          <w:szCs w:val="24"/>
                        </w:rPr>
                        <w:t xml:space="preserve">kitiems vartotojams – 12 438 MWh (2024 m. – 12 963 MWh). </w:t>
                      </w:r>
                    </w:p>
                    <w:p>
                      <w:pPr>
                        <w:ind w:firstLine="1296"/>
                        <w:rPr>
                          <w:szCs w:val="24"/>
                        </w:rPr>
                      </w:pPr>
                      <w:r>
                        <w:rPr>
                          <w:szCs w:val="24"/>
                        </w:rPr>
                        <w:t>Šie skaičiai patvirtina, kad šilumos paskirstymo struktūra išliko stabili, su nežymiais svyravimais.</w:t>
                      </w:r>
                    </w:p>
                    <w:p>
                      <w:pPr>
                        <w:ind w:firstLine="1296"/>
                        <w:rPr>
                          <w:szCs w:val="24"/>
                        </w:rPr>
                      </w:pPr>
                      <w:r>
                        <w:rPr>
                          <w:szCs w:val="24"/>
                        </w:rPr>
                        <w:t>93 % šilumos buvo pagaminta iš biokuro, o likusi dalis – iš gamtinių dujų. Vidutinė biokuro kaina per metus sumažėjo nuo 21,18 Eur/MWh (2024 m.) iki 19,09 Eur/MWh,(2025 m.) gamtinių dujų kaina šiek tiek pakilo – nuo 52,58 Eur/MWh iki 54,30 Eur/MWh. Tokie pokyčiai leido bendrovei optimizuoti kuro sąnaudas ir išlaikyti palankų šilumos kainos lygį galutiniams vartotojams.</w:t>
                      </w:r>
                    </w:p>
                    <w:p>
                      <w:pPr>
                        <w:rPr>
                          <w:szCs w:val="24"/>
                        </w:rPr>
                      </w:pPr>
                      <w:r>
                        <w:rPr>
                          <w:szCs w:val="24"/>
                        </w:rPr>
                        <w:t xml:space="preserve">Prie šilumos perdavimo tinklų, kurių ilgis sudaro 24,792 km, prijungti 189 gyvenamieji pastatai ir 80 kitų vartotojų. </w:t>
                      </w:r>
                    </w:p>
                    <w:p>
                      <w:pPr>
                        <w:rPr>
                          <w:szCs w:val="24"/>
                        </w:rPr>
                      </w:pPr>
                    </w:p>
                  </w:sdtContent>
                </w:sdt>
                <w:sdt>
                  <w:sdtPr>
                    <w:alias w:val="skirsnis"/>
                    <w:tag w:val="part_9cc7bcd369984183b617803df56af915"/>
                    <w:lock w:val="sdtLocked"/>
                    <w:richText/>
                  </w:sdtPr>
                  <w:sdtContent>
                    <w:p>
                      <w:pPr>
                        <w:jc w:val="center"/>
                        <w:rPr>
                          <w:b/>
                          <w:bCs/>
                          <w:szCs w:val="24"/>
                        </w:rPr>
                      </w:pPr>
                      <w:sdt>
                        <w:sdtPr>
                          <w:alias w:val="Pavadinimas"/>
                          <w:tag w:val="title_9cc7bcd369984183b617803df56af915"/>
                          <w:lock w:val="sdtLocked"/>
                          <w:richText/>
                        </w:sdtPr>
                        <w:sdtContent>
                          <w:r>
                            <w:rPr>
                              <w:b/>
                              <w:bCs/>
                              <w:szCs w:val="24"/>
                            </w:rPr>
                            <w:t>Finansiniai rezultatai</w:t>
                          </w:r>
                        </w:sdtContent>
                      </w:sdt>
                    </w:p>
                    <w:p>
                      <w:pPr>
                        <w:rPr>
                          <w:b/>
                          <w:bCs/>
                          <w:szCs w:val="24"/>
                        </w:rPr>
                      </w:pPr>
                    </w:p>
                    <w:p>
                      <w:pPr>
                        <w:ind w:firstLine="1296"/>
                        <w:rPr>
                          <w:b/>
                          <w:bCs/>
                          <w:szCs w:val="24"/>
                        </w:rPr>
                      </w:pPr>
                      <w:r>
                        <w:rPr>
                          <w:szCs w:val="24"/>
                        </w:rPr>
                        <w:t>Finansiniai rezultatai 2025 m. parodė ryškų augimą. Įmonės pardavimo pajamos sudarė 3,67 mln. Eur (2024 m. – 3,60 mln. Eur), grynasis pelnas išaugo beveik tris kartus – nuo 39 103 Eur 2024 m. iki 122 454 Eur 2025 m. Toks rezultatas pasiektas efektyviai valdant išlaidas, optimizuojant veiklos procesus ir įgyvendinant kryptingas investicijas. Tai rodo stiprų įmonės gebėjimą prisitaikyti prie išorinių veiksnių ir užtikrinti finansinį tvarumą.</w:t>
                      </w:r>
                    </w:p>
                    <w:p>
                      <w:pPr>
                        <w:ind w:firstLine="1296"/>
                        <w:rPr>
                          <w:szCs w:val="24"/>
                        </w:rPr>
                      </w:pPr>
                      <w:r>
                        <w:rPr>
                          <w:szCs w:val="24"/>
                        </w:rPr>
                        <w:t xml:space="preserve">Siekiant tapti pažangia, saugia ir patikima bendrove per 2025 m. buvo investuota 292,8 tūkst. Eur. Įsigytas ilgalaikis turtas už 41,5 tūkst. Eur, suremontuota šilumos tiekimo trasos avarinė atkarpa už 182,3 tūkst. Eur; įrengtas katilas su ekonomaizeriu Šeduvos centrinėje katilinėje už 35,1 tūkst. Eur ir „Lelijos“ katilinėje už 33,9 tūkst. Eur. </w:t>
                      </w:r>
                    </w:p>
                    <w:p>
                      <w:pPr>
                        <w:ind w:firstLine="1296"/>
                        <w:rPr>
                          <w:szCs w:val="24"/>
                        </w:rPr>
                      </w:pPr>
                      <w:r>
                        <w:rPr>
                          <w:szCs w:val="24"/>
                        </w:rPr>
                        <w:t xml:space="preserve">Bendrovė taip pat aktyviai prisidėjo prie daugiabučių namų modernizacijos proceso. Įgyvendinant programą, kuri naudinga gyventojams dėl mažėjančių išlaidų šildymui, aplinkai – dėl mažesnio teršalų bei šiltnamio efektą sukeliančių dujų išmetimo, renovuoti ir priduoti eksploatacijai 21 namas, 6 daugiabučiuose namuose dar vyksta renovacija. </w:t>
                      </w:r>
                    </w:p>
                    <w:p>
                      <w:pPr>
                        <w:ind w:firstLine="1296"/>
                        <w:rPr>
                          <w:szCs w:val="24"/>
                        </w:rPr>
                      </w:pPr>
                      <w:r>
                        <w:rPr>
                          <w:szCs w:val="24"/>
                        </w:rPr>
                        <w:t>Vidutiniškai 2025 m. įmonėje dirbo 43 darbuotojai (2024 m. – 43). Personalo kompetencijai didinti buvo organizuoti įvairūs kvalifikacijos kėlimo ir saugos mokymai. Efektyvus žmogiškųjų išteklių valdymas užtikrino aukštą paslaugų kokybės lygį bei operatyvų reagavimą į vartotojų poreikius.</w:t>
                      </w:r>
                    </w:p>
                    <w:p>
                      <w:pPr>
                        <w:ind w:firstLine="1296"/>
                        <w:rPr>
                          <w:szCs w:val="24"/>
                        </w:rPr>
                      </w:pPr>
                      <w:r>
                        <w:rPr>
                          <w:szCs w:val="24"/>
                        </w:rPr>
                        <w:t>Nepriklausomas auditorius, įvertinęs įmonės finansinę būklę, pateikė teigiamą išvadą – finansinės ataskaitos parengtos tinkamai, laikantis visų teisės aktų ir apskaitos standartų.</w:t>
                      </w:r>
                    </w:p>
                    <w:p>
                      <w:pPr>
                        <w:ind w:firstLine="1296"/>
                        <w:rPr>
                          <w:szCs w:val="24"/>
                        </w:rPr>
                      </w:pPr>
                      <w:r>
                        <w:rPr>
                          <w:szCs w:val="24"/>
                        </w:rPr>
                        <w:t>Apibendrinant, UAB „Radviliškio šiluma“ 2025 m. užtikrino šilumos tiekimo tęstinumą, efektyviai valdė išteklius, įgyvendino reikšmingas investicijas ir tęsė kryptingą žaliųjų sprendimų diegimą. Įmonės stabilumas, skaidri veikla ir orientacija į kokybę leidžia pagrįstai tikėtis tolesnės tvarios plėtros artimiausiais metais.</w:t>
                      </w:r>
                    </w:p>
                    <w:p>
                      <w:pPr>
                        <w:suppressAutoHyphens/>
                        <w:textAlignment w:val="baseline"/>
                        <w:rPr>
                          <w:rFonts w:eastAsia="Calibri"/>
                          <w:szCs w:val="24"/>
                        </w:rPr>
                      </w:pPr>
                    </w:p>
                    <w:p>
                      <w:pPr>
                        <w:suppressAutoHyphens/>
                        <w:textAlignment w:val="baseline"/>
                        <w:rPr>
                          <w:rFonts w:eastAsia="Calibri"/>
                          <w:szCs w:val="24"/>
                        </w:rPr>
                      </w:pPr>
                    </w:p>
                    <w:p>
                      <w:pPr>
                        <w:suppressAutoHyphens/>
                        <w:textAlignment w:val="baseline"/>
                        <w:rPr>
                          <w:rFonts w:eastAsia="Calibri"/>
                          <w:szCs w:val="24"/>
                        </w:rPr>
                      </w:pPr>
                    </w:p>
                    <w:p>
                      <w:pPr>
                        <w:suppressAutoHyphens/>
                        <w:textAlignment w:val="baseline"/>
                        <w:rPr>
                          <w:rFonts w:eastAsia="Calibri"/>
                          <w:szCs w:val="24"/>
                        </w:rPr>
                      </w:pPr>
                    </w:p>
                    <w:p>
                      <w:pPr>
                        <w:rPr>
                          <w:szCs w:val="24"/>
                        </w:rPr>
                      </w:pPr>
                      <w:r>
                        <w:rPr>
                          <w:szCs w:val="24"/>
                        </w:rPr>
                        <w:t xml:space="preserve">Savivaldybės meras                                                             Kazimieras Račkauskis</w:t>
                      </w:r>
                    </w:p>
                    <w:p>
                      <w:pPr>
                        <w:rPr>
                          <w:szCs w:val="24"/>
                        </w:rPr>
                      </w:pPr>
                    </w:p>
                    <w:p>
                      <w:pPr>
                        <w:rPr>
                          <w:szCs w:val="24"/>
                        </w:rPr>
                      </w:pPr>
                      <w:r>
                        <w:rPr>
                          <w:szCs w:val="24"/>
                        </w:rPr>
                        <w:t xml:space="preserve">Mero patarėjas                                                                      Linas Garbenis</w:t>
                      </w:r>
                    </w:p>
                    <w:p>
                      <w:pPr>
                        <w:ind w:firstLine="496"/>
                        <w:rPr>
                          <w:szCs w:val="24"/>
                        </w:rPr>
                      </w:pPr>
                      <w:r>
                        <w:rPr>
                          <w:szCs w:val="24"/>
                        </w:rPr>
                        <w:t>(rengėjas)</w:t>
                      </w:r>
                    </w:p>
                  </w:sdtContent>
                </w:sdt>
              </w:sdtContent>
            </w:sdt>
          </w:sdtContent>
        </w:sdt>
      </w:sdtContent>
    </w:sdt>
    <w:sectPr>
      <w:pgSz w:w="11907" w:h="16840" w:code="9"/>
      <w:pgMar w:top="1701"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n-ea">
    <w:altName w:val="Times New Roman"/>
    <w:panose1 w:val="00000000000000000000"/>
    <w:charset w:val="00"/>
    <w:family w:val="roman"/>
    <w:notTrueType/>
    <w:pitch w:val="default"/>
  </w:font>
  <w:font w:name="+mj-ea">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9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631A89-F19B-476C-9A49-F96E3021112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9" Type="http://schemas.openxmlformats.org/officeDocument/2006/relationships/chart" Target="charts/chart1.xml"/>
  <Relationship Id="rId2" Type="http://schemas.openxmlformats.org/officeDocument/2006/relationships/styles" Target="styles.xml"/>
  <Relationship Id="rId20" Type="http://schemas.openxmlformats.org/officeDocument/2006/relationships/chart" Target="charts/chart2.xml"/>
  <Relationship Id="rId21" Type="http://schemas.openxmlformats.org/officeDocument/2006/relationships/chart" Target="charts/chart3.xml"/>
  <Relationship Id="rId22" Type="http://schemas.openxmlformats.org/officeDocument/2006/relationships/chart" Target="charts/chart4.xml"/>
  <Relationship Id="rId23" Type="http://schemas.openxmlformats.org/officeDocument/2006/relationships/chart" Target="charts/chart5.xml"/>
  <Relationship Id="rId24" Type="http://schemas.openxmlformats.org/officeDocument/2006/relationships/chart" Target="charts/chart6.xml"/>
  <Relationship Id="rId25" Type="http://schemas.openxmlformats.org/officeDocument/2006/relationships/customXml" Target="../customXml/item2.xml"/>
  <Relationship Id="rId29" Type="http://schemas.openxmlformats.org/officeDocument/2006/relationships/chart" Target="charts/chart7.xml"/>
  <Relationship Id="rId3" Type="http://schemas.openxmlformats.org/officeDocument/2006/relationships/settings" Target="settings.xml"/>
  <Relationship Id="rId32" Type="http://schemas.openxmlformats.org/officeDocument/2006/relationships/fontTable" Target="fontTable.xml"/>
  <Relationship Id="rId33" Type="http://schemas.openxmlformats.org/officeDocument/2006/relationships/theme" Target="theme/theme1.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image" Target="media/image2.jpeg"/>
  <Relationship Id="rId9" Type="http://schemas.openxmlformats.org/officeDocument/2006/relationships/header" Target="header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2.xlsx"/>
</Relationships>

</file>

<file path=word/charts/_rels/chart4.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themeOverride" Target="../theme/themeOverride1.xml"/>
  <Relationship Id="rId4" Type="http://schemas.openxmlformats.org/officeDocument/2006/relationships/package" Target="../embeddings/Microsoft_Excel_Worksheet3.xlsx"/>
</Relationships>

</file>

<file path=word/charts/_rels/chart5.xml.rels><?xml version="1.0" encoding="UTF-8"?>

<Relationships xmlns="http://schemas.openxmlformats.org/package/2006/relationships">
  <Relationship Id="rId1" Type="http://schemas.microsoft.com/office/2011/relationships/chartStyle" Target="style5.xml"/>
  <Relationship Id="rId2" Type="http://schemas.microsoft.com/office/2011/relationships/chartColorStyle" Target="colors5.xml"/>
  <Relationship Id="rId3" Type="http://schemas.openxmlformats.org/officeDocument/2006/relationships/package" Target="../embeddings/Microsoft_Excel_Worksheet4.xlsx"/>
</Relationships>

</file>

<file path=word/charts/_rels/chart6.xml.rels><?xml version="1.0" encoding="UTF-8"?>

<Relationships xmlns="http://schemas.openxmlformats.org/package/2006/relationships">
  <Relationship Id="rId1" Type="http://schemas.microsoft.com/office/2011/relationships/chartStyle" Target="style6.xml"/>
  <Relationship Id="rId2" Type="http://schemas.microsoft.com/office/2011/relationships/chartColorStyle" Target="colors6.xml"/>
  <Relationship Id="rId3" Type="http://schemas.openxmlformats.org/officeDocument/2006/relationships/package" Target="../embeddings/Microsoft_Excel_Worksheet5.xlsx"/>
</Relationships>

</file>

<file path=word/charts/_rels/chart7.xml.rels><?xml version="1.0" encoding="UTF-8"?>

<Relationships xmlns="http://schemas.openxmlformats.org/package/2006/relationships">
  <Relationship Id="rId1" Type="http://schemas.microsoft.com/office/2011/relationships/chartStyle" Target="style7.xml"/>
  <Relationship Id="rId2" Type="http://schemas.microsoft.com/office/2011/relationships/chartColorStyle" Target="colors7.xml"/>
  <Relationship Id="rId3" Type="http://schemas.openxmlformats.org/officeDocument/2006/relationships/package" Target="../embeddings/Microsoft_Excel_Worksheet6.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6756643951616146E-2"/>
          <c:y val="9.6133751306165097E-2"/>
          <c:w val="0.85188759661922997"/>
          <c:h val="0.62266070973103271"/>
        </c:manualLayout>
      </c:layout>
      <c:barChart>
        <c:barDir val="col"/>
        <c:grouping val="stacked"/>
        <c:varyColors val="0"/>
        <c:ser>
          <c:idx val="0"/>
          <c:order val="0"/>
          <c:tx>
            <c:strRef>
              <c:f>Lapas1!$B$1</c:f>
              <c:strCache>
                <c:ptCount val="1"/>
                <c:pt idx="0">
                  <c:v>Savivaldybės biudžetas</c:v>
                </c:pt>
              </c:strCache>
            </c:strRef>
          </c:tx>
          <c:spPr>
            <a:solidFill>
              <a:schemeClr val="accent2"/>
            </a:solidFill>
            <a:ln>
              <a:noFill/>
            </a:ln>
            <a:effectLst/>
          </c:spPr>
          <c:invertIfNegative val="0"/>
          <c:cat>
            <c:numRef>
              <c:f>Lapas1!$A$2:$A$7</c:f>
              <c:numCache>
                <c:formatCode>General</c:formatCode>
                <c:ptCount val="6"/>
                <c:pt idx="0">
                  <c:v>2023</c:v>
                </c:pt>
                <c:pt idx="1">
                  <c:v>2024</c:v>
                </c:pt>
                <c:pt idx="2">
                  <c:v>2025</c:v>
                </c:pt>
                <c:pt idx="3">
                  <c:v>2023</c:v>
                </c:pt>
                <c:pt idx="4">
                  <c:v>2024</c:v>
                </c:pt>
                <c:pt idx="5">
                  <c:v>2025</c:v>
                </c:pt>
              </c:numCache>
            </c:numRef>
          </c:cat>
          <c:val>
            <c:numRef>
              <c:f>Lapas1!$B$2:$B$7</c:f>
              <c:numCache>
                <c:formatCode>General</c:formatCode>
                <c:ptCount val="6"/>
                <c:pt idx="0">
                  <c:v>16687.3</c:v>
                </c:pt>
                <c:pt idx="1">
                  <c:v>18488.099999999999</c:v>
                </c:pt>
                <c:pt idx="2">
                  <c:v>20454.3</c:v>
                </c:pt>
                <c:pt idx="3">
                  <c:v>4307.3999999999996</c:v>
                </c:pt>
                <c:pt idx="4">
                  <c:v>4206.8</c:v>
                </c:pt>
                <c:pt idx="5">
                  <c:v>4903.3999999999996</c:v>
                </c:pt>
              </c:numCache>
            </c:numRef>
          </c:val>
          <c:extLst>
            <c:ext xmlns:c16="http://schemas.microsoft.com/office/drawing/2014/chart" uri="{C3380CC4-5D6E-409C-BE32-E72D297353CC}">
              <c16:uniqueId val="{00000000-2421-474C-9BC4-CC77258D3EC4}"/>
            </c:ext>
          </c:extLst>
        </c:ser>
        <c:ser>
          <c:idx val="1"/>
          <c:order val="1"/>
          <c:tx>
            <c:strRef>
              <c:f>Lapas1!$C$1</c:f>
              <c:strCache>
                <c:ptCount val="1"/>
                <c:pt idx="0">
                  <c:v>Valstybės biudžeto, dotacijos iš kitų valdžios sektoriaus subjektų</c:v>
                </c:pt>
              </c:strCache>
            </c:strRef>
          </c:tx>
          <c:spPr>
            <a:solidFill>
              <a:schemeClr val="accent4"/>
            </a:solidFill>
            <a:ln>
              <a:noFill/>
            </a:ln>
            <a:effectLst/>
          </c:spPr>
          <c:invertIfNegative val="0"/>
          <c:cat>
            <c:numRef>
              <c:f>Lapas1!$A$2:$A$7</c:f>
              <c:numCache>
                <c:formatCode>General</c:formatCode>
                <c:ptCount val="6"/>
                <c:pt idx="0">
                  <c:v>2023</c:v>
                </c:pt>
                <c:pt idx="1">
                  <c:v>2024</c:v>
                </c:pt>
                <c:pt idx="2">
                  <c:v>2025</c:v>
                </c:pt>
                <c:pt idx="3">
                  <c:v>2023</c:v>
                </c:pt>
                <c:pt idx="4">
                  <c:v>2024</c:v>
                </c:pt>
                <c:pt idx="5">
                  <c:v>2025</c:v>
                </c:pt>
              </c:numCache>
            </c:numRef>
          </c:cat>
          <c:val>
            <c:numRef>
              <c:f>Lapas1!$C$2:$C$7</c:f>
              <c:numCache>
                <c:formatCode>General</c:formatCode>
                <c:ptCount val="6"/>
                <c:pt idx="0">
                  <c:v>5889.6</c:v>
                </c:pt>
                <c:pt idx="1">
                  <c:v>5810.5</c:v>
                </c:pt>
                <c:pt idx="2" formatCode="0.0">
                  <c:v>10057</c:v>
                </c:pt>
                <c:pt idx="3">
                  <c:v>186.7</c:v>
                </c:pt>
                <c:pt idx="4">
                  <c:v>215.5</c:v>
                </c:pt>
                <c:pt idx="5">
                  <c:v>150.80000000000001</c:v>
                </c:pt>
              </c:numCache>
            </c:numRef>
          </c:val>
          <c:extLst>
            <c:ext xmlns:c16="http://schemas.microsoft.com/office/drawing/2014/chart" uri="{C3380CC4-5D6E-409C-BE32-E72D297353CC}">
              <c16:uniqueId val="{00000001-2421-474C-9BC4-CC77258D3EC4}"/>
            </c:ext>
          </c:extLst>
        </c:ser>
        <c:ser>
          <c:idx val="2"/>
          <c:order val="2"/>
          <c:tx>
            <c:strRef>
              <c:f>Lapas1!$D$1</c:f>
              <c:strCache>
                <c:ptCount val="1"/>
                <c:pt idx="0">
                  <c:v>ES lėšos</c:v>
                </c:pt>
              </c:strCache>
            </c:strRef>
          </c:tx>
          <c:spPr>
            <a:solidFill>
              <a:schemeClr val="accent6"/>
            </a:solidFill>
            <a:ln>
              <a:noFill/>
            </a:ln>
            <a:effectLst/>
          </c:spPr>
          <c:invertIfNegative val="0"/>
          <c:cat>
            <c:numRef>
              <c:f>Lapas1!$A$2:$A$7</c:f>
              <c:numCache>
                <c:formatCode>General</c:formatCode>
                <c:ptCount val="6"/>
                <c:pt idx="0">
                  <c:v>2023</c:v>
                </c:pt>
                <c:pt idx="1">
                  <c:v>2024</c:v>
                </c:pt>
                <c:pt idx="2">
                  <c:v>2025</c:v>
                </c:pt>
                <c:pt idx="3">
                  <c:v>2023</c:v>
                </c:pt>
                <c:pt idx="4">
                  <c:v>2024</c:v>
                </c:pt>
                <c:pt idx="5">
                  <c:v>2025</c:v>
                </c:pt>
              </c:numCache>
            </c:numRef>
          </c:cat>
          <c:val>
            <c:numRef>
              <c:f>Lapas1!$D$2:$D$7</c:f>
              <c:numCache>
                <c:formatCode>General</c:formatCode>
                <c:ptCount val="6"/>
                <c:pt idx="0">
                  <c:v>0</c:v>
                </c:pt>
                <c:pt idx="1">
                  <c:v>17.5</c:v>
                </c:pt>
                <c:pt idx="2">
                  <c:v>34.299999999999997</c:v>
                </c:pt>
                <c:pt idx="3">
                  <c:v>0</c:v>
                </c:pt>
                <c:pt idx="4">
                  <c:v>0</c:v>
                </c:pt>
                <c:pt idx="5">
                  <c:v>0</c:v>
                </c:pt>
              </c:numCache>
            </c:numRef>
          </c:val>
          <c:extLst>
            <c:ext xmlns:c16="http://schemas.microsoft.com/office/drawing/2014/chart" uri="{C3380CC4-5D6E-409C-BE32-E72D297353CC}">
              <c16:uniqueId val="{00000002-2421-474C-9BC4-CC77258D3EC4}"/>
            </c:ext>
          </c:extLst>
        </c:ser>
        <c:dLbls>
          <c:showLegendKey val="0"/>
          <c:showVal val="0"/>
          <c:showCatName val="0"/>
          <c:showSerName val="0"/>
          <c:showPercent val="0"/>
          <c:showBubbleSize val="0"/>
        </c:dLbls>
        <c:gapWidth val="150"/>
        <c:overlap val="100"/>
        <c:axId val="265892368"/>
        <c:axId val="265880848"/>
      </c:barChart>
      <c:catAx>
        <c:axId val="265892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Administracija,</a:t>
                </a:r>
                <a:r>
                  <a:rPr lang="lt-LT" baseline="0"/>
                  <a:t> tūkst. Eur                                           Seniūnijos, tūkst. Eur</a:t>
                </a:r>
                <a:endParaRPr lang="lt-LT"/>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880848"/>
        <c:crosses val="autoZero"/>
        <c:auto val="1"/>
        <c:lblAlgn val="ctr"/>
        <c:lblOffset val="100"/>
        <c:noMultiLvlLbl val="0"/>
      </c:catAx>
      <c:valAx>
        <c:axId val="265880848"/>
        <c:scaling>
          <c:orientation val="minMax"/>
          <c:max val="4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892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8435695538057737E-2"/>
          <c:y val="0.22916666666666666"/>
          <c:w val="0.81114763779527554"/>
          <c:h val="0.42042486876640417"/>
        </c:manualLayout>
      </c:layout>
      <c:barChart>
        <c:barDir val="col"/>
        <c:grouping val="clustered"/>
        <c:varyColors val="0"/>
        <c:ser>
          <c:idx val="0"/>
          <c:order val="0"/>
          <c:tx>
            <c:strRef>
              <c:f>Lapas1!$B$1</c:f>
              <c:strCache>
                <c:ptCount val="1"/>
                <c:pt idx="0">
                  <c:v>Asignavimų planas</c:v>
                </c:pt>
              </c:strCache>
            </c:strRef>
          </c:tx>
          <c:spPr>
            <a:solidFill>
              <a:schemeClr val="accent1"/>
            </a:solidFill>
            <a:ln>
              <a:noFill/>
            </a:ln>
            <a:effectLst/>
          </c:spPr>
          <c:invertIfNegative val="0"/>
          <c:cat>
            <c:numRef>
              <c:f>Lapas1!$A$2:$A$7</c:f>
              <c:numCache>
                <c:formatCode>General</c:formatCode>
                <c:ptCount val="6"/>
                <c:pt idx="0">
                  <c:v>2023</c:v>
                </c:pt>
                <c:pt idx="1">
                  <c:v>2024</c:v>
                </c:pt>
                <c:pt idx="2">
                  <c:v>2025</c:v>
                </c:pt>
                <c:pt idx="3">
                  <c:v>2023</c:v>
                </c:pt>
                <c:pt idx="4">
                  <c:v>2024</c:v>
                </c:pt>
                <c:pt idx="5">
                  <c:v>2025</c:v>
                </c:pt>
              </c:numCache>
            </c:numRef>
          </c:cat>
          <c:val>
            <c:numRef>
              <c:f>Lapas1!$B$2:$B$7</c:f>
              <c:numCache>
                <c:formatCode>0.0</c:formatCode>
                <c:ptCount val="6"/>
                <c:pt idx="0" formatCode="General">
                  <c:v>24234.1</c:v>
                </c:pt>
                <c:pt idx="1">
                  <c:v>27725</c:v>
                </c:pt>
                <c:pt idx="2">
                  <c:v>31540.3</c:v>
                </c:pt>
                <c:pt idx="3" formatCode="General">
                  <c:v>4657.2</c:v>
                </c:pt>
                <c:pt idx="4" formatCode="General">
                  <c:v>4604.8</c:v>
                </c:pt>
                <c:pt idx="5" formatCode="General">
                  <c:v>5124.3999999999996</c:v>
                </c:pt>
              </c:numCache>
            </c:numRef>
          </c:val>
          <c:extLst>
            <c:ext xmlns:c16="http://schemas.microsoft.com/office/drawing/2014/chart" uri="{C3380CC4-5D6E-409C-BE32-E72D297353CC}">
              <c16:uniqueId val="{00000000-92BA-4F3A-A981-5447BE80C8C6}"/>
            </c:ext>
          </c:extLst>
        </c:ser>
        <c:dLbls>
          <c:showLegendKey val="0"/>
          <c:showVal val="0"/>
          <c:showCatName val="0"/>
          <c:showSerName val="0"/>
          <c:showPercent val="0"/>
          <c:showBubbleSize val="0"/>
        </c:dLbls>
        <c:gapWidth val="150"/>
        <c:axId val="20310144"/>
        <c:axId val="20310624"/>
      </c:barChart>
      <c:lineChart>
        <c:grouping val="standard"/>
        <c:varyColors val="0"/>
        <c:ser>
          <c:idx val="1"/>
          <c:order val="1"/>
          <c:tx>
            <c:strRef>
              <c:f>Lapas1!$C$1</c:f>
              <c:strCache>
                <c:ptCount val="1"/>
                <c:pt idx="0">
                  <c:v>Asignavimų panaudojimas</c:v>
                </c:pt>
              </c:strCache>
            </c:strRef>
          </c:tx>
          <c:spPr>
            <a:ln w="28575" cap="rnd">
              <a:solidFill>
                <a:schemeClr val="accent2"/>
              </a:solidFill>
              <a:round/>
            </a:ln>
            <a:effectLst/>
          </c:spPr>
          <c:marker>
            <c:symbol val="none"/>
          </c:marker>
          <c:cat>
            <c:numRef>
              <c:f>Lapas1!$A$2:$A$7</c:f>
              <c:numCache>
                <c:formatCode>General</c:formatCode>
                <c:ptCount val="6"/>
                <c:pt idx="0">
                  <c:v>2023</c:v>
                </c:pt>
                <c:pt idx="1">
                  <c:v>2024</c:v>
                </c:pt>
                <c:pt idx="2">
                  <c:v>2025</c:v>
                </c:pt>
                <c:pt idx="3">
                  <c:v>2023</c:v>
                </c:pt>
                <c:pt idx="4">
                  <c:v>2024</c:v>
                </c:pt>
                <c:pt idx="5">
                  <c:v>2025</c:v>
                </c:pt>
              </c:numCache>
            </c:numRef>
          </c:cat>
          <c:val>
            <c:numRef>
              <c:f>Lapas1!$C$2:$C$7</c:f>
              <c:numCache>
                <c:formatCode>General</c:formatCode>
                <c:ptCount val="6"/>
                <c:pt idx="0">
                  <c:v>22576.9</c:v>
                </c:pt>
                <c:pt idx="1">
                  <c:v>24316.1</c:v>
                </c:pt>
                <c:pt idx="2" formatCode="0.0">
                  <c:v>30545.599999999999</c:v>
                </c:pt>
                <c:pt idx="3">
                  <c:v>4494.1000000000004</c:v>
                </c:pt>
                <c:pt idx="4">
                  <c:v>4422.3</c:v>
                </c:pt>
                <c:pt idx="5">
                  <c:v>5054.2</c:v>
                </c:pt>
              </c:numCache>
            </c:numRef>
          </c:val>
          <c:smooth val="0"/>
          <c:extLst>
            <c:ext xmlns:c16="http://schemas.microsoft.com/office/drawing/2014/chart" uri="{C3380CC4-5D6E-409C-BE32-E72D297353CC}">
              <c16:uniqueId val="{00000001-92BA-4F3A-A981-5447BE80C8C6}"/>
            </c:ext>
          </c:extLst>
        </c:ser>
        <c:dLbls>
          <c:showLegendKey val="0"/>
          <c:showVal val="0"/>
          <c:showCatName val="0"/>
          <c:showSerName val="0"/>
          <c:showPercent val="0"/>
          <c:showBubbleSize val="0"/>
        </c:dLbls>
        <c:marker val="1"/>
        <c:smooth val="0"/>
        <c:axId val="20310144"/>
        <c:axId val="20310624"/>
      </c:lineChart>
      <c:catAx>
        <c:axId val="20310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Administracija</a:t>
                </a:r>
                <a:r>
                  <a:rPr lang="lt-LT" baseline="0"/>
                  <a:t>, tūkst. Eur                                          Seniūnijos, tūkst. Eur</a:t>
                </a:r>
                <a:endParaRPr lang="lt-LT"/>
              </a:p>
            </c:rich>
          </c:tx>
          <c:layout>
            <c:manualLayout>
              <c:xMode val="edge"/>
              <c:yMode val="edge"/>
              <c:x val="0.20247575823855352"/>
              <c:y val="0.8131739782527184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10624"/>
        <c:crosses val="autoZero"/>
        <c:auto val="1"/>
        <c:lblAlgn val="ctr"/>
        <c:lblOffset val="100"/>
        <c:noMultiLvlLbl val="0"/>
      </c:catAx>
      <c:valAx>
        <c:axId val="20310624"/>
        <c:scaling>
          <c:orientation val="minMax"/>
          <c:max val="4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1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Lapas1!$B$1</c:f>
              <c:strCache>
                <c:ptCount val="1"/>
                <c:pt idx="0">
                  <c:v>Pardavimas</c:v>
                </c:pt>
              </c:strCache>
            </c:strRef>
          </c:tx>
          <c:spPr>
            <a:ln>
              <a:noFill/>
              <a:prstDash val="solid"/>
            </a:ln>
          </c:spPr>
          <c:dPt>
            <c:idx val="0"/>
            <c:bubble3D val="0"/>
            <c:spPr>
              <a:solidFill>
                <a:schemeClr val="accent2"/>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1-E0C8-4477-8334-872A23B8D79B}"/>
              </c:ext>
            </c:extLst>
          </c:dPt>
          <c:dPt>
            <c:idx val="1"/>
            <c:bubble3D val="0"/>
            <c:spPr>
              <a:solidFill>
                <a:schemeClr val="accent4"/>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3-E0C8-4477-8334-872A23B8D79B}"/>
              </c:ext>
            </c:extLst>
          </c:dPt>
          <c:dPt>
            <c:idx val="2"/>
            <c:bubble3D val="0"/>
            <c:spPr>
              <a:solidFill>
                <a:schemeClr val="accent6"/>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5-E0C8-4477-8334-872A23B8D79B}"/>
              </c:ext>
            </c:extLst>
          </c:dPt>
          <c:dPt>
            <c:idx val="3"/>
            <c:bubble3D val="0"/>
            <c:spPr>
              <a:solidFill>
                <a:schemeClr val="accent2">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7-E0C8-4477-8334-872A23B8D79B}"/>
              </c:ext>
            </c:extLst>
          </c:dPt>
          <c:dPt>
            <c:idx val="4"/>
            <c:bubble3D val="0"/>
            <c:spPr>
              <a:solidFill>
                <a:schemeClr val="accent4">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9-E0C8-4477-8334-872A23B8D79B}"/>
              </c:ext>
            </c:extLst>
          </c:dPt>
          <c:dPt>
            <c:idx val="5"/>
            <c:bubble3D val="0"/>
            <c:spPr>
              <a:solidFill>
                <a:schemeClr val="accent6">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B-E0C8-4477-8334-872A23B8D79B}"/>
              </c:ext>
            </c:extLst>
          </c:dPt>
          <c:dLbls>
            <c:dLbl>
              <c:idx val="0"/>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1-E0C8-4477-8334-872A23B8D79B}"/>
                </c:ext>
              </c:extLst>
            </c:dLbl>
            <c:dLbl>
              <c:idx val="1"/>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3-E0C8-4477-8334-872A23B8D79B}"/>
                </c:ext>
              </c:extLst>
            </c:dLbl>
            <c:dLbl>
              <c:idx val="2"/>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5-E0C8-4477-8334-872A23B8D79B}"/>
                </c:ext>
              </c:extLst>
            </c:dLbl>
            <c:dLbl>
              <c:idx val="3"/>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7-E0C8-4477-8334-872A23B8D79B}"/>
                </c:ext>
              </c:extLst>
            </c:dLbl>
            <c:dLbl>
              <c:idx val="4"/>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9-E0C8-4477-8334-872A23B8D79B}"/>
                </c:ext>
              </c:extLst>
            </c:dLbl>
            <c:dLbl>
              <c:idx val="5"/>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B-E0C8-4477-8334-872A23B8D79B}"/>
                </c:ext>
              </c:extLst>
            </c:dLbl>
            <c:spPr>
              <a:solidFill>
                <a:sysClr val="window" lastClr="FFFFFF"/>
              </a:solidFill>
              <a:ln>
                <a:noFill/>
              </a:ln>
              <a:effectLst/>
            </c:spPr>
            <c:dLblPos val="outEnd"/>
            <c:showLegendKey val="0"/>
            <c:showVal val="0"/>
            <c:showCatName val="1"/>
            <c:showSerName val="0"/>
            <c:showPercent val="1"/>
            <c:showBubbleSize val="0"/>
            <c:showLeaderLines val="0"/>
            <c:extLst>
              <c:ext xmlns:c15="http://schemas.microsoft.com/office/drawing/2012/chart" uri="{CE6537A1-D6FC-4f65-9D91-7224C49458BB}">
                <c15:spPr>
                  <a:prstGeom prst="wedgeRectCallout">
                    <a:avLst/>
                  </a:prstGeom>
                  <a:noFill/>
                  <a:ln>
                    <a:noFill/>
                  </a:ln>
                </c15:spPr>
              </c:ext>
            </c:extLst>
          </c:dLbls>
          <c:cat>
            <c:strRef>
              <c:f>Lapas1!$A$2:$A$7</c:f>
              <c:strCache>
                <c:ptCount val="6"/>
                <c:pt idx="0">
                  <c:v>1 programa</c:v>
                </c:pt>
                <c:pt idx="1">
                  <c:v>2 programa</c:v>
                </c:pt>
                <c:pt idx="2">
                  <c:v>3 programa</c:v>
                </c:pt>
                <c:pt idx="3">
                  <c:v>4 programa</c:v>
                </c:pt>
                <c:pt idx="4">
                  <c:v>5 programa</c:v>
                </c:pt>
                <c:pt idx="5">
                  <c:v>6 programa</c:v>
                </c:pt>
              </c:strCache>
            </c:strRef>
          </c:cat>
          <c:val>
            <c:numRef>
              <c:f>Lapas1!$B$2:$B$7</c:f>
              <c:numCache>
                <c:formatCode>0%</c:formatCode>
                <c:ptCount val="6"/>
                <c:pt idx="0">
                  <c:v>0.184</c:v>
                </c:pt>
                <c:pt idx="1">
                  <c:v>0.02</c:v>
                </c:pt>
                <c:pt idx="2">
                  <c:v>0.30399999999999999</c:v>
                </c:pt>
                <c:pt idx="3">
                  <c:v>0.27100000000000002</c:v>
                </c:pt>
                <c:pt idx="4">
                  <c:v>0.02</c:v>
                </c:pt>
                <c:pt idx="5">
                  <c:v>0.2</c:v>
                </c:pt>
              </c:numCache>
            </c:numRef>
          </c:val>
          <c:extLst>
            <c:ext xmlns:c16="http://schemas.microsoft.com/office/drawing/2014/chart" uri="{C3380CC4-5D6E-409C-BE32-E72D297353CC}">
              <c16:uniqueId val="{0000000C-E0C8-4477-8334-872A23B8D79B}"/>
            </c:ext>
          </c:extLst>
        </c:ser>
        <c:dLbls>
          <c:dLblPos val="outEnd"/>
          <c:showLegendKey val="0"/>
          <c:showVal val="0"/>
          <c:showCatName val="1"/>
          <c:showSerName val="0"/>
          <c:showPercent val="0"/>
          <c:showBubbleSize val="0"/>
          <c:showLeaderLines val="0"/>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488422680041706"/>
          <c:y val="0.32789364237482194"/>
          <c:w val="0.72913403803976562"/>
          <c:h val="0.58032290474076498"/>
        </c:manualLayout>
      </c:layout>
      <c:barChart>
        <c:barDir val="bar"/>
        <c:grouping val="clustered"/>
        <c:varyColors val="0"/>
        <c:ser>
          <c:idx val="0"/>
          <c:order val="0"/>
          <c:tx>
            <c:strRef>
              <c:f>Lapas1!$B$1</c:f>
              <c:strCache>
                <c:ptCount val="1"/>
                <c:pt idx="0">
                  <c:v>DARBAI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2025 METAI</c:v>
                </c:pt>
                <c:pt idx="1">
                  <c:v>2024 METAI</c:v>
                </c:pt>
              </c:strCache>
            </c:strRef>
          </c:cat>
          <c:val>
            <c:numRef>
              <c:f>Lapas1!$B$2:$B$3</c:f>
              <c:numCache>
                <c:formatCode>General</c:formatCode>
                <c:ptCount val="2"/>
                <c:pt idx="0">
                  <c:v>66</c:v>
                </c:pt>
                <c:pt idx="1">
                  <c:v>13</c:v>
                </c:pt>
              </c:numCache>
            </c:numRef>
          </c:val>
          <c:extLst>
            <c:ext xmlns:c16="http://schemas.microsoft.com/office/drawing/2014/chart" uri="{C3380CC4-5D6E-409C-BE32-E72D297353CC}">
              <c16:uniqueId val="{00000000-31F0-4CDD-AAC7-3214352B80FD}"/>
            </c:ext>
          </c:extLst>
        </c:ser>
        <c:ser>
          <c:idx val="1"/>
          <c:order val="1"/>
          <c:tx>
            <c:strRef>
              <c:f>Lapas1!$C$1</c:f>
              <c:strCache>
                <c:ptCount val="1"/>
                <c:pt idx="0">
                  <c:v>PASLAUGOS</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2025 METAI</c:v>
                </c:pt>
                <c:pt idx="1">
                  <c:v>2024 METAI</c:v>
                </c:pt>
              </c:strCache>
            </c:strRef>
          </c:cat>
          <c:val>
            <c:numRef>
              <c:f>Lapas1!$C$2:$C$3</c:f>
              <c:numCache>
                <c:formatCode>General</c:formatCode>
                <c:ptCount val="2"/>
                <c:pt idx="0">
                  <c:v>20</c:v>
                </c:pt>
                <c:pt idx="1">
                  <c:v>6</c:v>
                </c:pt>
              </c:numCache>
            </c:numRef>
          </c:val>
          <c:extLst>
            <c:ext xmlns:c16="http://schemas.microsoft.com/office/drawing/2014/chart" uri="{C3380CC4-5D6E-409C-BE32-E72D297353CC}">
              <c16:uniqueId val="{00000001-31F0-4CDD-AAC7-3214352B80FD}"/>
            </c:ext>
          </c:extLst>
        </c:ser>
        <c:ser>
          <c:idx val="2"/>
          <c:order val="2"/>
          <c:tx>
            <c:strRef>
              <c:f>Lapas1!$D$1</c:f>
              <c:strCache>
                <c:ptCount val="1"/>
                <c:pt idx="0">
                  <c:v>PREKĖS</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2025 METAI</c:v>
                </c:pt>
                <c:pt idx="1">
                  <c:v>2024 METAI</c:v>
                </c:pt>
              </c:strCache>
            </c:strRef>
          </c:cat>
          <c:val>
            <c:numRef>
              <c:f>Lapas1!$D$2:$D$3</c:f>
              <c:numCache>
                <c:formatCode>General</c:formatCode>
                <c:ptCount val="2"/>
                <c:pt idx="0">
                  <c:v>12</c:v>
                </c:pt>
                <c:pt idx="1">
                  <c:v>7</c:v>
                </c:pt>
              </c:numCache>
            </c:numRef>
          </c:val>
          <c:extLst>
            <c:ext xmlns:c16="http://schemas.microsoft.com/office/drawing/2014/chart" uri="{C3380CC4-5D6E-409C-BE32-E72D297353CC}">
              <c16:uniqueId val="{00000002-31F0-4CDD-AAC7-3214352B80FD}"/>
            </c:ext>
          </c:extLst>
        </c:ser>
        <c:dLbls>
          <c:showLegendKey val="0"/>
          <c:showVal val="1"/>
          <c:showCatName val="0"/>
          <c:showSerName val="0"/>
          <c:showPercent val="0"/>
          <c:showBubbleSize val="0"/>
        </c:dLbls>
        <c:gapWidth val="142"/>
        <c:axId val="739681071"/>
        <c:axId val="739676271"/>
      </c:barChart>
      <c:catAx>
        <c:axId val="73968107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9676271"/>
        <c:crosses val="autoZero"/>
        <c:auto val="1"/>
        <c:lblAlgn val="ctr"/>
        <c:lblOffset val="100"/>
        <c:noMultiLvlLbl val="0"/>
      </c:catAx>
      <c:valAx>
        <c:axId val="73967627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96810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4 klas</a:t>
            </a:r>
            <a:r>
              <a:rPr lang="lt-LT"/>
              <a:t>ė</a:t>
            </a:r>
          </a:p>
        </c:rich>
      </c:tx>
      <c:layout>
        <c:manualLayout>
          <c:xMode val="edge"/>
          <c:yMode val="edge"/>
          <c:x val="0.45046861329833771"/>
          <c:y val="2.38095238095238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Matematika</c:v>
                </c:pt>
                <c:pt idx="1">
                  <c:v>Skaitymas</c:v>
                </c:pt>
              </c:strCache>
            </c:strRef>
          </c:cat>
          <c:val>
            <c:numRef>
              <c:f>Lapas1!$B$2:$B$3</c:f>
              <c:numCache>
                <c:formatCode>0.0%</c:formatCode>
                <c:ptCount val="2"/>
                <c:pt idx="0">
                  <c:v>0.83399999999999996</c:v>
                </c:pt>
                <c:pt idx="1">
                  <c:v>0.84699999999999998</c:v>
                </c:pt>
              </c:numCache>
            </c:numRef>
          </c:val>
          <c:extLst>
            <c:ext xmlns:c16="http://schemas.microsoft.com/office/drawing/2014/chart" uri="{C3380CC4-5D6E-409C-BE32-E72D297353CC}">
              <c16:uniqueId val="{00000000-1C81-43A9-9A33-CD17AF4AB15E}"/>
            </c:ext>
          </c:extLst>
        </c:ser>
        <c:dLbls>
          <c:showLegendKey val="0"/>
          <c:showVal val="0"/>
          <c:showCatName val="0"/>
          <c:showSerName val="0"/>
          <c:showPercent val="0"/>
          <c:showBubbleSize val="0"/>
        </c:dLbls>
        <c:gapWidth val="219"/>
        <c:overlap val="-27"/>
        <c:axId val="428428704"/>
        <c:axId val="428423784"/>
      </c:barChart>
      <c:catAx>
        <c:axId val="42842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lt-LT"/>
              <a:t>8</a:t>
            </a:r>
            <a:r>
              <a:rPr lang="en-US"/>
              <a:t> klas</a:t>
            </a:r>
            <a:r>
              <a:rPr lang="lt-LT"/>
              <a:t>ė</a:t>
            </a:r>
          </a:p>
        </c:rich>
      </c:tx>
      <c:layout>
        <c:manualLayout>
          <c:xMode val="edge"/>
          <c:yMode val="edge"/>
          <c:x val="0.45046861329833771"/>
          <c:y val="2.38095238095238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Matematika</c:v>
                </c:pt>
                <c:pt idx="1">
                  <c:v>Lietuvių kalba ir literatūra</c:v>
                </c:pt>
              </c:strCache>
            </c:strRef>
          </c:cat>
          <c:val>
            <c:numRef>
              <c:f>Lapas1!$B$2:$B$3</c:f>
              <c:numCache>
                <c:formatCode>0.0%</c:formatCode>
                <c:ptCount val="2"/>
                <c:pt idx="0">
                  <c:v>0.46800000000000003</c:v>
                </c:pt>
                <c:pt idx="1">
                  <c:v>0.91200000000000003</c:v>
                </c:pt>
              </c:numCache>
            </c:numRef>
          </c:val>
          <c:extLst>
            <c:ext xmlns:c16="http://schemas.microsoft.com/office/drawing/2014/chart" uri="{C3380CC4-5D6E-409C-BE32-E72D297353CC}">
              <c16:uniqueId val="{00000000-8921-4211-9BE6-7636258C5BCA}"/>
            </c:ext>
          </c:extLst>
        </c:ser>
        <c:dLbls>
          <c:showLegendKey val="0"/>
          <c:showVal val="0"/>
          <c:showCatName val="0"/>
          <c:showSerName val="0"/>
          <c:showPercent val="0"/>
          <c:showBubbleSize val="0"/>
        </c:dLbls>
        <c:gapWidth val="219"/>
        <c:overlap val="-27"/>
        <c:axId val="428428704"/>
        <c:axId val="428423784"/>
      </c:barChart>
      <c:catAx>
        <c:axId val="42842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2024</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Storosios žarnor vėžio ankstyvosios diagnostikos įvykdymas</c:v>
                </c:pt>
                <c:pt idx="1">
                  <c:v>Priešinės liaukos vėžio ankstyvosios diagnostikos įvykdymas</c:v>
                </c:pt>
                <c:pt idx="2">
                  <c:v>Gimdos kaklelio piktybinių navikų diagnostikos įvykdymas </c:v>
                </c:pt>
                <c:pt idx="3">
                  <c:v>Atrankinės mamografijos patikros įvykdymas</c:v>
                </c:pt>
                <c:pt idx="4">
                  <c:v>Širdies ir kraujagyslių programos įvykdymas</c:v>
                </c:pt>
              </c:strCache>
            </c:strRef>
          </c:cat>
          <c:val>
            <c:numRef>
              <c:f>Sheet1!$B$2:$B$6</c:f>
              <c:numCache>
                <c:formatCode>General</c:formatCode>
                <c:ptCount val="5"/>
                <c:pt idx="0">
                  <c:v>57.2</c:v>
                </c:pt>
                <c:pt idx="1">
                  <c:v>52.7</c:v>
                </c:pt>
                <c:pt idx="2">
                  <c:v>45.8</c:v>
                </c:pt>
                <c:pt idx="3">
                  <c:v>39.1</c:v>
                </c:pt>
                <c:pt idx="4">
                  <c:v>61.6</c:v>
                </c:pt>
              </c:numCache>
            </c:numRef>
          </c:val>
          <c:extLst>
            <c:ext xmlns:c16="http://schemas.microsoft.com/office/drawing/2014/chart" uri="{C3380CC4-5D6E-409C-BE32-E72D297353CC}">
              <c16:uniqueId val="{00000000-9330-4F6D-89DE-A14AF5FA5255}"/>
            </c:ext>
          </c:extLst>
        </c:ser>
        <c:ser>
          <c:idx val="1"/>
          <c:order val="1"/>
          <c:tx>
            <c:strRef>
              <c:f>Sheet1!$C$1</c:f>
              <c:strCache>
                <c:ptCount val="1"/>
                <c:pt idx="0">
                  <c:v>2025</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Storosios žarnor vėžio ankstyvosios diagnostikos įvykdymas</c:v>
                </c:pt>
                <c:pt idx="1">
                  <c:v>Priešinės liaukos vėžio ankstyvosios diagnostikos įvykdymas</c:v>
                </c:pt>
                <c:pt idx="2">
                  <c:v>Gimdos kaklelio piktybinių navikų diagnostikos įvykdymas </c:v>
                </c:pt>
                <c:pt idx="3">
                  <c:v>Atrankinės mamografijos patikros įvykdymas</c:v>
                </c:pt>
                <c:pt idx="4">
                  <c:v>Širdies ir kraujagyslių programos įvykdymas</c:v>
                </c:pt>
              </c:strCache>
            </c:strRef>
          </c:cat>
          <c:val>
            <c:numRef>
              <c:f>Sheet1!$C$2:$C$6</c:f>
              <c:numCache>
                <c:formatCode>General</c:formatCode>
                <c:ptCount val="5"/>
                <c:pt idx="0">
                  <c:v>54.5</c:v>
                </c:pt>
                <c:pt idx="1">
                  <c:v>46.4</c:v>
                </c:pt>
                <c:pt idx="2">
                  <c:v>55.7</c:v>
                </c:pt>
                <c:pt idx="3">
                  <c:v>38.799999999999997</c:v>
                </c:pt>
                <c:pt idx="4">
                  <c:v>60.6</c:v>
                </c:pt>
              </c:numCache>
            </c:numRef>
          </c:val>
          <c:extLst>
            <c:ext xmlns:c16="http://schemas.microsoft.com/office/drawing/2014/chart" uri="{C3380CC4-5D6E-409C-BE32-E72D297353CC}">
              <c16:uniqueId val="{00000001-9330-4F6D-89DE-A14AF5FA5255}"/>
            </c:ext>
          </c:extLst>
        </c:ser>
        <c:dLbls>
          <c:dLblPos val="inEnd"/>
          <c:showLegendKey val="0"/>
          <c:showVal val="1"/>
          <c:showCatName val="0"/>
          <c:showSerName val="0"/>
          <c:showPercent val="0"/>
          <c:showBubbleSize val="0"/>
        </c:dLbls>
        <c:gapWidth val="182"/>
        <c:axId val="462856992"/>
        <c:axId val="383642848"/>
      </c:barChart>
      <c:catAx>
        <c:axId val="4628569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83642848"/>
        <c:crosses val="autoZero"/>
        <c:auto val="1"/>
        <c:lblAlgn val="ctr"/>
        <c:lblOffset val="100"/>
        <c:noMultiLvlLbl val="0"/>
      </c:catAx>
      <c:valAx>
        <c:axId val="3836428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28569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1b9f5e2386043089bbe6b6bc6fa2e3e" PartId="e338a1671d364d23a69a57af13da8425">
    <Part Type="preambule" DocPartId="601f2ea475e64336984ec5c9f4f1eca5" PartId="76866142d0b04783bb65c8059d53bdd6"/>
    <Part Type="pastraipa" DocPartId="85de49a5e8674308aeb564523c69a6fc" PartId="fcc27deb4d1c4ade9dc3f4c629ec45d2"/>
    <Part Type="skirsnis" Title="Investicijų proveržis – reikšmingas žingsnis rajono ekonomikai" DocPartId="3bba85460a414279808072c5772c7951" PartId="589f8becd69644d4bd1244a35f452c41"/>
    <Part Type="skirsnis" Title="Šeduvos muziejus – kultūrinė investicija su tarptautiniu rezonansu" DocPartId="e2c01e244f184749b479ed9d8d1f72ad" PartId="2305c6b4558747d8916ec1189f62d715"/>
    <Part Type="skirsnis" Title="Infrastruktūros gerinimas – dėmesys kasdieniams gyventojų poreikiams" DocPartId="02d942ad2acd4467902079c8105b25c7" PartId="093457c9671f477ab9dcf24ca974c9ae"/>
    <Part Type="skirsnis" Title="Paslaugų kokybė ir prieinamumas – dėmesys žmogui" DocPartId="95f6ee4d4ce2432aa0de9c9b31da9411" PartId="e7a7f76ffb854d4da4b463e47bc77fad"/>
    <Part Type="skirsnis" Title="Švietimo įstaigose kuriamos šiuolaikiškos mokymosi erdvės" DocPartId="5c7e0def6b1a4f01ae86431852624521" PartId="a81ba1414c904c469f4bf47927e08713"/>
    <Part Type="skirsnis" Title="Vandentvarkos sprendimai – ilgalaikė investicija į gyvenimo kokybę" DocPartId="501c9921500b4918ad1e900ae6a7fa7a" PartId="a0cfe7be139c4c8eae42bee16b5ff4ba"/>
    <Part Type="skirsnis" Title="Strateginis pasirengimas – pamatas būsimoms investicijoms" DocPartId="ba74df588ddc47b7af33b1c42fd19354" PartId="5e24ae2352d944f8a72bde8ed3e273fd"/>
    <Part Type="skirsnis" Title="Kiekvieno indėlis buvo svarbus kuriant pokyčius" DocPartId="677b2e5044724c2a8f1c026ef697fd48" PartId="27c764c7a2564160bc62ca1c4be9fe93"/>
    <Part Type="skirsnis" Title="RADVILIŠKIO RAJONO SAVIVALDYBĖS TARYBA" DocPartId="8da9cecdf86f4f8e8102c7149b6a13ec" PartId="cb940220c7c04e1c88aba40f147f9154"/>
    <Part Type="skirsnis" Title="RADVILIŠKIO RAJONO SAVIVALDYBĖS ADMINISTRACIJA" DocPartId="739b11a44adc42a788f7666397e21ebb" PartId="0439fca723d644ae99eca1072a4e5692"/>
    <Part Type="skyrius" Nr="1" Title="BENDROJI INFORMACIJA APIE ĮSTAIGĄ" DocPartId="d34c0b0970ed492ea89886fbbd63c0c1" PartId="26a9336027884dbf877d495fdf75eadc"/>
    <Part Type="skyrius" Nr="2" Title="ŽMOGIŠKŲJŲ IŠTEKLIŲ VALDYMAS" DocPartId="45ac88f7f1cb443884417c95aac2eebb" PartId="a235855d5d32449782457500403db91f"/>
    <Part Type="skyrius" Nr="3" Title="PROGRAMŲ, STRATEGINIŲ IR METŲ VEIKLOS TIKSLŲ ĮGYVENDINIMAS" DocPartId="ab91922b94a346fea00252193c3f55af" PartId="79d8565948624cfe9feceb25c10a566b">
      <Part Type="poskyris" Title="1 programa: Savivaldybės valdymo programa" DocPartId="04912c1414ac4654a8c2bdfc38a73ad0" PartId="3fa1073050894c00aa29198891493261"/>
      <Part Type="poskyris" Title="1 lentelė. 1 programos strateginių ir metų veiklos tikslų įgyvendinimo rodikliai." DocPartId="21843f2b7f734bf4addea11afd222b69" PartId="5b540a0e74d44207b73ff9ce49657478"/>
      <Part Type="poskyris" Title="2 programa: Radviliškio rajono savivaldybės švietimo paslaugų prieinamumo ir kokybės užtikrinimo programa" DocPartId="94b2559c8887487b84f1ece2b6d95f73" PartId="0c8e2a97ac194933afce57f8f49e5ba2"/>
      <Part Type="poskyris" Title="3 programa. Socialinių paslaugų ir socialinės paramos teikimo programa" DocPartId="6c145ccf4b92432f81c24e5acf5820c7" PartId="8857a20c93e44030ad91c009917282db"/>
      <Part Type="poskyris" Title="4 programa. Rajono infrastruktūros modernizavimo ir plėtros programa" DocPartId="7e7ef07510d54df393ae253cceb83f10" PartId="ec43d7940e3e4f0b920cdb39c30b4022"/>
      <Part Type="poskyris" Title="5 programa. Gyventojų turiningo laisvalaikio užtikrinimo, bendruomeniškumo ir veiklumo skatinimo programa" DocPartId="e764177cf260424f881fbc527614b9ee" PartId="15002dba935e4cf8aa0301c11ecb3159"/>
      <Part Type="poskyris" Title="6 programa. Saugios, švarios ir patogios aplinkos užtikrinimo programa" DocPartId="ac92add0b232481b89b419bafacfaf4f" PartId="9957c9e933b64208a04f80bcb5d4f55c"/>
    </Part>
    <Part Type="skyrius" Nr="4" Title="ĮSTAIGAI SKIRTŲ ASIGNAVIMŲ PANAUDOJIMAS" DocPartId="13fd272a64f547e8b02d5b643eb50bcd" PartId="a7e7c6eb50444e0c9ffc7aabccddfcb9">
      <Part Type="poskyris" Title="Įstaigai skirtų asignavimų panaudojimas per 2023–2025 m. laikotarpį" DocPartId="9ed51899b40b438c9bf727123a7f60f8" PartId="c38f5c91066646b0b187ec93956ef6af"/>
      <Part Type="poskyris" Title="Įstaigai skirtų asignavimų ir jų panaudojimo pokytis per 2023–2025 m. laikotarpį." DocPartId="7dd16f9cb9c74455b6dc583b19dea7b6" PartId="f8781785ece14ce2a46e8e6b89520388"/>
      <Part Type="poskyris" Title="Įstaigos panaudotų asignavimų struktūra pagal programas 2025 m." DocPartId="fe77582489b34d6aa42c8cfb6431f066" PartId="6729fe9074ed413a8d9b5c4cae35c89b"/>
      <Part Type="poskyris" Title="Viešieji pirkimai" DocPartId="3f2e7c8117e141f2a14343f5c9ee4476" PartId="f0a38800e3fb4554a598f9d8a06d57a3"/>
      <Part Type="poskyris" Title="7 lentelė. Įstaigos viešųjų pirkimų per CPO pagal objektų rūšis ir panaudotas lėšas pokytis 2024–2025 m." DocPartId="12fbe6ec8cee4752b091c708adbcbfa2" PartId="72d2310499b844b792b15754e3f18416"/>
    </Part>
    <Part Type="skyrius" Nr="5" Title="PERSPEKTYVOS" DocPartId="166fe0d27d27441b8f8b5d2eb9c081fe" PartId="1ec6be320b3849ffb702416d9a2fbe45">
      <Part Type="poskyris" Title="ĮMONĖS IR ĮSTAIGOS" DocPartId="a018da2d8382462db8af8cedc3aa8678" PartId="516c713cf25445dca70f278307a8c60c"/>
      <Part Type="poskyris" Title="KULTŪROS IR TURIZMO ĮSTAIGOS" DocPartId="946362be6a9a42b6b05dba8dddc6985a" PartId="94acc5f09e834dc7be5151739168a424"/>
      <Part Type="poskyris" Title="Bendra informacija apie kultūros ir turizmo įstaigas" DocPartId="74b80463c329418d97811ce1795e4f88" PartId="a1efc74ffd9444e3b8da414e5568a0bb"/>
      <Part Type="poskyris" Title="Įstaigoms skirtų asignavimų panaudojimas 2025 m." DocPartId="d0aee5716fff48e081771bc0545bb49b" PartId="76ee69e4446a477b95e8e07d39501161"/>
      <Part Type="poskyris" Title="ŠVIETIMO ĮSTAIGOS" DocPartId="b12367eea89c47d4af8199bff65ef9d0" PartId="29850019a64e41278ddfa365ae60addf"/>
      <Part Type="poskyris" Title="Radviliškio rajono švietimo įstaigų tinklas" DocPartId="69819bad51b541bfa29ea2fc6102051f" PartId="6bef18b274a34c79a2e8dfae2eadba96"/>
      <Part Type="poskyris" Title="Pedagogai" DocPartId="c815084de2134741a7e0fcd3a25fcbfc" PartId="cb20a340547543218b826fb352e5b0ec"/>
      <Part Type="poskyris" Title="Radviliškio rajono bendrojo ugdymo mokyklų mokytojai, dirbantys pagrindinėse pareigose, jų išsilavinimas 2023–2025 metais" DocPartId="7b2dfb69ee84447d9bb998a9e49be8f1" PartId="d367e4a59f64434ba73ce70738d04ef4"/>
      <Part Type="poskyris" Title="Radviliškio rajono bendrojo ugdymo mokyklų mokytojai, kuriems suteiktos kvalifikacinės kategorijos" DocPartId="6df3571d2e444271b9031f91942842fe" PartId="e68e269e6de041de8ce0e0c3a4f0105a"/>
      <Part Type="poskyris" Title="Mokinių/vaikų skaičiaus pokytis" DocPartId="ab638a4be97b43d39d89f22f1d8088c9" PartId="9d9ea1db2dbc4640846156e2d3ee457e"/>
      <Part Type="poskyris" Title="Ugdytinių skaičiaus kaita 2023–2025 m. m." DocPartId="1c9d154244af4ec09ed693ce67d6cc88" PartId="fe607d49ec5e41a2a682feb6aa8356df"/>
      <Part Type="poskyris" Title="Pagrindinio išsilavinimo pažymėjimus gavusių mokinių kaita 2023–2025 m. m." DocPartId="177dfc5139e14ff88801bdcfa05680ac" PartId="4472b09b47014c9186ed5fce79f03e98"/>
      <Part Type="poskyris" Title="Brandos atestatą gavusių mokinių kaita 2022–2025 m. m." DocPartId="82aeef4860094b90953fe809855ac92d" PartId="fc97c833734d44c5a1b123de21736d35"/>
      <Part Type="poskyris" Title="Brandos egzaminai ir pagrindinio ugdymo pasiekimų patikrinimas" DocPartId="37644cba45d94962b34992a745ca842c" PartId="6ed36516fdad45dda59b30809343413d"/>
    </Part>
    <Part Type="dalis" Nr="999" DocPartId="8b3230aa9f924df1bddee7e7a13c361b" PartId="78db032d25d440c59ef9e113a0cdb32f">
      <Part Type="poskyris" Title="Nacionaliniai mokinių pasiekimų patikrinimai" DocPartId="d844b738fd3641be996486b41dcb6204" PartId="cb4d9b81098d4d8bb765266af5d570b6"/>
      <Part Type="poskyris" Title="Bent pagrindinį pasiekimų lygį pasiekusių mokinių dalis (proc.)" DocPartId="8536a6a7b3834c71865614ccb961556d" PartId="4ff2c5e392994ff8822f0e77d4ca1ca2"/>
      <Part Type="poskyris" Title="Mokymo lėšos Mokymo lėšų paskirstymas 2023–2025 m. (tūkst. Eur)" DocPartId="7d6328ec6b44457ea76c8bb866692b50" PartId="0c8411506fc94a4f8a187446b0954a95"/>
      <Part Type="poskyris" Title="Projektinė veikla" DocPartId="bb329c6b2e9e4e86a80cccd2114211f0" PartId="63566c1b4260497fa3d36364f78ac28d"/>
      <Part Type="poskyris" Title="SVEIKATOS ĮSTAIGOS" DocPartId="8da60fe65b0743898c2396ab51574078" PartId="546449f81b84469a876af3fd76a089c4"/>
      <Part Type="poskyris" Title="RADVILIŠKIO RAJONO VISUOMENĖS SVEIKATOS BIURAS" DocPartId="2b64f19bb2424aa1a861e221d7689742" PartId="b239be5584254c83b3df50528183af27">
        <Part Type="punktas" Nr="1" Abbr="1 p." DocPartId="c3fbd602a5744d749521264ef9a4cea6" PartId="49851ae30554439986ab9f1e53090a26"/>
        <Part Type="punktas" Nr="2" Abbr="2 p." DocPartId="3abc0a6d09af445199c2c6cc490c5fc1" PartId="9cabd633fc4448adb03bbc6cf4e211fa"/>
        <Part Type="punktas" Nr="3" Abbr="3 p." DocPartId="3072b59152274f27835487806cbd5e2e" PartId="3d69eeee09a8417b8c68dd5234a51dec"/>
        <Part Type="punktas" Nr="4" Abbr="4 p." DocPartId="66d0daeabba3421c8ca70f7a49c4c0ba" PartId="5cfd983ffbda4d91909b927fee34be9d"/>
      </Part>
      <Part Type="poskyris" Title="Veiklos tikslų įgyvendinimas" DocPartId="2260334f6ecb4c8b955dc19c296f8e42" PartId="05795e2da945441e8b458817896cd398"/>
      <Part Type="poskyris" Title="VIEŠOJI ĮSTAIGA ŠEDUVOS PIRMINĖS SVEIKATOS PRIEŽIŪROS CENTRAS" DocPartId="4b5c0d01424f4e19b094c8832e3a4b38" PartId="28294d274e6a4ab29b37111b9c6853c1"/>
      <Part Type="poskyris" Title="Bendroji informacija" DocPartId="850524afd649401a8ec688f50021e88a" PartId="56bc1d50f0b6471bbfbd650168a6632e"/>
      <Part Type="poskyris" Title="Žmogiškųjų išteklių valdymas" DocPartId="f570350bd8d84021ac21d12b0346b8e9" PartId="d96d3eba637c415d82ad01c199adcaba"/>
      <Part Type="poskyris" Title="Duomenys apie darbo užmokesčio 1 mėnesio pokytį 2024-2025 m." DocPartId="5fb84f4338034bbc88c22d5b7911d104" PartId="5dc639e9dda34669a24047bc5e83ec23"/>
      <Part Type="poskyris" Title="Veiklos rezultatai" DocPartId="c65ed067832b48c980428a2c7d78a76a" PartId="7e347f2fd79742c696304a15afbb8a76"/>
      <Part Type="poskyris" Title="Duomenys apie prisirašiusius gyventojus prie ASPĮ" DocPartId="a6078b9c15c94621b9aa6622c9cf5e80" PartId="87b5444df4d74f178428f69d5f545ab9"/>
      <Part Type="poskyris" Title="Duomenys apie pacientų apsilankymo skaičių ASPĮ" DocPartId="64b962fcf16447fab0c5ec357e7f0d0e" PartId="633af3331e5a4f1ca80ecf4c6950aab1"/>
      <Part Type="poskyris" Title="Duomenys apie medicinos punktuose teikiamas paslaugas" DocPartId="47cfe9569d7145e8bf9bf232f134d5e1" PartId="43e0eecdb2914a18bb829ea879df44a3"/>
      <Part Type="poskyris" Title="Duomenys apie prevencinių programų vykdymą" DocPartId="55a982cbb8a543d293bf2c1c1c01cb19" PartId="63752a03553747858fa0cd269eb38b32"/>
      <Part Type="poskyris" Title="Duomenys apie vaikų profilaktinius skiepijimus" DocPartId="d804f4042a0846408a90595af0fbd33b" PartId="8853cf953d7b4ebdaa36ba6f7de65871"/>
      <Part Type="poskyris" Title="Infrastruktūros gerinimas (plėtra) bei projektų įgyvendinimas" DocPartId="96fc76f8190544899d846a97e3e09e6c" PartId="d57c037fb7d849beaf217d93a0ff4afc"/>
      <Part Type="poskyris" Title="Pacientų pasitenkinimo teikiamomis paslaugomis lygis" DocPartId="8932c1a5f7f443148a5ac6377806bad0" PartId="e2bb79097413471099c85f3ef0ba3736"/>
      <Part Type="poskyris" Title="Finansinė informacija" DocPartId="72570a93ae834ea094223fb2f5d929b9" PartId="f6c1a5108b31444b967639b80313f558">
        <Part Type="lentele" Nr="5" Notes="Numeris ne iš eilės. Trūksta dalių? [DocDalys]" DocPartId="4ac6317cf9b944cd894dc24f04e21d93" PartId="84766f1619bc4cc1af813f3a879e1398"/>
        <Part Type="skirsnis" Title="Ateinančiais metais planuojamos veiklos gairės" DocPartId="77636fafee634d36b5a7b7f758a3bc29" PartId="483b2d1132d34d12943c3452379ac209"/>
        <Part Type="skirsnis" Title="VIEŠOJI ĮSTAIGA BAISOGALOS PIRMININĖS SVEIKATOS PRIEŽIŪROS CENTRAS" DocPartId="5907c95604bc42798c33128d3a479448" PartId="b6c35adb043d431d888d3a33e13a5f01"/>
        <Part Type="skirsnis" Title="Bendroji informacija" DocPartId="a541c9fe9c9f49e18ee0abfd2344cb7d" PartId="d8400efb624944e5aea5baed977dd445"/>
        <Part Type="skirsnis" Title="Žmogiškųjų išteklių valdymas" DocPartId="e4dd8a650a014356b574914fd5417496" PartId="5a6eaa1ffeb74debbc2fd70123f395eb">
          <Part Type="punktas" Nr="1" Abbr="1 p." DocPartId="a53cfaa777fa4d48bef96e9fbad734f0" PartId="a90dd15d0f2c406cad18fb7e454a84cf"/>
          <Part Type="punktas" Nr="2" Abbr="2 p." DocPartId="ffc7d30ba32a4eb99e2ebffd880eda18" PartId="fc7aa1ae66794b199a54038a6946bded"/>
        </Part>
        <Part Type="skirsnis" Title="Veiklos rezultatai Pagrindiniai veiklos rodikliai" DocPartId="8dce72d88045447fb4257daa59e959c1" PartId="a52d6163c63e4985b41ea41be17789f1">
          <Part Type="punktas" Nr="1" Abbr="1 p." DocPartId="bd091e48348d48bd86e9850b76ae5416" PartId="fe011600e42848978a41c7812fec4972"/>
          <Part Type="punktas" Nr="2" Abbr="2 p." DocPartId="d38aed8cf84b48d7a26cb219b20b79cf" PartId="f9e36bc2723a4652909a32c82f8bc6d5"/>
          <Part Type="punktas" Nr="3" Abbr="3 p." DocPartId="018dbfe627c14a3fb26ea59b518e7483" PartId="982fe4a6325544fd8d451153f5d9f844"/>
          <Part Type="punktas" Nr="4" Abbr="4 p." DocPartId="6adffde8dcd54809a1119832239a2080" PartId="aa3934f89f6242aeb40cf45ebbb15ae7"/>
          <Part Type="punktas" Nr="5" Abbr="5 p." DocPartId="d381e66c38254fc18b8dc9353b587f26" PartId="877bf6de1d8e47cdb6cebf1f1a4bcc73">
            <Part Type="papunktis" Nr="5.1" Abbr="5.1 pp." DocPartId="4ebb43e51e374979bb74481d8cec6b9d" PartId="933b3110706b4332b63e09cb51e807ff"/>
            <Part Type="papunktis" Nr="5.2" Abbr="5.2 pp." DocPartId="f270aeceb370473b8c8ebee267274b56" PartId="701ca0b5e63f4aba8efe1c3360dee0bd"/>
          </Part>
          <Part Type="punktas" Nr="6" Abbr="6 p." DocPartId="87d07aea42874a4a9bb5848b0a6b467c" PartId="4f12c9bfe1844d75bd8c1701bfa319a1"/>
          <Part Type="punktas" Nr="7" Abbr="7 p." DocPartId="1064b0b5640b4f0cbdfaa3a247c6c6c7" PartId="d4b208dda5ae4e0dbfeb29ae48a2537e"/>
        </Part>
        <Part Type="skirsnis" Title="Finansinė informacija" DocPartId="2d5391438de947b99798b16161a74cfd" PartId="1f4c8c6ae20844c4953e0ea632f1cdfb">
          <Part Type="punktas" Nr="1" Abbr="1 p." DocPartId="1932a00b7b034149baf1a1e6026835b5" PartId="4cfa605caf33487aa3a002ac28affc0c"/>
        </Part>
        <Part Type="skirsnis" Title="2025 m. tikslai ir uždaviniai" DocPartId="2487825162be4e9b84d693294ee62142" PartId="672f3791cdbd405fb99fc8416b253e98"/>
        <Part Type="skirsnis" Title="Ateinančiais metais planuojamos veiklos gairės" DocPartId="c411f430385341fba40fd717ffcff099" PartId="a9eaed1884414ba8a3d6be48d7601a6f"/>
        <Part Type="skirsnis" Title="VŠĮ RADVILIŠKIO RAJONO PIRMINĖS SVEIKATOS PRIEŽIŪROS CENTRAS" DocPartId="595bb69c7f8a4e1dbf29df1b675f0f26" PartId="0b96a6d635fb4ba9a390d3ba129e6201"/>
        <Part Type="skirsnis" Title="Bendroji informacija" DocPartId="eb1326e6440140419d22d69811d4b7c9" PartId="7e22fbd64ae04562acb8ad148f5fa9cc"/>
        <Part Type="skirsnis" Title="Žmogiškųjų išteklių valdymas" DocPartId="ada1e9a6a71046bd973eb466bd64c15b" PartId="854fe56059b242869f7c33efdfc97969"/>
        <Part Type="skirsnis" Title="2025 metų veiklos tikslų įgyvendinimas" DocPartId="225012e441e4477e81c4f1a705daa2ab" PartId="d5936a9daddb4c8680345a13cfb1bcbd"/>
        <Part Type="skirsnis" Title="Prieinamos, efektyvios ir savalaikiškos paslaugos" DocPartId="e1c6a686a44d48749d98ade06cd0056e" PartId="709f93d20c6a4a00842beac37e952b8e"/>
        <Part Type="skirsnis" Title="Kokybiškų paslaugų užtikrinimas" DocPartId="58bb8fd029f54f85b6992e563ca7b697" PartId="4b188029b8514acb939d81611e22b00c"/>
        <Part Type="skirsnis" Title="Kokybės užtikrinimas plečiant šeimos gydytojo ir psichikos sveikatos centro darbuotojų komandos narių skaičių" DocPartId="3d5cd7615dc6408187e587063c6b91f2" PartId="6f8e76b74c6244cdb067aa07b64bd096"/>
        <Part Type="skirsnis" Title="Darbuotojų motyvacijos skatinimas užtikrinant palankesnes sąlygas darbui ir profesiniam tobulėjimui" DocPartId="c7c7440fb26d480595f372a433c47310" PartId="6bfb53e586c342cebf1e30acbce38873"/>
        <Part Type="skirsnis" Title="Radviliškio rajono prioritetinių sričių įgyvendinimas" DocPartId="a77ecbb78acb417ab5031f7a9a98f6c0" PartId="b69a0b657c9742e5be1393b019d71d89"/>
        <Part Type="skirsnis" Title="Ateinančiais metais planuojamos veiklos gairės" DocPartId="b19b1a6cc15b47c287c442a618dd16e8" PartId="3b358c4f3cf6461db53b6d87878e2587"/>
        <Part Type="skirsnis" Title="VIEŠOJI ĮSTAIGA RADVILIŠKIO LIGONINĖ" DocPartId="36344190afe64b3ca9715b9138713a09" PartId="470234b526ce4f27a619c362cafc1584"/>
        <Part Type="skirsnis" Title="Bendroji informacija apie įstaigą" DocPartId="72e4dad6bbc44a96adf502d156d7a746" PartId="09023efae9804499a3476b2702de76ae"/>
        <Part Type="skirsnis" Title="Žmogiškųjų išteklių valdymas" DocPartId="725d21e8d0ad4195a731501d7feda5b5" PartId="6ffb002873d7464b8d716947f5f33871"/>
        <Part Type="skirsnis" Title="Strateginių ir metų veiklos tikslų įgyvendinimas" DocPartId="d76fb42646b64ae7a6047a72b74ea678" PartId="bedb8c545c0043079af77ef700cfd7f2"/>
        <Part Type="skirsnis" Title="Kita aktuali informacija apie įstaigos veiklą" DocPartId="4d2f074eee29401498ee8ce39fbdb296" PartId="88080cb34c7642518c57d36c6eb0d0ee"/>
        <Part Type="skirsnis" Title="Įstaigai skirtų asignavimų panaudojimas" DocPartId="c7444b6c5e9045d5b5eca2eec2e7ff70" PartId="d9f56746eda74c5285960e170359525d"/>
        <Part Type="skirsnis" Title="Įstaigos sudaryti sandoriai" DocPartId="65b3c6009db24a33a3404fc8d48a268b" PartId="24f5cac41f974331a9fe91a144c63e93"/>
        <Part Type="skirsnis" Title="Perspektyvos" DocPartId="73903bd1d6b9479ca61479392a67d44b" PartId="0f3dfc4ae78c4507ae91e9fa73c1900f"/>
        <Part Type="skirsnis" Title="RADVILIŠKIO RAJONO SOCIALINĖS ĮSTAIGOS" DocPartId="c89df08c348d4f4a87068cd4ec4abf52" PartId="1f09f33bd7424a3abdf04c5e5a619285"/>
        <Part Type="skirsnis" Title="RADVILIŠKIO SOCIALINIŲ PASLAUGŲ CENTRAS" DocPartId="e389c29d5a41422385e41ee8fb411f90" PartId="94c24ed6595342d6b0a0f95b1aeda964"/>
        <Part Type="skirsnis" Title="RADVILIŠKIO PAGALBOS ŠEIMAI CENTRAS" DocPartId="e50d263debc94cb1bc10bc762c63ab35" PartId="a27c66b968634bf0a26abfd85d176a1e"/>
        <Part Type="skirsnis" Title="ŠEDUVOS GLOBOS NAMAI" DocPartId="07c385a7052a449ab882cefa87edfe7e" PartId="f916352aaf76415890f9b0eedd06c4fc"/>
        <Part Type="skirsnis" Title="UŽDAROSIOS AKCINĖS BENDROVĖS" DocPartId="3781f819b748470680ed2e5878693f3d" PartId="5dc5e28785b64b6887365b558ecd7f43"/>
        <Part Type="skirsnis" Title="UAB „RADVILIŠKIO VANDUO“" DocPartId="1a8c9d56c36e4d95b6deb631b5baf6c5" PartId="d38b02227c2e4de79d993e50e4bc0854"/>
        <Part Type="skirsnis" Title="Veiklos efektyvumas" DocPartId="75eb31553e4b42e985c326ee1b2b4d5c" PartId="ae6a191125f445339a54a084363ff0bf"/>
        <Part Type="skirsnis" Title="Infrastruktūros plėtra" DocPartId="6453c8f0e76840a7b25fe2ca2d23d39b" PartId="75571764b9a14f9e86555b8bf65cdcb3"/>
        <Part Type="skirsnis" Title="Komanda ir patikimumas" DocPartId="a51520b40cba499ca2aa0b8029080f53" PartId="89099f30d2a04dca9b91fcd9217ec9a2"/>
        <Part Type="skirsnis" Title="UAB „RADVILIŠKIO AUTOBUSŲ PARKAS“" DocPartId="248f23a8a4204d6985a06ad76be46d9f" PartId="eea6c8bed1e34532a57cf5fba3c020a0"/>
        <Part Type="skirsnis" Title="UAB „RADVILIŠKIO ŠILUMA“" DocPartId="2d707a638e604481bb05332c03845bb2" PartId="e81acd88d9414ce2a2a40229c9fa649f"/>
        <Part Type="skirsnis" Title="Finansiniai rezultatai" DocPartId="c15abd34d3f044abb56cf6ce2e699d9e" PartId="9cc7bcd369984183b617803df56af915"/>
      </Part>
    </Part>
  </Part>
</Parts>
</file>

<file path=customXml/itemProps1.xml><?xml version="1.0" encoding="utf-8"?>
<ds:datastoreItem xmlns:ds="http://schemas.openxmlformats.org/officeDocument/2006/customXml" ds:itemID="{FD91C175-9FED-4246-8222-FAB2772E2189}">
  <ds:schemaRefs>
    <ds:schemaRef ds:uri="http://schemas.openxmlformats.org/officeDocument/2006/bibliography"/>
  </ds:schemaRefs>
</ds:datastoreItem>
</file>

<file path=customXml/itemProps2.xml><?xml version="1.0" encoding="utf-8"?>
<ds:datastoreItem xmlns:ds="http://schemas.openxmlformats.org/officeDocument/2006/customXml" ds:itemID="{8B724719-78DE-4A78-A7E7-A7E22B3725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35854</Words>
  <Characters>245963</Characters>
  <Application>Microsoft Office Word</Application>
  <DocSecurity>4</DocSecurity>
  <Lines>12298</Lines>
  <Paragraphs>6262</Paragraphs>
  <ScaleCrop>false</ScaleCrop>
  <Company/>
  <LinksUpToDate>false</LinksUpToDate>
  <CharactersWithSpaces>275555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2026-05-15T07:19:00Z</dcterms:created>
  <dc:creator>Linas Garbenis</dc:creator>
  <lastModifiedBy>adlibuser</lastModifiedBy>
  <dcterms:modified xsi:type="dcterms:W3CDTF">2026-05-15T07:19:00Z</dcterms:modified>
  <revision>2</revision>
</coreProperties>
</file>