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be7e67a9744d25b7b5d00c1f39f0f4"/>
        <w:lock w:val="sdtLocked"/>
        <w:richText/>
      </w:sdtPr>
      <w:sdtContent>
        <w:p>
          <w:pPr>
            <w:widowControl w:val="0"/>
            <w:tabs>
              <w:tab w:val="center" w:pos="4819"/>
              <w:tab w:val="right" w:pos="9638"/>
            </w:tabs>
            <w:suppressAutoHyphens/>
            <w:rPr>
              <w:rFonts w:eastAsia="Lucida Sans Unicode"/>
              <w:kern w:val="1"/>
              <w:szCs w:val="24"/>
              <w:lang w:eastAsia="ar-SA"/>
            </w:rPr>
          </w:pPr>
        </w:p>
        <w:p>
          <w:pPr>
            <w:widowControl w:val="0"/>
            <w:suppressAutoHyphens/>
            <w:jc w:val="center"/>
            <w:rPr>
              <w:rFonts w:eastAsia="Lucida Sans Unicode"/>
              <w:b/>
              <w:bCs/>
              <w:kern w:val="1"/>
              <w:szCs w:val="24"/>
              <w:lang w:eastAsia="ar-SA"/>
            </w:rPr>
          </w:pPr>
          <w:r>
            <w:rPr>
              <w:rFonts w:eastAsia="Andale Sans UI" w:cs="Tahoma"/>
              <w:b/>
              <w:caps/>
              <w:szCs w:val="24"/>
              <w:lang w:bidi="en-US"/>
            </w:rPr>
            <w:t>Lietuvos Respublikos aplinkos ministro įsakymo „Dėl Lietuvos Respublikos aplinkos ministro 2022 m. Balandžio 10 d. įsakymo Nr. D1-244 „Dėl Išmetamų teršalų iš kurą deginančių įrenginių normų LAND 43-2013 patvirtintimo” pakeitimo“ projekto</w:t>
          </w:r>
          <w:r>
            <w:rPr>
              <w:rFonts w:eastAsia="Andale Sans UI" w:cs="Tahoma"/>
              <w:b/>
              <w:szCs w:val="24"/>
              <w:lang w:bidi="en-US"/>
            </w:rPr>
            <w:t xml:space="preserve"> </w:t>
          </w:r>
          <w:r>
            <w:rPr>
              <w:rFonts w:eastAsia="Lucida Sans Unicode"/>
              <w:b/>
              <w:bCs/>
              <w:kern w:val="1"/>
              <w:szCs w:val="24"/>
              <w:lang w:eastAsia="ar-SA"/>
            </w:rPr>
            <w:t>DERINIMO PAŽYMA</w:t>
          </w:r>
        </w:p>
        <w:p>
          <w:pPr>
            <w:widowControl w:val="0"/>
            <w:suppressAutoHyphens/>
            <w:rPr>
              <w:rFonts w:eastAsia="Lucida Sans Unicode"/>
              <w:b/>
              <w:bCs/>
              <w:kern w:val="1"/>
              <w:szCs w:val="24"/>
              <w:lang w:eastAsia="ar-SA"/>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9356"/>
            <w:gridCol w:w="3544"/>
          </w:tblGrid>
          <w:tr>
            <w:trPr>
              <w:trHeight w:val="498"/>
            </w:trPr>
            <w:tc>
              <w:tcPr>
                <w:tcW w:w="1696" w:type="dxa"/>
                <w:vAlign w:val="center"/>
              </w:tcPr>
              <w:p>
                <w:pPr>
                  <w:widowControl w:val="0"/>
                  <w:suppressAutoHyphens/>
                  <w:jc w:val="center"/>
                  <w:rPr>
                    <w:rFonts w:eastAsia="Lucida Sans Unicode"/>
                    <w:kern w:val="1"/>
                    <w:szCs w:val="24"/>
                    <w:lang w:eastAsia="ar-SA"/>
                  </w:rPr>
                </w:pPr>
                <w:r>
                  <w:rPr>
                    <w:rFonts w:eastAsia="Lucida Sans Unicode"/>
                    <w:b/>
                    <w:bCs/>
                    <w:kern w:val="1"/>
                    <w:szCs w:val="24"/>
                    <w:lang w:eastAsia="ar-SA"/>
                  </w:rPr>
                  <w:t>Institucijos pavadinimas, rašto data ir numeris</w:t>
                </w:r>
              </w:p>
            </w:tc>
            <w:tc>
              <w:tcPr>
                <w:tcW w:w="9356" w:type="dxa"/>
                <w:vAlign w:val="center"/>
              </w:tcPr>
              <w:p>
                <w:pPr>
                  <w:widowControl w:val="0"/>
                  <w:suppressAutoHyphens/>
                  <w:jc w:val="center"/>
                  <w:rPr>
                    <w:rFonts w:eastAsia="Lucida Sans Unicode"/>
                    <w:kern w:val="1"/>
                    <w:szCs w:val="24"/>
                    <w:lang w:eastAsia="ar-SA"/>
                  </w:rPr>
                </w:pPr>
                <w:r>
                  <w:rPr>
                    <w:rFonts w:eastAsia="Lucida Sans Unicode"/>
                    <w:b/>
                    <w:bCs/>
                    <w:kern w:val="1"/>
                    <w:szCs w:val="24"/>
                    <w:lang w:eastAsia="ar-SA"/>
                  </w:rPr>
                  <w:t>Pastabos ir pasiūlymai</w:t>
                </w:r>
              </w:p>
            </w:tc>
            <w:tc>
              <w:tcPr>
                <w:tcW w:w="3544" w:type="dxa"/>
                <w:vAlign w:val="center"/>
              </w:tcPr>
              <w:p>
                <w:pPr>
                  <w:widowControl w:val="0"/>
                  <w:suppressAutoHyphens/>
                  <w:jc w:val="center"/>
                  <w:rPr>
                    <w:rFonts w:eastAsia="Lucida Sans Unicode"/>
                    <w:kern w:val="1"/>
                    <w:szCs w:val="24"/>
                    <w:lang w:eastAsia="ar-SA"/>
                  </w:rPr>
                </w:pPr>
                <w:r>
                  <w:rPr>
                    <w:rFonts w:eastAsia="Lucida Sans Unicode"/>
                    <w:b/>
                    <w:bCs/>
                    <w:kern w:val="1"/>
                    <w:szCs w:val="24"/>
                    <w:lang w:eastAsia="ar-SA"/>
                  </w:rPr>
                  <w:t>Argumentai, kodėl neatsižvelgta į institucijų pastabas ir pasiūlymus</w:t>
                </w:r>
              </w:p>
            </w:tc>
          </w:tr>
          <w:tr>
            <w:trPr>
              <w:trHeight w:val="1015"/>
            </w:trPr>
            <w:tc>
              <w:tcPr>
                <w:tcW w:w="1696" w:type="dxa"/>
              </w:tcPr>
              <w:p>
                <w:pPr>
                  <w:widowControl w:val="0"/>
                  <w:suppressAutoHyphens/>
                  <w:rPr>
                    <w:rFonts w:eastAsia="Lucida Sans Unicode"/>
                    <w:kern w:val="1"/>
                    <w:szCs w:val="24"/>
                    <w:lang w:eastAsia="ar-SA"/>
                  </w:rPr>
                </w:pPr>
                <w:r>
                  <w:rPr>
                    <w:rFonts w:eastAsia="Lucida Sans Unicode"/>
                    <w:kern w:val="1"/>
                    <w:szCs w:val="24"/>
                    <w:lang w:eastAsia="ar-SA"/>
                  </w:rPr>
                  <w:t xml:space="preserve">Lietuvos šilumos tiekėjų asociacija, </w:t>
                </w:r>
              </w:p>
              <w:p>
                <w:pPr>
                  <w:widowControl w:val="0"/>
                  <w:suppressAutoHyphens/>
                  <w:rPr>
                    <w:rFonts w:eastAsia="Lucida Sans Unicode"/>
                    <w:kern w:val="1"/>
                    <w:szCs w:val="24"/>
                    <w:lang w:eastAsia="ar-SA"/>
                  </w:rPr>
                </w:pPr>
                <w:r>
                  <w:rPr>
                    <w:rFonts w:eastAsia="Lucida Sans Unicode"/>
                    <w:kern w:val="1"/>
                    <w:szCs w:val="24"/>
                    <w:lang w:eastAsia="ar-SA"/>
                  </w:rPr>
                  <w:t>2024-01-05 raštas Nr. 1</w:t>
                </w:r>
              </w:p>
            </w:tc>
            <w:tc>
              <w:tcPr>
                <w:tcW w:w="9356" w:type="dxa"/>
                <w:tcBorders>
                  <w:top w:val="single" w:sz="4" w:space="0" w:color="auto"/>
                  <w:bottom w:val="single" w:sz="4" w:space="0" w:color="auto"/>
                </w:tcBorders>
              </w:tcPr>
              <w:p>
                <w:pPr>
                  <w:widowControl w:val="0"/>
                  <w:suppressAutoHyphens/>
                  <w:ind w:firstLine="409"/>
                  <w:jc w:val="both"/>
                  <w:rPr>
                    <w:rFonts w:eastAsia="Lucida Sans Unicode"/>
                    <w:kern w:val="1"/>
                    <w:szCs w:val="24"/>
                    <w:lang w:eastAsia="ar-SA"/>
                  </w:rPr>
                </w:pPr>
                <w:r>
                  <w:rPr>
                    <w:rFonts w:eastAsia="Lucida Sans Unicode"/>
                    <w:kern w:val="1"/>
                    <w:szCs w:val="24"/>
                    <w:lang w:eastAsia="ar-SA"/>
                  </w:rPr>
                  <w:t>Asociacija iš esmės nepritaria išmetamų teršalų ribinių verčių suvienodinimui dujiniam, skystam, kietam kurams. Akivaizdu, kad mažiems kurą deginantiems įrenginiams, kurių galia lygi arba viršija 0,12 MW, bet nesiekia 1 MW neįmanoma užtikrinti kietųjų dalelių išmetimų iki 60 mg/Nm</w:t>
                </w:r>
                <w:r>
                  <w:rPr>
                    <w:rFonts w:eastAsia="Lucida Sans Unicode"/>
                    <w:kern w:val="1"/>
                    <w:szCs w:val="24"/>
                    <w:vertAlign w:val="superscript"/>
                    <w:lang w:eastAsia="ar-SA"/>
                  </w:rPr>
                  <w:t>3</w:t>
                </w:r>
                <w:r>
                  <w:rPr>
                    <w:rFonts w:eastAsia="Lucida Sans Unicode"/>
                    <w:kern w:val="1"/>
                    <w:szCs w:val="24"/>
                    <w:lang w:eastAsia="ar-SA"/>
                  </w:rPr>
                  <w:t xml:space="preserve"> nuo buvusių 800 mg/Nm</w:t>
                </w:r>
                <w:r>
                  <w:rPr>
                    <w:rFonts w:eastAsia="Lucida Sans Unicode"/>
                    <w:kern w:val="1"/>
                    <w:szCs w:val="24"/>
                    <w:vertAlign w:val="superscript"/>
                    <w:lang w:eastAsia="ar-SA"/>
                  </w:rPr>
                  <w:t>3</w:t>
                </w:r>
                <w:r>
                  <w:rPr>
                    <w:rFonts w:eastAsia="Lucida Sans Unicode"/>
                    <w:kern w:val="1"/>
                    <w:szCs w:val="24"/>
                    <w:lang w:eastAsia="ar-SA"/>
                  </w:rPr>
                  <w:t xml:space="preserve"> be neproporcingai didelių investicijų (pvz., elektrostatiniam filtrui). Taip pat nesuprantamai pakeista standartinė O</w:t>
                </w:r>
                <w:r>
                  <w:rPr>
                    <w:rFonts w:eastAsia="Lucida Sans Unicode"/>
                    <w:kern w:val="1"/>
                    <w:szCs w:val="24"/>
                    <w:vertAlign w:val="subscript"/>
                    <w:lang w:eastAsia="ar-SA"/>
                  </w:rPr>
                  <w:t>2</w:t>
                </w:r>
                <w:r>
                  <w:rPr>
                    <w:rFonts w:eastAsia="Lucida Sans Unicode"/>
                    <w:kern w:val="1"/>
                    <w:szCs w:val="24"/>
                    <w:lang w:eastAsia="ar-SA"/>
                  </w:rPr>
                  <w:t xml:space="preserve"> koncentracija nuo 3 iki 10 tūrio proc., kad neleidžia paprastai įvertinti galimų išmetimų atitikimų siūlomam reglamentavimui. Reikalingas papildomas paaiškinimas, kuo remiantis yra nustatytos naujos teršalų ribinės vertės dujiniu ir skystuoju kuru kūrenamiems kurą deginantiems įrenginiams bei nustatyta standartinė O</w:t>
                </w:r>
                <w:r>
                  <w:rPr>
                    <w:rFonts w:eastAsia="Lucida Sans Unicode"/>
                    <w:kern w:val="1"/>
                    <w:szCs w:val="24"/>
                    <w:vertAlign w:val="subscript"/>
                    <w:lang w:eastAsia="ar-SA"/>
                  </w:rPr>
                  <w:t>2</w:t>
                </w:r>
                <w:r>
                  <w:rPr>
                    <w:rFonts w:eastAsia="Lucida Sans Unicode"/>
                    <w:kern w:val="1"/>
                    <w:szCs w:val="24"/>
                    <w:lang w:eastAsia="ar-SA"/>
                  </w:rPr>
                  <w:t xml:space="preserve"> koncentracija (10 proc.), tūrio procentais, prie kurios bus lyginamos išmatuotos teršalų koncentracijos su nustatytomis, kadangi ES reglamentas, į kurį duodama nuoroda rengiant teisės akto projektą, apie tokias (tokio dydžio) teršalų ribines vertes nekalba bei nenusako jokios standartinės O</w:t>
                </w:r>
                <w:r>
                  <w:rPr>
                    <w:rFonts w:eastAsia="Lucida Sans Unicode"/>
                    <w:kern w:val="1"/>
                    <w:szCs w:val="24"/>
                    <w:vertAlign w:val="subscript"/>
                    <w:lang w:eastAsia="ar-SA"/>
                  </w:rPr>
                  <w:t>2</w:t>
                </w:r>
                <w:r>
                  <w:rPr>
                    <w:rFonts w:eastAsia="Lucida Sans Unicode"/>
                    <w:kern w:val="1"/>
                    <w:szCs w:val="24"/>
                    <w:lang w:eastAsia="ar-SA"/>
                  </w:rPr>
                  <w:t xml:space="preserve"> koncentracijos. Atitinkamai prašome patikslinti šių punktų 2 pastaboje pateiktą NOx ribinę vertę iškastinio kuro naudojimo atveju, atsižvelgiant į ES reglamentą. </w:t>
                </w:r>
              </w:p>
              <w:p>
                <w:pPr>
                  <w:widowControl w:val="0"/>
                  <w:suppressAutoHyphens/>
                  <w:ind w:firstLine="409"/>
                  <w:jc w:val="both"/>
                  <w:rPr>
                    <w:rFonts w:eastAsia="Lucida Sans Unicode"/>
                    <w:kern w:val="1"/>
                    <w:szCs w:val="24"/>
                    <w:lang w:eastAsia="ar-SA"/>
                  </w:rPr>
                </w:pPr>
                <w:r>
                  <w:rPr>
                    <w:rFonts w:eastAsia="Lucida Sans Unicode"/>
                    <w:kern w:val="1"/>
                    <w:szCs w:val="24"/>
                    <w:lang w:eastAsia="ar-SA"/>
                  </w:rPr>
                  <w:t>Siūlome 1 priedo 2 punktą išdėstyti:</w:t>
                </w:r>
              </w:p>
              <w:p>
                <w:pPr>
                  <w:widowControl w:val="0"/>
                  <w:suppressAutoHyphens/>
                  <w:ind w:firstLine="409"/>
                  <w:rPr>
                    <w:bCs/>
                    <w:i/>
                    <w:iCs/>
                    <w:kern w:val="1"/>
                    <w:lang w:eastAsia="ar-SA"/>
                  </w:rPr>
                </w:pPr>
                <w:r>
                  <w:rPr>
                    <w:bCs/>
                    <w:i/>
                    <w:iCs/>
                    <w:kern w:val="1"/>
                    <w:lang w:eastAsia="ar-SA"/>
                  </w:rPr>
                  <w:t>2. Kurą deginantiems įrenginiams, pradėjusiems veikti 2025 m. sausio 1 d. ir vėliau taikomos išmetamų teršalų ribinės vertės:</w:t>
                </w:r>
              </w:p>
              <w:tbl>
                <w:tblPr>
                  <w:tblW w:w="8963" w:type="dxa"/>
                  <w:tblLayout w:type="fixed"/>
                  <w:tblCellMar>
                    <w:left w:w="0" w:type="dxa"/>
                    <w:right w:w="0" w:type="dxa"/>
                  </w:tblCellMar>
                  <w:tblLook w:val="04A0" w:firstRow="1" w:lastRow="0" w:firstColumn="1" w:lastColumn="0" w:noHBand="0" w:noVBand="1"/>
                </w:tblPr>
                <w:tblGrid>
                  <w:gridCol w:w="1451"/>
                  <w:gridCol w:w="992"/>
                  <w:gridCol w:w="1276"/>
                  <w:gridCol w:w="1275"/>
                  <w:gridCol w:w="1135"/>
                  <w:gridCol w:w="995"/>
                  <w:gridCol w:w="1839"/>
                </w:tblGrid>
                <w:tr>
                  <w:trPr>
                    <w:trHeight w:val="60"/>
                  </w:trPr>
                  <w:tc>
                    <w:tcPr>
                      <w:tcW w:w="809" w:type="pct"/>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114"/>
                        <w:jc w:val="center"/>
                        <w:rPr>
                          <w:b/>
                          <w:i/>
                          <w:iCs/>
                          <w:color w:val="000000"/>
                          <w:kern w:val="1"/>
                          <w:sz w:val="20"/>
                          <w:lang w:eastAsia="lt-LT"/>
                        </w:rPr>
                      </w:pPr>
                      <w:r>
                        <w:rPr>
                          <w:b/>
                          <w:i/>
                          <w:iCs/>
                          <w:color w:val="000000"/>
                          <w:kern w:val="1"/>
                          <w:sz w:val="20"/>
                          <w:lang w:eastAsia="lt-LT"/>
                        </w:rPr>
                        <w:t>Kuro rūšis</w:t>
                      </w:r>
                    </w:p>
                  </w:tc>
                  <w:tc>
                    <w:tcPr>
                      <w:tcW w:w="3164" w:type="pct"/>
                      <w:gridSpan w:val="5"/>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
                          <w:i/>
                          <w:iCs/>
                          <w:color w:val="000000"/>
                          <w:kern w:val="1"/>
                          <w:sz w:val="20"/>
                          <w:lang w:eastAsia="lt-LT"/>
                        </w:rPr>
                      </w:pPr>
                      <w:r>
                        <w:rPr>
                          <w:b/>
                          <w:i/>
                          <w:iCs/>
                          <w:color w:val="000000"/>
                          <w:kern w:val="1"/>
                          <w:sz w:val="20"/>
                          <w:lang w:eastAsia="lt-LT"/>
                        </w:rPr>
                        <w:t>Išmetamų teršalų ribinė vertė, mg/Nm</w:t>
                      </w:r>
                      <w:r>
                        <w:rPr>
                          <w:b/>
                          <w:i/>
                          <w:iCs/>
                          <w:color w:val="000000"/>
                          <w:kern w:val="1"/>
                          <w:sz w:val="20"/>
                          <w:vertAlign w:val="superscript"/>
                          <w:lang w:eastAsia="lt-LT"/>
                        </w:rPr>
                        <w:t>3</w:t>
                      </w:r>
                    </w:p>
                  </w:tc>
                  <w:tc>
                    <w:tcPr>
                      <w:tcW w:w="1026" w:type="pct"/>
                      <w:vMerge w:val="restart"/>
                      <w:tcBorders>
                        <w:top w:val="single" w:sz="4" w:space="0" w:color="000000"/>
                        <w:left w:val="single" w:sz="4" w:space="0" w:color="000000"/>
                        <w:right w:val="single" w:sz="4" w:space="0" w:color="000000"/>
                      </w:tcBorders>
                    </w:tcPr>
                    <w:p>
                      <w:pPr>
                        <w:widowControl w:val="0"/>
                        <w:suppressAutoHyphens/>
                        <w:ind w:firstLine="409"/>
                        <w:jc w:val="center"/>
                        <w:rPr>
                          <w:b/>
                          <w:i/>
                          <w:iCs/>
                          <w:color w:val="000000"/>
                          <w:kern w:val="1"/>
                          <w:sz w:val="20"/>
                          <w:lang w:eastAsia="lt-LT"/>
                        </w:rPr>
                      </w:pPr>
                      <w:r>
                        <w:rPr>
                          <w:b/>
                          <w:i/>
                          <w:iCs/>
                          <w:color w:val="000000"/>
                          <w:kern w:val="1"/>
                          <w:sz w:val="20"/>
                          <w:lang w:eastAsia="lt-LT"/>
                        </w:rPr>
                        <w:t>Standartinė O2 koncentracija, tūrio proc.</w:t>
                      </w:r>
                    </w:p>
                  </w:tc>
                </w:tr>
                <w:tr>
                  <w:trPr>
                    <w:trHeight w:val="305"/>
                  </w:trPr>
                  <w:tc>
                    <w:tcPr>
                      <w:tcW w:w="809" w:type="pct"/>
                      <w:vMerge/>
                      <w:tcBorders>
                        <w:left w:val="single" w:sz="4" w:space="0" w:color="000000"/>
                        <w:right w:val="single" w:sz="4" w:space="0" w:color="000000"/>
                      </w:tcBorders>
                      <w:vAlign w:val="center"/>
                      <w:hideMark/>
                    </w:tcPr>
                    <w:p>
                      <w:pPr>
                        <w:widowControl w:val="0"/>
                        <w:suppressAutoHyphens/>
                        <w:ind w:firstLine="114"/>
                        <w:jc w:val="center"/>
                        <w:rPr>
                          <w:b/>
                          <w:i/>
                          <w:iCs/>
                          <w:color w:val="000000"/>
                          <w:kern w:val="1"/>
                          <w:sz w:val="20"/>
                          <w:lang w:eastAsia="lt-LT"/>
                        </w:rPr>
                      </w:pPr>
                    </w:p>
                  </w:tc>
                  <w:tc>
                    <w:tcPr>
                      <w:tcW w:w="55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
                          <w:i/>
                          <w:iCs/>
                          <w:color w:val="000000"/>
                          <w:kern w:val="1"/>
                          <w:sz w:val="20"/>
                          <w:lang w:eastAsia="lt-LT"/>
                        </w:rPr>
                      </w:pPr>
                      <w:r>
                        <w:rPr>
                          <w:b/>
                          <w:i/>
                          <w:iCs/>
                          <w:color w:val="000000"/>
                          <w:kern w:val="1"/>
                          <w:sz w:val="20"/>
                          <w:lang w:eastAsia="lt-LT"/>
                        </w:rPr>
                        <w:t>SO</w:t>
                      </w:r>
                      <w:r>
                        <w:rPr>
                          <w:b/>
                          <w:i/>
                          <w:iCs/>
                          <w:color w:val="000000"/>
                          <w:kern w:val="1"/>
                          <w:sz w:val="20"/>
                          <w:vertAlign w:val="subscript"/>
                          <w:lang w:eastAsia="lt-LT"/>
                        </w:rPr>
                        <w:t>2</w:t>
                      </w:r>
                    </w:p>
                  </w:tc>
                  <w:tc>
                    <w:tcPr>
                      <w:tcW w:w="71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
                          <w:i/>
                          <w:iCs/>
                          <w:color w:val="000000"/>
                          <w:kern w:val="1"/>
                          <w:sz w:val="20"/>
                          <w:lang w:eastAsia="lt-LT"/>
                        </w:rPr>
                      </w:pPr>
                      <w:r>
                        <w:rPr>
                          <w:b/>
                          <w:i/>
                          <w:iCs/>
                          <w:color w:val="000000"/>
                          <w:kern w:val="1"/>
                          <w:sz w:val="20"/>
                          <w:lang w:eastAsia="lt-LT"/>
                        </w:rPr>
                        <w:t>NO</w:t>
                      </w:r>
                      <w:r>
                        <w:rPr>
                          <w:b/>
                          <w:i/>
                          <w:iCs/>
                          <w:color w:val="000000"/>
                          <w:kern w:val="1"/>
                          <w:sz w:val="20"/>
                          <w:vertAlign w:val="subscript"/>
                          <w:lang w:eastAsia="lt-LT"/>
                        </w:rPr>
                        <w:t>x</w:t>
                      </w:r>
                    </w:p>
                  </w:tc>
                  <w:tc>
                    <w:tcPr>
                      <w:tcW w:w="71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
                          <w:i/>
                          <w:iCs/>
                          <w:color w:val="000000"/>
                          <w:kern w:val="1"/>
                          <w:sz w:val="20"/>
                          <w:lang w:eastAsia="lt-LT"/>
                        </w:rPr>
                      </w:pPr>
                      <w:r>
                        <w:rPr>
                          <w:b/>
                          <w:i/>
                          <w:iCs/>
                          <w:color w:val="000000"/>
                          <w:kern w:val="1"/>
                          <w:sz w:val="20"/>
                          <w:lang w:eastAsia="lt-LT"/>
                        </w:rPr>
                        <w:t>KD</w:t>
                      </w:r>
                    </w:p>
                  </w:tc>
                  <w:tc>
                    <w:tcPr>
                      <w:tcW w:w="633"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
                          <w:i/>
                          <w:iCs/>
                          <w:color w:val="000000"/>
                          <w:kern w:val="1"/>
                          <w:sz w:val="20"/>
                          <w:lang w:eastAsia="lt-LT"/>
                        </w:rPr>
                      </w:pPr>
                      <w:r>
                        <w:rPr>
                          <w:b/>
                          <w:i/>
                          <w:iCs/>
                          <w:color w:val="000000"/>
                          <w:kern w:val="1"/>
                          <w:sz w:val="20"/>
                          <w:lang w:eastAsia="lt-LT"/>
                        </w:rPr>
                        <w:t>CO</w:t>
                      </w:r>
                    </w:p>
                  </w:tc>
                  <w:tc>
                    <w:tcPr>
                      <w:tcW w:w="555"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
                          <w:i/>
                          <w:iCs/>
                          <w:color w:val="000000"/>
                          <w:kern w:val="1"/>
                          <w:sz w:val="20"/>
                          <w:lang w:eastAsia="lt-LT"/>
                        </w:rPr>
                      </w:pPr>
                      <w:r>
                        <w:rPr>
                          <w:b/>
                          <w:i/>
                          <w:iCs/>
                          <w:color w:val="000000"/>
                          <w:kern w:val="1"/>
                          <w:sz w:val="20"/>
                          <w:lang w:eastAsia="lt-LT"/>
                        </w:rPr>
                        <w:t>DOJ</w:t>
                      </w:r>
                    </w:p>
                  </w:tc>
                  <w:tc>
                    <w:tcPr>
                      <w:tcW w:w="1026" w:type="pct"/>
                      <w:vMerge/>
                      <w:tcBorders>
                        <w:left w:val="single" w:sz="4" w:space="0" w:color="000000"/>
                        <w:bottom w:val="single" w:sz="4" w:space="0" w:color="000000"/>
                        <w:right w:val="single" w:sz="4" w:space="0" w:color="000000"/>
                      </w:tcBorders>
                    </w:tcPr>
                    <w:p>
                      <w:pPr>
                        <w:widowControl w:val="0"/>
                        <w:suppressAutoHyphens/>
                        <w:ind w:firstLine="409"/>
                        <w:jc w:val="center"/>
                        <w:rPr>
                          <w:b/>
                          <w:i/>
                          <w:iCs/>
                          <w:color w:val="000000"/>
                          <w:kern w:val="1"/>
                          <w:sz w:val="20"/>
                          <w:lang w:eastAsia="lt-LT"/>
                        </w:rPr>
                      </w:pPr>
                    </w:p>
                  </w:tc>
                </w:tr>
                <w:tr>
                  <w:trPr>
                    <w:trHeight w:val="60"/>
                  </w:trPr>
                  <w:tc>
                    <w:tcPr>
                      <w:tcW w:w="80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114"/>
                        <w:jc w:val="center"/>
                        <w:rPr>
                          <w:bCs/>
                          <w:i/>
                          <w:iCs/>
                          <w:color w:val="000000"/>
                          <w:kern w:val="1"/>
                          <w:sz w:val="20"/>
                          <w:lang w:eastAsia="lt-LT"/>
                        </w:rPr>
                      </w:pPr>
                      <w:r>
                        <w:rPr>
                          <w:bCs/>
                          <w:i/>
                          <w:iCs/>
                          <w:color w:val="000000"/>
                          <w:kern w:val="1"/>
                          <w:sz w:val="20"/>
                          <w:lang w:eastAsia="lt-LT"/>
                        </w:rPr>
                        <w:t>Dujinis kuras</w:t>
                      </w:r>
                    </w:p>
                  </w:tc>
                  <w:tc>
                    <w:tcPr>
                      <w:tcW w:w="55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Cs/>
                          <w:i/>
                          <w:iCs/>
                          <w:color w:val="000000"/>
                          <w:kern w:val="1"/>
                          <w:sz w:val="20"/>
                          <w:lang w:eastAsia="lt-LT"/>
                        </w:rPr>
                      </w:pPr>
                      <w:r>
                        <w:rPr>
                          <w:bCs/>
                          <w:i/>
                          <w:iCs/>
                          <w:kern w:val="1"/>
                          <w:sz w:val="20"/>
                          <w:lang w:eastAsia="ar-SA"/>
                        </w:rPr>
                        <w:t>–</w:t>
                      </w:r>
                    </w:p>
                  </w:tc>
                  <w:tc>
                    <w:tcPr>
                      <w:tcW w:w="71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Cs/>
                          <w:i/>
                          <w:iCs/>
                          <w:color w:val="000000"/>
                          <w:kern w:val="1"/>
                          <w:sz w:val="20"/>
                          <w:lang w:eastAsia="lt-LT"/>
                        </w:rPr>
                      </w:pPr>
                      <w:r>
                        <w:rPr>
                          <w:bCs/>
                          <w:i/>
                          <w:iCs/>
                          <w:color w:val="000000"/>
                          <w:kern w:val="1"/>
                          <w:sz w:val="20"/>
                          <w:lang w:eastAsia="lt-LT"/>
                        </w:rPr>
                        <w:t>100</w:t>
                      </w:r>
                    </w:p>
                  </w:tc>
                  <w:tc>
                    <w:tcPr>
                      <w:tcW w:w="71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Cs/>
                          <w:i/>
                          <w:iCs/>
                          <w:color w:val="000000"/>
                          <w:kern w:val="1"/>
                          <w:sz w:val="20"/>
                          <w:lang w:eastAsia="lt-LT"/>
                        </w:rPr>
                      </w:pPr>
                      <w:r>
                        <w:rPr>
                          <w:bCs/>
                          <w:i/>
                          <w:iCs/>
                          <w:kern w:val="1"/>
                          <w:sz w:val="20"/>
                          <w:lang w:eastAsia="ar-SA"/>
                        </w:rPr>
                        <w:t>–</w:t>
                      </w:r>
                    </w:p>
                  </w:tc>
                  <w:tc>
                    <w:tcPr>
                      <w:tcW w:w="633"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color w:val="000000"/>
                          <w:kern w:val="1"/>
                          <w:sz w:val="20"/>
                          <w:lang w:eastAsia="lt-LT"/>
                        </w:rPr>
                      </w:pPr>
                      <w:r>
                        <w:rPr>
                          <w:bCs/>
                          <w:i/>
                          <w:iCs/>
                          <w:kern w:val="1"/>
                          <w:sz w:val="20"/>
                          <w:lang w:eastAsia="ar-SA"/>
                        </w:rPr>
                        <w:t>–</w:t>
                      </w:r>
                    </w:p>
                  </w:tc>
                  <w:tc>
                    <w:tcPr>
                      <w:tcW w:w="555"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kern w:val="1"/>
                          <w:sz w:val="20"/>
                          <w:lang w:eastAsia="ar-SA"/>
                        </w:rPr>
                      </w:pPr>
                      <w:r>
                        <w:rPr>
                          <w:bCs/>
                          <w:i/>
                          <w:iCs/>
                          <w:kern w:val="1"/>
                          <w:sz w:val="20"/>
                          <w:lang w:eastAsia="ar-SA"/>
                        </w:rPr>
                        <w:t>–</w:t>
                      </w:r>
                    </w:p>
                  </w:tc>
                  <w:tc>
                    <w:tcPr>
                      <w:tcW w:w="1026"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kern w:val="1"/>
                          <w:sz w:val="20"/>
                          <w:lang w:eastAsia="ar-SA"/>
                        </w:rPr>
                      </w:pPr>
                      <w:r>
                        <w:rPr>
                          <w:bCs/>
                          <w:i/>
                          <w:iCs/>
                          <w:strike/>
                          <w:kern w:val="1"/>
                          <w:sz w:val="20"/>
                          <w:lang w:eastAsia="ar-SA"/>
                        </w:rPr>
                        <w:t>10</w:t>
                      </w:r>
                      <w:r>
                        <w:rPr>
                          <w:bCs/>
                          <w:i/>
                          <w:iCs/>
                          <w:kern w:val="1"/>
                          <w:sz w:val="20"/>
                          <w:lang w:eastAsia="ar-SA"/>
                        </w:rPr>
                        <w:t xml:space="preserve"> </w:t>
                      </w:r>
                      <w:r>
                        <w:rPr>
                          <w:b/>
                          <w:i/>
                          <w:iCs/>
                          <w:kern w:val="1"/>
                          <w:sz w:val="20"/>
                          <w:lang w:eastAsia="ar-SA"/>
                        </w:rPr>
                        <w:t>3 (?)</w:t>
                      </w:r>
                    </w:p>
                  </w:tc>
                </w:tr>
                <w:tr>
                  <w:trPr>
                    <w:trHeight w:val="60"/>
                  </w:trPr>
                  <w:tc>
                    <w:tcPr>
                      <w:tcW w:w="80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114"/>
                        <w:jc w:val="center"/>
                        <w:rPr>
                          <w:bCs/>
                          <w:i/>
                          <w:iCs/>
                          <w:color w:val="000000"/>
                          <w:kern w:val="1"/>
                          <w:sz w:val="20"/>
                          <w:lang w:eastAsia="lt-LT"/>
                        </w:rPr>
                      </w:pPr>
                      <w:r>
                        <w:rPr>
                          <w:bCs/>
                          <w:i/>
                          <w:iCs/>
                          <w:color w:val="000000"/>
                          <w:kern w:val="1"/>
                          <w:sz w:val="20"/>
                          <w:lang w:eastAsia="lt-LT"/>
                        </w:rPr>
                        <w:t>Skystasis kuras</w:t>
                      </w:r>
                    </w:p>
                  </w:tc>
                  <w:tc>
                    <w:tcPr>
                      <w:tcW w:w="55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Cs/>
                          <w:i/>
                          <w:iCs/>
                          <w:color w:val="000000"/>
                          <w:kern w:val="1"/>
                          <w:sz w:val="20"/>
                          <w:lang w:eastAsia="lt-LT"/>
                        </w:rPr>
                      </w:pPr>
                      <w:r>
                        <w:rPr>
                          <w:bCs/>
                          <w:i/>
                          <w:iCs/>
                          <w:color w:val="000000"/>
                          <w:kern w:val="1"/>
                          <w:sz w:val="20"/>
                          <w:lang w:eastAsia="lt-LT"/>
                        </w:rPr>
                        <w:t>1700</w:t>
                      </w:r>
                    </w:p>
                  </w:tc>
                  <w:tc>
                    <w:tcPr>
                      <w:tcW w:w="71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Cs/>
                          <w:i/>
                          <w:iCs/>
                          <w:color w:val="000000"/>
                          <w:kern w:val="1"/>
                          <w:sz w:val="20"/>
                          <w:lang w:eastAsia="lt-LT"/>
                        </w:rPr>
                      </w:pPr>
                      <w:r>
                        <w:rPr>
                          <w:bCs/>
                          <w:i/>
                          <w:iCs/>
                          <w:color w:val="000000"/>
                          <w:kern w:val="1"/>
                          <w:sz w:val="20"/>
                          <w:lang w:eastAsia="lt-LT"/>
                        </w:rPr>
                        <w:t>200</w:t>
                      </w:r>
                    </w:p>
                  </w:tc>
                  <w:tc>
                    <w:tcPr>
                      <w:tcW w:w="71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
                          <w:i/>
                          <w:iCs/>
                          <w:color w:val="000000"/>
                          <w:kern w:val="1"/>
                          <w:sz w:val="20"/>
                          <w:lang w:eastAsia="lt-LT"/>
                        </w:rPr>
                      </w:pPr>
                      <w:r>
                        <w:rPr>
                          <w:bCs/>
                          <w:i/>
                          <w:iCs/>
                          <w:strike/>
                          <w:color w:val="000000"/>
                          <w:kern w:val="1"/>
                          <w:sz w:val="20"/>
                          <w:lang w:eastAsia="lt-LT"/>
                        </w:rPr>
                        <w:t>60</w:t>
                      </w:r>
                      <w:r>
                        <w:rPr>
                          <w:bCs/>
                          <w:i/>
                          <w:iCs/>
                          <w:color w:val="000000"/>
                          <w:kern w:val="1"/>
                          <w:sz w:val="20"/>
                          <w:lang w:eastAsia="lt-LT"/>
                        </w:rPr>
                        <w:t xml:space="preserve"> </w:t>
                      </w:r>
                      <w:r>
                        <w:rPr>
                          <w:b/>
                          <w:i/>
                          <w:iCs/>
                          <w:color w:val="000000"/>
                          <w:kern w:val="1"/>
                          <w:sz w:val="20"/>
                          <w:lang w:eastAsia="lt-LT"/>
                        </w:rPr>
                        <w:t>250</w:t>
                      </w:r>
                    </w:p>
                  </w:tc>
                  <w:tc>
                    <w:tcPr>
                      <w:tcW w:w="633"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color w:val="000000"/>
                          <w:kern w:val="1"/>
                          <w:sz w:val="20"/>
                          <w:lang w:eastAsia="lt-LT"/>
                        </w:rPr>
                      </w:pPr>
                      <w:r>
                        <w:rPr>
                          <w:bCs/>
                          <w:i/>
                          <w:iCs/>
                          <w:kern w:val="1"/>
                          <w:sz w:val="20"/>
                          <w:lang w:eastAsia="ar-SA"/>
                        </w:rPr>
                        <w:t>–</w:t>
                      </w:r>
                    </w:p>
                  </w:tc>
                  <w:tc>
                    <w:tcPr>
                      <w:tcW w:w="555"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kern w:val="1"/>
                          <w:sz w:val="20"/>
                          <w:lang w:eastAsia="ar-SA"/>
                        </w:rPr>
                      </w:pPr>
                      <w:r>
                        <w:rPr>
                          <w:bCs/>
                          <w:i/>
                          <w:iCs/>
                          <w:kern w:val="1"/>
                          <w:sz w:val="20"/>
                          <w:lang w:eastAsia="ar-SA"/>
                        </w:rPr>
                        <w:t>–</w:t>
                      </w:r>
                    </w:p>
                  </w:tc>
                  <w:tc>
                    <w:tcPr>
                      <w:tcW w:w="1026"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strike/>
                          <w:kern w:val="1"/>
                          <w:sz w:val="20"/>
                          <w:lang w:eastAsia="ar-SA"/>
                        </w:rPr>
                      </w:pPr>
                      <w:r>
                        <w:rPr>
                          <w:bCs/>
                          <w:i/>
                          <w:iCs/>
                          <w:strike/>
                          <w:kern w:val="1"/>
                          <w:sz w:val="20"/>
                          <w:lang w:eastAsia="ar-SA"/>
                        </w:rPr>
                        <w:t>10</w:t>
                      </w:r>
                      <w:r>
                        <w:rPr>
                          <w:bCs/>
                          <w:i/>
                          <w:iCs/>
                          <w:kern w:val="1"/>
                          <w:sz w:val="20"/>
                          <w:lang w:eastAsia="ar-SA"/>
                        </w:rPr>
                        <w:t xml:space="preserve"> </w:t>
                      </w:r>
                      <w:r>
                        <w:rPr>
                          <w:b/>
                          <w:i/>
                          <w:iCs/>
                          <w:kern w:val="1"/>
                          <w:sz w:val="20"/>
                          <w:lang w:eastAsia="ar-SA"/>
                        </w:rPr>
                        <w:t>3 (?)</w:t>
                      </w:r>
                    </w:p>
                  </w:tc>
                </w:tr>
                <w:tr>
                  <w:trPr>
                    <w:trHeight w:val="60"/>
                  </w:trPr>
                  <w:tc>
                    <w:tcPr>
                      <w:tcW w:w="80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114"/>
                        <w:jc w:val="center"/>
                        <w:rPr>
                          <w:bCs/>
                          <w:i/>
                          <w:iCs/>
                          <w:color w:val="000000"/>
                          <w:kern w:val="1"/>
                          <w:sz w:val="20"/>
                          <w:lang w:eastAsia="lt-LT"/>
                        </w:rPr>
                      </w:pPr>
                      <w:r>
                        <w:rPr>
                          <w:bCs/>
                          <w:i/>
                          <w:iCs/>
                          <w:color w:val="000000"/>
                          <w:kern w:val="1"/>
                          <w:sz w:val="20"/>
                          <w:lang w:eastAsia="lt-LT"/>
                        </w:rPr>
                        <w:t>Kietasis kuras</w:t>
                      </w:r>
                    </w:p>
                  </w:tc>
                  <w:tc>
                    <w:tcPr>
                      <w:tcW w:w="55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Cs/>
                          <w:i/>
                          <w:iCs/>
                          <w:color w:val="000000"/>
                          <w:kern w:val="1"/>
                          <w:sz w:val="20"/>
                          <w:lang w:eastAsia="lt-LT"/>
                        </w:rPr>
                      </w:pPr>
                      <w:r>
                        <w:rPr>
                          <w:bCs/>
                          <w:i/>
                          <w:iCs/>
                          <w:color w:val="000000"/>
                          <w:kern w:val="1"/>
                          <w:sz w:val="20"/>
                          <w:lang w:eastAsia="lt-LT"/>
                        </w:rPr>
                        <w:t>1700</w:t>
                      </w:r>
                    </w:p>
                  </w:tc>
                  <w:tc>
                    <w:tcPr>
                      <w:tcW w:w="71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Cs/>
                          <w:i/>
                          <w:iCs/>
                          <w:color w:val="000000"/>
                          <w:kern w:val="1"/>
                          <w:sz w:val="20"/>
                          <w:lang w:eastAsia="lt-LT"/>
                        </w:rPr>
                      </w:pPr>
                      <w:r>
                        <w:rPr>
                          <w:bCs/>
                          <w:i/>
                          <w:iCs/>
                          <w:color w:val="000000"/>
                          <w:kern w:val="1"/>
                          <w:sz w:val="20"/>
                          <w:lang w:eastAsia="lt-LT"/>
                        </w:rPr>
                        <w:t>200</w:t>
                      </w:r>
                    </w:p>
                  </w:tc>
                  <w:tc>
                    <w:tcPr>
                      <w:tcW w:w="71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suppressAutoHyphens/>
                        <w:ind w:firstLine="409"/>
                        <w:jc w:val="center"/>
                        <w:rPr>
                          <w:b/>
                          <w:i/>
                          <w:iCs/>
                          <w:color w:val="000000"/>
                          <w:kern w:val="1"/>
                          <w:sz w:val="20"/>
                          <w:lang w:eastAsia="lt-LT"/>
                        </w:rPr>
                      </w:pPr>
                      <w:r>
                        <w:rPr>
                          <w:bCs/>
                          <w:i/>
                          <w:iCs/>
                          <w:strike/>
                          <w:color w:val="000000"/>
                          <w:kern w:val="1"/>
                          <w:sz w:val="20"/>
                          <w:lang w:eastAsia="lt-LT"/>
                        </w:rPr>
                        <w:t>60</w:t>
                      </w:r>
                      <w:r>
                        <w:rPr>
                          <w:bCs/>
                          <w:i/>
                          <w:iCs/>
                          <w:color w:val="000000"/>
                          <w:kern w:val="1"/>
                          <w:sz w:val="20"/>
                          <w:lang w:eastAsia="lt-LT"/>
                        </w:rPr>
                        <w:t xml:space="preserve"> </w:t>
                      </w:r>
                      <w:r>
                        <w:rPr>
                          <w:b/>
                          <w:i/>
                          <w:iCs/>
                          <w:color w:val="000000"/>
                          <w:kern w:val="1"/>
                          <w:sz w:val="20"/>
                          <w:lang w:eastAsia="lt-LT"/>
                        </w:rPr>
                        <w:t>800</w:t>
                      </w:r>
                    </w:p>
                  </w:tc>
                  <w:tc>
                    <w:tcPr>
                      <w:tcW w:w="633"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color w:val="000000"/>
                          <w:kern w:val="1"/>
                          <w:sz w:val="20"/>
                          <w:lang w:eastAsia="lt-LT"/>
                        </w:rPr>
                      </w:pPr>
                      <w:r>
                        <w:rPr>
                          <w:bCs/>
                          <w:i/>
                          <w:iCs/>
                          <w:color w:val="000000"/>
                          <w:kern w:val="1"/>
                          <w:sz w:val="20"/>
                          <w:lang w:eastAsia="lt-LT"/>
                        </w:rPr>
                        <w:t>700</w:t>
                      </w:r>
                    </w:p>
                  </w:tc>
                  <w:tc>
                    <w:tcPr>
                      <w:tcW w:w="555"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color w:val="000000"/>
                          <w:kern w:val="1"/>
                          <w:sz w:val="20"/>
                          <w:lang w:eastAsia="lt-LT"/>
                        </w:rPr>
                      </w:pPr>
                      <w:r>
                        <w:rPr>
                          <w:bCs/>
                          <w:i/>
                          <w:iCs/>
                          <w:color w:val="000000"/>
                          <w:kern w:val="1"/>
                          <w:sz w:val="20"/>
                          <w:lang w:eastAsia="lt-LT"/>
                        </w:rPr>
                        <w:t>20</w:t>
                      </w:r>
                    </w:p>
                  </w:tc>
                  <w:tc>
                    <w:tcPr>
                      <w:tcW w:w="1026" w:type="pc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09"/>
                        <w:jc w:val="center"/>
                        <w:rPr>
                          <w:bCs/>
                          <w:i/>
                          <w:iCs/>
                          <w:strike/>
                          <w:color w:val="000000"/>
                          <w:kern w:val="1"/>
                          <w:sz w:val="20"/>
                          <w:lang w:eastAsia="lt-LT"/>
                        </w:rPr>
                      </w:pPr>
                      <w:r>
                        <w:rPr>
                          <w:bCs/>
                          <w:i/>
                          <w:iCs/>
                          <w:strike/>
                          <w:color w:val="000000"/>
                          <w:kern w:val="1"/>
                          <w:sz w:val="20"/>
                          <w:lang w:eastAsia="lt-LT"/>
                        </w:rPr>
                        <w:t>10</w:t>
                      </w:r>
                      <w:r>
                        <w:rPr>
                          <w:bCs/>
                          <w:i/>
                          <w:iCs/>
                          <w:color w:val="000000"/>
                          <w:kern w:val="1"/>
                          <w:sz w:val="20"/>
                          <w:lang w:eastAsia="lt-LT"/>
                        </w:rPr>
                        <w:t xml:space="preserve"> </w:t>
                      </w:r>
                      <w:r>
                        <w:rPr>
                          <w:b/>
                          <w:i/>
                          <w:iCs/>
                          <w:kern w:val="1"/>
                          <w:sz w:val="20"/>
                          <w:lang w:eastAsia="ar-SA"/>
                        </w:rPr>
                        <w:t>3 (?)</w:t>
                      </w:r>
                    </w:p>
                  </w:tc>
                </w:tr>
              </w:tbl>
              <w:p>
                <w:pPr>
                  <w:widowControl w:val="0"/>
                  <w:suppressAutoHyphens/>
                  <w:ind w:firstLine="409"/>
                  <w:rPr>
                    <w:i/>
                    <w:iCs/>
                    <w:kern w:val="1"/>
                    <w:lang w:eastAsia="ar-SA"/>
                  </w:rPr>
                </w:pPr>
              </w:p>
              <w:p>
                <w:pPr>
                  <w:widowControl w:val="0"/>
                  <w:suppressAutoHyphens/>
                  <w:ind w:firstLine="409"/>
                  <w:jc w:val="both"/>
                  <w:rPr>
                    <w:rFonts w:eastAsia="Andale Sans UI"/>
                    <w:szCs w:val="24"/>
                    <w:lang w:bidi="en-US"/>
                  </w:rPr>
                </w:pP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Atsižvelgta iš dalies.</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Įsakymo projektu nauja redakcija dėstomu 1 priedo 3 punktu siūloma nustatyti į aplinkos orą išmetamų teršalų ribines vertes mažiems kurą deginantiems įrenginiams, kurie pradės veikti nuo 2025 m. lapkričio 1 d. ar vėliau. </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Atsižvelgiant į tai, kad nuo 2020 m. sausio 1 d. į rinką teikiami ir pradedami naudoti kietąjį kurą deginantys įrenginiai privalo atitikti Reglamente </w:t>
                </w:r>
                <w:fldSimple w:instr="HYPERLINK http://eur-lex.europa.eu/legal-content/LIT/TXT/?uri=CELEX:32015R1189&amp;locale=lt \t _blank">
                  <w:r>
                    <w:rPr>
                      <w:rFonts w:eastAsia="Lucida Sans Unicode"/>
                      <w:bCs/>
                      <w:kern w:val="1"/>
                      <w:szCs w:val="24"/>
                      <w:lang w:eastAsia="ar-SA"/>
                      <w:u w:val="single"/>
                      <w:color w:val="0000FF" w:themeColor="hyperlink"/>
                    </w:rPr>
                    <w:t>(ES) 2015/1189</w:t>
                  </w:r>
                </w:fldSimple>
                <w:r>
                  <w:rPr>
                    <w:rFonts w:eastAsia="Lucida Sans Unicode"/>
                    <w:bCs/>
                    <w:kern w:val="1"/>
                    <w:szCs w:val="24"/>
                    <w:vertAlign w:val="superscript"/>
                    <w:lang w:eastAsia="ar-SA"/>
                  </w:rPr>
                  <w:footnoteReference w:id="1"/>
                </w:r>
                <w:r>
                  <w:rPr>
                    <w:rFonts w:eastAsia="Lucida Sans Unicode"/>
                    <w:bCs/>
                    <w:kern w:val="1"/>
                    <w:szCs w:val="24"/>
                    <w:lang w:eastAsia="ar-SA"/>
                  </w:rPr>
                  <w:t xml:space="preserve"> nustatytus ekologinio projektavimo reikalavimus, įskaitant kietųjų dalelių ribines vertes (automatiškai kurstomiems katilams taikoma 40 mg/m</w:t>
                </w:r>
                <w:r>
                  <w:rPr>
                    <w:rFonts w:eastAsia="Lucida Sans Unicode"/>
                    <w:bCs/>
                    <w:kern w:val="1"/>
                    <w:szCs w:val="24"/>
                    <w:vertAlign w:val="superscript"/>
                    <w:lang w:eastAsia="ar-SA"/>
                  </w:rPr>
                  <w:t xml:space="preserve">3 </w:t>
                </w:r>
                <w:r>
                  <w:rPr>
                    <w:rFonts w:eastAsia="Lucida Sans Unicode"/>
                    <w:bCs/>
                    <w:kern w:val="1"/>
                    <w:szCs w:val="24"/>
                    <w:lang w:eastAsia="ar-SA"/>
                  </w:rPr>
                  <w:t>vertė, kai rankiniams – 60 mg/m</w:t>
                </w:r>
                <w:r>
                  <w:rPr>
                    <w:rFonts w:eastAsia="Lucida Sans Unicode"/>
                    <w:bCs/>
                    <w:kern w:val="1"/>
                    <w:szCs w:val="24"/>
                    <w:vertAlign w:val="superscript"/>
                    <w:lang w:eastAsia="ar-SA"/>
                  </w:rPr>
                  <w:t>3</w:t>
                </w:r>
                <w:r>
                  <w:rPr>
                    <w:rFonts w:eastAsia="Lucida Sans Unicode"/>
                    <w:bCs/>
                    <w:kern w:val="1"/>
                    <w:szCs w:val="24"/>
                    <w:lang w:eastAsia="ar-SA"/>
                  </w:rPr>
                  <w:t>, (prie 10 proc. deguonies koncentracijos)), nuo 2025 m. lapkričio 1 d. ar vėliau įrengti kietojo kuro katilai bet kokiu atveju turės atitikti Įsakymo projektu siūlomą kietųjų dalelių ribinę vertę – 90 mg/m</w:t>
                </w:r>
                <w:r>
                  <w:rPr>
                    <w:rFonts w:eastAsia="Lucida Sans Unicode"/>
                    <w:bCs/>
                    <w:kern w:val="1"/>
                    <w:szCs w:val="24"/>
                    <w:vertAlign w:val="superscript"/>
                    <w:lang w:eastAsia="ar-SA"/>
                  </w:rPr>
                  <w:t>3</w:t>
                </w:r>
                <w:r>
                  <w:rPr>
                    <w:rFonts w:eastAsia="Lucida Sans Unicode"/>
                    <w:bCs/>
                    <w:kern w:val="1"/>
                    <w:szCs w:val="24"/>
                    <w:lang w:eastAsia="ar-SA"/>
                  </w:rPr>
                  <w:t xml:space="preserve"> (prie 6 proc. deguonies koncentracijos). Mažiau griežtesnės kietųjų dalelių ribinės vertės taikymas naujai įrengtiems kietojo kuro katilams nebūtų suderinamas su Reglamento </w:t>
                </w:r>
                <w:fldSimple w:instr="HYPERLINK http://eur-lex.europa.eu/legal-content/LIT/TXT/?uri=CELEX:32015R1189&amp;locale=lt \t _blank">
                  <w:r>
                    <w:rPr>
                      <w:rFonts w:eastAsia="Lucida Sans Unicode"/>
                      <w:bCs/>
                      <w:kern w:val="1"/>
                      <w:szCs w:val="24"/>
                      <w:lang w:eastAsia="ar-SA"/>
                      <w:u w:val="single"/>
                      <w:color w:val="0000FF" w:themeColor="hyperlink"/>
                    </w:rPr>
                    <w:t>(ES) 2015/1189</w:t>
                  </w:r>
                </w:fldSimple>
                <w:r>
                  <w:rPr>
                    <w:rFonts w:eastAsia="Lucida Sans Unicode"/>
                    <w:bCs/>
                    <w:kern w:val="1"/>
                    <w:szCs w:val="24"/>
                    <w:lang w:eastAsia="ar-SA"/>
                  </w:rPr>
                  <w:t xml:space="preserve"> reikalavimų įgyvendinimu.</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Kurą deginantiems įrenginiams, kurie pradėti eksploatuoti anksčiau kaip 2025 m. lapkričio 1 d., siūlomos ribinės vertės nustatytos to paties priedo 1 punkte ir nuo 2029 m. sausio 1 d. </w:t>
                </w:r>
                <w:r>
                  <w:rPr>
                    <w:rFonts w:eastAsia="Lucida Sans Unicode"/>
                    <w:kern w:val="1"/>
                    <w:szCs w:val="24"/>
                    <w:lang w:eastAsia="ar-SA"/>
                  </w:rPr>
                  <w:t>–</w:t>
                </w:r>
                <w:r>
                  <w:rPr>
                    <w:rFonts w:eastAsia="Lucida Sans Unicode"/>
                    <w:bCs/>
                    <w:kern w:val="1"/>
                    <w:szCs w:val="24"/>
                    <w:lang w:eastAsia="ar-SA"/>
                  </w:rPr>
                  <w:t xml:space="preserve"> 2 punkte. Šiems kurą deginantiems įrenginiams siūlomos mažiau griežtesnės kietųjų dalelių ribinės vertės ir jų laikymosi užtikrinimui investicijų poreikis yra mažesnis (elektrostatinio filtro diegimas nebūtinas).</w:t>
                </w:r>
              </w:p>
              <w:p>
                <w:pPr>
                  <w:widowControl w:val="0"/>
                  <w:suppressAutoHyphens/>
                  <w:jc w:val="both"/>
                  <w:rPr>
                    <w:rFonts w:eastAsia="Lucida Sans Unicode"/>
                    <w:kern w:val="1"/>
                    <w:szCs w:val="24"/>
                    <w:lang w:eastAsia="ar-SA"/>
                  </w:rPr>
                </w:pPr>
                <w:r>
                  <w:rPr>
                    <w:rFonts w:eastAsia="Lucida Sans Unicode"/>
                    <w:bCs/>
                    <w:kern w:val="1"/>
                    <w:szCs w:val="24"/>
                    <w:lang w:eastAsia="ar-SA"/>
                  </w:rPr>
                  <w:t xml:space="preserve">Dujinį ir skystąjį kurą deginantiems įrenginiams siūlomos azoto oksidų vertės nustatytos remiantis Reglamentu </w:t>
                </w:r>
                <w:fldSimple w:instr="HYPERLINK http://eur-lex.europa.eu/legal-content/LIT/TXT/?uri=CELEX:32813R2013&amp;locale=lt \t _blank">
                  <w:r>
                    <w:rPr>
                      <w:rFonts w:eastAsia="Lucida Sans Unicode"/>
                      <w:bCs/>
                      <w:kern w:val="1"/>
                      <w:szCs w:val="24"/>
                      <w:lang w:eastAsia="ar-SA"/>
                      <w:u w:val="single"/>
                      <w:color w:val="0000FF" w:themeColor="hyperlink"/>
                    </w:rPr>
                    <w:t>(ES) 813/2013</w:t>
                  </w:r>
                </w:fldSimple>
                <w:r>
                  <w:rPr>
                    <w:rFonts w:eastAsia="Lucida Sans Unicode"/>
                    <w:bCs/>
                    <w:kern w:val="1"/>
                    <w:szCs w:val="24"/>
                    <w:vertAlign w:val="superscript"/>
                    <w:lang w:eastAsia="ar-SA"/>
                  </w:rPr>
                  <w:footnoteReference w:id="2"/>
                </w:r>
                <w:r>
                  <w:rPr>
                    <w:rFonts w:eastAsia="Lucida Sans Unicode"/>
                    <w:bCs/>
                    <w:kern w:val="1"/>
                    <w:szCs w:val="24"/>
                    <w:lang w:eastAsia="ar-SA"/>
                  </w:rPr>
                  <w:t xml:space="preserve">. Šiame reglamente patalpų šildytuvams su dujinio kuro deginimo įrenginiais (ne varikliais) nustatyta mažiausiai griežta azoto oksidų ribinė vertė yra 70 mg/kWh tiekiamo kuro didžiausiojo šilumingumo, kai patalpų šildytuvams su skystojo kuro deginimo įrenginiais (ne varikliais)  </w:t>
                </w:r>
                <w:r>
                  <w:rPr>
                    <w:rFonts w:eastAsia="Lucida Sans Unicode"/>
                    <w:kern w:val="1"/>
                    <w:szCs w:val="24"/>
                    <w:lang w:eastAsia="ar-SA"/>
                  </w:rPr>
                  <w:t>–</w:t>
                </w:r>
                <w:r>
                  <w:rPr>
                    <w:rFonts w:eastAsia="Lucida Sans Unicode"/>
                    <w:bCs/>
                    <w:kern w:val="1"/>
                    <w:szCs w:val="24"/>
                    <w:lang w:eastAsia="ar-SA"/>
                  </w:rPr>
                  <w:t xml:space="preserve"> 120 mg/kWh tiekiamo kuro didžiausiojo šilumingumo. Gamtinių dujų atžvilgiu konvertuota</w:t>
                </w:r>
                <w:r>
                  <w:rPr>
                    <w:rFonts w:eastAsia="Lucida Sans Unicode"/>
                    <w:bCs/>
                    <w:kern w:val="1"/>
                    <w:szCs w:val="24"/>
                    <w:vertAlign w:val="superscript"/>
                    <w:lang w:eastAsia="ar-SA"/>
                  </w:rPr>
                  <w:footnoteReference w:id="3"/>
                </w:r>
                <w:r>
                  <w:rPr>
                    <w:rFonts w:eastAsia="Lucida Sans Unicode"/>
                    <w:bCs/>
                    <w:kern w:val="1"/>
                    <w:szCs w:val="24"/>
                    <w:lang w:eastAsia="ar-SA"/>
                  </w:rPr>
                  <w:t xml:space="preserve"> vertė atitinka 82 mg/m</w:t>
                </w:r>
                <w:r>
                  <w:rPr>
                    <w:rFonts w:eastAsia="Lucida Sans Unicode"/>
                    <w:bCs/>
                    <w:kern w:val="1"/>
                    <w:szCs w:val="24"/>
                    <w:vertAlign w:val="superscript"/>
                    <w:lang w:eastAsia="ar-SA"/>
                  </w:rPr>
                  <w:t>3</w:t>
                </w:r>
                <w:r>
                  <w:rPr>
                    <w:rFonts w:eastAsia="Lucida Sans Unicode"/>
                    <w:bCs/>
                    <w:kern w:val="1"/>
                    <w:szCs w:val="24"/>
                    <w:lang w:eastAsia="ar-SA"/>
                  </w:rPr>
                  <w:t xml:space="preserve">, o pritaikius Reglamente </w:t>
                </w:r>
                <w:fldSimple w:instr="HYPERLINK http://eur-lex.europa.eu/legal-content/LIT/TXT/?uri=CELEX:32813R2013&amp;locale=lt \t _blank">
                  <w:r>
                    <w:rPr>
                      <w:rFonts w:eastAsia="Lucida Sans Unicode"/>
                      <w:bCs/>
                      <w:kern w:val="1"/>
                      <w:szCs w:val="24"/>
                      <w:lang w:eastAsia="ar-SA"/>
                      <w:u w:val="single"/>
                      <w:color w:val="0000FF" w:themeColor="hyperlink"/>
                    </w:rPr>
                    <w:t>(ES) 813/2013</w:t>
                  </w:r>
                </w:fldSimple>
                <w:r>
                  <w:rPr>
                    <w:rFonts w:eastAsia="Lucida Sans Unicode"/>
                    <w:bCs/>
                    <w:kern w:val="1"/>
                    <w:szCs w:val="24"/>
                    <w:lang w:eastAsia="ar-SA"/>
                  </w:rPr>
                  <w:t xml:space="preserve"> nurodyta leidžiamąją patikros nuokrypą (20 %) </w:t>
                </w:r>
                <w:r>
                  <w:rPr>
                    <w:rFonts w:eastAsia="Lucida Sans Unicode"/>
                    <w:kern w:val="1"/>
                    <w:szCs w:val="24"/>
                    <w:lang w:eastAsia="ar-SA"/>
                  </w:rPr>
                  <w:t>– 98 mg/m</w:t>
                </w:r>
                <w:r>
                  <w:rPr>
                    <w:rFonts w:eastAsia="Lucida Sans Unicode"/>
                    <w:kern w:val="1"/>
                    <w:szCs w:val="24"/>
                    <w:vertAlign w:val="superscript"/>
                    <w:lang w:eastAsia="ar-SA"/>
                  </w:rPr>
                  <w:t xml:space="preserve">3 </w:t>
                </w:r>
                <w:r>
                  <w:rPr>
                    <w:rFonts w:eastAsia="Lucida Sans Unicode"/>
                    <w:kern w:val="1"/>
                    <w:szCs w:val="24"/>
                    <w:lang w:eastAsia="ar-SA"/>
                  </w:rPr>
                  <w:t>(Įsakymo projektu siūloma 100 mg/m</w:t>
                </w:r>
                <w:r>
                  <w:rPr>
                    <w:rFonts w:eastAsia="Lucida Sans Unicode"/>
                    <w:kern w:val="1"/>
                    <w:szCs w:val="24"/>
                    <w:vertAlign w:val="superscript"/>
                    <w:lang w:eastAsia="ar-SA"/>
                  </w:rPr>
                  <w:t>3</w:t>
                </w:r>
                <w:r>
                  <w:rPr>
                    <w:rFonts w:eastAsia="Lucida Sans Unicode"/>
                    <w:kern w:val="1"/>
                    <w:szCs w:val="24"/>
                    <w:lang w:eastAsia="ar-SA"/>
                  </w:rPr>
                  <w:t>). Kūrenamojo gazolio atveju konvertuota</w:t>
                </w:r>
                <w:r>
                  <w:rPr>
                    <w:rFonts w:eastAsia="Lucida Sans Unicode"/>
                    <w:kern w:val="1"/>
                    <w:szCs w:val="24"/>
                    <w:vertAlign w:val="superscript"/>
                    <w:lang w:eastAsia="ar-SA"/>
                  </w:rPr>
                  <w:footnoteReference w:id="4"/>
                </w:r>
                <w:r>
                  <w:rPr>
                    <w:rFonts w:eastAsia="Lucida Sans Unicode"/>
                    <w:kern w:val="1"/>
                    <w:szCs w:val="24"/>
                    <w:lang w:eastAsia="ar-SA"/>
                  </w:rPr>
                  <w:t xml:space="preserve"> vertė atitinka 135 mg/kWh, </w:t>
                </w:r>
                <w:r>
                  <w:rPr>
                    <w:rFonts w:eastAsia="Lucida Sans Unicode"/>
                    <w:bCs/>
                    <w:kern w:val="1"/>
                    <w:szCs w:val="24"/>
                    <w:lang w:eastAsia="ar-SA"/>
                  </w:rPr>
                  <w:t xml:space="preserve">o pritaikius leidžiamąją patikros nuokrypą </w:t>
                </w:r>
                <w:r>
                  <w:rPr>
                    <w:rFonts w:eastAsia="Lucida Sans Unicode"/>
                    <w:kern w:val="1"/>
                    <w:szCs w:val="24"/>
                    <w:lang w:eastAsia="ar-SA"/>
                  </w:rPr>
                  <w:t>– 162 mg/m</w:t>
                </w:r>
                <w:r>
                  <w:rPr>
                    <w:rFonts w:eastAsia="Lucida Sans Unicode"/>
                    <w:kern w:val="1"/>
                    <w:szCs w:val="24"/>
                    <w:vertAlign w:val="superscript"/>
                    <w:lang w:eastAsia="ar-SA"/>
                  </w:rPr>
                  <w:t xml:space="preserve">3 </w:t>
                </w:r>
                <w:r>
                  <w:rPr>
                    <w:rFonts w:eastAsia="Lucida Sans Unicode"/>
                    <w:kern w:val="1"/>
                    <w:szCs w:val="24"/>
                    <w:lang w:eastAsia="ar-SA"/>
                  </w:rPr>
                  <w:t>(Įsakymo projektu siūloma 200 mg/m</w:t>
                </w:r>
                <w:r>
                  <w:rPr>
                    <w:rFonts w:eastAsia="Lucida Sans Unicode"/>
                    <w:kern w:val="1"/>
                    <w:szCs w:val="24"/>
                    <w:vertAlign w:val="superscript"/>
                    <w:lang w:eastAsia="ar-SA"/>
                  </w:rPr>
                  <w:t>3</w:t>
                </w:r>
                <w:r>
                  <w:rPr>
                    <w:rFonts w:eastAsia="Lucida Sans Unicode"/>
                    <w:kern w:val="1"/>
                    <w:szCs w:val="24"/>
                    <w:lang w:eastAsia="ar-SA"/>
                  </w:rPr>
                  <w:t xml:space="preserve">). </w:t>
                </w:r>
              </w:p>
              <w:p>
                <w:pPr>
                  <w:widowControl w:val="0"/>
                  <w:suppressAutoHyphens/>
                  <w:jc w:val="both"/>
                  <w:rPr>
                    <w:rFonts w:eastAsia="Lucida Sans Unicode"/>
                    <w:bCs/>
                    <w:kern w:val="1"/>
                    <w:szCs w:val="24"/>
                    <w:lang w:eastAsia="ar-SA"/>
                  </w:rPr>
                </w:pPr>
                <w:r>
                  <w:rPr>
                    <w:rFonts w:eastAsia="Lucida Sans Unicode"/>
                    <w:kern w:val="1"/>
                    <w:szCs w:val="24"/>
                    <w:lang w:eastAsia="ar-SA"/>
                  </w:rPr>
                  <w:t xml:space="preserve">Skystąjį kurą, išskyrus deginant gazolį,  deginantiems įrenginiams siūloma nustatyti kietųjų dalelių ribinę vertę atsižvelgiant į užsienio šalių praktiką. Pvz., Latvijoje nuo 2021 m. birželio 1 d. pradėtiems eksploatuoti maži kurą deginantiems įrenginiams taikoma 200 mg/m</w:t>
                </w:r>
                <w:r>
                  <w:rPr>
                    <w:rFonts w:eastAsia="Lucida Sans Unicode"/>
                    <w:kern w:val="1"/>
                    <w:szCs w:val="24"/>
                    <w:vertAlign w:val="superscript"/>
                    <w:lang w:eastAsia="ar-SA"/>
                  </w:rPr>
                  <w:t>3</w:t>
                </w:r>
                <w:r>
                  <w:rPr>
                    <w:rFonts w:eastAsia="Lucida Sans Unicode"/>
                    <w:kern w:val="1"/>
                    <w:szCs w:val="24"/>
                    <w:lang w:eastAsia="ar-SA"/>
                  </w:rPr>
                  <w:t xml:space="preserve"> išmetamo sieros dioksido ribinė vertė deginant kitą nei medienos biomasę, arba 400 mg/m</w:t>
                </w:r>
                <w:r>
                  <w:rPr>
                    <w:rFonts w:eastAsia="Lucida Sans Unicode"/>
                    <w:kern w:val="1"/>
                    <w:szCs w:val="24"/>
                    <w:vertAlign w:val="superscript"/>
                    <w:lang w:eastAsia="ar-SA"/>
                  </w:rPr>
                  <w:t>3</w:t>
                </w:r>
                <w:r>
                  <w:rPr>
                    <w:rFonts w:eastAsia="Lucida Sans Unicode"/>
                    <w:kern w:val="1"/>
                    <w:szCs w:val="24"/>
                    <w:lang w:eastAsia="ar-SA"/>
                  </w:rPr>
                  <w:t xml:space="preserve"> – deginant akmens anglis ar durpes (kai deginama anksčiau pradėtuose eksploatuoti įrenginiuose – 1100 mg/m3)</w:t>
                </w:r>
                <w:r>
                  <w:rPr>
                    <w:rFonts w:eastAsia="Lucida Sans Unicode"/>
                    <w:kern w:val="1"/>
                    <w:szCs w:val="24"/>
                    <w:vertAlign w:val="superscript"/>
                    <w:lang w:eastAsia="ar-SA"/>
                  </w:rPr>
                  <w:footnoteReference w:id="5"/>
                </w:r>
                <w:r>
                  <w:rPr>
                    <w:rFonts w:eastAsia="Lucida Sans Unicode"/>
                    <w:kern w:val="1"/>
                    <w:szCs w:val="24"/>
                    <w:lang w:eastAsia="ar-SA"/>
                  </w:rPr>
                  <w:t>. Vokietijoje nuo 2014 m. įrengtiems iki 1 MW vardinės šiluminės galios katilams taikoma 20 mg/m</w:t>
                </w:r>
                <w:r>
                  <w:rPr>
                    <w:rFonts w:eastAsia="Lucida Sans Unicode"/>
                    <w:kern w:val="1"/>
                    <w:szCs w:val="24"/>
                    <w:vertAlign w:val="superscript"/>
                    <w:lang w:eastAsia="ar-SA"/>
                  </w:rPr>
                  <w:t>3</w:t>
                </w:r>
                <w:r>
                  <w:rPr>
                    <w:rFonts w:eastAsia="Lucida Sans Unicode"/>
                    <w:kern w:val="1"/>
                    <w:szCs w:val="24"/>
                    <w:lang w:eastAsia="ar-SA"/>
                  </w:rPr>
                  <w:t xml:space="preserve"> kietųjų dalelių ribinė vertė (esant 13 proc. deguonies koncentracijai išmetamosiose dujose). Lygiaverčių kietųjų dalelių ribinių verčių taikymo kietąjį ir skystąjį kurą deginantiems įrenginiams praktika taikoma ir pagal Direktyvą </w:t>
                </w:r>
                <w:fldSimple w:instr="HYPERLINK http://eur-lex.europa.eu/legal-content/LIT/TXT/?uri=CELEX:32015L2193&amp;locale=lt \t _blank">
                  <w:r>
                    <w:rPr>
                      <w:rFonts w:eastAsia="Lucida Sans Unicode"/>
                      <w:kern w:val="1"/>
                      <w:szCs w:val="24"/>
                      <w:lang w:eastAsia="ar-SA"/>
                      <w:u w:val="single"/>
                      <w:color w:val="0000FF" w:themeColor="hyperlink"/>
                    </w:rPr>
                    <w:t>(ES) 2015/2193</w:t>
                  </w:r>
                </w:fldSimple>
                <w:r>
                  <w:rPr>
                    <w:rFonts w:eastAsia="Lucida Sans Unicode"/>
                    <w:kern w:val="1"/>
                    <w:szCs w:val="24"/>
                    <w:vertAlign w:val="superscript"/>
                    <w:lang w:eastAsia="ar-SA"/>
                  </w:rPr>
                  <w:footnoteReference w:id="6"/>
                </w:r>
                <w:r>
                  <w:rPr>
                    <w:rFonts w:eastAsia="Lucida Sans Unicode"/>
                    <w:kern w:val="1"/>
                    <w:szCs w:val="24"/>
                    <w:lang w:eastAsia="ar-SA"/>
                  </w:rPr>
                  <w:t xml:space="preserve"> (vidutiniams kurą deginantiems įrenginiams).</w:t>
                </w:r>
              </w:p>
            </w:tc>
          </w:tr>
          <w:tr>
            <w:trPr>
              <w:trHeight w:val="1015"/>
            </w:trPr>
            <w:tc>
              <w:tcPr>
                <w:tcW w:w="1696" w:type="dxa"/>
              </w:tcPr>
              <w:p/>
            </w:tc>
            <w:tc>
              <w:tcPr>
                <w:tcW w:w="9356" w:type="dxa"/>
                <w:tcBorders>
                  <w:top w:val="single" w:sz="4" w:space="0" w:color="auto"/>
                  <w:bottom w:val="single" w:sz="4" w:space="0" w:color="auto"/>
                </w:tcBorders>
              </w:tcPr>
              <w:p>
                <w:pPr>
                  <w:widowControl w:val="0"/>
                  <w:suppressAutoHyphens/>
                  <w:ind w:firstLine="409"/>
                  <w:jc w:val="both"/>
                  <w:rPr>
                    <w:rFonts w:eastAsia="Lucida Sans Unicode"/>
                    <w:kern w:val="1"/>
                    <w:szCs w:val="24"/>
                    <w:lang w:eastAsia="ar-SA"/>
                  </w:rPr>
                </w:pPr>
                <w:r>
                  <w:rPr>
                    <w:rFonts w:eastAsia="Lucida Sans Unicode"/>
                    <w:kern w:val="1"/>
                    <w:szCs w:val="24"/>
                    <w:lang w:eastAsia="ar-SA"/>
                  </w:rPr>
                  <w:t>Aplinkos ministerijos lydraštyje nurodytas argumentas, kad „</w:t>
                </w:r>
                <w:r>
                  <w:rPr>
                    <w:rFonts w:eastAsia="Lucida Sans Unicode"/>
                    <w:i/>
                    <w:iCs/>
                    <w:kern w:val="1"/>
                    <w:szCs w:val="24"/>
                    <w:lang w:eastAsia="ar-SA"/>
                  </w:rPr>
                  <w:t>skystąjį kurą deginantiems įrenginiams kietųjų dalelių ribinės vertės griežtinamos, nes skystojo kuro deginimas pasižymi mažesne tarša kietosiomis dalelėmis, palyginti su kietojo kuro deginimu, todėl siūloma skystąjį kurą deginantiems įrenginiams taikyti ne mažesnius standartus nei kietojo kuro katilams</w:t>
                </w:r>
                <w:r>
                  <w:rPr>
                    <w:rFonts w:eastAsia="Lucida Sans Unicode"/>
                    <w:kern w:val="1"/>
                    <w:szCs w:val="24"/>
                    <w:lang w:eastAsia="ar-SA"/>
                  </w:rPr>
                  <w:t xml:space="preserve">“ iš esmės nepagrindžiamas jokiais motyvais ar aukštesnės galios teisės aktais, todėl skystą ir dujinį kurą deginančių įrenginių išmetamų teršalų ribinės vertės neturi būti keičiamos, nes šie įrenginiai centralizuotame šilumos tiekimo sektoriuje dirba trumpą laiką bei jų yra ne daug, o investicijos į naujų reikalavimų užtikrinimą neigiamai įtakos šilumos kainas vartotojams, bet neprisidės prie aplinkosauginių tikslų. </w:t>
                </w:r>
                <w:r>
                  <w:rPr>
                    <w:rFonts w:eastAsia="Lucida Sans Unicode"/>
                    <w:b/>
                    <w:bCs/>
                    <w:kern w:val="1"/>
                    <w:szCs w:val="24"/>
                    <w:lang w:eastAsia="ar-SA"/>
                  </w:rPr>
                  <w:t>Minėtos vertės 1 priedo 2-oje ir 3-oje lentelė galėtų likti kaip ir 1-oje</w:t>
                </w:r>
                <w:r>
                  <w:rPr>
                    <w:rFonts w:eastAsia="Lucida Sans Unicode"/>
                    <w:kern w:val="1"/>
                    <w:szCs w:val="24"/>
                    <w:lang w:eastAsia="ar-SA"/>
                  </w:rPr>
                  <w:t>.</w:t>
                </w:r>
              </w:p>
              <w:p>
                <w:pPr>
                  <w:widowControl w:val="0"/>
                  <w:suppressAutoHyphens/>
                  <w:ind w:firstLine="409"/>
                  <w:jc w:val="both"/>
                  <w:rPr>
                    <w:rFonts w:eastAsia="Lucida Sans Unicode"/>
                    <w:kern w:val="1"/>
                    <w:szCs w:val="24"/>
                    <w:lang w:eastAsia="ar-SA"/>
                  </w:rPr>
                </w:pP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Neatsižvelgta.</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Dujinį kurą ar gazolį deginantiems įrenginiams kietųjų dalelių ribines vertes nustatyti nesiūloma. Siūlomos azoto oksidų ribinės vertės pagrįstos jau nuo 2018 m. rugsėjo 26 d. rinkai tiekiamiems ar pradedamiems naudoti patalpų šildytuvams, kurių vardinis šilumos atidavimas yra 400 kW ar mažesnis,  Reglamentu (EU) 2013/813 taikomis ribinėmis vertėmis. </w:t>
                </w:r>
              </w:p>
              <w:p>
                <w:pPr>
                  <w:widowControl w:val="0"/>
                  <w:suppressAutoHyphens/>
                  <w:jc w:val="both"/>
                  <w:rPr>
                    <w:rFonts w:eastAsia="Lucida Sans Unicode"/>
                    <w:bCs/>
                    <w:kern w:val="1"/>
                    <w:szCs w:val="24"/>
                    <w:lang w:eastAsia="ar-SA"/>
                  </w:rPr>
                </w:pPr>
                <w:r>
                  <w:rPr>
                    <w:rFonts w:eastAsia="Lucida Sans Unicode"/>
                    <w:bCs/>
                    <w:kern w:val="1"/>
                    <w:szCs w:val="24"/>
                    <w:lang w:eastAsia="ar-SA"/>
                  </w:rPr>
                  <w:t>Kietųjų dalelių ribinės vertės griežtinimas deginant skystąjį kurą, išskyrus gazolį, siūlomas siekiant užtikrinti, kad taršaus skystojo kuro (pvz., kūrenamojo mazuto) deginimo tarša nebūtų didesnė nei deginant kietąjį kurą. Siūlomos sugriežtinti ribinės vertės laikymosi užtikrinimui iki 2025 m. lapkričio 1 d. pradėtuose naudoti kurą deginančiuose įrenginiuose gali prireikti įdiegti mažiau pažangias ir atitinkamai pigesnes kietųjų dalelių sugaudymo technologijas (pvz., ciklonus)</w:t>
                </w:r>
                <w:r>
                  <w:rPr>
                    <w:rFonts w:eastAsia="Lucida Sans Unicode"/>
                    <w:bCs/>
                    <w:kern w:val="1"/>
                    <w:szCs w:val="24"/>
                    <w:vertAlign w:val="superscript"/>
                    <w:lang w:eastAsia="ar-SA"/>
                  </w:rPr>
                  <w:footnoteReference w:id="7"/>
                </w:r>
                <w:r>
                  <w:rPr>
                    <w:rFonts w:eastAsia="Lucida Sans Unicode"/>
                    <w:bCs/>
                    <w:kern w:val="1"/>
                    <w:szCs w:val="24"/>
                    <w:lang w:eastAsia="ar-SA"/>
                  </w:rPr>
                  <w:t>. 2025 m. lapkričio 1 d. ir vėliau pradėtiems eksploatuoti kurą deginantiems įrenginiams gali prireikti pažangesnių dujų valymo technologijų.</w:t>
                </w:r>
              </w:p>
            </w:tc>
          </w:tr>
          <w:tr>
            <w:trPr>
              <w:trHeight w:val="1015"/>
            </w:trPr>
            <w:tc>
              <w:tcPr>
                <w:tcW w:w="1696" w:type="dxa"/>
              </w:tcPr>
              <w:p/>
            </w:tc>
            <w:tc>
              <w:tcPr>
                <w:tcW w:w="9356" w:type="dxa"/>
                <w:tcBorders>
                  <w:top w:val="single" w:sz="4" w:space="0" w:color="auto"/>
                  <w:bottom w:val="single" w:sz="4" w:space="0" w:color="auto"/>
                </w:tcBorders>
              </w:tcPr>
              <w:p>
                <w:pPr>
                  <w:widowControl w:val="0"/>
                  <w:suppressAutoHyphens/>
                  <w:ind w:firstLine="409"/>
                  <w:jc w:val="both"/>
                  <w:rPr>
                    <w:rFonts w:eastAsia="Lucida Sans Unicode"/>
                    <w:b/>
                    <w:bCs/>
                    <w:kern w:val="1"/>
                    <w:szCs w:val="24"/>
                    <w:lang w:eastAsia="ar-SA"/>
                  </w:rPr>
                </w:pPr>
                <w:r>
                  <w:rPr>
                    <w:rFonts w:eastAsia="Lucida Sans Unicode"/>
                    <w:kern w:val="1"/>
                    <w:szCs w:val="24"/>
                    <w:lang w:eastAsia="ar-SA"/>
                  </w:rPr>
                  <w:t xml:space="preserve">Aplinkos ministerijos lydraštyje nurodoma, kad suderinamos į aplinkos orą išmetamų teršalų ribinės vertės su nustatytomis Reglamente </w:t>
                </w:r>
                <w:fldSimple w:instr="HYPERLINK http://eur-lex.europa.eu/legal-content/LIT/TXT/?uri=CELEX:32015R1189&amp;locale=lt \t _blank">
                  <w:r>
                    <w:rPr>
                      <w:rFonts w:eastAsia="Lucida Sans Unicode"/>
                      <w:color w:val="0000FF" w:themeColor="hyperlink"/>
                      <w:kern w:val="1"/>
                      <w:szCs w:val="24"/>
                      <w:u w:val="single"/>
                      <w:lang w:eastAsia="ar-SA"/>
                    </w:rPr>
                    <w:t>(ES) 2015/1189</w:t>
                  </w:r>
                </w:fldSimple>
                <w:r>
                  <w:rPr>
                    <w:rFonts w:eastAsia="Lucida Sans Unicode"/>
                    <w:kern w:val="1"/>
                    <w:szCs w:val="24"/>
                    <w:vertAlign w:val="superscript"/>
                    <w:lang w:eastAsia="ar-SA"/>
                  </w:rPr>
                  <w:footnoteReference w:id="8"/>
                </w:r>
                <w:r>
                  <w:rPr>
                    <w:rFonts w:eastAsia="Lucida Sans Unicode"/>
                    <w:kern w:val="1"/>
                    <w:szCs w:val="24"/>
                    <w:lang w:eastAsia="ar-SA"/>
                  </w:rPr>
                  <w:t xml:space="preserve"> šiame reglamente nustatytos ribinės vertės taikomos nuo 2020 m. sausio 1 d. į rinką pateikiamiems 500 kW ir mažesnės vardinės šiluminės galios kietojo kuro katilams. Tuomet kyla klausimas, ar Reglamento nuostatos tiesiogiai taikytinos Lietuvos teisės aktuose, jei nuo 2020 m. sausio 1 d. jos nebuvo perkeltos į nacionalinius teisės aktus. Taip pat pastebėtina, kad Reglamentas taikytinas kieto kuro katilams bet ne skysto ar dujinio, todėl Aplinkos ministerijos siūlomi pakeitimai yra pertekliniai ir </w:t>
                </w:r>
                <w:r>
                  <w:rPr>
                    <w:rFonts w:eastAsia="Lucida Sans Unicode"/>
                    <w:b/>
                    <w:bCs/>
                    <w:kern w:val="1"/>
                    <w:szCs w:val="24"/>
                    <w:lang w:eastAsia="ar-SA"/>
                  </w:rPr>
                  <w:t>skysto bei dujinio ribinės vertės</w:t>
                </w:r>
                <w:r>
                  <w:rPr>
                    <w:rFonts w:eastAsia="Lucida Sans Unicode"/>
                    <w:kern w:val="1"/>
                    <w:szCs w:val="24"/>
                    <w:lang w:eastAsia="ar-SA"/>
                  </w:rPr>
                  <w:t xml:space="preserve"> </w:t>
                </w:r>
                <w:r>
                  <w:rPr>
                    <w:rFonts w:eastAsia="Lucida Sans Unicode"/>
                    <w:b/>
                    <w:bCs/>
                    <w:kern w:val="1"/>
                    <w:szCs w:val="24"/>
                    <w:lang w:eastAsia="ar-SA"/>
                  </w:rPr>
                  <w:t>1 priedo 2-oje ir 3-oje lentelė galėtų likti kaip ir 1-oje.</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Neatsižvelgta.</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Europos Sąjungos reglamentai yra tiesiogiai taikomi valstybėse narėse, kaip nurodyta Sutarties dėl Europos Sąjungos veikimo 288 straipsnyje, ir jie nėra perkeliami į nacionalinę teisę. </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Įsakymo projekte siūlomos ribinės vertės dujinį ir skystąjį kurą deginantiems įrenginiams nustatytos atsižvelgiant į ribines vertes, nustatytas Reglamente </w:t>
                </w:r>
                <w:fldSimple w:instr="HYPERLINK http://eur-lex.europa.eu/legal-content/LIT/TXT/?uri=CELEX:32813R2013&amp;locale=lt \t _blank">
                  <w:r>
                    <w:rPr>
                      <w:rFonts w:eastAsia="Lucida Sans Unicode"/>
                      <w:bCs/>
                      <w:kern w:val="1"/>
                      <w:szCs w:val="24"/>
                      <w:lang w:eastAsia="ar-SA"/>
                      <w:u w:val="single"/>
                      <w:color w:val="0000FF" w:themeColor="hyperlink"/>
                    </w:rPr>
                    <w:t>(ES) 813/2013</w:t>
                  </w:r>
                </w:fldSimple>
                <w:r>
                  <w:rPr>
                    <w:rFonts w:eastAsia="Lucida Sans Unicode"/>
                    <w:bCs/>
                    <w:kern w:val="1"/>
                    <w:szCs w:val="24"/>
                    <w:lang w:eastAsia="ar-SA"/>
                  </w:rPr>
                  <w:t xml:space="preserve">. Šiame reglamente nustatoma į rinką pateikiamiems ir (arba) pradedamiems naudoti 400 kW ir mažesnės vardinės šilumos galios patalpų šildytuvams taikomos azoto oksidų ribinės vertės (taikoma nuo 2018 m. rugsėjo 26 d.). </w:t>
                </w:r>
              </w:p>
            </w:tc>
          </w:tr>
          <w:tr>
            <w:trPr>
              <w:trHeight w:val="870"/>
            </w:trPr>
            <w:tc>
              <w:tcPr>
                <w:tcW w:w="1696" w:type="dxa"/>
              </w:tcPr>
              <w:p/>
            </w:tc>
            <w:tc>
              <w:tcPr>
                <w:tcW w:w="9356" w:type="dxa"/>
                <w:tcBorders>
                  <w:top w:val="single" w:sz="4" w:space="0" w:color="auto"/>
                  <w:bottom w:val="single" w:sz="4" w:space="0" w:color="auto"/>
                </w:tcBorders>
              </w:tcPr>
              <w:p>
                <w:pPr>
                  <w:widowControl w:val="0"/>
                  <w:suppressAutoHyphens/>
                  <w:rPr>
                    <w:rFonts w:eastAsia="Lucida Sans Unicode"/>
                    <w:kern w:val="1"/>
                    <w:sz w:val="10"/>
                    <w:szCs w:val="10"/>
                    <w:lang w:eastAsia="ar-SA"/>
                  </w:rPr>
                </w:pPr>
              </w:p>
              <w:p>
                <w:pPr>
                  <w:widowControl w:val="0"/>
                  <w:suppressAutoHyphens/>
                  <w:ind w:firstLine="409"/>
                  <w:jc w:val="both"/>
                  <w:rPr>
                    <w:rFonts w:eastAsia="Lucida Sans Unicode"/>
                    <w:kern w:val="1"/>
                    <w:szCs w:val="24"/>
                    <w:lang w:eastAsia="ar-SA"/>
                  </w:rPr>
                </w:pPr>
                <w:r>
                  <w:rPr>
                    <w:rFonts w:eastAsia="Lucida Sans Unicode"/>
                    <w:kern w:val="1"/>
                    <w:szCs w:val="24"/>
                    <w:lang w:eastAsia="ar-SA"/>
                  </w:rPr>
                  <w:t>Įsakymo projekto 1 priedo 1-o punkto 2-ą pastabą siūlome išdėstyti taip:</w:t>
                </w:r>
              </w:p>
              <w:p>
                <w:pPr>
                  <w:widowControl w:val="0"/>
                  <w:suppressAutoHyphens/>
                  <w:ind w:firstLine="409"/>
                  <w:jc w:val="both"/>
                  <w:rPr>
                    <w:rFonts w:eastAsia="Lucida Sans Unicode"/>
                    <w:kern w:val="1"/>
                    <w:szCs w:val="24"/>
                    <w:lang w:eastAsia="ar-SA"/>
                  </w:rPr>
                </w:pPr>
                <w:r>
                  <w:rPr>
                    <w:rFonts w:eastAsia="Lucida Sans Unicode"/>
                    <w:kern w:val="1"/>
                    <w:szCs w:val="24"/>
                    <w:lang w:eastAsia="ar-SA"/>
                  </w:rPr>
                  <w:t xml:space="preserve">„2. </w:t>
                </w:r>
                <w:r>
                  <w:rPr>
                    <w:rFonts w:eastAsia="Lucida Sans Unicode"/>
                    <w:i/>
                    <w:iCs/>
                    <w:kern w:val="1"/>
                    <w:szCs w:val="24"/>
                    <w:lang w:eastAsia="ar-SA"/>
                  </w:rPr>
                  <w:t xml:space="preserve">Deginant kietąjį biokurą arba gazolį SO2 </w:t>
                </w:r>
                <w:r>
                  <w:rPr>
                    <w:rFonts w:eastAsia="Lucida Sans Unicode"/>
                    <w:b/>
                    <w:bCs/>
                    <w:i/>
                    <w:iCs/>
                    <w:kern w:val="1"/>
                    <w:szCs w:val="24"/>
                    <w:lang w:eastAsia="ar-SA"/>
                  </w:rPr>
                  <w:t>ir KD</w:t>
                </w:r>
                <w:r>
                  <w:rPr>
                    <w:rFonts w:eastAsia="Lucida Sans Unicode"/>
                    <w:i/>
                    <w:iCs/>
                    <w:kern w:val="1"/>
                    <w:szCs w:val="24"/>
                    <w:lang w:eastAsia="ar-SA"/>
                  </w:rPr>
                  <w:t xml:space="preserve"> ribinė vertė netaikoma</w:t>
                </w:r>
                <w:r>
                  <w:rPr>
                    <w:rFonts w:eastAsia="Lucida Sans Unicode"/>
                    <w:kern w:val="1"/>
                    <w:szCs w:val="24"/>
                    <w:lang w:eastAsia="ar-SA"/>
                  </w:rPr>
                  <w:t>.“.</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Atsižvelgta iš dalies.</w:t>
                </w:r>
              </w:p>
              <w:p>
                <w:pPr>
                  <w:widowControl w:val="0"/>
                  <w:suppressAutoHyphens/>
                  <w:jc w:val="both"/>
                  <w:rPr>
                    <w:rFonts w:eastAsia="Lucida Sans Unicode"/>
                    <w:bCs/>
                    <w:kern w:val="1"/>
                    <w:szCs w:val="24"/>
                    <w:lang w:eastAsia="ar-SA"/>
                  </w:rPr>
                </w:pPr>
                <w:r>
                  <w:rPr>
                    <w:rFonts w:eastAsia="Lucida Sans Unicode"/>
                    <w:bCs/>
                    <w:kern w:val="1"/>
                    <w:szCs w:val="24"/>
                    <w:lang w:eastAsia="ar-SA"/>
                  </w:rPr>
                  <w:t>Įsakymo projektu nauja redakcija dėstomo 1 priedo 1 punkto 2 pastaboje nustatoma išimtis netaikyti sieros dioksido ribinės vertės deginant gazolį ar kietąjį biokurą, kadangi šios kuro rūšys neturi reikšmingo sieros kiekio savo sudėtyje (natūraliai ar dėl kuro kokybės reikalavimų taikymo) ir atitinkamai jas deginant į aplinkos orą išmetamas nereikšmingas kiekis sieros dioksido. Nacionalinės apskaitos duomenimis, kietojo kuro deginimas yra didžiausias kietųjų dalelių šaltinis, todėl deginant šią kuro rūšį kietųjų dalelių tarša turi būti valdoma. Pvz., remiantis oro teršalų apskaitos gairėmis</w:t>
                </w:r>
                <w:r>
                  <w:rPr>
                    <w:rFonts w:eastAsia="Lucida Sans Unicode"/>
                    <w:bCs/>
                    <w:kern w:val="1"/>
                    <w:szCs w:val="24"/>
                    <w:vertAlign w:val="superscript"/>
                    <w:lang w:eastAsia="ar-SA"/>
                  </w:rPr>
                  <w:footnoteReference w:id="9"/>
                </w:r>
                <w:r>
                  <w:rPr>
                    <w:rFonts w:eastAsia="Lucida Sans Unicode"/>
                    <w:bCs/>
                    <w:kern w:val="1"/>
                    <w:szCs w:val="24"/>
                    <w:lang w:eastAsia="ar-SA"/>
                  </w:rPr>
                  <w:t xml:space="preserve">, iki 1 MW vardinės šiluminės galios kurą deginantiems įrenginiams taikomas emisijos faktorius deginant kietąją biomasę </w:t>
                </w:r>
                <w:r>
                  <w:rPr>
                    <w:rFonts w:eastAsia="Lucida Sans Unicode"/>
                    <w:i/>
                    <w:iCs/>
                    <w:kern w:val="1"/>
                    <w:szCs w:val="24"/>
                    <w:lang w:eastAsia="ar-SA"/>
                  </w:rPr>
                  <w:t xml:space="preserve">– </w:t>
                </w:r>
                <w:r>
                  <w:rPr>
                    <w:rFonts w:eastAsia="Lucida Sans Unicode"/>
                    <w:bCs/>
                    <w:kern w:val="1"/>
                    <w:szCs w:val="24"/>
                    <w:lang w:eastAsia="ar-SA"/>
                  </w:rPr>
                  <w:t>105 g/GJ, t. y. išmetamas gana reikšmingas kiekis kietųjų dalelių. Įsakymo projektas patikslintas siūlymu netaikyti kietųjų dalelių ribinės vertės deginant gazolį (dėl gazoliui taikomų kokybės reikalavimų kietųjų dalelių išmetamas kiekis mažai reikšmingas).</w:t>
                </w:r>
              </w:p>
            </w:tc>
          </w:tr>
          <w:tr>
            <w:trPr>
              <w:trHeight w:val="870"/>
            </w:trPr>
            <w:tc>
              <w:tcPr>
                <w:tcW w:w="1696" w:type="dxa"/>
              </w:tcPr>
              <w:p>
                <w:pPr>
                  <w:widowControl w:val="0"/>
                  <w:suppressAutoHyphens/>
                  <w:rPr>
                    <w:rFonts w:eastAsia="Lucida Sans Unicode"/>
                    <w:kern w:val="1"/>
                    <w:szCs w:val="24"/>
                    <w:lang w:eastAsia="ar-SA"/>
                  </w:rPr>
                </w:pPr>
                <w:r>
                  <w:rPr>
                    <w:rFonts w:eastAsia="Lucida Sans Unicode"/>
                    <w:kern w:val="1"/>
                    <w:szCs w:val="24"/>
                    <w:lang w:eastAsia="ar-SA"/>
                  </w:rPr>
                  <w:t xml:space="preserve">AB „Panevėžio energija“, </w:t>
                </w:r>
              </w:p>
              <w:p>
                <w:pPr>
                  <w:widowControl w:val="0"/>
                  <w:suppressAutoHyphens/>
                  <w:rPr>
                    <w:rFonts w:eastAsia="Lucida Sans Unicode"/>
                    <w:kern w:val="1"/>
                    <w:szCs w:val="24"/>
                    <w:lang w:eastAsia="ar-SA"/>
                  </w:rPr>
                </w:pPr>
                <w:r>
                  <w:rPr>
                    <w:rFonts w:eastAsia="Lucida Sans Unicode"/>
                    <w:kern w:val="1"/>
                    <w:szCs w:val="24"/>
                    <w:lang w:eastAsia="ar-SA"/>
                  </w:rPr>
                  <w:t>2024-01-04 raštas Nr. S24-010-0009</w:t>
                </w:r>
              </w:p>
            </w:tc>
            <w:tc>
              <w:tcPr>
                <w:tcW w:w="9356" w:type="dxa"/>
                <w:tcBorders>
                  <w:top w:val="single" w:sz="4" w:space="0" w:color="auto"/>
                  <w:bottom w:val="single" w:sz="4" w:space="0" w:color="auto"/>
                </w:tcBorders>
              </w:tcPr>
              <w:p>
                <w:pPr>
                  <w:rPr>
                    <w:sz w:val="10"/>
                    <w:szCs w:val="10"/>
                  </w:rPr>
                </w:pPr>
              </w:p>
              <w:p>
                <w:pPr>
                  <w:widowControl w:val="0"/>
                  <w:suppressAutoHyphens/>
                  <w:ind w:hanging="17"/>
                  <w:jc w:val="both"/>
                  <w:rPr>
                    <w:rFonts w:eastAsia="Lucida Sans Unicode"/>
                    <w:kern w:val="1"/>
                    <w:szCs w:val="24"/>
                    <w:lang w:eastAsia="ar-SA"/>
                  </w:rPr>
                </w:pPr>
                <w:r>
                  <w:rPr>
                    <w:rFonts w:eastAsia="Lucida Sans Unicode"/>
                    <w:kern w:val="1"/>
                    <w:szCs w:val="24"/>
                    <w:lang w:val="en-US"/>
                  </w:rPr>
                  <w:drawing>
                    <wp:inline distT="0" distB="0" distL="0" distR="0" wp14:anchorId="0319BD41" wp14:editId="7F50BD44">
                      <wp:extent cx="5739897" cy="2205967"/>
                      <wp:effectExtent l="0" t="0" r="0" b="4445"/>
                      <wp:docPr id="76902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029941" name=""/>
                              <pic:cNvPicPr/>
                            </pic:nvPicPr>
                            <pic:blipFill>
                              <a:blip r:embed="rId11"/>
                              <a:stretch>
                                <a:fillRect/>
                              </a:stretch>
                            </pic:blipFill>
                            <pic:spPr>
                              <a:xfrm>
                                <a:off x="0" y="0"/>
                                <a:ext cx="5766179" cy="2216068"/>
                              </a:xfrm>
                              <a:prstGeom prst="rect">
                                <a:avLst/>
                              </a:prstGeom>
                            </pic:spPr>
                          </pic:pic>
                        </a:graphicData>
                      </a:graphic>
                    </wp:inline>
                  </w:drawing>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Neatsižvelgta</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Įsakymo projektu nauja redakcija dėstomo 1 priedo 3 punkte siūlomos ribinės vertės mažesnės kaip 1 MW vardinės šiluminės galios kurą deginantiems įrenginiams iš esmės atitinka Reglamente (EU) 2015/1189 ir Reglamente </w:t>
                </w:r>
                <w:fldSimple w:instr="HYPERLINK http://eur-lex.europa.eu/legal-content/LIT/TXT/?uri=CELEX:32813R2013&amp;locale=lt \t _blank">
                  <w:r>
                    <w:rPr>
                      <w:rFonts w:eastAsia="Lucida Sans Unicode"/>
                      <w:bCs/>
                      <w:kern w:val="1"/>
                      <w:szCs w:val="24"/>
                      <w:lang w:eastAsia="ar-SA"/>
                      <w:u w:val="single"/>
                      <w:color w:val="0000FF" w:themeColor="hyperlink"/>
                    </w:rPr>
                    <w:t>(ES) 813/2013</w:t>
                  </w:r>
                </w:fldSimple>
                <w:r>
                  <w:rPr>
                    <w:rFonts w:eastAsia="Lucida Sans Unicode"/>
                    <w:bCs/>
                    <w:kern w:val="1"/>
                    <w:szCs w:val="24"/>
                    <w:lang w:eastAsia="ar-SA"/>
                  </w:rPr>
                  <w:t xml:space="preserve"> nustatytas ribines vertes kurą deginantiems įrenginiams. Šios ribinės vertės jau yra taikomos į rinką tiekiamiems ir (ar) pradedamiems naudoti 500 kW ir mažesnės vardinės šiluminės galios kietojo kuro katilams ir dujinio ar skystojo kuro patalpų šildytuvams, kurių vardinis šilumos atidavimas yra 400 kW ar mažesnis. Pažymėtina, kad </w:t>
                </w:r>
                <w:r>
                  <w:rPr>
                    <w:rFonts w:eastAsia="Lucida Sans Unicode"/>
                    <w:kern w:val="1"/>
                    <w:szCs w:val="24"/>
                    <w:lang w:eastAsia="ar-SA"/>
                  </w:rPr>
                  <w:t>Geteborgo protokolo X priede siūloma kietųjų dalelių ribinė vertė naujai įrengiamiems 100 kW – 1 MW galios kietojo kuro katilams – 50 mg/m</w:t>
                </w:r>
                <w:r>
                  <w:rPr>
                    <w:rFonts w:eastAsia="Lucida Sans Unicode"/>
                    <w:kern w:val="1"/>
                    <w:szCs w:val="24"/>
                    <w:vertAlign w:val="superscript"/>
                    <w:lang w:eastAsia="ar-SA"/>
                  </w:rPr>
                  <w:t>3</w:t>
                </w:r>
                <w:r>
                  <w:rPr>
                    <w:rFonts w:eastAsia="Lucida Sans Unicode"/>
                    <w:kern w:val="1"/>
                    <w:szCs w:val="24"/>
                    <w:lang w:eastAsia="ar-SA"/>
                  </w:rPr>
                  <w:t xml:space="preserve"> prie 13 proc. deguonies (O</w:t>
                </w:r>
                <w:r>
                  <w:rPr>
                    <w:rFonts w:eastAsia="Lucida Sans Unicode"/>
                    <w:kern w:val="1"/>
                    <w:szCs w:val="24"/>
                    <w:vertAlign w:val="subscript"/>
                    <w:lang w:eastAsia="ar-SA"/>
                  </w:rPr>
                  <w:t>2</w:t>
                </w:r>
                <w:r>
                  <w:rPr>
                    <w:rFonts w:eastAsia="Lucida Sans Unicode"/>
                    <w:kern w:val="1"/>
                    <w:szCs w:val="24"/>
                    <w:lang w:eastAsia="ar-SA"/>
                  </w:rPr>
                  <w:t>) koncentracijos (93 mg/m</w:t>
                </w:r>
                <w:r>
                  <w:rPr>
                    <w:rFonts w:eastAsia="Lucida Sans Unicode"/>
                    <w:kern w:val="1"/>
                    <w:szCs w:val="24"/>
                    <w:vertAlign w:val="superscript"/>
                    <w:lang w:eastAsia="ar-SA"/>
                  </w:rPr>
                  <w:t>3</w:t>
                </w:r>
                <w:r>
                  <w:rPr>
                    <w:rFonts w:eastAsia="Lucida Sans Unicode"/>
                    <w:kern w:val="1"/>
                    <w:szCs w:val="24"/>
                    <w:lang w:eastAsia="ar-SA"/>
                  </w:rPr>
                  <w:t xml:space="preserve"> prie 6 proc. O</w:t>
                </w:r>
                <w:r>
                  <w:rPr>
                    <w:rFonts w:eastAsia="Lucida Sans Unicode"/>
                    <w:kern w:val="1"/>
                    <w:szCs w:val="24"/>
                    <w:vertAlign w:val="subscript"/>
                    <w:lang w:eastAsia="ar-SA"/>
                  </w:rPr>
                  <w:t>2</w:t>
                </w:r>
                <w:r>
                  <w:rPr>
                    <w:rFonts w:eastAsia="Lucida Sans Unicode"/>
                    <w:kern w:val="1"/>
                    <w:szCs w:val="24"/>
                    <w:lang w:eastAsia="ar-SA"/>
                  </w:rPr>
                  <w:t xml:space="preserve"> koncentracijos), kai esamiems – 150 mg/m</w:t>
                </w:r>
                <w:r>
                  <w:rPr>
                    <w:rFonts w:eastAsia="Lucida Sans Unicode"/>
                    <w:kern w:val="1"/>
                    <w:szCs w:val="24"/>
                    <w:vertAlign w:val="superscript"/>
                    <w:lang w:eastAsia="ar-SA"/>
                  </w:rPr>
                  <w:t>3</w:t>
                </w:r>
                <w:r>
                  <w:rPr>
                    <w:rFonts w:eastAsia="Lucida Sans Unicode"/>
                    <w:kern w:val="1"/>
                    <w:szCs w:val="24"/>
                    <w:lang w:eastAsia="ar-SA"/>
                  </w:rPr>
                  <w:t xml:space="preserve"> prie 13 proc. O</w:t>
                </w:r>
                <w:r>
                  <w:rPr>
                    <w:rFonts w:eastAsia="Lucida Sans Unicode"/>
                    <w:kern w:val="1"/>
                    <w:szCs w:val="24"/>
                    <w:vertAlign w:val="subscript"/>
                    <w:lang w:eastAsia="ar-SA"/>
                  </w:rPr>
                  <w:t>2</w:t>
                </w:r>
                <w:r>
                  <w:rPr>
                    <w:rFonts w:eastAsia="Lucida Sans Unicode"/>
                    <w:kern w:val="1"/>
                    <w:szCs w:val="24"/>
                    <w:lang w:eastAsia="ar-SA"/>
                  </w:rPr>
                  <w:t xml:space="preserve"> koncentracijos (281 mg/m</w:t>
                </w:r>
                <w:r>
                  <w:rPr>
                    <w:rFonts w:eastAsia="Lucida Sans Unicode"/>
                    <w:kern w:val="1"/>
                    <w:szCs w:val="24"/>
                    <w:vertAlign w:val="superscript"/>
                    <w:lang w:eastAsia="ar-SA"/>
                  </w:rPr>
                  <w:t>3</w:t>
                </w:r>
                <w:r>
                  <w:rPr>
                    <w:rFonts w:eastAsia="Lucida Sans Unicode"/>
                    <w:kern w:val="1"/>
                    <w:szCs w:val="24"/>
                    <w:lang w:eastAsia="ar-SA"/>
                  </w:rPr>
                  <w:t xml:space="preserve"> prie 6 proc. O</w:t>
                </w:r>
                <w:r>
                  <w:rPr>
                    <w:rFonts w:eastAsia="Lucida Sans Unicode"/>
                    <w:kern w:val="1"/>
                    <w:szCs w:val="24"/>
                    <w:vertAlign w:val="subscript"/>
                    <w:lang w:eastAsia="ar-SA"/>
                  </w:rPr>
                  <w:t>2</w:t>
                </w:r>
                <w:r>
                  <w:rPr>
                    <w:rFonts w:eastAsia="Lucida Sans Unicode"/>
                    <w:kern w:val="1"/>
                    <w:szCs w:val="24"/>
                    <w:lang w:eastAsia="ar-SA"/>
                  </w:rPr>
                  <w:t xml:space="preserve"> koncentracijos).</w:t>
                </w:r>
              </w:p>
              <w:p>
                <w:pPr>
                  <w:widowControl w:val="0"/>
                  <w:suppressAutoHyphens/>
                  <w:jc w:val="both"/>
                  <w:rPr>
                    <w:rFonts w:eastAsia="Lucida Sans Unicode"/>
                    <w:bCs/>
                    <w:kern w:val="1"/>
                    <w:szCs w:val="24"/>
                    <w:lang w:eastAsia="ar-SA"/>
                  </w:rPr>
                </w:pPr>
                <w:r>
                  <w:rPr>
                    <w:rFonts w:eastAsia="Lucida Sans Unicode"/>
                    <w:bCs/>
                    <w:kern w:val="1"/>
                    <w:szCs w:val="24"/>
                    <w:lang w:eastAsia="ar-SA"/>
                  </w:rPr>
                  <w:t>Nuo 2025 m. lapkričio 1 d. numatytos įsigalioti ribinės vertės pasiekiamos taikant išmetamų dujų valymo technologijas. Kietųjų dalelių siūlomos ribinės vertės pasiekiamos įrenginyje įdiegus elektrostatinius filtrus, audeklinius filtrus ar ciklonus</w:t>
                </w:r>
                <w:r>
                  <w:rPr>
                    <w:rFonts w:eastAsia="Lucida Sans Unicode"/>
                    <w:bCs/>
                    <w:kern w:val="1"/>
                    <w:szCs w:val="24"/>
                    <w:vertAlign w:val="superscript"/>
                    <w:lang w:eastAsia="ar-SA"/>
                  </w:rPr>
                  <w:footnoteReference w:id="10"/>
                </w:r>
                <w:r>
                  <w:rPr>
                    <w:rFonts w:eastAsia="Lucida Sans Unicode"/>
                    <w:bCs/>
                    <w:kern w:val="1"/>
                    <w:szCs w:val="24"/>
                    <w:lang w:eastAsia="ar-SA"/>
                  </w:rPr>
                  <w:t>. Azoto oksidų ribinės vertės gali būti pasiekiamos naudojant efektyvius „Low NOx“ ar „Ultra low-NOx“ degiklius</w:t>
                </w:r>
                <w:r>
                  <w:rPr>
                    <w:rFonts w:eastAsia="Lucida Sans Unicode"/>
                    <w:bCs/>
                    <w:kern w:val="1"/>
                    <w:szCs w:val="24"/>
                    <w:vertAlign w:val="superscript"/>
                    <w:lang w:eastAsia="ar-SA"/>
                  </w:rPr>
                  <w:footnoteReference w:id="11"/>
                </w:r>
                <w:r>
                  <w:rPr>
                    <w:rFonts w:eastAsia="Lucida Sans Unicode"/>
                    <w:bCs/>
                    <w:kern w:val="1"/>
                    <w:szCs w:val="24"/>
                    <w:lang w:eastAsia="ar-SA"/>
                  </w:rPr>
                  <w:t>.</w:t>
                </w:r>
              </w:p>
            </w:tc>
          </w:tr>
          <w:tr>
            <w:trPr>
              <w:trHeight w:val="293"/>
            </w:trPr>
            <w:tc>
              <w:tcPr>
                <w:tcW w:w="1696" w:type="dxa"/>
              </w:tcPr>
              <w:p>
                <w:pPr>
                  <w:widowControl w:val="0"/>
                  <w:suppressAutoHyphens/>
                  <w:rPr>
                    <w:rFonts w:eastAsia="Lucida Sans Unicode"/>
                    <w:kern w:val="1"/>
                    <w:szCs w:val="24"/>
                    <w:lang w:eastAsia="ar-SA"/>
                  </w:rPr>
                </w:pPr>
                <w:r>
                  <w:rPr>
                    <w:rFonts w:eastAsia="Lucida Sans Unicode"/>
                    <w:kern w:val="1"/>
                    <w:szCs w:val="24"/>
                    <w:lang w:eastAsia="ar-SA"/>
                  </w:rPr>
                  <w:t xml:space="preserve">Aplinkos apsaugos agentūra, </w:t>
                </w:r>
              </w:p>
              <w:p>
                <w:pPr>
                  <w:widowControl w:val="0"/>
                  <w:suppressAutoHyphens/>
                  <w:rPr>
                    <w:rFonts w:eastAsia="Lucida Sans Unicode"/>
                    <w:kern w:val="1"/>
                    <w:szCs w:val="24"/>
                    <w:lang w:eastAsia="ar-SA"/>
                  </w:rPr>
                </w:pPr>
                <w:r>
                  <w:rPr>
                    <w:rFonts w:eastAsia="Lucida Sans Unicode"/>
                    <w:kern w:val="1"/>
                    <w:szCs w:val="24"/>
                    <w:lang w:eastAsia="ar-SA"/>
                  </w:rPr>
                  <w:t>2024-01-05 raštas Nr. (36-2)-A4E-131</w:t>
                </w:r>
              </w:p>
            </w:tc>
            <w:tc>
              <w:tcPr>
                <w:tcW w:w="9356" w:type="dxa"/>
                <w:tcBorders>
                  <w:top w:val="single" w:sz="4" w:space="0" w:color="auto"/>
                  <w:bottom w:val="single" w:sz="4" w:space="0" w:color="auto"/>
                </w:tcBorders>
              </w:tcPr>
              <w:p>
                <w:pPr>
                  <w:widowControl w:val="0"/>
                  <w:ind w:firstLine="720"/>
                  <w:jc w:val="both"/>
                  <w:rPr>
                    <w:rFonts w:eastAsia="Lucida Sans Unicode"/>
                    <w:kern w:val="1"/>
                    <w:szCs w:val="24"/>
                    <w:lang w:eastAsia="ar-SA"/>
                  </w:rPr>
                </w:pPr>
                <w:r>
                  <w:rPr>
                    <w:rFonts w:eastAsia="Lucida Sans Unicode"/>
                    <w:kern w:val="1"/>
                    <w:szCs w:val="24"/>
                    <w:lang w:eastAsia="ar-SA"/>
                  </w:rPr>
                  <w:t>6. Įsakymo projekto 1.3 p. kurą deginančių įrenginių terminai neatitinka Normų 4.6-4.7 p. pateiktų kurą deginančių įrenginių sąvokų.</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Neatsižvelgta.</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Išmetamų teršalų iš kurą deginančių įrenginių normas LAND 43-2013 (toliau – Normos) tvirtinančiame įsakyme vartojami terminai netaikomi Normų tekste.  Pažymėtina, kad kurą deginančio įrenginio terminas Normose apibrėžiamas plačiau, t. y. įrenginį sudaro įrenginių grupė, kai įsakymo tekste kurą deginantis įrenginys suprantamas kaip atskiras įrenginys </w:t>
                </w:r>
                <w:r>
                  <w:rPr>
                    <w:rFonts w:eastAsia="Lucida Sans Unicode"/>
                    <w:i/>
                    <w:iCs/>
                    <w:kern w:val="1"/>
                    <w:szCs w:val="24"/>
                    <w:lang w:eastAsia="ar-SA"/>
                  </w:rPr>
                  <w:t>–</w:t>
                </w:r>
                <w:r>
                  <w:rPr>
                    <w:rFonts w:eastAsia="Lucida Sans Unicode"/>
                    <w:bCs/>
                    <w:kern w:val="1"/>
                    <w:szCs w:val="24"/>
                    <w:lang w:eastAsia="ar-SA"/>
                  </w:rPr>
                  <w:t xml:space="preserve"> katilas. </w:t>
                </w:r>
              </w:p>
            </w:tc>
          </w:tr>
          <w:tr>
            <w:trPr>
              <w:trHeight w:val="870"/>
            </w:trPr>
            <w:tc>
              <w:tcPr>
                <w:tcW w:w="1696" w:type="dxa"/>
              </w:tcPr>
              <w:p/>
            </w:tc>
            <w:tc>
              <w:tcPr>
                <w:tcW w:w="9356" w:type="dxa"/>
                <w:tcBorders>
                  <w:top w:val="single" w:sz="4" w:space="0" w:color="auto"/>
                  <w:bottom w:val="single" w:sz="4" w:space="0" w:color="auto"/>
                </w:tcBorders>
              </w:tcPr>
              <w:p>
                <w:pPr>
                  <w:widowControl w:val="0"/>
                  <w:suppressAutoHyphens/>
                  <w:ind w:firstLine="720"/>
                  <w:jc w:val="both"/>
                  <w:rPr>
                    <w:rFonts w:eastAsia="Lucida Sans Unicode"/>
                    <w:kern w:val="1"/>
                    <w:szCs w:val="24"/>
                    <w:lang w:eastAsia="ar-SA"/>
                  </w:rPr>
                </w:pPr>
                <w:r>
                  <w:rPr>
                    <w:rFonts w:eastAsia="Lucida Sans Unicode"/>
                    <w:kern w:val="1"/>
                    <w:szCs w:val="24"/>
                    <w:lang w:eastAsia="ar-SA"/>
                  </w:rPr>
                  <w:t>8. Siūlome papildyti Normų II skyrių „Sąvokos“ paaiškinant sąvoką „ne iš biomasės gautas kietasis kuras“.</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Atsižvelgta iš dalies.</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Į Įsakymo projektą įtraukiama sąvoka „biomasė“, kaip apibrėžta  Išmetamų teršalų iš vidutinių kurą deginančių įrenginių normose, patvirtintose Lietuvos Respublikos aplinkos ministro 2017 m. rugsėjo 18 d. įsakymu Nr. D1-778. </w:t>
                </w:r>
              </w:p>
            </w:tc>
          </w:tr>
          <w:tr>
            <w:trPr>
              <w:trHeight w:val="870"/>
            </w:trPr>
            <w:tc>
              <w:tcPr>
                <w:tcW w:w="1696" w:type="dxa"/>
              </w:tcPr>
              <w:p/>
            </w:tc>
            <w:tc>
              <w:tcPr>
                <w:tcW w:w="9356" w:type="dxa"/>
                <w:tcBorders>
                  <w:top w:val="single" w:sz="4" w:space="0" w:color="auto"/>
                  <w:bottom w:val="single" w:sz="4" w:space="0" w:color="auto"/>
                </w:tcBorders>
              </w:tcPr>
              <w:p>
                <w:pPr>
                  <w:widowControl w:val="0"/>
                  <w:suppressAutoHyphens/>
                  <w:ind w:firstLine="720"/>
                  <w:jc w:val="both"/>
                  <w:rPr>
                    <w:rFonts w:eastAsia="Lucida Sans Unicode"/>
                    <w:kern w:val="1"/>
                    <w:szCs w:val="24"/>
                    <w:lang w:eastAsia="ar-SA"/>
                  </w:rPr>
                </w:pPr>
                <w:r>
                  <w:rPr>
                    <w:rFonts w:eastAsia="Lucida Sans Unicode"/>
                    <w:kern w:val="1"/>
                    <w:szCs w:val="24"/>
                    <w:lang w:eastAsia="ar-SA"/>
                  </w:rPr>
                  <w:t>9. Įsakymo projekto 1.4.8 p. nustatytas reglamentavimas dėl laikino kurą deginančio įrenginio eksploatavimo už ūkinės veiklos ribų. Siūlome įvardinti atvejus, kuriems esant galimas toks laikinas eksploatavimas, kokia ilgiausia galėtų būti tokio eksploatavimo trukmė, ar reikės gauti/keisti taršos ar TIPK leidimą tokiu atveju.</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Atsižvelgta iš dalies.</w:t>
                </w:r>
              </w:p>
              <w:p>
                <w:pPr>
                  <w:widowControl w:val="0"/>
                  <w:suppressAutoHyphens/>
                  <w:jc w:val="both"/>
                  <w:rPr>
                    <w:rFonts w:eastAsia="Lucida Sans Unicode"/>
                    <w:bCs/>
                    <w:kern w:val="1"/>
                    <w:szCs w:val="24"/>
                    <w:lang w:eastAsia="ar-SA"/>
                  </w:rPr>
                </w:pPr>
                <w:r>
                  <w:rPr>
                    <w:rFonts w:eastAsia="Lucida Sans Unicode"/>
                    <w:bCs/>
                    <w:kern w:val="1"/>
                    <w:szCs w:val="24"/>
                    <w:lang w:eastAsia="ar-SA"/>
                  </w:rPr>
                  <w:t>Įsakymo projektas papildytas nuostatomis dėl kurą deginančio įrenginio laikino eksploatavimo sąlygų. Normos nereglamentuoja taršos integruotos prevencijos ir kontrolės leidimų ir taršos leidimų išdavimo, pakeitimo ar naikinimo sąlygų.</w:t>
                </w:r>
              </w:p>
            </w:tc>
          </w:tr>
          <w:tr>
            <w:trPr>
              <w:trHeight w:val="870"/>
            </w:trPr>
            <w:tc>
              <w:tcPr>
                <w:tcW w:w="1696" w:type="dxa"/>
              </w:tcPr>
              <w:p/>
            </w:tc>
            <w:tc>
              <w:tcPr>
                <w:tcW w:w="9356" w:type="dxa"/>
                <w:tcBorders>
                  <w:top w:val="single" w:sz="4" w:space="0" w:color="auto"/>
                  <w:bottom w:val="single" w:sz="4" w:space="0" w:color="auto"/>
                </w:tcBorders>
              </w:tcPr>
              <w:p>
                <w:pPr>
                  <w:widowControl w:val="0"/>
                  <w:suppressAutoHyphens/>
                  <w:ind w:firstLine="720"/>
                  <w:jc w:val="both"/>
                  <w:rPr>
                    <w:rFonts w:eastAsia="Lucida Sans Unicode"/>
                    <w:kern w:val="1"/>
                    <w:szCs w:val="24"/>
                    <w:lang w:eastAsia="ar-SA"/>
                  </w:rPr>
                </w:pPr>
                <w:r>
                  <w:rPr>
                    <w:rFonts w:eastAsia="Lucida Sans Unicode"/>
                    <w:kern w:val="1"/>
                    <w:szCs w:val="24"/>
                    <w:lang w:eastAsia="ar-SA"/>
                  </w:rPr>
                  <w:t>11. Siūlome papildyti Įsakymo projekto 10.2.2.4. p., nurodant kaip turi būti nustatomos ribinės vertės, kai išmetamosios dujos išleidžiamos per kaminą, turintį daugiau nei vieną dūmtakį.</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Neatsižvelgta.</w:t>
                </w:r>
              </w:p>
              <w:p>
                <w:pPr>
                  <w:widowControl w:val="0"/>
                  <w:suppressAutoHyphens/>
                  <w:jc w:val="both"/>
                  <w:rPr>
                    <w:rFonts w:eastAsia="Lucida Sans Unicode"/>
                    <w:bCs/>
                    <w:kern w:val="1"/>
                    <w:szCs w:val="24"/>
                    <w:lang w:eastAsia="ar-SA"/>
                  </w:rPr>
                </w:pPr>
                <w:r>
                  <w:rPr>
                    <w:rFonts w:eastAsia="Lucida Sans Unicode"/>
                    <w:bCs/>
                    <w:kern w:val="1"/>
                    <w:szCs w:val="24"/>
                    <w:lang w:eastAsia="ar-SA"/>
                  </w:rPr>
                  <w:t>Iš įvairų kurą deginančių įrenginių išmetamų teršalų ribinė vertė nustatoma Normų 10 punkto nustatyta tvarka. Kai iš įvairų kurą deginančio įrenginio išmetamosios dujos šalinamos per daugiau kaip vieną dūmtakį turintį kaminą, ribinių verčių atitiktis vertinama pagal Normų 24 punktą, t. y. teršalų koncentracijos matavimai atliekami atskiruose dūmtakiuose ir apskaičiuojama svertinė teršalo koncentracija, kuri lyginama su ribine verte, apskaičiuota pagal Normų 10 punktą.</w:t>
                </w:r>
              </w:p>
            </w:tc>
          </w:tr>
          <w:tr>
            <w:trPr>
              <w:trHeight w:val="870"/>
            </w:trPr>
            <w:tc>
              <w:tcPr>
                <w:tcW w:w="1696" w:type="dxa"/>
              </w:tcPr>
              <w:p/>
            </w:tc>
            <w:tc>
              <w:tcPr>
                <w:tcW w:w="9356" w:type="dxa"/>
                <w:tcBorders>
                  <w:top w:val="single" w:sz="4" w:space="0" w:color="auto"/>
                  <w:bottom w:val="single" w:sz="4" w:space="0" w:color="auto"/>
                </w:tcBorders>
              </w:tcPr>
              <w:p>
                <w:pPr>
                  <w:widowControl w:val="0"/>
                  <w:suppressAutoHyphens/>
                  <w:ind w:firstLine="720"/>
                  <w:jc w:val="both"/>
                  <w:rPr>
                    <w:rFonts w:eastAsia="Lucida Sans Unicode"/>
                    <w:kern w:val="1"/>
                    <w:szCs w:val="24"/>
                    <w:lang w:eastAsia="ar-SA"/>
                  </w:rPr>
                </w:pPr>
                <w:r>
                  <w:rPr>
                    <w:rFonts w:eastAsia="Lucida Sans Unicode"/>
                    <w:kern w:val="1"/>
                    <w:szCs w:val="24"/>
                    <w:lang w:eastAsia="ar-SA"/>
                  </w:rPr>
                  <w:t>13. Neaišku kaip Aplinkos apsaugos departamentas prie Aplinkos ministerijos privalės reaguoti į Įsakymo projekto 1.4.12 p. numatytus pranešimus apie ribinės vertės viršijimus, t. y. ar fiksuos tai kaip pažeidimą, kuris atitiks Lietuvos Respublikos aplinkos apsaugos įstatymo 19</w:t>
                </w:r>
                <w:r>
                  <w:rPr>
                    <w:rFonts w:eastAsia="Lucida Sans Unicode"/>
                    <w:kern w:val="1"/>
                    <w:szCs w:val="24"/>
                    <w:vertAlign w:val="superscript"/>
                    <w:lang w:eastAsia="ar-SA"/>
                  </w:rPr>
                  <w:t>1</w:t>
                </w:r>
                <w:r>
                  <w:rPr>
                    <w:rFonts w:eastAsia="Lucida Sans Unicode"/>
                    <w:kern w:val="1"/>
                    <w:szCs w:val="24"/>
                    <w:lang w:eastAsia="ar-SA"/>
                  </w:rPr>
                  <w:t xml:space="preserve"> str. 14 d. 9 p. ir 19</w:t>
                </w:r>
                <w:r>
                  <w:rPr>
                    <w:rFonts w:eastAsia="Lucida Sans Unicode"/>
                    <w:kern w:val="1"/>
                    <w:szCs w:val="24"/>
                    <w:vertAlign w:val="superscript"/>
                    <w:lang w:eastAsia="ar-SA"/>
                  </w:rPr>
                  <w:t>2</w:t>
                </w:r>
                <w:r>
                  <w:rPr>
                    <w:rFonts w:eastAsia="Lucida Sans Unicode"/>
                    <w:kern w:val="1"/>
                    <w:szCs w:val="24"/>
                    <w:lang w:eastAsia="ar-SA"/>
                  </w:rPr>
                  <w:t xml:space="preserve"> str. 11 d. 9 p. aplinkybes, kurioms esant gali būti naikinamas TIPK ar taršos leidimas.</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Paaiškiname.</w:t>
                </w:r>
              </w:p>
              <w:p>
                <w:pPr>
                  <w:widowControl w:val="0"/>
                  <w:suppressAutoHyphens/>
                  <w:jc w:val="both"/>
                  <w:rPr>
                    <w:rFonts w:eastAsia="Lucida Sans Unicode"/>
                    <w:bCs/>
                    <w:kern w:val="1"/>
                    <w:szCs w:val="24"/>
                    <w:lang w:eastAsia="ar-SA"/>
                  </w:rPr>
                </w:pPr>
                <w:r>
                  <w:rPr>
                    <w:rFonts w:eastAsia="Lucida Sans Unicode"/>
                    <w:bCs/>
                    <w:kern w:val="1"/>
                    <w:szCs w:val="24"/>
                    <w:lang w:eastAsia="ar-SA"/>
                  </w:rPr>
                  <w:t>Normos nereglamentuoja AAD veiksmų dėl sankcijų taikymo gavus informaciją apie ribinių verčių nesilaikymo atvejus. AAD pareigūnai pažeidimo teiseną vykdo Lietuvos Respublikos aplinkos apsaugos valstybinės kontrolės įstatymo ir kitų įstatymų nustatyta tvarka.</w:t>
                </w:r>
              </w:p>
            </w:tc>
          </w:tr>
          <w:tr>
            <w:trPr>
              <w:trHeight w:val="870"/>
            </w:trPr>
            <w:tc>
              <w:tcPr>
                <w:tcW w:w="1696" w:type="dxa"/>
              </w:tcPr>
              <w:p/>
            </w:tc>
            <w:tc>
              <w:tcPr>
                <w:tcW w:w="9356" w:type="dxa"/>
                <w:tcBorders>
                  <w:top w:val="single" w:sz="4" w:space="0" w:color="auto"/>
                  <w:bottom w:val="single" w:sz="4" w:space="0" w:color="auto"/>
                </w:tcBorders>
              </w:tcPr>
              <w:p>
                <w:pPr>
                  <w:widowControl w:val="0"/>
                  <w:suppressAutoHyphens/>
                  <w:ind w:firstLine="720"/>
                  <w:jc w:val="both"/>
                  <w:rPr>
                    <w:rFonts w:eastAsia="Lucida Sans Unicode"/>
                    <w:kern w:val="1"/>
                    <w:szCs w:val="24"/>
                    <w:lang w:eastAsia="ar-SA"/>
                  </w:rPr>
                </w:pPr>
                <w:r>
                  <w:rPr>
                    <w:rFonts w:eastAsia="Lucida Sans Unicode"/>
                    <w:kern w:val="1"/>
                    <w:szCs w:val="24"/>
                    <w:lang w:eastAsia="ar-SA"/>
                  </w:rPr>
                  <w:t>14. Įsakymo projekto 1.4.17 p. siūlome nurodyti, kaip elgtis tuo atveju, kai metodikoje nėra nurodyto teršalo apskaičiavimo. Pvz. EMEP/Corinier /1.A.4 Small combustion 2023 galima apskaičiuoti degimo procesų metu išmetamus nemetaninius lakiuosius junginius (NMVOC), o nėra Normose nurodomų DOJ. Taip pat deginant skystą kurą ≤ 1 MW kurą deginančių įrenginių emisijų faktoriai yra KD2,5 ir KD10 apskaičiavimui, tačiau nėra emisijos faktoriaus KD apskaičiavimui.</w:t>
                </w:r>
              </w:p>
            </w:tc>
            <w:tc>
              <w:tcPr>
                <w:tcW w:w="3544" w:type="dxa"/>
                <w:tcBorders>
                  <w:top w:val="single" w:sz="4" w:space="0" w:color="auto"/>
                  <w:bottom w:val="single" w:sz="4" w:space="0" w:color="auto"/>
                </w:tcBorders>
                <w:shd w:val="clear" w:color="auto" w:fill="auto"/>
              </w:tcPr>
              <w:p>
                <w:pPr>
                  <w:widowControl w:val="0"/>
                  <w:suppressAutoHyphens/>
                  <w:jc w:val="both"/>
                  <w:rPr>
                    <w:rFonts w:eastAsia="Lucida Sans Unicode"/>
                    <w:b/>
                    <w:kern w:val="1"/>
                    <w:szCs w:val="24"/>
                    <w:lang w:eastAsia="ar-SA"/>
                  </w:rPr>
                </w:pPr>
                <w:r>
                  <w:rPr>
                    <w:rFonts w:eastAsia="Lucida Sans Unicode"/>
                    <w:b/>
                    <w:kern w:val="1"/>
                    <w:szCs w:val="24"/>
                    <w:lang w:eastAsia="ar-SA"/>
                  </w:rPr>
                  <w:t>Paaiškiname.</w:t>
                </w:r>
              </w:p>
              <w:p>
                <w:pPr>
                  <w:widowControl w:val="0"/>
                  <w:suppressAutoHyphens/>
                  <w:jc w:val="both"/>
                  <w:rPr>
                    <w:rFonts w:eastAsia="Lucida Sans Unicode"/>
                    <w:bCs/>
                    <w:kern w:val="1"/>
                    <w:szCs w:val="24"/>
                    <w:lang w:eastAsia="ar-SA"/>
                  </w:rPr>
                </w:pPr>
                <w:r>
                  <w:rPr>
                    <w:rFonts w:eastAsia="Lucida Sans Unicode"/>
                    <w:bCs/>
                    <w:kern w:val="1"/>
                    <w:szCs w:val="24"/>
                    <w:lang w:eastAsia="ar-SA"/>
                  </w:rPr>
                  <w:t xml:space="preserve">Siekiant apskaičiuoti kietųjų dalelių išmetamą kiekį iš mažų skystąjį kurą deginančių įrenginių, emisijos faktorius gali būti apskaičiuojamas pagal taikomą ribinę vertę (apskaičiavimo EMEP metodikoje). Teršalų kiekiui apskaičiuoti gali būt taikomos kitos metodikos, kaip </w:t>
                  <w:br/>
                  <w:t>AP-42 „Oro taršos emisijos faktorių žinynas. 1 tomas. Stacionarieji taškiniai ir teritoriniai šaltiniai, 5 leidimas“. Dujinių organinių junginių ribinės vertės atsisakyta.</w:t>
                </w:r>
              </w:p>
            </w:tc>
          </w:tr>
        </w:tbl>
        <w:p>
          <w:pPr>
            <w:widowControl w:val="0"/>
            <w:suppressAutoHyphens/>
            <w:jc w:val="center"/>
            <w:rPr>
              <w:rFonts w:eastAsia="Lucida Sans Unicode"/>
              <w:kern w:val="1"/>
              <w:szCs w:val="24"/>
              <w:lang w:eastAsia="ar-SA"/>
            </w:rPr>
          </w:pPr>
        </w:p>
        <w:p>
          <w:pPr>
            <w:widowControl w:val="0"/>
            <w:suppressAutoHyphens/>
            <w:jc w:val="center"/>
            <w:rPr>
              <w:rFonts w:eastAsia="Lucida Sans Unicode"/>
              <w:kern w:val="1"/>
              <w:szCs w:val="24"/>
              <w:lang w:eastAsia="ar-SA"/>
            </w:rPr>
          </w:pPr>
        </w:p>
        <w:sdt>
          <w:sdtPr>
            <w:alias w:val="signatura"/>
            <w:tag w:val="part_bcabe5c7c3b1439f8befab777dd7ac98"/>
            <w:lock w:val="sdtLocked"/>
            <w:richText/>
          </w:sdtPr>
          <w:sdtContent>
            <w:p>
              <w:pPr>
                <w:widowControl w:val="0"/>
                <w:suppressAutoHyphens/>
                <w:jc w:val="center"/>
                <w:rPr>
                  <w:rFonts w:eastAsia="Lucida Sans Unicode"/>
                  <w:kern w:val="1"/>
                  <w:szCs w:val="24"/>
                  <w:lang w:eastAsia="ar-SA"/>
                </w:rPr>
              </w:pPr>
              <w:r>
                <w:rPr>
                  <w:rFonts w:eastAsia="Lucida Sans Unicode"/>
                  <w:kern w:val="1"/>
                  <w:szCs w:val="24"/>
                  <w:lang w:eastAsia="ar-SA"/>
                </w:rPr>
                <w:t>________________________</w:t>
              </w:r>
            </w:p>
            <w:p>
              <w:pPr>
                <w:widowControl w:val="0"/>
                <w:suppressAutoHyphens/>
                <w:jc w:val="center"/>
                <w:rPr>
                  <w:rFonts w:eastAsia="Lucida Sans Unicode"/>
                  <w:kern w:val="1"/>
                  <w:szCs w:val="24"/>
                  <w:lang w:eastAsia="ar-SA"/>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6838" w:h="11906" w:orient="landscape"/>
      <w:pgMar w:top="85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 w:id="1">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2015 m. balandžio 28 d. Komisijos reglamentas (ES) 2015/1189, kuriuo įgyvendinant Europos Parlamento ir Tarybos direktyvą 2009/125/EB nustatomi kietojo kuro katilų ekologinio projektavimo reikalavimai.</w:t>
      </w:r>
    </w:p>
  </w:footnote>
  <w:footnote w:id="2">
    <w:p>
      <w:pPr>
        <w:widowControl w:val="0"/>
        <w:suppressAutoHyphens/>
        <w:rPr>
          <w:rFonts w:eastAsia="Lucida Sans Unicode"/>
          <w:kern w:val="1"/>
          <w:sz w:val="20"/>
          <w:szCs w:val="24"/>
          <w:lang w:eastAsia="ar-SA"/>
        </w:rPr>
      </w:pPr>
      <w:r>
        <w:rPr>
          <w:rFonts w:eastAsia="Lucida Sans Unicode"/>
          <w:kern w:val="1"/>
          <w:szCs w:val="24"/>
          <w:vertAlign w:val="superscript"/>
          <w:lang w:eastAsia="ar-SA"/>
        </w:rPr>
        <w:footnoteRef/>
      </w:r>
      <w:r>
        <w:rPr>
          <w:rFonts w:eastAsia="Lucida Sans Unicode"/>
          <w:kern w:val="1"/>
          <w:szCs w:val="24"/>
          <w:lang w:eastAsia="ar-SA"/>
        </w:rPr>
        <w:t xml:space="preserve"> </w:t>
      </w:r>
      <w:r>
        <w:rPr>
          <w:rFonts w:eastAsia="Lucida Sans Unicode"/>
          <w:kern w:val="1"/>
          <w:sz w:val="20"/>
          <w:szCs w:val="24"/>
          <w:lang w:eastAsia="ar-SA"/>
        </w:rPr>
        <w:t>2013 m. rugpjūčio 2 d. Komisijos reglamentas (ES) Nr. 813/2013, kuriuo įgyvendinant Europos Parlamento ir Tarybos direktyvą 2009/125/EB nustatomi patalpų šildytuvų ir kombinuotųjų šildytuvų ekologinio projektavimo reikalavimai.</w:t>
      </w:r>
    </w:p>
  </w:footnote>
  <w:footnote w:id="3">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Gamtinių dujų konversijos faktorius – 1 mg/kWh = 1,164 mg/m</w:t>
      </w:r>
      <w:r>
        <w:rPr>
          <w:rFonts w:eastAsia="Lucida Sans Unicode"/>
          <w:kern w:val="1"/>
          <w:sz w:val="20"/>
          <w:vertAlign w:val="superscript"/>
          <w:lang w:eastAsia="ar-SA"/>
        </w:rPr>
        <w:t>3</w:t>
      </w:r>
      <w:r>
        <w:rPr>
          <w:rFonts w:eastAsia="Lucida Sans Unicode"/>
          <w:kern w:val="1"/>
          <w:sz w:val="20"/>
          <w:lang w:eastAsia="ar-SA"/>
        </w:rPr>
        <w:t xml:space="preserve">. </w:t>
      </w:r>
    </w:p>
  </w:footnote>
  <w:footnote w:id="4">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Kūrenamojo gazolio konversijos faktorius – 1 mg/kWh = 1,125 mg/m</w:t>
      </w:r>
      <w:r>
        <w:rPr>
          <w:rFonts w:eastAsia="Lucida Sans Unicode"/>
          <w:kern w:val="1"/>
          <w:sz w:val="20"/>
          <w:vertAlign w:val="superscript"/>
          <w:lang w:eastAsia="ar-SA"/>
        </w:rPr>
        <w:t>3</w:t>
      </w:r>
      <w:r>
        <w:rPr>
          <w:rFonts w:eastAsia="Lucida Sans Unicode"/>
          <w:kern w:val="1"/>
          <w:sz w:val="20"/>
          <w:lang w:eastAsia="ar-SA"/>
        </w:rPr>
        <w:t>.</w:t>
      </w:r>
    </w:p>
  </w:footnote>
  <w:footnote w:id="5">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2021 m. sausio 7 d. ministrų kabineto nuostatais Nr. 17 priimtos Oro taršos iš deginimo įrenginių ribojimo taisyklės</w:t>
      </w:r>
    </w:p>
  </w:footnote>
  <w:footnote w:id="6">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2015 m. lapkričio 25 d. Europos Parlamento ir Tarybos direktyva (ES) 2015/2193 dėl tam tikrų teršalų, išmetamų į orą iš vidutinio dydžio kurą deginančių įrenginių, kiekio apribojimo.</w:t>
      </w:r>
    </w:p>
  </w:footnote>
  <w:footnote w:id="7">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Sieros, azoto oksidų, lakiųjų organinių junginių ir kietųjų dalelių (įskaitant KD</w:t>
      </w:r>
      <w:r>
        <w:rPr>
          <w:rFonts w:eastAsia="Lucida Sans Unicode"/>
          <w:kern w:val="1"/>
          <w:sz w:val="20"/>
          <w:vertAlign w:val="subscript"/>
          <w:lang w:eastAsia="ar-SA"/>
        </w:rPr>
        <w:t>10</w:t>
      </w:r>
      <w:r>
        <w:rPr>
          <w:rFonts w:eastAsia="Lucida Sans Unicode"/>
          <w:kern w:val="1"/>
          <w:sz w:val="20"/>
          <w:lang w:eastAsia="ar-SA"/>
        </w:rPr>
        <w:t>, KD</w:t>
      </w:r>
      <w:r>
        <w:rPr>
          <w:rFonts w:eastAsia="Lucida Sans Unicode"/>
          <w:kern w:val="1"/>
          <w:sz w:val="20"/>
          <w:vertAlign w:val="subscript"/>
          <w:lang w:eastAsia="ar-SA"/>
        </w:rPr>
        <w:t xml:space="preserve">2,5 </w:t>
      </w:r>
      <w:r>
        <w:rPr>
          <w:rFonts w:eastAsia="Lucida Sans Unicode"/>
          <w:kern w:val="1"/>
          <w:sz w:val="20"/>
          <w:lang w:eastAsia="ar-SA"/>
        </w:rPr>
        <w:t>ir juodąją anglį) iš stacionarių šaltinių išmetimo kontrolės metodų gairės. Priimta JT Tolimųjų tarpvalstybinių oro teršalų pernašų konvencijos Vykdomosios institucijos 31-oje sesijoje (ECE/EB.AIR/117).</w:t>
      </w:r>
    </w:p>
  </w:footnote>
  <w:footnote w:id="8">
    <w:p>
      <w:pPr>
        <w:widowControl w:val="0"/>
        <w:suppressAutoHyphens/>
        <w:jc w:val="both"/>
        <w:rPr>
          <w:rFonts w:eastAsia="Andale Sans UI" w:cs="Tahoma"/>
          <w:kern w:val="1"/>
          <w:sz w:val="20"/>
          <w:szCs w:val="24"/>
          <w:lang w:eastAsia="ar-SA" w:bidi="en-US"/>
        </w:rPr>
      </w:pPr>
      <w:r>
        <w:rPr>
          <w:rFonts w:eastAsia="Andale Sans UI" w:cs="Tahoma"/>
          <w:kern w:val="1"/>
          <w:sz w:val="20"/>
          <w:szCs w:val="24"/>
          <w:vertAlign w:val="superscript"/>
          <w:lang w:eastAsia="ar-SA" w:bidi="en-US"/>
        </w:rPr>
        <w:footnoteRef/>
      </w:r>
      <w:r>
        <w:rPr>
          <w:rFonts w:eastAsia="Andale Sans UI" w:cs="Tahoma"/>
          <w:kern w:val="1"/>
          <w:sz w:val="20"/>
          <w:szCs w:val="24"/>
          <w:lang w:eastAsia="ar-SA" w:bidi="en-US"/>
        </w:rPr>
        <w:t xml:space="preserve"> 2015 m. balandžio 28 d. Komisijos reglamentas (ES) 2015/1189, kuriuo įgyvendinant Europos Parlamento ir Tarybos direktyvą 2009/125/EB nustatomi kietojo kuro katilų ekologinio projektavimo reikalavimai</w:t>
      </w:r>
    </w:p>
  </w:footnote>
  <w:footnote w:id="9">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Europos stebėsenos ir vertinimo programos ir Europos aplinkos agentūros oro teršalų apskaitos gairės (anglų k. „EMEP/EEA air pollutant emission inventory guidebook“).</w:t>
      </w:r>
    </w:p>
  </w:footnote>
  <w:footnote w:id="10">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Sieros, azoto oksidų, lakiųjų organinių junginių ir kietųjų dalelių (įskaitant KD</w:t>
      </w:r>
      <w:r>
        <w:rPr>
          <w:rFonts w:eastAsia="Lucida Sans Unicode"/>
          <w:kern w:val="1"/>
          <w:sz w:val="20"/>
          <w:vertAlign w:val="subscript"/>
          <w:lang w:eastAsia="ar-SA"/>
        </w:rPr>
        <w:t>10</w:t>
      </w:r>
      <w:r>
        <w:rPr>
          <w:rFonts w:eastAsia="Lucida Sans Unicode"/>
          <w:kern w:val="1"/>
          <w:sz w:val="20"/>
          <w:lang w:eastAsia="ar-SA"/>
        </w:rPr>
        <w:t>, KD</w:t>
      </w:r>
      <w:r>
        <w:rPr>
          <w:rFonts w:eastAsia="Lucida Sans Unicode"/>
          <w:kern w:val="1"/>
          <w:sz w:val="20"/>
          <w:vertAlign w:val="subscript"/>
          <w:lang w:eastAsia="ar-SA"/>
        </w:rPr>
        <w:t xml:space="preserve">2,5 </w:t>
      </w:r>
      <w:r>
        <w:rPr>
          <w:rFonts w:eastAsia="Lucida Sans Unicode"/>
          <w:kern w:val="1"/>
          <w:sz w:val="20"/>
          <w:lang w:eastAsia="ar-SA"/>
        </w:rPr>
        <w:t>ir juodąją anglį) iš stacionarių šaltinių išmetimo kontrolės metodų gairės. Priimta JT Tolimųjų tarpvalstybinių oro teršalų pernašų konvencijos Vykdomosios institucijos 31-oje sesijoje (ECE/EB.AIR/117).</w:t>
      </w:r>
    </w:p>
  </w:footnote>
  <w:footnote w:id="11">
    <w:p>
      <w:pPr>
        <w:widowControl w:val="0"/>
        <w:suppressAutoHyphens/>
        <w:rPr>
          <w:rFonts w:eastAsia="Lucida Sans Unicode"/>
          <w:kern w:val="1"/>
          <w:sz w:val="20"/>
          <w:lang w:eastAsia="ar-SA"/>
        </w:rPr>
      </w:pPr>
      <w:r>
        <w:rPr>
          <w:rFonts w:eastAsia="Lucida Sans Unicode"/>
          <w:kern w:val="1"/>
          <w:sz w:val="20"/>
          <w:vertAlign w:val="superscript"/>
          <w:lang w:eastAsia="ar-SA"/>
        </w:rPr>
        <w:footnoteRef/>
      </w:r>
      <w:r>
        <w:rPr>
          <w:rFonts w:eastAsia="Lucida Sans Unicode"/>
          <w:kern w:val="1"/>
          <w:sz w:val="20"/>
          <w:lang w:eastAsia="ar-SA"/>
        </w:rPr>
        <w:t xml:space="preserve"> Tolimųjų tarpvalstybinių oro teršalų pernašų konvencijos Techninių ir ekonominių klausimų darbo grupės pristatymo medžiaga: https://tftei.citepa.org/images/files/2020-10-21-22-23/20201022-meetings/6-Said-FIVES-Ultra-Low-Nox-burners-TFTEI6-meeting-22-10-2020.pdf</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kern w:val="1"/>
        <w:szCs w:val="24"/>
        <w:lang w:eastAsia="ar-SA"/>
      </w:rPr>
    </w:pPr>
    <w:r>
      <w:rPr>
        <w:rFonts w:eastAsia="Lucida Sans Unicode"/>
        <w:kern w:val="1"/>
        <w:szCs w:val="24"/>
        <w:lang w:eastAsia="ar-SA"/>
      </w:rPr>
      <w:fldChar w:fldCharType="begin"/>
    </w:r>
    <w:r>
      <w:rPr>
        <w:rFonts w:eastAsia="Lucida Sans Unicode"/>
        <w:kern w:val="1"/>
        <w:szCs w:val="24"/>
        <w:lang w:eastAsia="ar-SA"/>
      </w:rPr>
      <w:instrText xml:space="preserve"> PAGE   \* MERGEFORMAT </w:instrText>
    </w:r>
    <w:r>
      <w:rPr>
        <w:rFonts w:eastAsia="Lucida Sans Unicode"/>
        <w:kern w:val="1"/>
        <w:szCs w:val="24"/>
        <w:lang w:eastAsia="ar-SA"/>
      </w:rPr>
      <w:fldChar w:fldCharType="separate"/>
    </w:r>
    <w:r>
      <w:rPr>
        <w:rFonts w:eastAsia="Lucida Sans Unicode"/>
        <w:kern w:val="1"/>
        <w:szCs w:val="24"/>
        <w:lang w:eastAsia="ar-SA"/>
      </w:rPr>
      <w:t>3</w:t>
    </w:r>
    <w:r>
      <w:rPr>
        <w:rFonts w:eastAsia="Lucida Sans Unicode"/>
        <w:kern w:val="1"/>
        <w:szCs w:val="24"/>
        <w:lang w:eastAsia="ar-SA"/>
      </w:rPr>
      <w:fldChar w:fldCharType="end"/>
    </w:r>
  </w:p>
  <w:p>
    <w:pPr>
      <w:widowControl w:val="0"/>
      <w:tabs>
        <w:tab w:val="center" w:pos="4819"/>
        <w:tab w:val="right" w:pos="9638"/>
      </w:tabs>
      <w:suppressAutoHyphens/>
      <w:rPr>
        <w:rFonts w:eastAsia="Lucida Sans Unicode"/>
        <w:kern w:val="1"/>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kern w:val="1"/>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F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6EA036-1A10-4F0A-8544-72B3F18DAE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8659803">
      <w:bodyDiv w:val="1"/>
      <w:marLeft w:val="0"/>
      <w:marRight w:val="0"/>
      <w:marTop w:val="0"/>
      <w:marBottom w:val="0"/>
      <w:divBdr>
        <w:top w:val="none" w:sz="0" w:space="0" w:color="auto"/>
        <w:left w:val="none" w:sz="0" w:space="0" w:color="auto"/>
        <w:bottom w:val="none" w:sz="0" w:space="0" w:color="auto"/>
        <w:right w:val="none" w:sz="0" w:space="0" w:color="auto"/>
      </w:divBdr>
    </w:div>
    <w:div w:id="264969449">
      <w:bodyDiv w:val="1"/>
      <w:marLeft w:val="0"/>
      <w:marRight w:val="0"/>
      <w:marTop w:val="0"/>
      <w:marBottom w:val="0"/>
      <w:divBdr>
        <w:top w:val="none" w:sz="0" w:space="0" w:color="auto"/>
        <w:left w:val="none" w:sz="0" w:space="0" w:color="auto"/>
        <w:bottom w:val="none" w:sz="0" w:space="0" w:color="auto"/>
        <w:right w:val="none" w:sz="0" w:space="0" w:color="auto"/>
      </w:divBdr>
    </w:div>
    <w:div w:id="365452317">
      <w:bodyDiv w:val="1"/>
      <w:marLeft w:val="0"/>
      <w:marRight w:val="0"/>
      <w:marTop w:val="0"/>
      <w:marBottom w:val="0"/>
      <w:divBdr>
        <w:top w:val="none" w:sz="0" w:space="0" w:color="auto"/>
        <w:left w:val="none" w:sz="0" w:space="0" w:color="auto"/>
        <w:bottom w:val="none" w:sz="0" w:space="0" w:color="auto"/>
        <w:right w:val="none" w:sz="0" w:space="0" w:color="auto"/>
      </w:divBdr>
    </w:div>
    <w:div w:id="369231463">
      <w:bodyDiv w:val="1"/>
      <w:marLeft w:val="0"/>
      <w:marRight w:val="0"/>
      <w:marTop w:val="0"/>
      <w:marBottom w:val="0"/>
      <w:divBdr>
        <w:top w:val="none" w:sz="0" w:space="0" w:color="auto"/>
        <w:left w:val="none" w:sz="0" w:space="0" w:color="auto"/>
        <w:bottom w:val="none" w:sz="0" w:space="0" w:color="auto"/>
        <w:right w:val="none" w:sz="0" w:space="0" w:color="auto"/>
      </w:divBdr>
    </w:div>
    <w:div w:id="555434853">
      <w:bodyDiv w:val="1"/>
      <w:marLeft w:val="0"/>
      <w:marRight w:val="0"/>
      <w:marTop w:val="0"/>
      <w:marBottom w:val="0"/>
      <w:divBdr>
        <w:top w:val="none" w:sz="0" w:space="0" w:color="auto"/>
        <w:left w:val="none" w:sz="0" w:space="0" w:color="auto"/>
        <w:bottom w:val="none" w:sz="0" w:space="0" w:color="auto"/>
        <w:right w:val="none" w:sz="0" w:space="0" w:color="auto"/>
      </w:divBdr>
    </w:div>
    <w:div w:id="638725271">
      <w:bodyDiv w:val="1"/>
      <w:marLeft w:val="0"/>
      <w:marRight w:val="0"/>
      <w:marTop w:val="0"/>
      <w:marBottom w:val="0"/>
      <w:divBdr>
        <w:top w:val="none" w:sz="0" w:space="0" w:color="auto"/>
        <w:left w:val="none" w:sz="0" w:space="0" w:color="auto"/>
        <w:bottom w:val="none" w:sz="0" w:space="0" w:color="auto"/>
        <w:right w:val="none" w:sz="0" w:space="0" w:color="auto"/>
      </w:divBdr>
    </w:div>
    <w:div w:id="640624083">
      <w:bodyDiv w:val="1"/>
      <w:marLeft w:val="0"/>
      <w:marRight w:val="0"/>
      <w:marTop w:val="0"/>
      <w:marBottom w:val="0"/>
      <w:divBdr>
        <w:top w:val="none" w:sz="0" w:space="0" w:color="auto"/>
        <w:left w:val="none" w:sz="0" w:space="0" w:color="auto"/>
        <w:bottom w:val="none" w:sz="0" w:space="0" w:color="auto"/>
        <w:right w:val="none" w:sz="0" w:space="0" w:color="auto"/>
      </w:divBdr>
    </w:div>
    <w:div w:id="728725247">
      <w:bodyDiv w:val="1"/>
      <w:marLeft w:val="225"/>
      <w:marRight w:val="225"/>
      <w:marTop w:val="0"/>
      <w:marBottom w:val="0"/>
      <w:divBdr>
        <w:top w:val="none" w:sz="0" w:space="0" w:color="auto"/>
        <w:left w:val="none" w:sz="0" w:space="0" w:color="auto"/>
        <w:bottom w:val="none" w:sz="0" w:space="0" w:color="auto"/>
        <w:right w:val="none" w:sz="0" w:space="0" w:color="auto"/>
      </w:divBdr>
      <w:divsChild>
        <w:div w:id="164132273">
          <w:marLeft w:val="0"/>
          <w:marRight w:val="0"/>
          <w:marTop w:val="0"/>
          <w:marBottom w:val="0"/>
          <w:divBdr>
            <w:top w:val="none" w:sz="0" w:space="0" w:color="auto"/>
            <w:left w:val="none" w:sz="0" w:space="0" w:color="auto"/>
            <w:bottom w:val="none" w:sz="0" w:space="0" w:color="auto"/>
            <w:right w:val="none" w:sz="0" w:space="0" w:color="auto"/>
          </w:divBdr>
        </w:div>
      </w:divsChild>
    </w:div>
    <w:div w:id="1121846382">
      <w:bodyDiv w:val="1"/>
      <w:marLeft w:val="0"/>
      <w:marRight w:val="0"/>
      <w:marTop w:val="0"/>
      <w:marBottom w:val="0"/>
      <w:divBdr>
        <w:top w:val="none" w:sz="0" w:space="0" w:color="auto"/>
        <w:left w:val="none" w:sz="0" w:space="0" w:color="auto"/>
        <w:bottom w:val="none" w:sz="0" w:space="0" w:color="auto"/>
        <w:right w:val="none" w:sz="0" w:space="0" w:color="auto"/>
      </w:divBdr>
    </w:div>
    <w:div w:id="1629895972">
      <w:bodyDiv w:val="1"/>
      <w:marLeft w:val="0"/>
      <w:marRight w:val="0"/>
      <w:marTop w:val="0"/>
      <w:marBottom w:val="0"/>
      <w:divBdr>
        <w:top w:val="none" w:sz="0" w:space="0" w:color="auto"/>
        <w:left w:val="none" w:sz="0" w:space="0" w:color="auto"/>
        <w:bottom w:val="none" w:sz="0" w:space="0" w:color="auto"/>
        <w:right w:val="none" w:sz="0" w:space="0" w:color="auto"/>
      </w:divBdr>
    </w:div>
    <w:div w:id="1931350130">
      <w:bodyDiv w:val="1"/>
      <w:marLeft w:val="0"/>
      <w:marRight w:val="0"/>
      <w:marTop w:val="0"/>
      <w:marBottom w:val="0"/>
      <w:divBdr>
        <w:top w:val="none" w:sz="0" w:space="0" w:color="auto"/>
        <w:left w:val="none" w:sz="0" w:space="0" w:color="auto"/>
        <w:bottom w:val="none" w:sz="0" w:space="0" w:color="auto"/>
        <w:right w:val="none" w:sz="0" w:space="0" w:color="auto"/>
      </w:divBdr>
    </w:div>
    <w:div w:id="2090349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c9192a97bbe4defa8e9a1e17a70afaa" PartId="d6be7e67a9744d25b7b5d00c1f39f0f4">
    <Part Type="signatura" DocPartId="4a514fa254f9436dbdffc41ad9ebb903" PartId="bcabe5c7c3b1439f8befab777dd7ac98"/>
  </Part>
</Parts>
</file>

<file path=customXml/itemProps1.xml><?xml version="1.0" encoding="utf-8"?>
<ds:datastoreItem xmlns:ds="http://schemas.openxmlformats.org/officeDocument/2006/customXml" ds:itemID="{FFB9190F-5128-4D85-982E-69A96DBC71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24530D-D966-4446-994B-DFE978E514E8}">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13BE46F6-6A11-458E-9C95-2439BD85BD53}">
  <ds:schemaRefs>
    <ds:schemaRef ds:uri="http://schemas.microsoft.com/sharepoint/v3/contenttype/forms"/>
  </ds:schemaRefs>
</ds:datastoreItem>
</file>

<file path=customXml/itemProps4.xml><?xml version="1.0" encoding="utf-8"?>
<ds:datastoreItem xmlns:ds="http://schemas.openxmlformats.org/officeDocument/2006/customXml" ds:itemID="{EEEFCE3B-6789-4C1F-B828-62A16FDDA04B}">
  <ds:schemaRefs>
    <ds:schemaRef ds:uri="http://schemas.openxmlformats.org/officeDocument/2006/bibliography"/>
  </ds:schemaRefs>
</ds:datastoreItem>
</file>

<file path=customXml/itemProps5.xml><?xml version="1.0" encoding="utf-8"?>
<ds:datastoreItem xmlns:ds="http://schemas.openxmlformats.org/officeDocument/2006/customXml" ds:itemID="{49C9D373-68AE-473A-91B8-810D90F337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1950</Words>
  <Characters>12793</Characters>
  <Application>Microsoft Office Word</Application>
  <DocSecurity>4</DocSecurity>
  <Lines>456</Lines>
  <Paragraphs>88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14655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2025-02-04T12:47:00Z</dcterms:created>
  <dc:creator>V-Rumbutiene</dc:creator>
  <lastModifiedBy>adlibuser</lastModifiedBy>
  <lastPrinted>2017-08-09T07:11:00Z</lastPrinted>
  <dcterms:modified xsi:type="dcterms:W3CDTF">2025-02-04T12:47:00Z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