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635bfc433ac4aa1b86284448e30c16b"/>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ĮSAKYMO PROJEKTO DERINIMO</w:t>
                </w:r>
              </w:p>
              <w:p>
                <w:pPr>
                  <w:suppressLineNumbers/>
                  <w:jc w:val="both"/>
                  <w:rPr>
                    <w:rFonts w:eastAsia="Andale Sans UI" w:cs="Tahoma"/>
                    <w:b/>
                    <w:bCs/>
                    <w:szCs w:val="24"/>
                    <w:lang w:bidi="en-US"/>
                  </w:rPr>
                </w:pPr>
              </w:p>
            </w:tc>
          </w:tr>
        </w:tbl>
        <w:p/>
      </w:sdtContent>
    </w:sdt>
    <w:sdt>
      <w:sdtPr>
        <w:alias w:val="pastraipa"/>
        <w:tag w:val="part_e5f49bca33ef4c99b750ecde2862bf0b"/>
        <w:lock w:val="sdtLocked"/>
        <w:richText/>
      </w:sdtPr>
      <w:sdtContent>
        <w:p>
          <w:pPr>
            <w:ind w:firstLine="567"/>
            <w:jc w:val="both"/>
            <w:rPr>
              <w:rFonts w:eastAsia="Andale Sans UI"/>
              <w:szCs w:val="24"/>
              <w:lang w:bidi="en-US"/>
            </w:rPr>
          </w:pPr>
          <w:r>
            <w:rPr>
              <w:rFonts w:eastAsia="Andale Sans UI"/>
              <w:szCs w:val="24"/>
              <w:lang w:bidi="en-US"/>
            </w:rPr>
            <w:t xml:space="preserve">Aplinkos ministerija teikia pakartotinai derinti </w:t>
          </w:r>
          <w:r>
            <w:rPr>
              <w:rFonts w:eastAsia="Andale Sans UI" w:cs="Tahoma"/>
              <w:szCs w:val="24"/>
              <w:lang w:bidi="en-US"/>
            </w:rPr>
            <w:t xml:space="preserve">Lietuvos Respublikos aplinkos ministro įsakymo „Dėl Lietuvos Respublikos aplinkos ministro </w:t>
          </w:r>
          <w:r>
            <w:rPr>
              <w:rFonts w:eastAsia="Andale Sans UI" w:cs="Tahoma"/>
              <w:color w:val="000000"/>
              <w:szCs w:val="24"/>
              <w:lang w:bidi="en-US"/>
            </w:rPr>
            <w:t>2013 m. balandžio 10 d. įsakymo Nr. D1-244</w:t>
          </w:r>
          <w:r>
            <w:rPr>
              <w:rFonts w:eastAsia="Andale Sans UI" w:cs="Tahoma"/>
              <w:szCs w:val="24"/>
              <w:lang w:bidi="en-US"/>
            </w:rPr>
            <w:t xml:space="preserve"> „Dėl Išmetamų teršalų iš kurą deginančių įrenginių normų LAND 43-2013 patvirtinimo“ pakeitimo“ projektą </w:t>
          </w:r>
          <w:r>
            <w:rPr>
              <w:rFonts w:eastAsia="Andale Sans UI"/>
              <w:szCs w:val="24"/>
              <w:lang w:bidi="en-US"/>
            </w:rPr>
            <w:t>(toliau – Projektas).</w:t>
          </w:r>
        </w:p>
        <w:sdt>
          <w:sdtPr>
            <w:alias w:val="1 p."/>
            <w:tag w:val="part_c180eba4eb62413e81f36f0a1507f31a"/>
            <w:lock w:val="sdtLocked"/>
            <w:richText/>
          </w:sdtPr>
          <w:sdtContent>
            <w:p>
              <w:pPr>
                <w:ind w:firstLine="567"/>
                <w:jc w:val="both"/>
                <w:rPr>
                  <w:rFonts w:eastAsia="Andale Sans UI"/>
                  <w:szCs w:val="24"/>
                  <w:lang w:bidi="en-US"/>
                </w:rPr>
              </w:pPr>
              <w:sdt>
                <w:sdtPr>
                  <w:alias w:val="Numeris"/>
                  <w:tag w:val="nr_c180eba4eb62413e81f36f0a1507f31a"/>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ind w:firstLine="567"/>
                <w:jc w:val="both"/>
                <w:rPr>
                  <w:rFonts w:eastAsia="Andale Sans UI"/>
                  <w:szCs w:val="24"/>
                  <w:lang w:bidi="en-US"/>
                </w:rPr>
              </w:pPr>
              <w:r>
                <w:rPr>
                  <w:rFonts w:eastAsia="Andale Sans UI"/>
                  <w:szCs w:val="24"/>
                  <w:lang w:bidi="en-US"/>
                </w:rPr>
                <w:t>Kuro deginimas energijos gamybai yra reikšmingas oro taršos šaltinis. Šis sektorius į aplinkos orą išmeta 55 proc. kietųjų dalelių (KD</w:t>
              </w:r>
              <w:r>
                <w:rPr>
                  <w:rFonts w:eastAsia="Andale Sans UI"/>
                  <w:szCs w:val="24"/>
                  <w:vertAlign w:val="subscript"/>
                  <w:lang w:bidi="en-US"/>
                </w:rPr>
                <w:t>2,5</w:t>
              </w:r>
              <w:r>
                <w:rPr>
                  <w:rFonts w:eastAsia="Andale Sans UI"/>
                  <w:szCs w:val="24"/>
                  <w:lang w:bidi="en-US"/>
                </w:rPr>
                <w:t xml:space="preserve">), 33 proc. azoto oksidų (NOx), 21 proc. nemetaninių lakiųjų organinių junginių. Šie oro teršalai kenkia žmonių sveikatai, skatina žemutinio sluoksnio ozono ir rūgščiųjų kritulių susidarymą, kurie neigiamai veikia ekosistemas, žemės ūkio augalus ir vandens telkinius. </w:t>
              </w:r>
            </w:p>
            <w:p>
              <w:pPr>
                <w:ind w:firstLine="567"/>
                <w:jc w:val="both"/>
                <w:rPr>
                  <w:rFonts w:eastAsia="Calibri" w:cs="Tahoma"/>
                  <w:szCs w:val="24"/>
                  <w:lang w:bidi="en-US"/>
                </w:rPr>
              </w:pPr>
              <w:r>
                <w:rPr>
                  <w:rFonts w:eastAsia="Andale Sans UI" w:cs="Tahoma"/>
                  <w:szCs w:val="24"/>
                  <w:lang w:bidi="en-US"/>
                </w:rPr>
                <w:t>Poreikį mažinti dėl deginamo kuro į aplinkos orą išmetamų azoto oksidų, kietųjų dalelių, nemetaninių lakiųjų organinių junginių kiekį pagrindžia 2023 m. sausio 26 d. Europos Komisijos inicijuota pažeidimo procedūra prieš Lietuvos Respubliką dėl oro teršalų sumažinimo įsipareigojimų neįgyvendinimo</w:t>
              </w:r>
              <w:r>
                <w:rPr>
                  <w:rFonts w:eastAsia="Andale Sans UI" w:cs="Tahoma"/>
                  <w:szCs w:val="24"/>
                  <w:vertAlign w:val="superscript"/>
                  <w:lang w:bidi="en-US"/>
                </w:rPr>
                <w:footnoteReference w:id="2"/>
              </w:r>
              <w:r>
                <w:rPr>
                  <w:rFonts w:eastAsia="Andale Sans UI" w:cs="Tahoma"/>
                  <w:szCs w:val="24"/>
                  <w:lang w:bidi="en-US"/>
                </w:rPr>
                <w:t>. Lietuva iki 2030 m. įsipareigojo 51 proc. sumažinti, palyginti su 2005 m., azoto oksidų išmetamą kiekį (iki 2022 m. sumažinta 28,8 proc.); sieros dioksido – 60 proc. (sumažinta 59 proc.); kietųjų dalelių (KD</w:t>
              </w:r>
              <w:r>
                <w:rPr>
                  <w:rFonts w:eastAsia="Andale Sans UI" w:cs="Tahoma"/>
                  <w:szCs w:val="24"/>
                  <w:vertAlign w:val="subscript"/>
                  <w:lang w:bidi="en-US"/>
                </w:rPr>
                <w:t>2,5</w:t>
              </w:r>
              <w:r>
                <w:rPr>
                  <w:rFonts w:eastAsia="Andale Sans UI" w:cs="Tahoma"/>
                  <w:szCs w:val="24"/>
                  <w:lang w:bidi="en-US"/>
                </w:rPr>
                <w:t>)</w:t>
              </w:r>
              <w:r>
                <w:rPr>
                  <w:rFonts w:eastAsia="Andale Sans UI" w:cs="Tahoma"/>
                  <w:szCs w:val="24"/>
                  <w:vertAlign w:val="subscript"/>
                  <w:lang w:bidi="en-US"/>
                </w:rPr>
                <w:t xml:space="preserve"> </w:t>
              </w:r>
              <w:r>
                <w:rPr>
                  <w:rFonts w:eastAsia="Andale Sans UI" w:cs="Tahoma"/>
                  <w:szCs w:val="24"/>
                  <w:lang w:bidi="en-US"/>
                </w:rPr>
                <w:t xml:space="preserve">– 36 proc. (sumažinta 33,5 proc.); nemetaninių lakiųjų organinių junginių – 47 proc. (sumažinta 25,8 proc.); amoniako – 10 proc. (sumažinta 0,5 proc.). Lietuva dar neįgyvendino 2020 m. sumažinimo tikslų dėl azoto oksidų (2020 m. tikslas – 48 proc.), nemetaninių lakiųjų organinių junginių (tikslas – 32 proc.) ir amoniako (tikslas – 10 proc.). Oro kokybės gerinimo poreikį pagrindžia ir priimta nauja 2024 m. spalio 23 d. Europos Parlamento ir Tarybos direktyva </w:t>
              </w:r>
              <w:fldSimple w:instr="HYPERLINK http://eur-lex.europa.eu/legal-content/LIT/TXT/?uri=CELEX:32024L2881&amp;locale=lt \t _blank">
                <w:r>
                  <w:rPr>
                    <w:rFonts w:eastAsia="Andale Sans UI" w:cs="Tahoma"/>
                    <w:szCs w:val="24"/>
                    <w:lang w:bidi="en-US"/>
                    <w:u w:val="single"/>
                    <w:color w:val="0000FF" w:themeColor="hyperlink"/>
                  </w:rPr>
                  <w:t>(ES) 2024/2881</w:t>
                </w:r>
              </w:fldSimple>
              <w:r>
                <w:rPr>
                  <w:rFonts w:eastAsia="Andale Sans UI" w:cs="Tahoma"/>
                  <w:szCs w:val="24"/>
                  <w:lang w:bidi="en-US"/>
                </w:rPr>
                <w:t xml:space="preserve"> dėl aplinkos oro kokybės ir švaresnio oro Europoje, kuria griežtinamos Europos Sąjungoje taikomos oro kokybės normos (priartinamos prie Pasaulio sveikatos organizacijos (toliau – PSO) rekomenduojamų oro užterštumo lygių). </w:t>
              </w:r>
              <w:r>
                <w:rPr>
                  <w:rFonts w:eastAsia="Calibri" w:cs="Tahoma"/>
                  <w:szCs w:val="24"/>
                  <w:lang w:bidi="en-US"/>
                </w:rPr>
                <w:t xml:space="preserve">2023 m. Vilniaus </w:t>
              </w:r>
              <w:r>
                <w:rPr>
                  <w:rFonts w:eastAsia="Calibri" w:cs="Tahoma"/>
                  <w:iCs/>
                  <w:szCs w:val="24"/>
                  <w:lang w:bidi="en-US"/>
                </w:rPr>
                <w:t>Žirmūnų</w:t>
              </w:r>
              <w:r>
                <w:rPr>
                  <w:rFonts w:eastAsia="Calibri" w:cs="Tahoma"/>
                  <w:szCs w:val="24"/>
                  <w:lang w:bidi="en-US"/>
                </w:rPr>
                <w:t xml:space="preserve">, Kauno </w:t>
              </w:r>
              <w:r>
                <w:rPr>
                  <w:rFonts w:eastAsia="Calibri" w:cs="Tahoma"/>
                  <w:iCs/>
                  <w:szCs w:val="24"/>
                  <w:lang w:bidi="en-US"/>
                </w:rPr>
                <w:t>Dainavos, Kauno Noreikiškių ir Klaipėdos Šilutės pl.</w:t>
              </w:r>
              <w:r>
                <w:rPr>
                  <w:rFonts w:eastAsia="Calibri" w:cs="Tahoma"/>
                  <w:szCs w:val="24"/>
                  <w:lang w:bidi="en-US"/>
                </w:rPr>
                <w:t xml:space="preserve"> oro kokybės stotyse kietųjų dalelių (KD</w:t>
              </w:r>
              <w:r>
                <w:rPr>
                  <w:rFonts w:eastAsia="Calibri" w:cs="Tahoma"/>
                  <w:szCs w:val="24"/>
                  <w:vertAlign w:val="subscript"/>
                  <w:lang w:bidi="en-US"/>
                </w:rPr>
                <w:t>2,5</w:t>
              </w:r>
              <w:r>
                <w:rPr>
                  <w:rFonts w:eastAsia="Calibri" w:cs="Tahoma"/>
                  <w:szCs w:val="24"/>
                  <w:lang w:bidi="en-US"/>
                </w:rPr>
                <w:t>)</w:t>
              </w:r>
              <w:r>
                <w:rPr>
                  <w:rFonts w:eastAsia="Calibri" w:cs="Tahoma"/>
                  <w:szCs w:val="24"/>
                  <w:vertAlign w:val="subscript"/>
                  <w:lang w:bidi="en-US"/>
                </w:rPr>
                <w:t xml:space="preserve">  </w:t>
              </w:r>
              <w:r>
                <w:rPr>
                  <w:rFonts w:eastAsia="Calibri" w:cs="Tahoma"/>
                  <w:szCs w:val="24"/>
                  <w:lang w:bidi="en-US"/>
                </w:rPr>
                <w:t>koncentracija viršijo 2021 m. atnaujintą PSO rekomenduojamą lygį;</w:t>
              </w:r>
              <w:r>
                <w:rPr>
                  <w:rFonts w:eastAsia="Andale Sans UI" w:cs="Tahoma"/>
                  <w:szCs w:val="24"/>
                  <w:lang w:bidi="en-US"/>
                </w:rPr>
                <w:t xml:space="preserve"> </w:t>
              </w:r>
              <w:r>
                <w:rPr>
                  <w:rFonts w:eastAsia="Calibri" w:cs="Tahoma"/>
                  <w:szCs w:val="24"/>
                  <w:lang w:bidi="en-US"/>
                </w:rPr>
                <w:t>Kauno Dainavos oro kokybės stotyje viršyta naujoje oro kokybės direktyvoje nuo 2030 m. įsigaliosianti kietųjų dalelių KD</w:t>
              </w:r>
              <w:r>
                <w:rPr>
                  <w:rFonts w:eastAsia="Calibri" w:cs="Tahoma"/>
                  <w:szCs w:val="24"/>
                  <w:vertAlign w:val="subscript"/>
                  <w:lang w:bidi="en-US"/>
                </w:rPr>
                <w:t>2,5</w:t>
              </w:r>
              <w:r>
                <w:rPr>
                  <w:rFonts w:eastAsia="Calibri" w:cs="Tahoma"/>
                  <w:szCs w:val="24"/>
                  <w:lang w:bidi="en-US"/>
                </w:rPr>
                <w:t xml:space="preserve"> ribinė vertė. Ši ribinė vertė 2022 m. taip pat viršyta Vilniaus Žirmūnų oro kokybės stotyje. </w:t>
              </w:r>
            </w:p>
            <w:p>
              <w:pPr>
                <w:ind w:firstLine="567"/>
                <w:jc w:val="both"/>
                <w:rPr>
                  <w:rFonts w:eastAsia="Calibri" w:cs="Tahoma"/>
                  <w:szCs w:val="24"/>
                  <w:lang w:bidi="en-US"/>
                </w:rPr>
              </w:pPr>
              <w:r>
                <w:rPr>
                  <w:rFonts w:eastAsia="Calibri" w:cs="Tahoma"/>
                  <w:szCs w:val="24"/>
                  <w:lang w:bidi="en-US"/>
                </w:rPr>
                <w:t xml:space="preserve">Kurą deginantiems įrenginiams, kurių vardinė šiluminė galia yra mažesnė kaip 1 MW, bet ne mažesnė kaip 120 kW, taikomos </w:t>
              </w:r>
              <w:r>
                <w:rPr>
                  <w:rFonts w:eastAsia="Andale Sans UI" w:cs="Tahoma"/>
                  <w:szCs w:val="24"/>
                  <w:lang w:bidi="en-US"/>
                </w:rPr>
                <w:t>Išmetamų teršalų iš kurą deginančių įrenginių normos LAND 43-2013</w:t>
              </w:r>
              <w:r>
                <w:rPr>
                  <w:rFonts w:eastAsia="Andale Sans UI" w:cs="Tahoma"/>
                  <w:szCs w:val="24"/>
                  <w:vertAlign w:val="superscript"/>
                  <w:lang w:bidi="en-US"/>
                </w:rPr>
                <w:footnoteReference w:id="3"/>
              </w:r>
              <w:r>
                <w:rPr>
                  <w:rFonts w:eastAsia="Andale Sans UI" w:cs="Tahoma"/>
                  <w:szCs w:val="24"/>
                  <w:lang w:bidi="en-US"/>
                </w:rPr>
                <w:t xml:space="preserve"> (toliau – LAND 43 normos), nustatančios į aplinkos orą išmetamų kietųjų dalelių, sieros dioksido, azoto oksidų ribines vertes ir jų laikymosi kontrolės reikalavimus. Galiojančios vertės yra ne tokios griežtos, praktiškai nereikalaujančios taikyti oro teršalų mažinimo priemonių; pvz., Vokietijoje nuo 2014 m. įrengtiems iki 1 MW vardinės šiluminės galios katilams taikoma 20 mg/m</w:t>
              </w:r>
              <w:r>
                <w:rPr>
                  <w:rFonts w:eastAsia="Andale Sans UI" w:cs="Tahoma"/>
                  <w:szCs w:val="24"/>
                  <w:vertAlign w:val="superscript"/>
                  <w:lang w:bidi="en-US"/>
                </w:rPr>
                <w:t>3</w:t>
              </w:r>
              <w:r>
                <w:rPr>
                  <w:rFonts w:eastAsia="Andale Sans UI" w:cs="Tahoma"/>
                  <w:szCs w:val="24"/>
                  <w:lang w:bidi="en-US"/>
                </w:rPr>
                <w:t xml:space="preserve"> kietųjų dalelių ribinė vertė (esant 13 proc. deguonies koncentracijai išmetamosiose dujose), kai LAND 43 normose nustatyta vertė kietojo kuro katilams – 800 mg/m</w:t>
              </w:r>
              <w:r>
                <w:rPr>
                  <w:rFonts w:eastAsia="Andale Sans UI" w:cs="Tahoma"/>
                  <w:szCs w:val="24"/>
                  <w:vertAlign w:val="superscript"/>
                  <w:lang w:bidi="en-US"/>
                </w:rPr>
                <w:t xml:space="preserve">3 </w:t>
              </w:r>
              <w:r>
                <w:rPr>
                  <w:rFonts w:eastAsia="Andale Sans UI" w:cs="Tahoma"/>
                  <w:szCs w:val="24"/>
                  <w:lang w:bidi="en-US"/>
                </w:rPr>
                <w:t>(esant 6 proc. deguonies koncentracijai išmetamosiose dujose); Latvijoje nuo 2021 m. liepos 1 d. pradėtiems (nuo 2027 m. sausio 1 d. – visiems) eksploatuoti mažesnės kaip 1 MW vardinės šiluminės galios kietąją biomasę deginantiems įrenginiams taikoma kietųjų dalelių ribinė vertė – 150 mg/m</w:t>
              </w:r>
              <w:r>
                <w:rPr>
                  <w:rFonts w:eastAsia="Andale Sans UI" w:cs="Tahoma"/>
                  <w:szCs w:val="24"/>
                  <w:vertAlign w:val="superscript"/>
                  <w:lang w:bidi="en-US"/>
                </w:rPr>
                <w:t xml:space="preserve">3 </w:t>
              </w:r>
              <w:r>
                <w:rPr>
                  <w:rFonts w:eastAsia="Andale Sans UI" w:cs="Tahoma"/>
                  <w:szCs w:val="24"/>
                  <w:lang w:bidi="en-US"/>
                </w:rPr>
                <w:t xml:space="preserve">(esant 6 proc. deguonies koncentracijai išmetamosiose dujose). Esamos vertės neatitinka  kietojo kuro katilams, skystojo ir dujinio kuro patalpų šildytuvams nustatytų ekologinio projektavimo reikalavimų – į aplinkos orą išmetamų teršalų ribinių verčių, todėl šiuo metu susidariusi situacija, kad pradėjusiam veikti mažos galios kurą deginančiam įrenginiui taikomos daug griežtesnės ribinės vertės (pvz., 40 mg/m</w:t>
              </w:r>
              <w:r>
                <w:rPr>
                  <w:rFonts w:eastAsia="Andale Sans UI" w:cs="Tahoma"/>
                  <w:szCs w:val="24"/>
                  <w:vertAlign w:val="superscript"/>
                  <w:lang w:bidi="en-US"/>
                </w:rPr>
                <w:t>3</w:t>
              </w:r>
              <w:r>
                <w:rPr>
                  <w:rFonts w:eastAsia="Andale Sans UI" w:cs="Tahoma"/>
                  <w:szCs w:val="24"/>
                  <w:lang w:bidi="en-US"/>
                </w:rPr>
                <w:t xml:space="preserve"> automatiniu būdu pakraunamiems kietojo kuro katilams (esant 10 proc. deguonies koncentracijai išmetamosiose dujose)), tačiau vėliau eksploatuojant įrenginį leidžiama nuo šių verčių nukrypti daugiau kaip 10 kartų. Pažymėtina, kad ekologinio projektavimo reikalavimai neapima nuo 500 kW iki 1 MW kietojo kuro katilų (dujinio ir skystojo kuro nuo 400 kW iki 1 MW), todėl susidaro aplinkosauginių standartų taikymo spraga, leidžianti eksploatuoti labiau taršesnius kurą deginančius įrenginius.</w:t>
              </w:r>
            </w:p>
            <w:p>
              <w:pPr>
                <w:ind w:firstLine="567"/>
                <w:jc w:val="both"/>
                <w:rPr>
                  <w:rFonts w:eastAsia="Andale Sans UI" w:cs="Tahoma"/>
                  <w:color w:val="000000"/>
                  <w:szCs w:val="24"/>
                  <w:lang w:bidi="en-US"/>
                </w:rPr>
              </w:pPr>
              <w:r>
                <w:rPr>
                  <w:rFonts w:eastAsia="Andale Sans UI" w:cs="Tahoma"/>
                  <w:color w:val="000000"/>
                  <w:szCs w:val="24"/>
                  <w:lang w:bidi="en-US"/>
                </w:rPr>
                <w:t>Ribinių verčių griežtinimas mažos vardinės šiluminės galios katilams įgyvendina Nacionalinio oro taršos mažinimo plano</w:t>
              </w:r>
              <w:r>
                <w:rPr>
                  <w:rFonts w:eastAsia="Andale Sans UI" w:cs="Tahoma"/>
                  <w:color w:val="000000"/>
                  <w:szCs w:val="24"/>
                  <w:vertAlign w:val="superscript"/>
                  <w:lang w:bidi="en-US"/>
                </w:rPr>
                <w:footnoteReference w:id="4"/>
              </w:r>
              <w:r>
                <w:rPr>
                  <w:rFonts w:eastAsia="Andale Sans UI" w:cs="Tahoma"/>
                  <w:color w:val="000000"/>
                  <w:szCs w:val="24"/>
                  <w:lang w:bidi="en-US"/>
                </w:rPr>
                <w:t xml:space="preserve"> priemonę P5 „Mažų kurą deginančių įrenginių išmetamųjų teršalų ribinių verčių suderinimas su ekologinio projektavimo reikalavimais“. Projektas taip pat prisideda prie Devynioliktosios Lietuvos Respublikos Vyriausybės programos 708 ir 709 iniciatyvių</w:t>
              </w:r>
              <w:r>
                <w:rPr>
                  <w:rFonts w:eastAsia="Andale Sans UI" w:cs="Tahoma"/>
                  <w:color w:val="000000"/>
                  <w:szCs w:val="24"/>
                  <w:vertAlign w:val="superscript"/>
                  <w:lang w:bidi="en-US"/>
                </w:rPr>
                <w:footnoteReference w:id="5"/>
              </w:r>
              <w:r>
                <w:rPr>
                  <w:rFonts w:eastAsia="Andale Sans UI" w:cs="Tahoma"/>
                  <w:color w:val="000000"/>
                  <w:szCs w:val="24"/>
                  <w:lang w:bidi="en-US"/>
                </w:rPr>
                <w:t xml:space="preserve"> įgyvendinimo. </w:t>
              </w:r>
            </w:p>
          </w:sdtContent>
        </w:sdt>
        <w:sdt>
          <w:sdtPr>
            <w:alias w:val="2 p."/>
            <w:tag w:val="part_3b52216a11e646f6b48f83498d5aaab1"/>
            <w:lock w:val="sdtLocked"/>
            <w:richText/>
          </w:sdtPr>
          <w:sdtContent>
            <w:p>
              <w:pPr>
                <w:ind w:firstLine="567"/>
                <w:jc w:val="both"/>
                <w:rPr>
                  <w:rFonts w:eastAsia="Andale Sans UI"/>
                  <w:szCs w:val="24"/>
                  <w:lang w:bidi="en-US"/>
                </w:rPr>
              </w:pPr>
              <w:sdt>
                <w:sdtPr>
                  <w:alias w:val="Numeris"/>
                  <w:tag w:val="nr_3b52216a11e646f6b48f83498d5aaab1"/>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cs="Tahoma"/>
                  <w:szCs w:val="24"/>
                  <w:lang w:bidi="en-US"/>
                </w:rPr>
              </w:pPr>
              <w:r>
                <w:rPr>
                  <w:rFonts w:eastAsia="Andale Sans UI" w:cs="Tahoma"/>
                  <w:szCs w:val="24"/>
                  <w:lang w:bidi="en-US"/>
                </w:rPr>
                <w:t xml:space="preserve">Projektu siūloma suderinti nuo 0,12 MW iki 1 MW vardinės (nominalios) šiluminės galios kurą deginančių įrenginių (toliau – maži kurą deginantys įrenginiai) eksploatacijai taikomas į aplinkos orą išmetamų teršalų ribines vertes su nustatytomis Reglamente </w:t>
              </w:r>
              <w:fldSimple w:instr="HYPERLINK http://eur-lex.europa.eu/legal-content/LIT/TXT/?uri=CELEX:32015R1189&amp;locale=lt \t _blank">
                <w:r>
                  <w:rPr>
                    <w:rFonts w:eastAsia="Andale Sans UI" w:cs="Tahoma"/>
                    <w:szCs w:val="24"/>
                    <w:lang w:bidi="en-US"/>
                    <w:u w:val="single"/>
                    <w:color w:val="0000FF" w:themeColor="hyperlink"/>
                  </w:rPr>
                  <w:t>(ES) 2015/1189</w:t>
                </w:r>
              </w:fldSimple>
              <w:r>
                <w:rPr>
                  <w:rFonts w:eastAsia="Andale Sans UI" w:cs="Tahoma"/>
                  <w:szCs w:val="24"/>
                  <w:vertAlign w:val="superscript"/>
                  <w:lang w:bidi="en-US"/>
                </w:rPr>
                <w:footnoteReference w:id="6"/>
              </w:r>
              <w:r>
                <w:rPr>
                  <w:rFonts w:eastAsia="Andale Sans UI" w:cs="Tahoma"/>
                  <w:szCs w:val="24"/>
                  <w:lang w:bidi="en-US"/>
                </w:rPr>
                <w:t xml:space="preserve"> ir Reglamente </w:t>
              </w:r>
              <w:fldSimple w:instr="HYPERLINK http://eur-lex.europa.eu/legal-content/LIT/TXT/?uri=CELEX:32813R2013&amp;locale=lt \t _blank">
                <w:r>
                  <w:rPr>
                    <w:rFonts w:eastAsia="Andale Sans UI" w:cs="Tahoma"/>
                    <w:szCs w:val="24"/>
                    <w:lang w:bidi="en-US"/>
                    <w:u w:val="single"/>
                    <w:color w:val="0000FF" w:themeColor="hyperlink"/>
                  </w:rPr>
                  <w:t>(ES) 813/2013</w:t>
                </w:r>
              </w:fldSimple>
              <w:r>
                <w:rPr>
                  <w:rFonts w:eastAsia="Andale Sans UI" w:cs="Tahoma"/>
                  <w:szCs w:val="24"/>
                  <w:vertAlign w:val="superscript"/>
                  <w:lang w:bidi="en-US"/>
                </w:rPr>
                <w:footnoteReference w:id="7"/>
              </w:r>
              <w:r>
                <w:rPr>
                  <w:rFonts w:eastAsia="Andale Sans UI" w:cs="Tahoma"/>
                  <w:szCs w:val="24"/>
                  <w:lang w:bidi="en-US"/>
                </w:rPr>
                <w:t xml:space="preserve">. Reglamente </w:t>
              </w:r>
              <w:fldSimple w:instr="HYPERLINK http://eur-lex.europa.eu/legal-content/LIT/TXT/?uri=CELEX:32015R1189&amp;locale=lt \t _blank">
                <w:r>
                  <w:rPr>
                    <w:rFonts w:eastAsia="Andale Sans UI" w:cs="Tahoma"/>
                    <w:szCs w:val="24"/>
                    <w:lang w:bidi="en-US"/>
                    <w:u w:val="single"/>
                    <w:color w:val="0000FF" w:themeColor="hyperlink"/>
                  </w:rPr>
                  <w:t>(ES) 2015/1189</w:t>
                </w:r>
              </w:fldSimple>
              <w:r>
                <w:rPr>
                  <w:rFonts w:eastAsia="Andale Sans UI" w:cs="Tahoma"/>
                  <w:szCs w:val="24"/>
                  <w:lang w:bidi="en-US"/>
                </w:rPr>
                <w:t xml:space="preserve"> nustatytos ribinės vertės taikomos nuo 2020 m. sausio 1 d. į rinką pateikiamiems 500 kW ir mažesnės vardinės šiluminės galios kietojo kuro katilams, kai Reglamente </w:t>
              </w:r>
              <w:fldSimple w:instr="HYPERLINK http://eur-lex.europa.eu/legal-content/LIT/TXT/?uri=CELEX:32813R2013&amp;locale=lt \t _blank">
                <w:r>
                  <w:rPr>
                    <w:rFonts w:eastAsia="Andale Sans UI" w:cs="Tahoma"/>
                    <w:szCs w:val="24"/>
                    <w:lang w:bidi="en-US"/>
                    <w:u w:val="single"/>
                    <w:color w:val="0000FF" w:themeColor="hyperlink"/>
                  </w:rPr>
                  <w:t>(ES) 813/2013</w:t>
                </w:r>
              </w:fldSimple>
              <w:r>
                <w:rPr>
                  <w:rFonts w:eastAsia="Andale Sans UI" w:cs="Tahoma"/>
                  <w:szCs w:val="24"/>
                  <w:lang w:bidi="en-US"/>
                </w:rPr>
                <w:t xml:space="preserve"> nustatytos azoto oksidų ribinės vertės taikomos nuo 2018 m. rugsėjo 26 d. į rinką pateikiamiems 400 kW ir mažesnės vardinės šilumos galios patalpų šildytuvams. Projekte numatoma griežtinti mažų kietąjį kurą deginančių įrenginių eksploatacijai taikomas kietųjų dalelių, azoto oksidų, sieros dioksido ribines vertes ir nustatyti ribinę vertę išmetamam anglies monoksido kiekiui. Kietąjį kurą deginantiems įrenginiams griežtinamų ribinių verčių, išskyrus sieros dioksido ribinę vertę, dydžiai atitinka Reglamente </w:t>
              </w:r>
              <w:fldSimple w:instr="HYPERLINK http://eur-lex.europa.eu/legal-content/LIT/TXT/?uri=CELEX:32015R1189&amp;locale=lt \t _blank">
                <w:r>
                  <w:rPr>
                    <w:rFonts w:eastAsia="Andale Sans UI" w:cs="Tahoma"/>
                    <w:szCs w:val="24"/>
                    <w:lang w:bidi="en-US"/>
                    <w:u w:val="single"/>
                    <w:color w:val="0000FF" w:themeColor="hyperlink"/>
                  </w:rPr>
                  <w:t>(ES) 2015/1189</w:t>
                </w:r>
              </w:fldSimple>
              <w:r>
                <w:rPr>
                  <w:rFonts w:eastAsia="Andale Sans UI" w:cs="Tahoma"/>
                  <w:szCs w:val="24"/>
                  <w:lang w:bidi="en-US"/>
                </w:rPr>
                <w:t xml:space="preserve"> nustatytus dydžius (siūlomos ribinės vertės perskaičiuotos prie 6 proc. deguonies koncentracijos), taikomus rankiniu būdu pakraunamiems kietojo kuro katilams</w:t>
              </w:r>
              <w:r>
                <w:rPr>
                  <w:rFonts w:eastAsia="Andale Sans UI" w:cs="Tahoma"/>
                  <w:szCs w:val="24"/>
                  <w:vertAlign w:val="superscript"/>
                  <w:lang w:bidi="en-US"/>
                </w:rPr>
                <w:footnoteReference w:id="8"/>
              </w:r>
              <w:r>
                <w:rPr>
                  <w:rFonts w:eastAsia="Andale Sans UI" w:cs="Tahoma"/>
                  <w:szCs w:val="24"/>
                  <w:lang w:bidi="en-US"/>
                </w:rPr>
                <w:t>, įvertinant šiame reglamente nustatytą leidžiamą patikros nukrypimo dydį. Siūlomos kietųjų dalelių ribinės vertės atitinka ir Tolimųjų tarpvalstybinių oro teršalų pernašų konvencijos Protokolo dėl rūgštėjimo, eutrofikacijos ir pažemio ozono mažinimo (Geteborgo protokolo) su pakeitimais, padarytais 2012 m., X priede pateiktas rekomenduojamas kietųjų dalelių ribines vertes, mažesnės kaip 1 MW, bet ne mažesnės kaip 100 kW vardinės šiluminės galios kurą deginantiems įrenginiams</w:t>
              </w:r>
              <w:r>
                <w:rPr>
                  <w:rFonts w:eastAsia="Andale Sans UI" w:cs="Tahoma"/>
                  <w:szCs w:val="24"/>
                  <w:vertAlign w:val="superscript"/>
                  <w:lang w:bidi="en-US"/>
                </w:rPr>
                <w:footnoteReference w:id="9"/>
              </w:r>
              <w:r>
                <w:rPr>
                  <w:rFonts w:eastAsia="Andale Sans UI" w:cs="Tahoma"/>
                  <w:szCs w:val="24"/>
                  <w:lang w:bidi="en-US"/>
                </w:rPr>
                <w:t xml:space="preserve">. Taip pat siūloma griežtinti kietųjų dalelių ir azoto oksidų ribines vertes skystąjį kurą deginantiems įrenginiams ir azoto oksido ribinę vertę dujinį kurą deginantiems įrenginiams. Azoto oksidų ribinė vertė griežtinama dujinį ir skystąjį kurą deginantiems įrenginiams atsižvelgiant į Reglamentą </w:t>
              </w:r>
              <w:fldSimple w:instr="HYPERLINK http://eur-lex.europa.eu/legal-content/LIT/TXT/?uri=CELEX:32813R2013&amp;locale=lt \t _blank">
                <w:r>
                  <w:rPr>
                    <w:rFonts w:eastAsia="Andale Sans UI" w:cs="Tahoma"/>
                    <w:szCs w:val="24"/>
                    <w:lang w:bidi="en-US"/>
                    <w:u w:val="single"/>
                    <w:color w:val="0000FF" w:themeColor="hyperlink"/>
                  </w:rPr>
                  <w:t>(ES) 813/2013</w:t>
                </w:r>
              </w:fldSimple>
              <w:r>
                <w:rPr>
                  <w:rFonts w:eastAsia="Andale Sans UI" w:cs="Tahoma"/>
                  <w:szCs w:val="24"/>
                  <w:vertAlign w:val="superscript"/>
                  <w:lang w:bidi="en-US"/>
                </w:rPr>
                <w:footnoteReference w:id="10"/>
              </w:r>
              <w:r>
                <w:rPr>
                  <w:rFonts w:eastAsia="Andale Sans UI" w:cs="Tahoma"/>
                  <w:szCs w:val="24"/>
                  <w:lang w:bidi="en-US"/>
                </w:rPr>
                <w:t>. Šiame reglamente nustatytos azoto oksidų ribinės vertės yra griežtesnės</w:t>
              </w:r>
              <w:r>
                <w:rPr>
                  <w:rFonts w:eastAsia="Andale Sans UI" w:cs="Tahoma"/>
                  <w:szCs w:val="24"/>
                  <w:vertAlign w:val="superscript"/>
                  <w:lang w:bidi="en-US"/>
                </w:rPr>
                <w:footnoteReference w:id="11"/>
              </w:r>
              <w:r>
                <w:rPr>
                  <w:rFonts w:eastAsia="Andale Sans UI" w:cs="Tahoma"/>
                  <w:szCs w:val="24"/>
                  <w:lang w:bidi="en-US"/>
                </w:rPr>
                <w:t xml:space="preserve"> už Direktyvoje </w:t>
              </w:r>
              <w:fldSimple w:instr="HYPERLINK http://eur-lex.europa.eu/legal-content/LIT/TXT/?uri=CELEX:32015L2193&amp;locale=lt \t _blank">
                <w:r>
                  <w:rPr>
                    <w:rFonts w:eastAsia="Andale Sans UI" w:cs="Tahoma"/>
                    <w:szCs w:val="24"/>
                    <w:lang w:bidi="en-US"/>
                    <w:u w:val="single"/>
                    <w:color w:val="0000FF" w:themeColor="hyperlink"/>
                  </w:rPr>
                  <w:t>(ES) 2015/2193</w:t>
                </w:r>
              </w:fldSimple>
              <w:r>
                <w:rPr>
                  <w:rFonts w:eastAsia="Andale Sans UI" w:cs="Tahoma"/>
                  <w:szCs w:val="24"/>
                  <w:vertAlign w:val="superscript"/>
                  <w:lang w:bidi="en-US"/>
                </w:rPr>
                <w:footnoteReference w:id="12"/>
              </w:r>
              <w:r>
                <w:rPr>
                  <w:rFonts w:eastAsia="Andale Sans UI" w:cs="Tahoma"/>
                  <w:szCs w:val="24"/>
                  <w:lang w:bidi="en-US"/>
                </w:rPr>
                <w:t xml:space="preserve"> taikomas 1 MW ir didesnės vardinės (nominalios) šiluminės galios kurą deginantiems įrenginiams, todėl siūloma išlaikyti tolygų aplinkosaugos reikalavimų lygį ir iki 1 MW vardinės (nominalios) šiluminės galios kurą deginantiems įrenginiams nustatyti azoto oksidų ribines vertes, kurios atitinka Direktyvoje </w:t>
              </w:r>
              <w:fldSimple w:instr="HYPERLINK http://eur-lex.europa.eu/legal-content/LIT/TXT/?uri=CELEX:32015L2193&amp;locale=lt \t _blank">
                <w:r>
                  <w:rPr>
                    <w:rFonts w:eastAsia="Andale Sans UI" w:cs="Tahoma"/>
                    <w:szCs w:val="24"/>
                    <w:lang w:bidi="en-US"/>
                    <w:u w:val="single"/>
                    <w:color w:val="0000FF" w:themeColor="hyperlink"/>
                  </w:rPr>
                  <w:t>(ES) 2015/2193</w:t>
                </w:r>
              </w:fldSimple>
              <w:r>
                <w:rPr>
                  <w:rFonts w:eastAsia="Andale Sans UI" w:cs="Tahoma"/>
                  <w:szCs w:val="24"/>
                  <w:lang w:bidi="en-US"/>
                </w:rPr>
                <w:t xml:space="preserve"> nustatytas atitinkamą kuro rūšį deginantiems naujiems įrenginiams. Sieros dioksido ribinės vertės deginant kietąjį ir skystąjį kurą, kietųjų dalelių vertės deginant skystąjį kurą mažuose kurą deginančiuose įrenginiuose griežtinamos atsižvelgiant į užsienio šalių praktiką</w:t>
              </w:r>
              <w:r>
                <w:rPr>
                  <w:rFonts w:eastAsia="Andale Sans UI" w:cs="Tahoma"/>
                  <w:szCs w:val="24"/>
                  <w:vertAlign w:val="superscript"/>
                  <w:lang w:bidi="en-US"/>
                </w:rPr>
                <w:footnoteReference w:id="13"/>
              </w:r>
              <w:r>
                <w:rPr>
                  <w:rFonts w:eastAsia="Andale Sans UI" w:cs="Tahoma"/>
                  <w:szCs w:val="24"/>
                  <w:lang w:bidi="en-US"/>
                </w:rPr>
                <w:t xml:space="preserve">. Projekte siūlomos </w:t>
              </w:r>
              <w:r>
                <w:rPr>
                  <w:rFonts w:eastAsia="Andale Sans UI" w:cs="Tahoma"/>
                  <w:bCs/>
                  <w:szCs w:val="24"/>
                  <w:lang w:bidi="en-US"/>
                </w:rPr>
                <w:t>kietųjų dalelių siūlomos ribinės vertės pasiekiamos įrenginyje įdiegus elektrostatinius filtrus, audeklinius filtrus ar ciklonus</w:t>
              </w:r>
              <w:r>
                <w:rPr>
                  <w:rFonts w:eastAsia="Andale Sans UI" w:cs="Tahoma"/>
                  <w:bCs/>
                  <w:szCs w:val="24"/>
                  <w:vertAlign w:val="superscript"/>
                  <w:lang w:bidi="en-US"/>
                </w:rPr>
                <w:footnoteReference w:id="14"/>
              </w:r>
              <w:r>
                <w:rPr>
                  <w:rFonts w:eastAsia="Andale Sans UI" w:cs="Tahoma"/>
                  <w:bCs/>
                  <w:szCs w:val="24"/>
                  <w:lang w:bidi="en-US"/>
                </w:rPr>
                <w:t>. Azoto oksidų ribinės vertės gali būti pasiekiamos naudojant efektyvius „Low NOx“ ar „Ultra low-NOx“ degiklius</w:t>
              </w:r>
              <w:r>
                <w:rPr>
                  <w:rFonts w:eastAsia="Andale Sans UI" w:cs="Tahoma"/>
                  <w:bCs/>
                  <w:szCs w:val="24"/>
                  <w:vertAlign w:val="superscript"/>
                  <w:lang w:bidi="en-US"/>
                </w:rPr>
                <w:footnoteReference w:id="15"/>
              </w:r>
              <w:r>
                <w:rPr>
                  <w:rFonts w:eastAsia="Andale Sans UI" w:cs="Tahoma"/>
                  <w:bCs/>
                  <w:szCs w:val="24"/>
                  <w:lang w:bidi="en-US"/>
                </w:rPr>
                <w:t>.</w:t>
              </w:r>
            </w:p>
            <w:p>
              <w:pPr>
                <w:ind w:left="810"/>
                <w:jc w:val="both"/>
                <w:rPr>
                  <w:rFonts w:eastAsia="Andale Sans UI" w:cs="Tahoma"/>
                  <w:szCs w:val="24"/>
                  <w:lang w:bidi="en-US"/>
                </w:rPr>
              </w:pPr>
              <w:r>
                <w:rPr>
                  <w:rFonts w:eastAsia="Andale Sans UI" w:cs="Tahoma"/>
                  <w:szCs w:val="24"/>
                  <w:lang w:bidi="en-US"/>
                </w:rPr>
                <w:t>Projektu siūlomi kiti pakeitimai:</w:t>
              </w:r>
            </w:p>
          </w:sdtContent>
        </w:sdt>
        <w:sdt>
          <w:sdtPr>
            <w:alias w:val="1 p."/>
            <w:tag w:val="part_818966d536854b9f9639b1b8380a5208"/>
            <w:lock w:val="sdtLocked"/>
            <w:richText/>
          </w:sdtPr>
          <w:sdtContent>
            <w:p>
              <w:pPr>
                <w:ind w:firstLine="810"/>
                <w:jc w:val="both"/>
                <w:rPr>
                  <w:rFonts w:eastAsia="Andale Sans UI" w:cs="Tahoma"/>
                  <w:szCs w:val="24"/>
                  <w:lang w:bidi="en-US"/>
                </w:rPr>
              </w:pPr>
              <w:sdt>
                <w:sdtPr>
                  <w:alias w:val="Numeris"/>
                  <w:tag w:val="nr_818966d536854b9f9639b1b8380a5208"/>
                  <w:lock w:val="sdtLocked"/>
                  <w:richText/>
                </w:sdtPr>
                <w:sdtContent>
                  <w:r>
                    <w:rPr>
                      <w:rFonts w:eastAsia="Andale Sans UI" w:cs="Tahoma"/>
                      <w:szCs w:val="24"/>
                      <w:lang w:bidi="en-US"/>
                    </w:rPr>
                    <w:t>1</w:t>
                  </w:r>
                </w:sdtContent>
              </w:sdt>
              <w:r>
                <w:rPr>
                  <w:rFonts w:eastAsia="Andale Sans UI" w:cs="Tahoma"/>
                  <w:szCs w:val="24"/>
                  <w:lang w:bidi="en-US"/>
                </w:rPr>
                <w:t>.</w:t>
                <w:tab/>
                <w:t>Nuo 2026 m. nustatyti prievolę veiklos vykdytojams, kurie eksploatuoja mažesnės kaip 1 MW, bet ne mažesnės kaip 0,12 MW vardinės (nominalios) šiluminės galios kurą deginančius įrenginius, vykdyti per kalendorinius metus sunaudoto kuro apskaitą, siekiant gerinti nacionalinės oro teršalų apskaitos kokybę, t. y. išsamiai oro teršalų apskaitai būtina reguliariai gauti informaciją apie eksploatuojamų mažų kurą deginančių įrenginių skaičių, juose deginamą kuro rūšį ir sunaudotą kiekį. Kad būtų sukelta kuo mažesnė administracinė našta, iki 1 MW vardinės (nominalios) šiluminės galios kurą deginančius įrenginius eksploatuojantys veiklos vykdytojai neprivalės apskaičiuoti per metus išmetamų teršalų kiekio (kaip šiuo metu reikalaujama eksploatuojant 1 MW ir didesnės vardinės (nominalios) šiluminės galios kurą deginančius įrenginius).</w:t>
              </w:r>
            </w:p>
          </w:sdtContent>
        </w:sdt>
        <w:sdt>
          <w:sdtPr>
            <w:alias w:val="2 p."/>
            <w:tag w:val="part_8a0aa34c734942449e4540b4a72b13df"/>
            <w:lock w:val="sdtLocked"/>
            <w:richText/>
          </w:sdtPr>
          <w:sdtContent>
            <w:p>
              <w:pPr>
                <w:ind w:firstLine="810"/>
                <w:jc w:val="both"/>
                <w:rPr>
                  <w:rFonts w:eastAsia="Andale Sans UI" w:cs="Tahoma"/>
                  <w:szCs w:val="24"/>
                  <w:lang w:bidi="en-US"/>
                </w:rPr>
              </w:pPr>
              <w:sdt>
                <w:sdtPr>
                  <w:alias w:val="Numeris"/>
                  <w:tag w:val="nr_8a0aa34c734942449e4540b4a72b13df"/>
                  <w:lock w:val="sdtLocked"/>
                  <w:richText/>
                </w:sdtPr>
                <w:sdtContent>
                  <w:r>
                    <w:rPr>
                      <w:rFonts w:eastAsia="Andale Sans UI" w:cs="Tahoma"/>
                      <w:szCs w:val="24"/>
                      <w:lang w:bidi="en-US"/>
                    </w:rPr>
                    <w:t>2</w:t>
                  </w:r>
                </w:sdtContent>
              </w:sdt>
              <w:r>
                <w:rPr>
                  <w:rFonts w:eastAsia="Andale Sans UI" w:cs="Tahoma"/>
                  <w:szCs w:val="24"/>
                  <w:lang w:bidi="en-US"/>
                </w:rPr>
                <w:t>.</w:t>
                <w:tab/>
                <w:t>Veiklos vykdytojai, kurie laikinai eksploatuoja kurą deginančius įrenginius už veiklos vykdymo teritorijos, turės informuoti Aplinkos apsaugos departamentą prie Aplinkos ministerijos apie tokio įrenginio eksploatacijos pradžią ir vietą, įrenginio parametrus, kad prireikus būtų užtikrinta tokių įrenginių aplinkos apsaugos valstybinė kontrolė. Siekiant, kad dėl tokio įrenginio eksploatacijos už veiklos vykdymo teritorijos ribų nebūtų sudaromos sąlygos viršyti ribines aplinkos oro užterštumo vertes, siūloma nustatyti reikalavimą atlikti oro teršalų sklaidos skaičiavimus, išskyrus atvejus, kai būtina dėl techninių sutrikimų vartotojus būtina aprūpinti šiluma.</w:t>
              </w:r>
            </w:p>
          </w:sdtContent>
        </w:sdt>
        <w:sdt>
          <w:sdtPr>
            <w:alias w:val="3 p."/>
            <w:tag w:val="part_a968df657a1c43f6858855370789f1d1"/>
            <w:lock w:val="sdtLocked"/>
            <w:richText/>
          </w:sdtPr>
          <w:sdtContent>
            <w:p>
              <w:pPr>
                <w:ind w:firstLine="810"/>
                <w:jc w:val="both"/>
                <w:rPr>
                  <w:rFonts w:eastAsia="Andale Sans UI" w:cs="Tahoma"/>
                  <w:szCs w:val="24"/>
                  <w:lang w:bidi="en-US"/>
                </w:rPr>
              </w:pPr>
              <w:sdt>
                <w:sdtPr>
                  <w:alias w:val="Numeris"/>
                  <w:tag w:val="nr_a968df657a1c43f6858855370789f1d1"/>
                  <w:lock w:val="sdtLocked"/>
                  <w:richText/>
                </w:sdtPr>
                <w:sdtContent>
                  <w:r>
                    <w:rPr>
                      <w:rFonts w:eastAsia="Andale Sans UI" w:cs="Tahoma"/>
                      <w:szCs w:val="24"/>
                      <w:lang w:bidi="en-US"/>
                    </w:rPr>
                    <w:t>3</w:t>
                  </w:r>
                </w:sdtContent>
              </w:sdt>
              <w:r>
                <w:rPr>
                  <w:rFonts w:eastAsia="Andale Sans UI" w:cs="Tahoma"/>
                  <w:szCs w:val="24"/>
                  <w:lang w:bidi="en-US"/>
                </w:rPr>
                <w:t>.</w:t>
                <w:tab/>
                <w:t>Veiklos vykdytojams, eksploatuojantiems kurą deginančius įrenginius, kuriems eksploatuoti pagal Taršos integruotos prevencijos ir kontrolės leidimų išdavimo, pakeitimo ir galiojimo panaikinimo taisykles</w:t>
              </w:r>
              <w:r>
                <w:rPr>
                  <w:rFonts w:eastAsia="Andale Sans UI" w:cs="Tahoma"/>
                  <w:szCs w:val="24"/>
                  <w:vertAlign w:val="superscript"/>
                  <w:lang w:bidi="en-US"/>
                </w:rPr>
                <w:footnoteReference w:id="16"/>
              </w:r>
              <w:r>
                <w:rPr>
                  <w:rFonts w:eastAsia="Andale Sans UI" w:cs="Tahoma"/>
                  <w:szCs w:val="24"/>
                  <w:lang w:bidi="en-US"/>
                </w:rPr>
                <w:t xml:space="preserve"> reikia turėti taršos integruotos prevencijos ir kontrolės leidimą, panaikinama prievolė teikti sunaudoto kuro ir išmetamų oro teršalų kiekio ataskaitą pagal LAND 43 normų 30 punktą, kadangi eksploatuojant leidimą turinčius įrenginius analogiška ataskaita rengiama ir teikiama pagal Teršalų išmetimo į aplinkos orą apskaitos ir ataskaitų teikimo tvarkos aprašą.</w:t>
              </w:r>
            </w:p>
          </w:sdtContent>
        </w:sdt>
        <w:sdt>
          <w:sdtPr>
            <w:alias w:val="4 p."/>
            <w:tag w:val="part_7587455ffa61488b9d1c2e155854fae7"/>
            <w:lock w:val="sdtLocked"/>
            <w:richText/>
          </w:sdtPr>
          <w:sdtContent>
            <w:p>
              <w:pPr>
                <w:ind w:firstLine="810"/>
                <w:jc w:val="both"/>
                <w:rPr>
                  <w:rFonts w:eastAsia="Andale Sans UI" w:cs="Tahoma"/>
                  <w:szCs w:val="24"/>
                  <w:lang w:bidi="en-US"/>
                </w:rPr>
              </w:pPr>
              <w:sdt>
                <w:sdtPr>
                  <w:alias w:val="Numeris"/>
                  <w:tag w:val="nr_7587455ffa61488b9d1c2e155854fae7"/>
                  <w:lock w:val="sdtLocked"/>
                  <w:richText/>
                </w:sdtPr>
                <w:sdtContent>
                  <w:r>
                    <w:rPr>
                      <w:rFonts w:eastAsia="Andale Sans UI" w:cs="Tahoma"/>
                      <w:szCs w:val="24"/>
                      <w:lang w:bidi="en-US"/>
                    </w:rPr>
                    <w:t>4</w:t>
                  </w:r>
                </w:sdtContent>
              </w:sdt>
              <w:r>
                <w:rPr>
                  <w:rFonts w:eastAsia="Andale Sans UI" w:cs="Tahoma"/>
                  <w:szCs w:val="24"/>
                  <w:lang w:bidi="en-US"/>
                </w:rPr>
                <w:t>.</w:t>
                <w:tab/>
                <w:t>Atsižvelgiant į aplinkos oro teršalus, kurie ribojami</w:t>
              </w:r>
              <w:r>
                <w:rPr>
                  <w:rFonts w:eastAsia="Andale Sans UI" w:cs="Tahoma"/>
                  <w:szCs w:val="24"/>
                  <w:vertAlign w:val="superscript"/>
                  <w:lang w:bidi="en-US"/>
                </w:rPr>
                <w:footnoteReference w:id="17"/>
              </w:r>
              <w:r>
                <w:rPr>
                  <w:rFonts w:eastAsia="Andale Sans UI" w:cs="Tahoma"/>
                  <w:szCs w:val="24"/>
                  <w:lang w:bidi="en-US"/>
                </w:rPr>
                <w:t xml:space="preserve"> pagal Direktyvą </w:t>
              </w:r>
              <w:fldSimple w:instr="HYPERLINK http://eur-lex.europa.eu/legal-content/LIT/TXT/?uri=CELEX:32015L2193&amp;locale=lt \t _blank">
                <w:r>
                  <w:rPr>
                    <w:rFonts w:eastAsia="Andale Sans UI" w:cs="Tahoma"/>
                    <w:szCs w:val="24"/>
                    <w:lang w:bidi="en-US"/>
                    <w:u w:val="single"/>
                    <w:color w:val="0000FF" w:themeColor="hyperlink"/>
                  </w:rPr>
                  <w:t>(ES) 2015/2193</w:t>
                </w:r>
              </w:fldSimple>
              <w:r>
                <w:rPr>
                  <w:rFonts w:eastAsia="Andale Sans UI" w:cs="Tahoma"/>
                  <w:szCs w:val="24"/>
                  <w:lang w:bidi="en-US"/>
                </w:rPr>
                <w:t>, 1 MW ir didesnės, bet mažesnės kaip 50 MW, vardinės (nominalios) šiluminės galios kurą deginantiems įrenginiams siūloma panaikinti kietųjų dalelių ribinę vertę deginant dujinį kurą, sieros dioksido – deginant gamtines dujas ar medieną (deginant šių rūšių kurą, šių teršalų išmetamas kiekis nereikšmingas); netaikyti sieros dioksido ir kietųjų dalelių ribinės vertės deginant gazolį, kuriam nustatyti kokybės reikalavimai</w:t>
              </w:r>
              <w:r>
                <w:rPr>
                  <w:rFonts w:eastAsia="Andale Sans UI" w:cs="Tahoma"/>
                  <w:szCs w:val="24"/>
                  <w:vertAlign w:val="superscript"/>
                  <w:lang w:bidi="en-US"/>
                </w:rPr>
                <w:footnoteReference w:id="18"/>
              </w:r>
              <w:r>
                <w:rPr>
                  <w:rFonts w:eastAsia="Andale Sans UI" w:cs="Tahoma"/>
                  <w:szCs w:val="24"/>
                  <w:lang w:bidi="en-US"/>
                </w:rPr>
                <w:t>, užtikrinantys nereikšmingą šių teršalų išmetamą kiekį.</w:t>
              </w:r>
            </w:p>
          </w:sdtContent>
        </w:sdt>
        <w:sdt>
          <w:sdtPr>
            <w:alias w:val="5 p."/>
            <w:tag w:val="part_557a4f6d4a75420c89acb521b2020c77"/>
            <w:lock w:val="sdtLocked"/>
            <w:richText/>
          </w:sdtPr>
          <w:sdtContent>
            <w:p>
              <w:pPr>
                <w:ind w:firstLine="810"/>
                <w:jc w:val="both"/>
                <w:rPr>
                  <w:rFonts w:eastAsia="Andale Sans UI" w:cs="Tahoma"/>
                  <w:szCs w:val="24"/>
                  <w:lang w:bidi="en-US"/>
                </w:rPr>
              </w:pPr>
              <w:sdt>
                <w:sdtPr>
                  <w:alias w:val="Numeris"/>
                  <w:tag w:val="nr_557a4f6d4a75420c89acb521b2020c77"/>
                  <w:lock w:val="sdtLocked"/>
                  <w:richText/>
                </w:sdtPr>
                <w:sdtContent>
                  <w:r>
                    <w:rPr>
                      <w:rFonts w:eastAsia="Andale Sans UI" w:cs="Tahoma"/>
                      <w:szCs w:val="24"/>
                      <w:lang w:bidi="en-US"/>
                    </w:rPr>
                    <w:t>5</w:t>
                  </w:r>
                </w:sdtContent>
              </w:sdt>
              <w:r>
                <w:rPr>
                  <w:rFonts w:eastAsia="Andale Sans UI" w:cs="Tahoma"/>
                  <w:szCs w:val="24"/>
                  <w:lang w:bidi="en-US"/>
                </w:rPr>
                <w:t>. Vadovaujantis Lietuvos Respublikos aplinkos monitoringo įstatymo 11 straipsnio 2 dalimi, siūloma nustatyti, kad išmetamų į aplinkos orą teršalų matavimus ir tyrimus taip pat gali atlikti laboratorijos, kurios akredituotos kaip atitinkančios perimtąjį standartą LST EN ISO/IEC 17025 „Tyrimų, bandymų ir kalibravimo laboratorijų kompetencijai keliami bendrieji reikalavimai“ konkretiems teršalams tirti, matuoti, imti ėminius laboratoriniams tyrimams atlikti.</w:t>
              </w:r>
            </w:p>
          </w:sdtContent>
        </w:sdt>
        <w:sdt>
          <w:sdtPr>
            <w:alias w:val="3 p."/>
            <w:tag w:val="part_f686607c354a47aaa8868dd87b996fcc"/>
            <w:lock w:val="sdtLocked"/>
            <w:richText/>
          </w:sdtPr>
          <w:sdtContent>
            <w:p>
              <w:pPr>
                <w:ind w:firstLine="567"/>
                <w:jc w:val="both"/>
                <w:rPr>
                  <w:rFonts w:eastAsia="Andale Sans UI"/>
                  <w:b/>
                  <w:bCs/>
                  <w:szCs w:val="24"/>
                  <w:lang w:bidi="en-US"/>
                </w:rPr>
              </w:pPr>
              <w:sdt>
                <w:sdtPr>
                  <w:alias w:val="Numeris"/>
                  <w:tag w:val="nr_f686607c354a47aaa8868dd87b996fcc"/>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rFonts w:eastAsia="Andale Sans UI" w:cs="Tahoma"/>
                  <w:szCs w:val="24"/>
                  <w:lang w:bidi="en-US"/>
                </w:rPr>
              </w:pPr>
              <w:r>
                <w:rPr>
                  <w:rFonts w:eastAsia="Andale Sans UI" w:cs="Tahoma"/>
                  <w:szCs w:val="24"/>
                  <w:lang w:bidi="en-US"/>
                </w:rPr>
                <w:t xml:space="preserve">Siekiant mažų kurą deginančių įrenginių operatoriams suteikti pakankamai laiko prisitaikyti prie sugriežtintų į aplinkos orą išmetamų teršalų ribinių verčių, Projektu siūloma nustatyti pereinamąjį laikotarpį – mažiems kurą deginantiems įrenginiams, kurie pradėti eksploatuoti iki 2025 m. lapkričio 1 d., naujos ribinės vertės būtų taikomos nuo 2029 m. sausio 1 d. Maži kurą deginantys įrenginiai, kurie bus pradėti eksploatuoti nuo 2025 m. lapkričio 1 d., turės atitikti sugriežtintas ribines vertes iš karto pradėjus juos eksploatuoti. Pažymėtina, kad pagal Reglamentą </w:t>
              </w:r>
              <w:fldSimple w:instr="HYPERLINK http://eur-lex.europa.eu/legal-content/LIT/TXT/?uri=CELEX:32015R1189&amp;locale=lt \t _blank">
                <w:r>
                  <w:rPr>
                    <w:rFonts w:eastAsia="Andale Sans UI" w:cs="Tahoma"/>
                    <w:szCs w:val="24"/>
                    <w:lang w:bidi="en-US"/>
                    <w:u w:val="single"/>
                    <w:color w:val="0000FF" w:themeColor="hyperlink"/>
                  </w:rPr>
                  <w:t>(ES) 2015/1189</w:t>
                </w:r>
              </w:fldSimple>
              <w:r>
                <w:rPr>
                  <w:rFonts w:eastAsia="Andale Sans UI" w:cs="Tahoma"/>
                  <w:szCs w:val="24"/>
                  <w:lang w:bidi="en-US"/>
                </w:rPr>
                <w:t xml:space="preserve"> ir Reglamentą </w:t>
              </w:r>
              <w:fldSimple w:instr="HYPERLINK http://eur-lex.europa.eu/legal-content/LIT/TXT/?uri=CELEX:32813R2013&amp;locale=lt \t _blank">
                <w:r>
                  <w:rPr>
                    <w:rFonts w:eastAsia="Andale Sans UI" w:cs="Tahoma"/>
                    <w:szCs w:val="24"/>
                    <w:lang w:bidi="en-US"/>
                    <w:u w:val="single"/>
                    <w:color w:val="0000FF" w:themeColor="hyperlink"/>
                  </w:rPr>
                  <w:t>(ES) 813/2013</w:t>
                </w:r>
              </w:fldSimple>
              <w:r>
                <w:rPr>
                  <w:rFonts w:eastAsia="Andale Sans UI" w:cs="Tahoma"/>
                  <w:szCs w:val="24"/>
                  <w:lang w:bidi="en-US"/>
                </w:rPr>
                <w:t>, atitinkamai nuo 2020 m. sausio 1 d. ir 2018 m. sausio 1 d. rinkai tiekiami kietojo kuro katilai (iki 500 kW ir mažesnės vardinės šiluminės galios), skystojo ir dujinio kuro patalpų šildytuvų katilai (400 kW ir mažesnės vardinės šilumos galios) turi atitikti šiuose reglamentuose nustatytas ribines vertes, kurios yra tokios pačios ar griežtesnės (pvz., taikomos automatiškai kurstomiems kietojo kuro katilams) nei siūlomos Projektu, todėl atitinkamo galios įrenginių įrengimas nereikalaus papildomų investicijų verslui. Kad veiklos vykdytojai, kurie eksploatuoja iki 2025 m. lapkričio 1 d. pradėtus naudoti įrenginius, galėtų lengviau prisitaikyti prie 2029 m. sausio 1 d. įsigaliosiančių ribinių verčių, pagal 2022–2030 metų plėtros programos valdytojos Lietuvos Respublikos aplinkos ministerijos aplinkos apsaugos ir klimato kaitos valdymo plėtros programos pažangos priemonės Nr. 02-001-06-11-01 „Stiprinti neigiamo poveikio aplinkai prevenciją ir valdymą“ aprašo</w:t>
              </w:r>
              <w:r>
                <w:rPr>
                  <w:rFonts w:eastAsia="Andale Sans UI" w:cs="Tahoma"/>
                  <w:szCs w:val="24"/>
                  <w:vertAlign w:val="superscript"/>
                  <w:lang w:bidi="en-US"/>
                </w:rPr>
                <w:footnoteReference w:id="19"/>
              </w:r>
              <w:r>
                <w:rPr>
                  <w:rFonts w:eastAsia="Andale Sans UI" w:cs="Tahoma"/>
                  <w:szCs w:val="24"/>
                  <w:lang w:bidi="en-US"/>
                </w:rPr>
                <w:t xml:space="preserve"> (toliau – Pažangos priemonė) 1.2 poveiklę „Technologinių įrenginių ir priemonių diegimas mažinant ūkinės veiklos metu į aplinkos orą išmetamų teršalų kiekį“ numatytos finansinės paskatos diegti technologinius įrenginius ir priemones mažinant ūkinės veiklos metu į aplinkos orą išmetamų teršalų kiekį. Šios poveiklės įgyvendinimui numatyta 5,023 mln. eurų. 2024 m. rugsėjį mėn. paskelbtas kvietimas pagal šią poveiklę (suma – 3,32 mln. eurų; projekto finansavimo maksimali suma – 300 tūkst. eurų; finansuojama dalis – 70 proc.).</w:t>
              </w:r>
            </w:p>
            <w:p>
              <w:pPr>
                <w:ind w:firstLine="567"/>
                <w:jc w:val="both"/>
                <w:rPr>
                  <w:rFonts w:eastAsia="Calibri" w:cs="Tahoma"/>
                  <w:szCs w:val="24"/>
                  <w:lang w:bidi="en-US"/>
                </w:rPr>
              </w:pPr>
              <w:r>
                <w:rPr>
                  <w:rFonts w:eastAsia="Calibri" w:cs="Tahoma"/>
                  <w:szCs w:val="24"/>
                  <w:lang w:bidi="en-US"/>
                </w:rPr>
                <w:t>Vadovaujantis Numatomo teisinio reguliavimo poveikio vertinimo metodikos, patvirtintos Lietuvos Respublikos Vyriausybės 2003 m. vasario 26 d. nutarimu Nr. 276 „Dėl Numatomo teisinio reguliavimo poveikio vertinimo metodikos patvirtinimo“, 4 punktu, atliktas Projekto numatomo teisinio reguliavimo poveikio vertinimas:</w:t>
              </w:r>
            </w:p>
            <w:p>
              <w:pPr>
                <w:ind w:firstLine="567"/>
                <w:jc w:val="both"/>
                <w:rPr>
                  <w:rFonts w:eastAsia="Andale Sans UI" w:cs="Tahoma"/>
                  <w:szCs w:val="24"/>
                  <w:lang w:bidi="en-US"/>
                </w:rPr>
              </w:pPr>
              <w:r>
                <w:rPr>
                  <w:rFonts w:eastAsia="Andale Sans UI" w:cs="Tahoma"/>
                  <w:b/>
                  <w:bCs/>
                  <w:szCs w:val="24"/>
                  <w:lang w:bidi="en-US"/>
                </w:rPr>
                <w:t>Poveikis aplinkai ir klimato kaitai.</w:t>
              </w:r>
              <w:r>
                <w:rPr>
                  <w:rFonts w:eastAsia="Andale Sans UI" w:cs="Tahoma"/>
                  <w:szCs w:val="24"/>
                  <w:lang w:bidi="en-US"/>
                </w:rPr>
                <w:t xml:space="preserve"> Numatomas teigiamas poveikis. Griežtesnių ribinių verčių taikymas mažins į aplinkos orą išmetamų teršalų kiekį, ypač kietųjų dalelių (KD</w:t>
              </w:r>
              <w:r>
                <w:rPr>
                  <w:rFonts w:eastAsia="Andale Sans UI" w:cs="Tahoma"/>
                  <w:szCs w:val="24"/>
                  <w:vertAlign w:val="subscript"/>
                  <w:lang w:bidi="en-US"/>
                </w:rPr>
                <w:t>2,5</w:t>
              </w:r>
              <w:r>
                <w:rPr>
                  <w:rFonts w:eastAsia="Andale Sans UI" w:cs="Tahoma"/>
                  <w:szCs w:val="24"/>
                  <w:lang w:bidi="en-US"/>
                </w:rPr>
                <w:t>), azoto oksidų, ir gerins aplinkos oro kokybę. Taip pat skatins šilumos gamintojus pereiti prie energetiškai efektyvesnių kurą deginančių įrenginių ir mažins į aplinką išmetamą šiltnamio efektą sukeliančių dujų kiekį.</w:t>
              </w:r>
            </w:p>
            <w:p>
              <w:pPr>
                <w:ind w:firstLine="567"/>
                <w:jc w:val="both"/>
                <w:rPr>
                  <w:rFonts w:eastAsia="Andale Sans UI" w:cs="Tahoma"/>
                  <w:szCs w:val="24"/>
                  <w:lang w:bidi="en-US"/>
                </w:rPr>
              </w:pPr>
              <w:r>
                <w:rPr>
                  <w:rFonts w:eastAsia="Andale Sans UI" w:cs="Tahoma"/>
                  <w:b/>
                  <w:bCs/>
                  <w:szCs w:val="24"/>
                  <w:lang w:bidi="en-US"/>
                </w:rPr>
                <w:t>Numatomas poveikis administraciniai naštai.</w:t>
              </w:r>
              <w:r>
                <w:rPr>
                  <w:rFonts w:eastAsia="Andale Sans UI" w:cs="Tahoma"/>
                  <w:szCs w:val="24"/>
                  <w:lang w:bidi="en-US"/>
                </w:rPr>
                <w:t xml:space="preserve"> Kietųjų dalelių, sieros dioksido ribinių verčių panaikinimas deginant gazolį ar gamtines dujas, sieros dioksido ribinės vertės panaikinimas deginant medieną leis kasmet sumažinti ūkio subjektų administravimo išlaidas (dėl tyrimų ir ataskaitų rengimo). Taršos integruotos prevencijos kontrolės leidimų turėtojams ataskaitos rengimo pagal Išmetamų teršalų iš kurą deginančių įrenginių normas LAND 43-2013 reikalavimo panaikinimas prisidės prie administracinės naštos mažinimo. Ataskaitos rengimas veiklos vykdytojams, eksploatuojantiems 120 kW ir didesnės, bet mažesnės kaip 1 MW, vardinės šiluminės galios kurą deginančius įrenginius, prievolė rengti ataskaitą už sunaudotą kurą kasmet padidins administracinę naštą.</w:t>
              </w:r>
            </w:p>
            <w:p>
              <w:pPr>
                <w:ind w:firstLine="567"/>
                <w:jc w:val="both"/>
                <w:rPr>
                  <w:rFonts w:eastAsia="Andale Sans UI" w:cs="Tahoma"/>
                  <w:szCs w:val="24"/>
                  <w:lang w:bidi="en-US"/>
                </w:rPr>
              </w:pPr>
              <w:r>
                <w:rPr>
                  <w:rFonts w:eastAsia="Andale Sans UI" w:cs="Tahoma"/>
                  <w:b/>
                  <w:bCs/>
                  <w:szCs w:val="24"/>
                  <w:lang w:bidi="en-US"/>
                </w:rPr>
                <w:t>Ūkio subjektų prisitaikymo prie reguliavimo išlaidų vertinimas.</w:t>
              </w:r>
              <w:r>
                <w:rPr>
                  <w:rFonts w:eastAsia="Andale Sans UI" w:cs="Tahoma"/>
                  <w:szCs w:val="24"/>
                  <w:lang w:bidi="en-US"/>
                </w:rPr>
                <w:t xml:space="preserve"> Ribinių verčių sugriežtinimas nuo 2029 m. sausio 1 d. mažesnės kaip 1 MW vardinės (nominalios) šiluminės galios kurą deginantiems įrenginiams gali iš verslo sektoriaus pareikalauti investicijų įrenginiams modernizuoti. Investicinės naštos sumažinimui numatyta finansinė parama pagal Pažangos priemonės 1.2 poveiklę „Technologinių įrenginių ir priemonių diegimas mažinant ūkinės veiklos metu į aplinkos orą išmetamų teršalų kiekį“). Nuo 2025 m. lapkričio 1 d. naujų diegiamų įrenginių įrengimas gali papildomai pareikalauti kasmetinių investicijų siekiant atitikti griežtesnes oro teršalų ribines vertes (mažiems kurą deginantiems įrenginiams, kuriems netaikomas Reglamentas (EU) 2015/1189 arba Reglamentas (EU) 813/2013). Kurą deginančių įrenginių modernizavimas (pvz., efektyvesnių degiklių įrengimas) gerins šilumos gamybos energetinį efektyvumą, todėl numatoma, kad bus sutaupomos. išlaidos kurui.</w:t>
              </w:r>
            </w:p>
            <w:p>
              <w:pPr>
                <w:ind w:firstLine="567"/>
                <w:jc w:val="both"/>
                <w:rPr>
                  <w:rFonts w:eastAsia="Andale Sans UI" w:cs="Tahoma"/>
                  <w:szCs w:val="24"/>
                  <w:lang w:bidi="en-US"/>
                </w:rPr>
              </w:pPr>
              <w:r>
                <w:rPr>
                  <w:rFonts w:eastAsia="Andale Sans UI" w:cs="Tahoma"/>
                  <w:szCs w:val="24"/>
                  <w:lang w:bidi="en-US"/>
                </w:rPr>
                <w:t>Veiklos vykdytojams, laikinai eksploatuojantiems kurą deginančius įrenginius už veiklos vykdymo teritorijos ribų (suplanuotais atvejais), Projekte numatyta prievolė atlikti teršalų sklaidos aplinkos ore skaičiavimus (siekiant, kad eksploatacija nesudarytų sąlygų viršyti aplinkos oro užterštumo vertes) gali sukelti papildomą prisitaikymo išlaidų poreikį.</w:t>
              </w:r>
            </w:p>
            <w:p>
              <w:pPr>
                <w:ind w:firstLine="567"/>
                <w:jc w:val="both"/>
                <w:rPr>
                  <w:rFonts w:eastAsia="Andale Sans UI" w:cs="Tahoma"/>
                  <w:szCs w:val="24"/>
                  <w:lang w:bidi="en-US"/>
                </w:rPr>
              </w:pPr>
              <w:r>
                <w:rPr>
                  <w:rFonts w:eastAsia="Andale Sans UI" w:cs="Tahoma"/>
                  <w:szCs w:val="24"/>
                  <w:lang w:bidi="en-US"/>
                </w:rPr>
                <w:t xml:space="preserve">Bendras Projektu sukeliamas administracinės naštos ir prisitaikymo prie reguliavimo išlaidų poveikis: </w:t>
              </w:r>
            </w:p>
            <w:p>
              <w:pPr>
                <w:ind w:firstLine="567"/>
                <w:jc w:val="both"/>
                <w:rPr>
                  <w:rFonts w:eastAsia="Andale Sans UI" w:cs="Tahoma"/>
                  <w:szCs w:val="24"/>
                  <w:lang w:bidi="en-US"/>
                </w:rPr>
              </w:pPr>
              <w:r>
                <w:rPr>
                  <w:rFonts w:eastAsia="Andale Sans UI" w:cs="Tahoma"/>
                  <w:szCs w:val="24"/>
                  <w:lang w:bidi="en-US"/>
                </w:rPr>
                <w:t>2025-2026 m. – 101,9 tūkst. eurų padidėjimas kasmet</w:t>
              </w:r>
              <w:r>
                <w:rPr>
                  <w:rFonts w:eastAsia="Andale Sans UI" w:cs="Tahoma"/>
                  <w:szCs w:val="24"/>
                  <w:vertAlign w:val="superscript"/>
                  <w:lang w:bidi="en-US"/>
                </w:rPr>
                <w:footnoteReference w:id="20"/>
              </w:r>
              <w:r>
                <w:rPr>
                  <w:rFonts w:eastAsia="Andale Sans UI" w:cs="Tahoma"/>
                  <w:szCs w:val="24"/>
                  <w:lang w:bidi="en-US"/>
                </w:rPr>
                <w:t xml:space="preserve">; </w:t>
              </w:r>
            </w:p>
            <w:p>
              <w:pPr>
                <w:ind w:firstLine="567"/>
                <w:jc w:val="both"/>
                <w:rPr>
                  <w:rFonts w:eastAsia="Andale Sans UI" w:cs="Tahoma"/>
                  <w:szCs w:val="24"/>
                  <w:lang w:bidi="en-US"/>
                </w:rPr>
              </w:pPr>
              <w:r>
                <w:rPr>
                  <w:rFonts w:eastAsia="Andale Sans UI" w:cs="Tahoma"/>
                  <w:szCs w:val="24"/>
                  <w:lang w:bidi="en-US"/>
                </w:rPr>
                <w:t>2027-2028 m. – 112,1 tūkst. eurų padidėjimas kasmet</w:t>
              </w:r>
              <w:r>
                <w:rPr>
                  <w:rFonts w:eastAsia="Andale Sans UI" w:cs="Tahoma"/>
                  <w:szCs w:val="24"/>
                  <w:vertAlign w:val="superscript"/>
                  <w:lang w:bidi="en-US"/>
                </w:rPr>
                <w:t>19</w:t>
              </w:r>
              <w:r>
                <w:rPr>
                  <w:rFonts w:eastAsia="Andale Sans UI" w:cs="Tahoma"/>
                  <w:szCs w:val="24"/>
                  <w:lang w:bidi="en-US"/>
                </w:rPr>
                <w:t xml:space="preserve">; </w:t>
              </w:r>
            </w:p>
            <w:p>
              <w:pPr>
                <w:ind w:firstLine="567"/>
                <w:jc w:val="both"/>
                <w:rPr>
                  <w:rFonts w:eastAsia="Andale Sans UI" w:cs="Tahoma"/>
                  <w:szCs w:val="24"/>
                  <w:lang w:bidi="en-US"/>
                </w:rPr>
              </w:pPr>
              <w:r>
                <w:rPr>
                  <w:rFonts w:eastAsia="Andale Sans UI" w:cs="Tahoma"/>
                  <w:szCs w:val="24"/>
                  <w:lang w:bidi="en-US"/>
                </w:rPr>
                <w:t xml:space="preserve">2029 m. – 160,2 tūkst. eurų sumažėjimas; </w:t>
              </w:r>
            </w:p>
            <w:p>
              <w:pPr>
                <w:ind w:firstLine="567"/>
                <w:jc w:val="both"/>
                <w:rPr>
                  <w:rFonts w:eastAsia="Andale Sans UI" w:cs="Tahoma"/>
                  <w:szCs w:val="24"/>
                  <w:lang w:bidi="en-US"/>
                </w:rPr>
              </w:pPr>
              <w:r>
                <w:rPr>
                  <w:rFonts w:eastAsia="Andale Sans UI" w:cs="Tahoma"/>
                  <w:szCs w:val="24"/>
                  <w:lang w:bidi="en-US"/>
                </w:rPr>
                <w:t xml:space="preserve">2030-2035 m. – 140,2 tūkst. eurų sumažėjimas kasmet; </w:t>
              </w:r>
            </w:p>
            <w:p>
              <w:pPr>
                <w:ind w:firstLine="567"/>
                <w:jc w:val="both"/>
                <w:rPr>
                  <w:rFonts w:eastAsia="Andale Sans UI" w:cs="Tahoma"/>
                  <w:szCs w:val="24"/>
                  <w:lang w:bidi="en-US"/>
                </w:rPr>
              </w:pPr>
              <w:r>
                <w:rPr>
                  <w:rFonts w:eastAsia="Andale Sans UI" w:cs="Tahoma"/>
                  <w:szCs w:val="24"/>
                  <w:lang w:bidi="en-US"/>
                </w:rPr>
                <w:t>2036-2040 m. – 64,6 tūkst. eurų sumažėjimas kasmet.</w:t>
              </w:r>
            </w:p>
          </w:sdtContent>
        </w:sdt>
        <w:sdt>
          <w:sdtPr>
            <w:alias w:val="4 p."/>
            <w:tag w:val="part_d3b467de0a154ad89e2cf8431eb5f5ba"/>
            <w:lock w:val="sdtLocked"/>
            <w:richText/>
          </w:sdtPr>
          <w:sdtContent>
            <w:p>
              <w:pPr>
                <w:ind w:firstLine="567"/>
                <w:jc w:val="both"/>
                <w:rPr>
                  <w:b/>
                  <w:bCs/>
                  <w:szCs w:val="24"/>
                  <w:lang w:eastAsia="lt-LT" w:bidi="en-US"/>
                </w:rPr>
              </w:pPr>
              <w:sdt>
                <w:sdtPr>
                  <w:alias w:val="Numeris"/>
                  <w:tag w:val="nr_d3b467de0a154ad89e2cf8431eb5f5ba"/>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1"/>
              </w:r>
              <w:r>
                <w:rPr>
                  <w:b/>
                  <w:bCs/>
                  <w:szCs w:val="24"/>
                  <w:lang w:eastAsia="lt-LT" w:bidi="en-US"/>
                </w:rPr>
                <w:t xml:space="preserve"> nuostatų įgyvendinimas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Devynioliktosios Lietuvos Respublikos Vyriausybės programai.</w:t>
              </w:r>
            </w:p>
          </w:sdtContent>
        </w:sdt>
        <w:sdt>
          <w:sdtPr>
            <w:alias w:val="5 p."/>
            <w:tag w:val="part_f048ee4fd0894312bd839548e19a4ee4"/>
            <w:lock w:val="sdtLocked"/>
            <w:richText/>
          </w:sdtPr>
          <w:sdtContent>
            <w:p>
              <w:pPr>
                <w:ind w:firstLine="567"/>
                <w:jc w:val="both"/>
                <w:rPr>
                  <w:rFonts w:eastAsia="Andale Sans UI" w:cs="Tahoma"/>
                  <w:szCs w:val="24"/>
                  <w:lang w:bidi="en-US"/>
                </w:rPr>
              </w:pPr>
              <w:sdt>
                <w:sdtPr>
                  <w:alias w:val="Numeris"/>
                  <w:tag w:val="nr_f048ee4fd0894312bd839548e19a4ee4"/>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22"/>
              </w:r>
            </w:p>
            <w:p>
              <w:pPr>
                <w:widowControl w:val="0"/>
                <w:ind w:firstLine="567"/>
                <w:jc w:val="both"/>
                <w:rPr>
                  <w:b/>
                  <w:bCs/>
                  <w:i/>
                  <w:iCs/>
                  <w:szCs w:val="24"/>
                  <w:lang w:eastAsia="lt-LT"/>
                </w:rPr>
              </w:pPr>
              <w:r>
                <w:rPr>
                  <w:rFonts w:ascii="MS Gothic" w:eastAsia="MS Gothic" w:hAnsi="MS Gothic"/>
                  <w:szCs w:val="24"/>
                  <w:lang w:bidi="en-US"/>
                </w:rPr>
                <w:t>☒</w:t>
              </w:r>
              <w:r>
                <w:rPr>
                  <w:rFonts w:eastAsia="Andale Sans UI"/>
                  <w:szCs w:val="24"/>
                  <w:lang w:bidi="en-US"/>
                </w:rPr>
                <w:t xml:space="preserve"> Atliktas Projekto numatomo teisinio reguliavimo poveikio vertinimas.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deb90f1354d1491c9628ef19307be902"/>
            <w:lock w:val="sdtLocked"/>
            <w:richText/>
          </w:sdtPr>
          <w:sdtContent>
            <w:p>
              <w:pPr>
                <w:ind w:firstLine="567"/>
                <w:jc w:val="both"/>
                <w:rPr>
                  <w:rFonts w:eastAsia="Andale Sans UI" w:cs="Tahoma"/>
                  <w:szCs w:val="24"/>
                  <w:lang w:bidi="en-US"/>
                </w:rPr>
              </w:pPr>
              <w:sdt>
                <w:sdtPr>
                  <w:alias w:val="Numeris"/>
                  <w:tag w:val="nr_deb90f1354d1491c9628ef19307be902"/>
                  <w:lock w:val="sdtLocked"/>
                  <w:richText/>
                </w:sdtPr>
                <w:sdtContent>
                  <w:r>
                    <w:rPr>
                      <w:b/>
                      <w:bCs/>
                      <w:szCs w:val="24"/>
                      <w:lang w:eastAsia="lt-LT" w:bidi="en-US"/>
                    </w:rPr>
                    <w:t>6</w:t>
                  </w:r>
                </w:sdtContent>
              </w:sdt>
              <w:r>
                <w:rPr>
                  <w:b/>
                  <w:bCs/>
                  <w:szCs w:val="24"/>
                  <w:lang w:eastAsia="lt-LT" w:bidi="en-US"/>
                </w:rPr>
                <w:t>. Europos Sąjungos teisės aktų perkėlimas ir (ar) įgyvendinimas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perkeliamos (</w:t>
              </w:r>
              <w:r>
                <w:rPr>
                  <w:rFonts w:eastAsia="Andale Sans UI"/>
                  <w:i/>
                  <w:iCs/>
                  <w:szCs w:val="24"/>
                  <w:lang w:bidi="en-US"/>
                </w:rPr>
                <w:t>dėl Direktyvų</w:t>
              </w:r>
              <w:r>
                <w:rPr>
                  <w:rFonts w:eastAsia="Andale Sans UI"/>
                  <w:szCs w:val="24"/>
                  <w:lang w:bidi="en-US"/>
                </w:rPr>
                <w:t>) ir (ar) įgyvendinamos (</w:t>
              </w:r>
              <w:r>
                <w:rPr>
                  <w:rFonts w:eastAsia="Andale Sans UI"/>
                  <w:i/>
                  <w:iCs/>
                  <w:szCs w:val="24"/>
                  <w:lang w:bidi="en-US"/>
                </w:rPr>
                <w:t>dėl Reglamentų ir Sprendimų</w:t>
              </w:r>
              <w:r>
                <w:rPr>
                  <w:rFonts w:eastAsia="Andale Sans UI"/>
                  <w:szCs w:val="24"/>
                  <w:lang w:bidi="en-US"/>
                </w:rPr>
                <w:t>) šios Europos Sąjungos teisės aktų nuostatos: (</w:t>
              </w:r>
              <w:r>
                <w:rPr>
                  <w:rFonts w:eastAsia="Andale Sans UI"/>
                  <w:i/>
                  <w:iCs/>
                  <w:szCs w:val="24"/>
                  <w:lang w:bidi="en-US"/>
                </w:rPr>
                <w:t>išvardijama</w:t>
              </w:r>
              <w:r>
                <w:rPr>
                  <w:rFonts w:eastAsia="Andale Sans UI"/>
                  <w:szCs w:val="24"/>
                  <w:lang w:bidi="en-US"/>
                </w:rPr>
                <w:t>).</w:t>
              </w:r>
              <w:r>
                <w:rPr>
                  <w:rFonts w:eastAsia="Andale Sans UI"/>
                  <w:i/>
                  <w:iCs/>
                  <w:szCs w:val="24"/>
                  <w:lang w:bidi="en-US"/>
                </w:rPr>
                <w:t xml:space="preserve"> </w:t>
              </w:r>
              <w:r>
                <w:rPr>
                  <w:rFonts w:eastAsia="Andale Sans UI"/>
                  <w:szCs w:val="24"/>
                  <w:lang w:bidi="en-US"/>
                </w:rPr>
                <w:t>(</w:t>
              </w:r>
              <w:r>
                <w:rPr>
                  <w:rFonts w:eastAsia="Andale Sans UI"/>
                  <w:i/>
                  <w:iCs/>
                  <w:szCs w:val="24"/>
                  <w:lang w:bidi="en-US"/>
                </w:rPr>
                <w:t>Taip pat nurodomi kiti su Projektu susiję tiesiogiai taikomi Europos Sąjungos teisės aktai, kai jie nėra įgyvendinami.</w:t>
              </w:r>
              <w:r>
                <w:rPr>
                  <w:rFonts w:eastAsia="Andale Sans UI"/>
                  <w:szCs w:val="24"/>
                  <w:lang w:bidi="en-US"/>
                </w:rPr>
                <w:t>)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bidi="en-US"/>
                </w:rPr>
                <w:footnoteReference w:id="23"/>
              </w:r>
              <w:r>
                <w:rPr>
                  <w:rFonts w:eastAsia="Andale Sans UI"/>
                  <w:i/>
                  <w:iCs/>
                  <w:szCs w:val="24"/>
                  <w:lang w:bidi="en-US"/>
                </w:rPr>
                <w:t xml:space="preserve">. </w:t>
              </w:r>
              <w:r>
                <w:rPr>
                  <w:rFonts w:eastAsia="Andale Sans UI"/>
                  <w:szCs w:val="24"/>
                  <w:lang w:bidi="en-US"/>
                </w:rPr>
                <w:t>Siekiant užtikrinti visišką susijusių Europos Sąjungos teisės aktų perkėlimą ir (ar) įgyvendinimą, reikės priimti </w:t>
              </w:r>
              <w:r>
                <w:rPr>
                  <w:rFonts w:eastAsia="Andale Sans UI"/>
                  <w:i/>
                  <w:iCs/>
                  <w:szCs w:val="24"/>
                  <w:lang w:bidi="en-US"/>
                </w:rPr>
                <w:t>...</w:t>
              </w:r>
              <w:r>
                <w:rPr>
                  <w:rFonts w:eastAsia="Andale Sans UI"/>
                  <w:szCs w:val="24"/>
                  <w:lang w:bidi="en-US"/>
                </w:rPr>
                <w:t>(</w:t>
              </w:r>
              <w:r>
                <w:rPr>
                  <w:rFonts w:eastAsia="Andale Sans UI"/>
                  <w:i/>
                  <w:iCs/>
                  <w:szCs w:val="24"/>
                  <w:lang w:bidi="en-US"/>
                </w:rPr>
                <w:t>išvardijami Lietuvos Respublikos teisės aktai, kuriuos reikės priimti</w:t>
              </w:r>
              <w:r>
                <w:rPr>
                  <w:rFonts w:eastAsia="Andale Sans UI"/>
                  <w:szCs w:val="24"/>
                  <w:lang w:bidi="en-US"/>
                </w:rPr>
                <w:t>) (</w:t>
              </w:r>
              <w:r>
                <w:rPr>
                  <w:rFonts w:eastAsia="Andale Sans UI"/>
                  <w:b/>
                  <w:bCs/>
                  <w:szCs w:val="24"/>
                  <w:lang w:bidi="en-US"/>
                </w:rPr>
                <w:t>arba</w:t>
              </w:r>
              <w:r>
                <w:rPr>
                  <w:rFonts w:eastAsia="Andale Sans UI"/>
                  <w:szCs w:val="24"/>
                  <w:lang w:bidi="en-US"/>
                </w:rPr>
                <w:t xml:space="preserve"> Siekiant užtikrinti visišką susijusių Europos Sąjungos teisės aktų perkėlimą ir (ar) įgyvendinimą, kitų teisės aktų priimti nereikės).</w:t>
              </w:r>
            </w:p>
          </w:sdtContent>
        </w:sdt>
        <w:sdt>
          <w:sdtPr>
            <w:alias w:val="7 p."/>
            <w:tag w:val="part_060e65d9967b439599ebf819c73dbd25"/>
            <w:lock w:val="sdtLocked"/>
            <w:richText/>
          </w:sdtPr>
          <w:sdtContent>
            <w:p>
              <w:pPr>
                <w:ind w:firstLine="567"/>
                <w:jc w:val="both"/>
                <w:rPr>
                  <w:rFonts w:eastAsia="Andale Sans UI" w:cs="Tahoma"/>
                  <w:szCs w:val="24"/>
                  <w:lang w:bidi="en-US"/>
                </w:rPr>
              </w:pPr>
              <w:sdt>
                <w:sdtPr>
                  <w:alias w:val="Numeris"/>
                  <w:tag w:val="nr_060e65d9967b439599ebf819c73dbd25"/>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24"/>
              </w:r>
              <w:r>
                <w:rPr>
                  <w:rFonts w:eastAsia="Andale Sans UI"/>
                  <w:b/>
                  <w:bCs/>
                  <w:szCs w:val="24"/>
                  <w:lang w:bidi="en-US"/>
                </w:rPr>
                <w:t xml:space="preserve"> Europos Komisijai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ad7fa55648f44d569bfa30d59ccdeae0"/>
            <w:lock w:val="sdtLocked"/>
            <w:richText/>
          </w:sdtPr>
          <w:sdtContent>
            <w:p>
              <w:pPr>
                <w:ind w:firstLine="567"/>
                <w:jc w:val="both"/>
                <w:rPr>
                  <w:rFonts w:eastAsia="Andale Sans UI" w:cs="Tahoma"/>
                  <w:color w:val="000000"/>
                  <w:szCs w:val="24"/>
                  <w:lang w:bidi="en-US"/>
                </w:rPr>
              </w:pPr>
              <w:sdt>
                <w:sdtPr>
                  <w:alias w:val="Numeris"/>
                  <w:tag w:val="nr_ad7fa55648f44d569bfa30d59ccdeae0"/>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25"/>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fa3d09a790774e088274f5664c89bc9a"/>
            <w:lock w:val="sdtLocked"/>
            <w:richText/>
          </w:sdtPr>
          <w:sdtContent>
            <w:p>
              <w:pPr>
                <w:ind w:firstLine="567"/>
                <w:jc w:val="both"/>
                <w:rPr>
                  <w:rFonts w:eastAsia="Andale Sans UI"/>
                  <w:b/>
                  <w:bCs/>
                  <w:szCs w:val="24"/>
                  <w:lang w:bidi="en-US"/>
                </w:rPr>
              </w:pPr>
              <w:sdt>
                <w:sdtPr>
                  <w:alias w:val="Numeris"/>
                  <w:tag w:val="nr_fa3d09a790774e088274f5664c89bc9a"/>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3cc117fc58af4416972f5eb5b2d50239"/>
            <w:lock w:val="sdtLocked"/>
            <w:richText/>
          </w:sdtPr>
          <w:sdtContent>
            <w:p>
              <w:pPr>
                <w:ind w:firstLine="567"/>
                <w:jc w:val="both"/>
                <w:rPr>
                  <w:rFonts w:eastAsia="Andale Sans UI"/>
                  <w:b/>
                  <w:bCs/>
                  <w:szCs w:val="24"/>
                  <w:lang w:bidi="en-US"/>
                </w:rPr>
              </w:pPr>
              <w:sdt>
                <w:sdtPr>
                  <w:alias w:val="Numeris"/>
                  <w:tag w:val="nr_3cc117fc58af4416972f5eb5b2d50239"/>
                  <w:lock w:val="sdtLocked"/>
                  <w:richText/>
                </w:sdtPr>
                <w:sdtContent>
                  <w:r>
                    <w:rPr>
                      <w:rFonts w:eastAsia="Andale Sans UI"/>
                      <w:b/>
                      <w:bCs/>
                      <w:szCs w:val="24"/>
                      <w:lang w:bidi="en-US"/>
                    </w:rPr>
                    <w:t>10</w:t>
                  </w:r>
                </w:sdtContent>
              </w:sdt>
              <w:r>
                <w:rPr>
                  <w:rFonts w:eastAsia="Andale Sans UI"/>
                  <w:b/>
                  <w:bCs/>
                  <w:szCs w:val="24"/>
                  <w:lang w:bidi="en-US"/>
                </w:rPr>
                <w:t>. Informacija apie sąvokų įvertinimą Lietuvos Respublikos terminų banko įstatymo ir jo įgyvendinamųjų teisės aktų nustatyta tvarka</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MS Gothic" w:eastAsia="MS Gothic" w:hAnsi="MS Gothic"/>
                  <w:szCs w:val="24"/>
                  <w:lang w:bidi="en-US"/>
                </w:rPr>
                <w:t>☒</w:t>
              </w:r>
              <w:r>
                <w:rPr>
                  <w:rFonts w:eastAsia="Andale Sans UI"/>
                  <w:szCs w:val="24"/>
                  <w:lang w:bidi="en-US"/>
                </w:rPr>
                <w:t xml:space="preserve"> Projekte</w:t>
              </w:r>
              <w:r>
                <w:rPr>
                  <w:rFonts w:eastAsia="Andale Sans UI"/>
                  <w:color w:val="000000"/>
                  <w:szCs w:val="24"/>
                  <w:lang w:bidi="en-US"/>
                </w:rPr>
                <w:t xml:space="preserve"> vartojamos sąvokos aprobuotos Lietuvos Respublikos terminų banko įstatymo ir jo įgyvendinamųjų teisės aktų nustatyta tvarka. </w:t>
              </w:r>
            </w:p>
          </w:sdtContent>
        </w:sdt>
        <w:sdt>
          <w:sdtPr>
            <w:alias w:val="11 p."/>
            <w:tag w:val="part_dbaabee8105d4c9ebd0db848ec93219a"/>
            <w:lock w:val="sdtLocked"/>
            <w:richText/>
          </w:sdtPr>
          <w:sdtContent>
            <w:p>
              <w:pPr>
                <w:ind w:firstLine="567"/>
                <w:jc w:val="both"/>
                <w:rPr>
                  <w:rFonts w:eastAsia="Andale Sans UI"/>
                  <w:b/>
                  <w:bCs/>
                  <w:szCs w:val="24"/>
                  <w:lang w:bidi="en-US"/>
                </w:rPr>
              </w:pPr>
              <w:sdt>
                <w:sdtPr>
                  <w:alias w:val="Numeris"/>
                  <w:tag w:val="nr_dbaabee8105d4c9ebd0db848ec93219a"/>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iCs/>
                  <w:color w:val="000000"/>
                  <w:szCs w:val="24"/>
                  <w:lang w:eastAsia="lt-LT" w:bidi="en-US"/>
                </w:rPr>
              </w:pPr>
              <w:r>
                <w:rPr>
                  <w:rFonts w:eastAsia="Andale Sans UI"/>
                  <w:szCs w:val="24"/>
                  <w:lang w:bidi="en-US"/>
                </w:rPr>
                <w:t>Projekte</w:t>
              </w:r>
              <w:r>
                <w:rPr>
                  <w:rFonts w:eastAsia="Andale Sans UI"/>
                  <w:color w:val="000000"/>
                  <w:szCs w:val="24"/>
                  <w:lang w:bidi="en-US"/>
                </w:rPr>
                <w:t xml:space="preserve"> nereglamentuojamas asmens duomenų naudojimas</w:t>
              </w:r>
              <w:r>
                <w:rPr>
                  <w:iCs/>
                  <w:color w:val="000000"/>
                  <w:szCs w:val="24"/>
                  <w:lang w:eastAsia="lt-LT" w:bidi="en-US"/>
                </w:rPr>
                <w:t>.</w:t>
              </w:r>
            </w:p>
          </w:sdtContent>
        </w:sdt>
        <w:sdt>
          <w:sdtPr>
            <w:alias w:val="12 p."/>
            <w:tag w:val="part_51d073e0ca8543e980f079f312af8902"/>
            <w:lock w:val="sdtLocked"/>
            <w:richText/>
          </w:sdtPr>
          <w:sdtContent>
            <w:p>
              <w:pPr>
                <w:ind w:firstLine="567"/>
                <w:jc w:val="both"/>
                <w:rPr>
                  <w:rFonts w:eastAsia="Andale Sans UI"/>
                  <w:b/>
                  <w:bCs/>
                  <w:i/>
                  <w:color w:val="000000"/>
                  <w:szCs w:val="24"/>
                  <w:lang w:bidi="en-US"/>
                </w:rPr>
              </w:pPr>
              <w:sdt>
                <w:sdtPr>
                  <w:alias w:val="Numeris"/>
                  <w:tag w:val="nr_51d073e0ca8543e980f079f312af8902"/>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26"/>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Projektas</w:t>
              </w:r>
              <w:r>
                <w:rPr>
                  <w:rFonts w:eastAsia="Andale Sans UI"/>
                  <w:color w:val="000000"/>
                  <w:szCs w:val="24"/>
                  <w:lang w:bidi="en-US"/>
                </w:rPr>
                <w:t xml:space="preserve"> viešosioms konsultacijoms skelbti interneto svetainėje epilietis.lrv.lt,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Projekto</w:t>
              </w:r>
              <w:r>
                <w:rPr>
                  <w:rFonts w:eastAsia="Andale Sans UI"/>
                  <w:color w:val="000000"/>
                  <w:szCs w:val="24"/>
                  <w:lang w:bidi="en-US"/>
                </w:rPr>
                <w:t xml:space="preserve"> skelbti viešosioms konsultacijoms interneto svetainėje epilietis.lrv.lt </w:t>
              </w:r>
              <w:r>
                <w:rPr>
                  <w:color w:val="000000"/>
                  <w:szCs w:val="24"/>
                  <w:lang w:eastAsia="lt-LT" w:bidi="en-US"/>
                </w:rPr>
                <w:t>neplanuojama.</w:t>
              </w:r>
            </w:p>
          </w:sdtContent>
        </w:sdt>
        <w:sdt>
          <w:sdtPr>
            <w:alias w:val="13 p."/>
            <w:tag w:val="part_4e75d2080362475593557717875ea65e"/>
            <w:lock w:val="sdtLocked"/>
            <w:richText/>
          </w:sdtPr>
          <w:sdtContent>
            <w:p>
              <w:pPr>
                <w:ind w:firstLine="567"/>
                <w:jc w:val="both"/>
                <w:rPr>
                  <w:rFonts w:eastAsia="Andale Sans UI"/>
                  <w:b/>
                  <w:bCs/>
                  <w:szCs w:val="24"/>
                  <w:lang w:bidi="en-US"/>
                </w:rPr>
              </w:pPr>
              <w:sdt>
                <w:sdtPr>
                  <w:alias w:val="Numeris"/>
                  <w:tag w:val="nr_4e75d2080362475593557717875ea65e"/>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2023 m. gruodžio 19 d. derintas su suinteresuotomis institucijomis (TAIS Nr. 23-18695). Pastabas ir pasiūlymus projektui pateikė Ekonomikos ir inovacijų ministerija, Teisingumo ministerija, Lietuvos šilumos tiekėjų asociacija. Institucijų pastabos, į kurias neatsižvelgta ar atsižvelgta iš dalies, pateiktos derinimo pažymoje su motyvais.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Derinimo terminas: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12 darbo dienų.</w:t>
              </w:r>
            </w:p>
            <w:p>
              <w:pPr>
                <w:ind w:firstLine="567"/>
                <w:jc w:val="both"/>
                <w:rPr>
                  <w:szCs w:val="24"/>
                  <w:lang w:eastAsia="lt-LT"/>
                </w:rPr>
              </w:pPr>
              <w:r>
                <w:rPr>
                  <w:rFonts w:ascii="Segoe UI Symbol" w:eastAsia="MS Gothic" w:hAnsi="Segoe UI Symbol" w:cs="Segoe UI Symbol"/>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27"/>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p>
          </w:sdtContent>
        </w:sdt>
        <w:sdt>
          <w:sdtPr>
            <w:alias w:val="14 p."/>
            <w:tag w:val="part_88b7ad1ab48b4ff4805c3bed174d5a7a"/>
            <w:lock w:val="sdtLocked"/>
            <w:richText/>
          </w:sdtPr>
          <w:sdtContent>
            <w:p>
              <w:pPr>
                <w:ind w:firstLine="567"/>
                <w:jc w:val="both"/>
                <w:rPr>
                  <w:rFonts w:eastAsia="Andale Sans UI"/>
                  <w:b/>
                  <w:bCs/>
                  <w:szCs w:val="24"/>
                  <w:lang w:bidi="en-US"/>
                </w:rPr>
              </w:pPr>
              <w:sdt>
                <w:sdtPr>
                  <w:alias w:val="Numeris"/>
                  <w:tag w:val="nr_88b7ad1ab48b4ff4805c3bed174d5a7a"/>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cs="Tahoma"/>
                  <w:szCs w:val="24"/>
                  <w:lang w:bidi="en-US"/>
                </w:rPr>
              </w:pPr>
              <w:r>
                <w:rPr>
                  <w:rFonts w:eastAsia="Andale Sans UI" w:cs="Tahoma"/>
                  <w:szCs w:val="24"/>
                  <w:lang w:bidi="en-US"/>
                </w:rPr>
                <w:t xml:space="preserve">Įsakymo projektą parengė Aplinkos ministerijos Taršos prevencijos politikos grupės (vadovas – Vitalijus Auglys, tel. +370 686 46 087, el. p. </w:t>
              </w:r>
              <w:r>
                <w:rPr>
                  <w:rFonts w:eastAsia="Andale Sans UI" w:cs="Tahoma"/>
                  <w:color w:val="000080"/>
                  <w:szCs w:val="24"/>
                  <w:u w:val="single"/>
                  <w:lang w:bidi="en-US"/>
                </w:rPr>
                <w:t>vitalijus.auglys@am.lt,</w:t>
              </w:r>
              <w:r>
                <w:rPr>
                  <w:rFonts w:eastAsia="Andale Sans UI" w:cs="Tahoma"/>
                  <w:szCs w:val="24"/>
                  <w:lang w:bidi="en-US"/>
                </w:rPr>
                <w:t xml:space="preserve"> vyresnioji patarėja – Elena Auglienė, tel. +370 645 22 458, el. p. elena.augliene@am.lt) patarėjas Paulius Žvirblis (tel. +370 695 28 551, el. p. </w:t>
              </w:r>
              <w:r>
                <w:rPr>
                  <w:rFonts w:eastAsia="Andale Sans UI" w:cs="Tahoma"/>
                  <w:color w:val="000080"/>
                  <w:szCs w:val="24"/>
                  <w:u w:val="single"/>
                  <w:lang w:bidi="en-US"/>
                </w:rPr>
                <w:t>paulius.zvirblis@am.lt)</w:t>
              </w:r>
              <w:r>
                <w:rPr>
                  <w:rFonts w:eastAsia="Andale Sans UI" w:cs="Tahoma"/>
                  <w:szCs w:val="24"/>
                  <w:lang w:bidi="en-US"/>
                </w:rPr>
                <w:t>.</w:t>
              </w:r>
            </w:p>
            <w:p>
              <w:pPr>
                <w:ind w:firstLine="567"/>
                <w:jc w:val="both"/>
                <w:rPr>
                  <w:rFonts w:eastAsia="Andale Sans UI"/>
                  <w:szCs w:val="24"/>
                  <w:lang w:bidi="en-US"/>
                </w:rPr>
              </w:pPr>
              <w:r>
                <w:rPr>
                  <w:rFonts w:eastAsia="Andale Sans UI"/>
                  <w:szCs w:val="24"/>
                  <w:lang w:bidi="en-US"/>
                </w:rPr>
                <w:t>PRIDEDAMA:</w:t>
              </w:r>
            </w:p>
          </w:sdtContent>
        </w:sdt>
        <w:sdt>
          <w:sdtPr>
            <w:alias w:val="1 p."/>
            <w:tag w:val="part_1a4e485f345a4518b59cbef0bfedf666"/>
            <w:lock w:val="sdtLocked"/>
            <w:richText/>
          </w:sdtPr>
          <w:sdtContent>
            <w:p>
              <w:pPr>
                <w:ind w:firstLine="567"/>
                <w:jc w:val="both"/>
                <w:rPr>
                  <w:color w:val="000000"/>
                  <w:szCs w:val="24"/>
                  <w:lang w:eastAsia="lt-LT" w:bidi="en-US"/>
                </w:rPr>
              </w:pPr>
              <w:sdt>
                <w:sdtPr>
                  <w:alias w:val="Numeris"/>
                  <w:tag w:val="nr_1a4e485f345a4518b59cbef0bfedf666"/>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11 lapų.</w:t>
              </w:r>
            </w:p>
          </w:sdtContent>
        </w:sdt>
        <w:sdt>
          <w:sdtPr>
            <w:alias w:val="2 p."/>
            <w:tag w:val="part_5c86642c4da244518e44e5d0d06534ae"/>
            <w:lock w:val="sdtLocked"/>
            <w:richText/>
          </w:sdtPr>
          <w:sdtContent>
            <w:p>
              <w:pPr>
                <w:ind w:firstLine="567"/>
                <w:jc w:val="both"/>
                <w:rPr>
                  <w:color w:val="000000"/>
                  <w:szCs w:val="24"/>
                  <w:lang w:eastAsia="lt-LT" w:bidi="en-US"/>
                </w:rPr>
              </w:pPr>
              <w:sdt>
                <w:sdtPr>
                  <w:alias w:val="Numeris"/>
                  <w:tag w:val="nr_5c86642c4da244518e44e5d0d06534ae"/>
                  <w:lock w:val="sdtLocked"/>
                  <w:richText/>
                </w:sdtPr>
                <w:sdtContent>
                  <w:r>
                    <w:rPr>
                      <w:color w:val="000000"/>
                      <w:szCs w:val="24"/>
                      <w:lang w:eastAsia="lt-LT" w:bidi="en-US"/>
                    </w:rPr>
                    <w:t>2</w:t>
                  </w:r>
                </w:sdtContent>
              </w:sdt>
              <w:r>
                <w:rPr>
                  <w:color w:val="000000"/>
                  <w:szCs w:val="24"/>
                  <w:lang w:eastAsia="lt-LT" w:bidi="en-US"/>
                </w:rPr>
                <w:t>. Projekto lyginamasis variantas, 12 lapų.</w:t>
              </w:r>
            </w:p>
          </w:sdtContent>
        </w:sdt>
        <w:sdt>
          <w:sdtPr>
            <w:alias w:val="3 p."/>
            <w:tag w:val="part_df1a90b4885e4b14bd83c701f338351f"/>
            <w:lock w:val="sdtLocked"/>
            <w:richText/>
          </w:sdtPr>
          <w:sdtContent>
            <w:p>
              <w:pPr>
                <w:ind w:firstLine="567"/>
                <w:jc w:val="both"/>
                <w:rPr>
                  <w:color w:val="000000"/>
                  <w:szCs w:val="24"/>
                  <w:lang w:eastAsia="lt-LT" w:bidi="en-US"/>
                </w:rPr>
              </w:pPr>
              <w:sdt>
                <w:sdtPr>
                  <w:alias w:val="Numeris"/>
                  <w:tag w:val="nr_df1a90b4885e4b14bd83c701f338351f"/>
                  <w:lock w:val="sdtLocked"/>
                  <w:richText/>
                </w:sdtPr>
                <w:sdtContent>
                  <w:r>
                    <w:rPr>
                      <w:color w:val="000000"/>
                      <w:szCs w:val="24"/>
                      <w:lang w:eastAsia="lt-LT" w:bidi="en-US"/>
                    </w:rPr>
                    <w:t>3</w:t>
                  </w:r>
                </w:sdtContent>
              </w:sdt>
              <w:r>
                <w:rPr>
                  <w:color w:val="000000"/>
                  <w:szCs w:val="24"/>
                  <w:lang w:eastAsia="lt-LT" w:bidi="en-US"/>
                </w:rPr>
                <w:t>. Derinimo pažyma, 10 lapų.</w:t>
              </w:r>
            </w:p>
          </w:sdtContent>
        </w:sdt>
        <w:sdt>
          <w:sdtPr>
            <w:alias w:val="4 p."/>
            <w:tag w:val="part_15ec6caa416b4b3cbb0b79636fdff219"/>
            <w:lock w:val="sdtLocked"/>
            <w:richText/>
          </w:sdtPr>
          <w:sdtContent>
            <w:p>
              <w:pPr>
                <w:ind w:firstLine="567"/>
                <w:jc w:val="both"/>
                <w:rPr>
                  <w:color w:val="000000"/>
                  <w:szCs w:val="24"/>
                  <w:lang w:eastAsia="lt-LT" w:bidi="en-US"/>
                </w:rPr>
              </w:pPr>
              <w:sdt>
                <w:sdtPr>
                  <w:alias w:val="Numeris"/>
                  <w:tag w:val="nr_15ec6caa416b4b3cbb0b79636fdff219"/>
                  <w:lock w:val="sdtLocked"/>
                  <w:richText/>
                </w:sdtPr>
                <w:sdtContent>
                  <w:r>
                    <w:rPr>
                      <w:color w:val="000000"/>
                      <w:szCs w:val="24"/>
                      <w:lang w:eastAsia="lt-LT" w:bidi="en-US"/>
                    </w:rPr>
                    <w:t>4</w:t>
                  </w:r>
                </w:sdtContent>
              </w:sdt>
              <w:r>
                <w:rPr>
                  <w:color w:val="000000"/>
                  <w:szCs w:val="24"/>
                  <w:lang w:eastAsia="lt-LT" w:bidi="en-US"/>
                </w:rPr>
                <w:t>. Ūkio subjektų administracinės naštos ir prisitaikymo prie reguliavimo išlaidų vertinimo ataskaita (I dalis) , 5 lapai.</w:t>
              </w:r>
            </w:p>
          </w:sdtContent>
        </w:sdt>
        <w:sdt>
          <w:sdtPr>
            <w:alias w:val="5 p."/>
            <w:tag w:val="part_f8d0445e289e48f18ab770b48bcafe15"/>
            <w:lock w:val="sdtLocked"/>
            <w:richText/>
          </w:sdtPr>
          <w:sdtContent>
            <w:p>
              <w:pPr>
                <w:ind w:firstLine="567"/>
                <w:jc w:val="both"/>
                <w:rPr>
                  <w:color w:val="000000"/>
                  <w:szCs w:val="24"/>
                  <w:lang w:eastAsia="lt-LT" w:bidi="en-US"/>
                </w:rPr>
              </w:pPr>
              <w:sdt>
                <w:sdtPr>
                  <w:alias w:val="Numeris"/>
                  <w:tag w:val="nr_f8d0445e289e48f18ab770b48bcafe15"/>
                  <w:lock w:val="sdtLocked"/>
                  <w:richText/>
                </w:sdtPr>
                <w:sdtContent>
                  <w:r>
                    <w:rPr>
                      <w:color w:val="000000"/>
                      <w:szCs w:val="24"/>
                      <w:lang w:eastAsia="lt-LT" w:bidi="en-US"/>
                    </w:rPr>
                    <w:t>5</w:t>
                  </w:r>
                </w:sdtContent>
              </w:sdt>
              <w:r>
                <w:rPr>
                  <w:color w:val="000000"/>
                  <w:szCs w:val="24"/>
                  <w:lang w:eastAsia="lt-LT" w:bidi="en-US"/>
                </w:rPr>
                <w:t>. Ūkio subjektų administracinės naštos ir prisitaikymo prie reguliavimo išlaidų vertinimo ataskaita (II dalis), 5 lapai.</w:t>
              </w:r>
            </w:p>
          </w:sdtContent>
        </w:sdt>
        <w:sdt>
          <w:sdtPr>
            <w:alias w:val="6 p."/>
            <w:tag w:val="part_819d782219784fa497ee4275dc2b737a"/>
            <w:lock w:val="sdtLocked"/>
            <w:richText/>
          </w:sdtPr>
          <w:sdtContent>
            <w:p>
              <w:pPr>
                <w:ind w:firstLine="567"/>
                <w:jc w:val="both"/>
                <w:rPr>
                  <w:color w:val="000000"/>
                  <w:szCs w:val="24"/>
                  <w:lang w:eastAsia="lt-LT" w:bidi="en-US"/>
                </w:rPr>
              </w:pPr>
              <w:sdt>
                <w:sdtPr>
                  <w:alias w:val="Numeris"/>
                  <w:tag w:val="nr_819d782219784fa497ee4275dc2b737a"/>
                  <w:lock w:val="sdtLocked"/>
                  <w:richText/>
                </w:sdtPr>
                <w:sdtContent>
                  <w:r>
                    <w:rPr>
                      <w:color w:val="000000"/>
                      <w:szCs w:val="24"/>
                      <w:lang w:eastAsia="lt-LT" w:bidi="en-US"/>
                    </w:rPr>
                    <w:t>6</w:t>
                  </w:r>
                </w:sdtContent>
              </w:sdt>
              <w:r>
                <w:rPr>
                  <w:color w:val="000000"/>
                  <w:szCs w:val="24"/>
                  <w:lang w:eastAsia="lt-LT" w:bidi="en-US"/>
                </w:rPr>
                <w:t>. Projekto antikorupcinio vertinimo pažyma, 6 lapai.</w:t>
              </w:r>
            </w:p>
            <w:p>
              <w:pPr>
                <w:ind w:firstLine="567"/>
                <w:jc w:val="both"/>
                <w:rPr>
                  <w:color w:val="000000"/>
                  <w:szCs w:val="24"/>
                  <w:lang w:eastAsia="lt-LT" w:bidi="en-US"/>
                </w:rPr>
              </w:pPr>
            </w:p>
            <w:p>
              <w:pPr>
                <w:suppressLineNumbers/>
                <w:jc w:val="both"/>
                <w:rPr>
                  <w:rFonts w:eastAsia="Andale Sans UI"/>
                  <w:bCs/>
                  <w:szCs w:val="24"/>
                  <w:lang w:bidi="en-US"/>
                </w:rPr>
              </w:pPr>
            </w:p>
            <w:p>
              <w:pPr>
                <w:suppressLineNumbers/>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cs="Tahoma"/>
                              <w:szCs w:val="24"/>
                              <w:lang w:bidi="en-US"/>
                            </w:rPr>
                          </w:pPr>
                          <w:r>
                            <w:rPr>
                              <w:rFonts w:eastAsia="Andale Sans UI" w:cs="Tahoma"/>
                              <w:szCs w:val="24"/>
                              <w:lang w:bidi="en-US"/>
                            </w:rPr>
                            <w:t>Ministerijos kanclerė</w:t>
                          </w:r>
                        </w:p>
                      </w:tc>
                      <w:tc>
                        <w:tcPr>
                          <w:tcW w:w="4826" w:type="dxa"/>
                          <w:vAlign w:val="bottom"/>
                        </w:tcPr>
                        <w:p>
                          <w:pPr>
                            <w:ind w:right="34"/>
                            <w:jc w:val="right"/>
                            <w:rPr>
                              <w:rFonts w:eastAsia="Andale Sans UI" w:cs="Tahoma"/>
                              <w:szCs w:val="24"/>
                              <w:lang w:bidi="en-US"/>
                            </w:rPr>
                          </w:pPr>
                        </w:p>
                      </w:tc>
                    </w:tr>
                  </w:tbl>
                  <w:p>
                    <w:pPr>
                      <w:suppressLineNumbers/>
                      <w:jc w:val="both"/>
                      <w:rPr>
                        <w:rFonts w:eastAsia="Andale Sans UI"/>
                        <w:szCs w:val="24"/>
                        <w:lang w:bidi="en-US"/>
                      </w:rPr>
                    </w:pPr>
                  </w:p>
                </w:tc>
                <w:tc>
                  <w:tcPr>
                    <w:tcW w:w="4826" w:type="dxa"/>
                    <w:vAlign w:val="bottom"/>
                  </w:tcPr>
                  <w:p>
                    <w:pPr>
                      <w:ind w:right="34"/>
                      <w:jc w:val="right"/>
                      <w:rPr>
                        <w:rFonts w:eastAsia="Andale Sans UI"/>
                        <w:szCs w:val="24"/>
                        <w:lang w:bidi="en-US"/>
                      </w:rPr>
                    </w:pPr>
                    <w:r>
                      <w:rPr>
                        <w:rFonts w:eastAsia="Andale Sans UI"/>
                        <w:szCs w:val="24"/>
                        <w:lang w:bidi="en-US"/>
                      </w:rPr>
                      <w:t>Sigita Vasiljevaitė</w:t>
                    </w:r>
                  </w:p>
                </w:tc>
              </w:tr>
              <w:tr>
                <w:trPr>
                  <w:trHeight w:val="340"/>
                </w:trPr>
                <w:tc>
                  <w:tcPr>
                    <w:tcW w:w="4817" w:type="dxa"/>
                    <w:vAlign w:val="bottom"/>
                  </w:tcPr>
                  <w:p>
                    <w:pPr>
                      <w:suppressLineNumbers/>
                      <w:jc w:val="both"/>
                      <w:rPr>
                        <w:rFonts w:eastAsia="Andale Sans UI"/>
                        <w:szCs w:val="24"/>
                        <w:lang w:bidi="en-US"/>
                      </w:rPr>
                    </w:pPr>
                  </w:p>
                </w:tc>
                <w:tc>
                  <w:tcPr>
                    <w:tcW w:w="4826" w:type="dxa"/>
                    <w:vAlign w:val="bottom"/>
                  </w:tcPr>
                  <w:p>
                    <w:pPr>
                      <w:ind w:right="34"/>
                      <w:jc w:val="right"/>
                      <w:rPr>
                        <w:rFonts w:eastAsia="Andale Sans UI"/>
                        <w:szCs w:val="24"/>
                        <w:lang w:bidi="en-US"/>
                      </w:rPr>
                    </w:pPr>
                  </w:p>
                </w:tc>
              </w:tr>
              <w:tr>
                <w:trPr>
                  <w:trHeight w:val="340"/>
                </w:trPr>
                <w:tc>
                  <w:tcPr>
                    <w:tcW w:w="4817" w:type="dxa"/>
                    <w:vAlign w:val="bottom"/>
                  </w:tcPr>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tc>
                <w:tc>
                  <w:tcPr>
                    <w:tcW w:w="4826" w:type="dxa"/>
                    <w:vAlign w:val="bottom"/>
                  </w:tcPr>
                  <w:p>
                    <w:pPr>
                      <w:ind w:right="34"/>
                      <w:jc w:val="right"/>
                      <w:rPr>
                        <w:rFonts w:eastAsia="Andale Sans UI"/>
                        <w:szCs w:val="24"/>
                        <w:lang w:bidi="en-US"/>
                      </w:rPr>
                    </w:pPr>
                  </w:p>
                  <w:p>
                    <w:pPr>
                      <w:ind w:right="34"/>
                      <w:jc w:val="right"/>
                      <w:rPr>
                        <w:rFonts w:eastAsia="Andale Sans UI"/>
                        <w:szCs w:val="24"/>
                        <w:lang w:bidi="en-US"/>
                      </w:rPr>
                    </w:pPr>
                  </w:p>
                  <w:p>
                    <w:pPr>
                      <w:ind w:right="34"/>
                      <w:jc w:val="right"/>
                      <w:rPr>
                        <w:rFonts w:eastAsia="Andale Sans UI"/>
                        <w:szCs w:val="24"/>
                        <w:lang w:bidi="en-US"/>
                      </w:rPr>
                    </w:pPr>
                  </w:p>
                </w:tc>
              </w:tr>
              <w:tr>
                <w:trPr>
                  <w:cantSplit/>
                  <w:trHeight w:val="340"/>
                </w:trPr>
                <w:tc>
                  <w:tcPr>
                    <w:tcW w:w="9643" w:type="dxa"/>
                    <w:gridSpan w:val="2"/>
                  </w:tcPr>
                  <w:p>
                    <w:pPr>
                      <w:suppressLineNumbers/>
                      <w:jc w:val="both"/>
                      <w:rPr>
                        <w:rFonts w:eastAsia="Andale Sans UI"/>
                        <w:szCs w:val="24"/>
                        <w:lang w:bidi="en-US"/>
                      </w:rPr>
                    </w:pPr>
                    <w:r>
                      <w:rPr>
                        <w:rFonts w:eastAsia="Andale Sans UI" w:cs="Tahoma"/>
                        <w:szCs w:val="24"/>
                        <w:lang w:bidi="en-US"/>
                      </w:rPr>
                      <w:t>P. Žvirblis</w:t>
                    </w:r>
                    <w:r>
                      <w:rPr>
                        <w:rFonts w:eastAsia="Andale Sans UI"/>
                        <w:szCs w:val="24"/>
                        <w:lang w:bidi="en-US"/>
                      </w:rPr>
                      <w:t>, tel. +370 </w:t>
                    </w:r>
                    <w:r>
                      <w:rPr>
                        <w:rFonts w:eastAsia="Andale Sans UI" w:cs="Tahoma"/>
                        <w:szCs w:val="24"/>
                        <w:lang w:bidi="en-US"/>
                      </w:rPr>
                      <w:t>695 28 551</w:t>
                    </w:r>
                    <w:r>
                      <w:rPr>
                        <w:rFonts w:eastAsia="Andale Sans UI"/>
                        <w:szCs w:val="24"/>
                        <w:lang w:bidi="en-US"/>
                      </w:rPr>
                      <w:t xml:space="preserve">, el. p. </w:t>
                    </w:r>
                    <w:r>
                      <w:rPr>
                        <w:rFonts w:eastAsia="Andale Sans UI" w:cs="Tahoma"/>
                        <w:szCs w:val="24"/>
                        <w:lang w:bidi="en-US"/>
                      </w:rPr>
                      <w:t>paulius.zvirblis@am.lt</w:t>
                    </w:r>
                  </w:p>
                </w:tc>
              </w:tr>
            </w:tbl>
            <w:p>
              <w:pPr>
                <w:jc w:val="center"/>
                <w:rPr>
                  <w:rFonts w:eastAsia="Andale Sans UI" w:cs="Tahoma"/>
                  <w:szCs w:val="24"/>
                  <w:lang w:bidi="en-US"/>
                </w:rPr>
                <w:sectPr>
                  <w:headerReference w:type="even" r:id="rId12"/>
                  <w:headerReference w:type="default" r:id="rId13"/>
                  <w:footerReference w:type="even" r:id="rId14"/>
                  <w:footerReference w:type="default" r:id="rId15"/>
                  <w:headerReference w:type="first" r:id="rId16"/>
                  <w:footerReference w:type="first" r:id="rId17"/>
                  <w:footnotePr>
                    <w:pos w:val="beneathText"/>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1 p."/>
            <w:tag w:val="part_b4f814d26a0c497aa7241a5a44fe6955"/>
            <w:lock w:val="sdtLocked"/>
            <w:richText/>
          </w:sdtPr>
          <w:sdtContent>
            <w:p>
              <w:pPr>
                <w:spacing w:line="276" w:lineRule="auto"/>
                <w:ind w:left="720" w:hanging="360"/>
                <w:jc w:val="both"/>
                <w:rPr>
                  <w:rFonts w:eastAsia="Andale Sans UI" w:cs="Tahoma"/>
                  <w:szCs w:val="24"/>
                  <w:lang w:bidi="en-US"/>
                </w:rPr>
              </w:pPr>
              <w:sdt>
                <w:sdtPr>
                  <w:alias w:val="Numeris"/>
                  <w:tag w:val="nr_b4f814d26a0c497aa7241a5a44fe6955"/>
                  <w:lock w:val="sdtLocked"/>
                  <w:richText/>
                </w:sdtPr>
                <w:sdtContent>
                  <w:r>
                    <w:rPr>
                      <w:rFonts w:eastAsia="Andale Sans UI" w:cs="Tahoma"/>
                      <w:szCs w:val="24"/>
                      <w:lang w:bidi="en-US"/>
                    </w:rPr>
                    <w:t>1</w:t>
                  </w:r>
                </w:sdtContent>
              </w:sdt>
              <w:r>
                <w:rPr>
                  <w:rFonts w:eastAsia="Andale Sans UI" w:cs="Tahoma"/>
                  <w:szCs w:val="24"/>
                  <w:lang w:bidi="en-US"/>
                </w:rPr>
                <w:t>.</w:t>
                <w:tab/>
                <w:t>Lietuvos Respublikos ekonomikos ir inovacijų ministerija</w:t>
              </w:r>
            </w:p>
          </w:sdtContent>
        </w:sdt>
        <w:sdt>
          <w:sdtPr>
            <w:alias w:val="2 p."/>
            <w:tag w:val="part_65c63c8452664b3ba2c8bb9dc5696d97"/>
            <w:lock w:val="sdtLocked"/>
            <w:richText/>
          </w:sdtPr>
          <w:sdtContent>
            <w:p>
              <w:pPr>
                <w:spacing w:line="276" w:lineRule="auto"/>
                <w:ind w:left="720" w:hanging="360"/>
                <w:jc w:val="both"/>
                <w:rPr>
                  <w:rFonts w:eastAsia="Andale Sans UI" w:cs="Tahoma"/>
                  <w:szCs w:val="24"/>
                  <w:lang w:bidi="en-US"/>
                </w:rPr>
              </w:pPr>
              <w:sdt>
                <w:sdtPr>
                  <w:alias w:val="Numeris"/>
                  <w:tag w:val="nr_65c63c8452664b3ba2c8bb9dc5696d97"/>
                  <w:lock w:val="sdtLocked"/>
                  <w:richText/>
                </w:sdtPr>
                <w:sdtContent>
                  <w:r>
                    <w:rPr>
                      <w:rFonts w:eastAsia="Andale Sans UI" w:cs="Tahoma"/>
                      <w:szCs w:val="24"/>
                      <w:lang w:bidi="en-US"/>
                    </w:rPr>
                    <w:t>2</w:t>
                  </w:r>
                </w:sdtContent>
              </w:sdt>
              <w:r>
                <w:rPr>
                  <w:rFonts w:eastAsia="Andale Sans UI" w:cs="Tahoma"/>
                  <w:szCs w:val="24"/>
                  <w:lang w:bidi="en-US"/>
                </w:rPr>
                <w:t>.</w:t>
                <w:tab/>
                <w:t>Lietuvos Respublikos energetikos ministerija</w:t>
              </w:r>
            </w:p>
          </w:sdtContent>
        </w:sdt>
        <w:sdt>
          <w:sdtPr>
            <w:alias w:val="3 p."/>
            <w:tag w:val="part_3af770aed88849a58b3a302917ce4bf1"/>
            <w:lock w:val="sdtLocked"/>
            <w:richText/>
          </w:sdtPr>
          <w:sdtContent>
            <w:p>
              <w:pPr>
                <w:spacing w:line="276" w:lineRule="auto"/>
                <w:ind w:left="720" w:hanging="360"/>
                <w:jc w:val="both"/>
                <w:rPr>
                  <w:rFonts w:eastAsia="Andale Sans UI" w:cs="Tahoma"/>
                  <w:szCs w:val="24"/>
                  <w:lang w:bidi="en-US"/>
                </w:rPr>
              </w:pPr>
              <w:sdt>
                <w:sdtPr>
                  <w:alias w:val="Numeris"/>
                  <w:tag w:val="nr_3af770aed88849a58b3a302917ce4bf1"/>
                  <w:lock w:val="sdtLocked"/>
                  <w:richText/>
                </w:sdtPr>
                <w:sdtContent>
                  <w:r>
                    <w:rPr>
                      <w:rFonts w:eastAsia="Andale Sans UI" w:cs="Tahoma"/>
                      <w:szCs w:val="24"/>
                      <w:lang w:bidi="en-US"/>
                    </w:rPr>
                    <w:t>3</w:t>
                  </w:r>
                </w:sdtContent>
              </w:sdt>
              <w:r>
                <w:rPr>
                  <w:rFonts w:eastAsia="Andale Sans UI" w:cs="Tahoma"/>
                  <w:szCs w:val="24"/>
                  <w:lang w:bidi="en-US"/>
                </w:rPr>
                <w:t>.</w:t>
                <w:tab/>
                <w:t>Aplinkos apsaugos agentūra</w:t>
              </w:r>
            </w:p>
          </w:sdtContent>
        </w:sdt>
        <w:sdt>
          <w:sdtPr>
            <w:alias w:val="4 p."/>
            <w:tag w:val="part_53b8552398c744bfaa71a7f620f3216e"/>
            <w:lock w:val="sdtLocked"/>
            <w:richText/>
          </w:sdtPr>
          <w:sdtContent>
            <w:p>
              <w:pPr>
                <w:spacing w:line="276" w:lineRule="auto"/>
                <w:ind w:left="720" w:hanging="360"/>
                <w:jc w:val="both"/>
                <w:rPr>
                  <w:rFonts w:eastAsia="Andale Sans UI" w:cs="Tahoma"/>
                  <w:szCs w:val="24"/>
                  <w:lang w:bidi="en-US"/>
                </w:rPr>
              </w:pPr>
              <w:sdt>
                <w:sdtPr>
                  <w:alias w:val="Numeris"/>
                  <w:tag w:val="nr_53b8552398c744bfaa71a7f620f3216e"/>
                  <w:lock w:val="sdtLocked"/>
                  <w:richText/>
                </w:sdtPr>
                <w:sdtContent>
                  <w:r>
                    <w:rPr>
                      <w:rFonts w:eastAsia="Andale Sans UI" w:cs="Tahoma"/>
                      <w:szCs w:val="24"/>
                      <w:lang w:bidi="en-US"/>
                    </w:rPr>
                    <w:t>4</w:t>
                  </w:r>
                </w:sdtContent>
              </w:sdt>
              <w:r>
                <w:rPr>
                  <w:rFonts w:eastAsia="Andale Sans UI" w:cs="Tahoma"/>
                  <w:szCs w:val="24"/>
                  <w:lang w:bidi="en-US"/>
                </w:rPr>
                <w:t>.</w:t>
                <w:tab/>
                <w:t>Aplinkos apsaugos departamentas prie Aplinkos ministerijos</w:t>
              </w:r>
            </w:p>
          </w:sdtContent>
        </w:sdt>
        <w:sdt>
          <w:sdtPr>
            <w:alias w:val="5 p."/>
            <w:tag w:val="part_e9a0e8a912f64b30b0c9252470f1d18f"/>
            <w:lock w:val="sdtLocked"/>
            <w:richText/>
          </w:sdtPr>
          <w:sdtContent>
            <w:p>
              <w:pPr>
                <w:spacing w:line="276" w:lineRule="auto"/>
                <w:ind w:left="720" w:hanging="360"/>
                <w:jc w:val="both"/>
                <w:rPr>
                  <w:rFonts w:eastAsia="Andale Sans UI" w:cs="Tahoma"/>
                  <w:szCs w:val="24"/>
                  <w:lang w:bidi="en-US"/>
                </w:rPr>
              </w:pPr>
              <w:sdt>
                <w:sdtPr>
                  <w:alias w:val="Numeris"/>
                  <w:tag w:val="nr_e9a0e8a912f64b30b0c9252470f1d18f"/>
                  <w:lock w:val="sdtLocked"/>
                  <w:richText/>
                </w:sdtPr>
                <w:sdtContent>
                  <w:r>
                    <w:rPr>
                      <w:rFonts w:eastAsia="Andale Sans UI" w:cs="Tahoma"/>
                      <w:szCs w:val="24"/>
                      <w:lang w:bidi="en-US"/>
                    </w:rPr>
                    <w:t>5</w:t>
                  </w:r>
                </w:sdtContent>
              </w:sdt>
              <w:r>
                <w:rPr>
                  <w:rFonts w:eastAsia="Andale Sans UI" w:cs="Tahoma"/>
                  <w:szCs w:val="24"/>
                  <w:lang w:bidi="en-US"/>
                </w:rPr>
                <w:t>.</w:t>
                <w:tab/>
                <w:t>Lietuvos šilumos tiekėjų asociacija</w:t>
              </w:r>
            </w:p>
          </w:sdtContent>
        </w:sdt>
        <w:sdt>
          <w:sdtPr>
            <w:alias w:val="6 p."/>
            <w:tag w:val="part_c3f3d7e5882f4e1fa62efd2f82b32f88"/>
            <w:lock w:val="sdtLocked"/>
            <w:richText/>
          </w:sdtPr>
          <w:sdtContent>
            <w:p>
              <w:pPr>
                <w:spacing w:line="276" w:lineRule="auto"/>
                <w:ind w:left="720" w:hanging="360"/>
                <w:jc w:val="both"/>
                <w:rPr>
                  <w:rFonts w:eastAsia="Andale Sans UI" w:cs="Tahoma"/>
                  <w:szCs w:val="24"/>
                  <w:lang w:bidi="en-US"/>
                </w:rPr>
              </w:pPr>
              <w:sdt>
                <w:sdtPr>
                  <w:alias w:val="Numeris"/>
                  <w:tag w:val="nr_c3f3d7e5882f4e1fa62efd2f82b32f88"/>
                  <w:lock w:val="sdtLocked"/>
                  <w:richText/>
                </w:sdtPr>
                <w:sdtContent>
                  <w:r>
                    <w:rPr>
                      <w:rFonts w:eastAsia="Andale Sans UI" w:cs="Tahoma"/>
                      <w:szCs w:val="24"/>
                      <w:lang w:bidi="en-US"/>
                    </w:rPr>
                    <w:t>6</w:t>
                  </w:r>
                </w:sdtContent>
              </w:sdt>
              <w:r>
                <w:rPr>
                  <w:rFonts w:eastAsia="Andale Sans UI" w:cs="Tahoma"/>
                  <w:szCs w:val="24"/>
                  <w:lang w:bidi="en-US"/>
                </w:rPr>
                <w:t>.</w:t>
                <w:tab/>
                <w:t>Lietuvos nepriklausomų šilumos gamintojų asociacija</w:t>
              </w:r>
            </w:p>
          </w:sdtContent>
        </w:sdt>
        <w:sdt>
          <w:sdtPr>
            <w:alias w:val="7 p."/>
            <w:tag w:val="part_d80b4bdc297b44b18731182b5a475241"/>
            <w:lock w:val="sdtLocked"/>
            <w:richText/>
          </w:sdtPr>
          <w:sdtContent>
            <w:p>
              <w:pPr>
                <w:spacing w:line="276" w:lineRule="auto"/>
                <w:ind w:left="720" w:hanging="360"/>
                <w:jc w:val="both"/>
                <w:rPr>
                  <w:rFonts w:eastAsia="Andale Sans UI" w:cs="Tahoma"/>
                  <w:szCs w:val="24"/>
                  <w:lang w:bidi="en-US"/>
                </w:rPr>
              </w:pPr>
              <w:sdt>
                <w:sdtPr>
                  <w:alias w:val="Numeris"/>
                  <w:tag w:val="nr_d80b4bdc297b44b18731182b5a475241"/>
                  <w:lock w:val="sdtLocked"/>
                  <w:richText/>
                </w:sdtPr>
                <w:sdtContent>
                  <w:r>
                    <w:rPr>
                      <w:rFonts w:eastAsia="Andale Sans UI" w:cs="Tahoma"/>
                      <w:szCs w:val="24"/>
                      <w:lang w:bidi="en-US"/>
                    </w:rPr>
                    <w:t>7</w:t>
                  </w:r>
                </w:sdtContent>
              </w:sdt>
              <w:r>
                <w:rPr>
                  <w:rFonts w:eastAsia="Andale Sans UI" w:cs="Tahoma"/>
                  <w:szCs w:val="24"/>
                  <w:lang w:bidi="en-US"/>
                </w:rPr>
                <w:t>.</w:t>
                <w:tab/>
                <w:t>Lietuvos pramonininkų konfederacija</w:t>
              </w:r>
            </w:p>
          </w:sdtContent>
        </w:sdt>
        <w:sdt>
          <w:sdtPr>
            <w:alias w:val="8 p."/>
            <w:tag w:val="part_c7b2aa47ef864521abc5bb53bf9cc14d"/>
            <w:lock w:val="sdtLocked"/>
            <w:richText/>
          </w:sdtPr>
          <w:sdtContent>
            <w:p>
              <w:pPr>
                <w:spacing w:line="276" w:lineRule="auto"/>
                <w:ind w:left="720" w:hanging="360"/>
                <w:jc w:val="both"/>
                <w:rPr>
                  <w:rFonts w:eastAsia="Andale Sans UI" w:cs="Tahoma"/>
                  <w:szCs w:val="24"/>
                  <w:lang w:bidi="en-US"/>
                </w:rPr>
              </w:pPr>
              <w:sdt>
                <w:sdtPr>
                  <w:alias w:val="Numeris"/>
                  <w:tag w:val="nr_c7b2aa47ef864521abc5bb53bf9cc14d"/>
                  <w:lock w:val="sdtLocked"/>
                  <w:richText/>
                </w:sdtPr>
                <w:sdtContent>
                  <w:r>
                    <w:rPr>
                      <w:rFonts w:eastAsia="Andale Sans UI" w:cs="Tahoma"/>
                      <w:szCs w:val="24"/>
                      <w:lang w:bidi="en-US"/>
                    </w:rPr>
                    <w:t>8</w:t>
                  </w:r>
                </w:sdtContent>
              </w:sdt>
              <w:r>
                <w:rPr>
                  <w:rFonts w:eastAsia="Andale Sans UI" w:cs="Tahoma"/>
                  <w:szCs w:val="24"/>
                  <w:lang w:bidi="en-US"/>
                </w:rPr>
                <w:t>.</w:t>
                <w:tab/>
                <w:t>Specialiųjų tyrimų tarnybai</w:t>
              </w:r>
            </w:p>
            <w:p>
              <w:pPr>
                <w:textAlignment w:val="baseline"/>
                <w:rPr>
                  <w:rFonts w:ascii="Segoe UI" w:hAnsi="Segoe UI" w:cs="Segoe UI"/>
                  <w:sz w:val="18"/>
                  <w:szCs w:val="18"/>
                  <w:lang w:eastAsia="lt-LT"/>
                </w:rPr>
              </w:pP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Unicode MS"/>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2023 m. lapkričio 16 d. Europos Komijos pagrįsta nuomonė Nr. INFR(2022)2074 (C(2023)7289 final.</w:t>
      </w:r>
    </w:p>
  </w:footnote>
  <w:footnote w:id="3">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Patvirtintos Lietuvos Respublikos aplinkos ministro 2013 m. balandžio 10 d. įsakymu Nr. D1-244 „Dėl Išmetamų teršalų iš kurą deginančių įrenginių normų LAND 43-2013 patvirtinimo“</w:t>
      </w:r>
    </w:p>
  </w:footnote>
  <w:footnote w:id="4">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Patvirtintas Lietuvos Respublikos Vyriausybės 2019 m. balandžio 17 d. nutarimu Nr. 371 „Dėl Nacionalinio oro taršos mažinimo plano patvirtinimo“</w:t>
      </w:r>
    </w:p>
  </w:footnote>
  <w:footnote w:id="5">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„Stiprinsime reguliavimą, kontrolę ir inovacijas, siekdami sumažinti pramonės ir transporto taršą bei užtikrinti švarią aplinką visiems šalies gyventojams“; „Teiksime prioritetą smulkiųjų kietųjų dalelių, azoto dioksido, metano ir kitų pagrindinių oro teršalų mažinimui““.</w:t>
      </w:r>
    </w:p>
  </w:footnote>
  <w:footnote w:id="6">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2015 m. balandžio 28 d. Komisijos reglamentas (ES) 2015/1189, kuriuo įgyvendinant Europos Parlamento ir Tarybos direktyvą 2009/125/EB nustatomi kietojo kuro katilų ekologinio projektavimo reikalavimai</w:t>
      </w:r>
    </w:p>
  </w:footnote>
  <w:footnote w:id="7">
    <w:p>
      <w:pPr>
        <w:jc w:val="both"/>
        <w:rPr>
          <w:rFonts w:eastAsia="Andale Sans UI"/>
          <w:sz w:val="20"/>
          <w:szCs w:val="24"/>
          <w:lang w:bidi="en-US"/>
        </w:rPr>
      </w:pPr>
      <w:r>
        <w:rPr>
          <w:rFonts w:eastAsia="Andale Sans UI"/>
          <w:sz w:val="20"/>
          <w:szCs w:val="24"/>
          <w:vertAlign w:val="superscript"/>
          <w:lang w:bidi="en-US"/>
        </w:rPr>
        <w:footnoteRef/>
      </w:r>
      <w:r>
        <w:rPr>
          <w:rFonts w:eastAsia="Andale Sans UI"/>
          <w:sz w:val="20"/>
          <w:szCs w:val="24"/>
          <w:lang w:bidi="en-US"/>
        </w:rPr>
        <w:t xml:space="preserve"> 2013 m. rugpjūčio 2 d. Komisijos reglamentas (ES) Nr. 813/2013, kuriuo įgyvendinant Europos Parlamento ir Tarybos direktyvą 2009/125/EB nustatomi patalpų šildytuvų ir kombinuotųjų šildytuvų ekologinio projektavimo reikalavimai.</w:t>
      </w:r>
    </w:p>
  </w:footnote>
  <w:footnote w:id="8">
    <w:p>
      <w:pPr>
        <w:jc w:val="both"/>
        <w:rPr>
          <w:rFonts w:eastAsia="Andale Sans UI" w:cs="Tahoma"/>
          <w:sz w:val="20"/>
        </w:rPr>
      </w:pPr>
      <w:r>
        <w:rPr>
          <w:rFonts w:eastAsia="Andale Sans UI"/>
          <w:sz w:val="20"/>
          <w:vertAlign w:val="superscript"/>
        </w:rPr>
        <w:footnoteRef/>
      </w:r>
      <w:r>
        <w:rPr>
          <w:rFonts w:eastAsia="Andale Sans UI"/>
          <w:sz w:val="20"/>
        </w:rPr>
        <w:t xml:space="preserve"> Rankiniu būdu pakraunamiems kietojo kuro katilams taikomos mažiausiai griežtos Reglamente (ES) 2015/1189 nustatytos ribinės vertės: kietųjų dalelių – 60 mg/m</w:t>
      </w:r>
      <w:r>
        <w:rPr>
          <w:rFonts w:eastAsia="Andale Sans UI"/>
          <w:sz w:val="20"/>
          <w:vertAlign w:val="superscript"/>
        </w:rPr>
        <w:t>3</w:t>
      </w:r>
      <w:r>
        <w:rPr>
          <w:rFonts w:eastAsia="Andale Sans UI"/>
          <w:sz w:val="20"/>
        </w:rPr>
        <w:t xml:space="preserve"> prie 10 proc. deguonies (O</w:t>
      </w:r>
      <w:r>
        <w:rPr>
          <w:rFonts w:eastAsia="Andale Sans UI"/>
          <w:sz w:val="20"/>
          <w:vertAlign w:val="subscript"/>
        </w:rPr>
        <w:t>2</w:t>
      </w:r>
      <w:r>
        <w:rPr>
          <w:rFonts w:eastAsia="Andale Sans UI"/>
          <w:sz w:val="20"/>
        </w:rPr>
        <w:t>) koncentracijos; azoto oksidų – 200 mg/m</w:t>
      </w:r>
      <w:r>
        <w:rPr>
          <w:rFonts w:eastAsia="Andale Sans UI"/>
          <w:sz w:val="20"/>
          <w:vertAlign w:val="superscript"/>
        </w:rPr>
        <w:t xml:space="preserve">3 </w:t>
      </w:r>
      <w:r>
        <w:rPr>
          <w:rFonts w:eastAsia="Andale Sans UI"/>
          <w:sz w:val="20"/>
        </w:rPr>
        <w:t>(biomasei); anglies monoksido – 700 mg/m</w:t>
      </w:r>
      <w:r>
        <w:rPr>
          <w:rFonts w:eastAsia="Andale Sans UI"/>
          <w:sz w:val="20"/>
          <w:vertAlign w:val="superscript"/>
        </w:rPr>
        <w:t>3</w:t>
      </w:r>
      <w:r>
        <w:rPr>
          <w:rFonts w:eastAsia="Andale Sans UI"/>
          <w:sz w:val="20"/>
        </w:rPr>
        <w:t>. Įvertinus reglamente nustatytus leistinus patikros nuokrypius ir perskaičiavus prie 6 proc. O</w:t>
      </w:r>
      <w:r>
        <w:rPr>
          <w:rFonts w:eastAsia="Andale Sans UI"/>
          <w:sz w:val="20"/>
          <w:vertAlign w:val="subscript"/>
        </w:rPr>
        <w:t>2</w:t>
      </w:r>
      <w:r>
        <w:rPr>
          <w:rFonts w:eastAsia="Andale Sans UI"/>
          <w:sz w:val="20"/>
        </w:rPr>
        <w:t xml:space="preserve"> koncentracijos siūlomos vertės: kietųjų dalelių – 90 mg/m</w:t>
      </w:r>
      <w:r>
        <w:rPr>
          <w:rFonts w:eastAsia="Andale Sans UI"/>
          <w:sz w:val="20"/>
          <w:vertAlign w:val="superscript"/>
        </w:rPr>
        <w:t>3</w:t>
      </w:r>
      <w:r>
        <w:rPr>
          <w:rFonts w:eastAsia="Andale Sans UI"/>
          <w:sz w:val="20"/>
        </w:rPr>
        <w:t>; azoto oksidų – 310 mg/m</w:t>
      </w:r>
      <w:r>
        <w:rPr>
          <w:rFonts w:eastAsia="Andale Sans UI"/>
          <w:sz w:val="20"/>
          <w:vertAlign w:val="superscript"/>
        </w:rPr>
        <w:t>3</w:t>
      </w:r>
      <w:r>
        <w:rPr>
          <w:rFonts w:eastAsia="Andale Sans UI"/>
          <w:sz w:val="20"/>
        </w:rPr>
        <w:t>; anglies monoksido – 990 mg/m</w:t>
      </w:r>
      <w:r>
        <w:rPr>
          <w:rFonts w:eastAsia="Andale Sans UI"/>
          <w:sz w:val="20"/>
          <w:vertAlign w:val="superscript"/>
        </w:rPr>
        <w:t>3</w:t>
      </w:r>
      <w:r>
        <w:rPr>
          <w:rFonts w:eastAsia="Andale Sans UI"/>
          <w:sz w:val="20"/>
        </w:rPr>
        <w:t>.</w:t>
      </w:r>
    </w:p>
  </w:footnote>
  <w:footnote w:id="9">
    <w:p>
      <w:pPr>
        <w:jc w:val="both"/>
        <w:rPr>
          <w:rFonts w:eastAsia="Andale Sans UI"/>
          <w:sz w:val="20"/>
        </w:rPr>
      </w:pPr>
      <w:r>
        <w:rPr>
          <w:rFonts w:eastAsia="Andale Sans UI"/>
          <w:sz w:val="20"/>
          <w:vertAlign w:val="superscript"/>
        </w:rPr>
        <w:footnoteRef/>
      </w:r>
      <w:r>
        <w:rPr>
          <w:rFonts w:eastAsia="Andale Sans UI"/>
          <w:sz w:val="20"/>
        </w:rPr>
        <w:t xml:space="preserve"> Geteborgo protokolo X priede siūloma kietųjų dalelių ribinė vertė naujai įrengiamiems 100 kW – 1 MW galios kietojo kuro katilams – 50 mg/m</w:t>
      </w:r>
      <w:r>
        <w:rPr>
          <w:rFonts w:eastAsia="Andale Sans UI"/>
          <w:sz w:val="20"/>
          <w:vertAlign w:val="superscript"/>
        </w:rPr>
        <w:t>3</w:t>
      </w:r>
      <w:r>
        <w:rPr>
          <w:rFonts w:eastAsia="Andale Sans UI"/>
          <w:sz w:val="20"/>
        </w:rPr>
        <w:t xml:space="preserve"> prie 13 proc. deguonies (O</w:t>
      </w:r>
      <w:r>
        <w:rPr>
          <w:rFonts w:eastAsia="Andale Sans UI"/>
          <w:sz w:val="20"/>
          <w:vertAlign w:val="subscript"/>
        </w:rPr>
        <w:t>2</w:t>
      </w:r>
      <w:r>
        <w:rPr>
          <w:rFonts w:eastAsia="Andale Sans UI"/>
          <w:sz w:val="20"/>
        </w:rPr>
        <w:t>) koncentracijos (93 mg/m</w:t>
      </w:r>
      <w:r>
        <w:rPr>
          <w:rFonts w:eastAsia="Andale Sans UI"/>
          <w:sz w:val="20"/>
          <w:vertAlign w:val="superscript"/>
        </w:rPr>
        <w:t>3</w:t>
      </w:r>
      <w:r>
        <w:rPr>
          <w:rFonts w:eastAsia="Andale Sans UI"/>
          <w:sz w:val="20"/>
        </w:rPr>
        <w:t xml:space="preserve"> prie 6 proc. O</w:t>
      </w:r>
      <w:r>
        <w:rPr>
          <w:rFonts w:eastAsia="Andale Sans UI"/>
          <w:sz w:val="20"/>
          <w:vertAlign w:val="subscript"/>
        </w:rPr>
        <w:t>2</w:t>
      </w:r>
      <w:r>
        <w:rPr>
          <w:rFonts w:eastAsia="Andale Sans UI"/>
          <w:sz w:val="20"/>
        </w:rPr>
        <w:t xml:space="preserve"> koncentracijos), kai esamiems – 150 mg/m</w:t>
      </w:r>
      <w:r>
        <w:rPr>
          <w:rFonts w:eastAsia="Andale Sans UI"/>
          <w:sz w:val="20"/>
          <w:vertAlign w:val="superscript"/>
        </w:rPr>
        <w:t>3</w:t>
      </w:r>
      <w:r>
        <w:rPr>
          <w:rFonts w:eastAsia="Andale Sans UI"/>
          <w:sz w:val="20"/>
        </w:rPr>
        <w:t xml:space="preserve"> prie 13 proc. O</w:t>
      </w:r>
      <w:r>
        <w:rPr>
          <w:rFonts w:eastAsia="Andale Sans UI"/>
          <w:sz w:val="20"/>
          <w:vertAlign w:val="subscript"/>
        </w:rPr>
        <w:t>2</w:t>
      </w:r>
      <w:r>
        <w:rPr>
          <w:rFonts w:eastAsia="Andale Sans UI"/>
          <w:sz w:val="20"/>
        </w:rPr>
        <w:t xml:space="preserve"> koncentracijos (281 mg/m</w:t>
      </w:r>
      <w:r>
        <w:rPr>
          <w:rFonts w:eastAsia="Andale Sans UI"/>
          <w:sz w:val="20"/>
          <w:vertAlign w:val="superscript"/>
        </w:rPr>
        <w:t>3</w:t>
      </w:r>
      <w:r>
        <w:rPr>
          <w:rFonts w:eastAsia="Andale Sans UI"/>
          <w:sz w:val="20"/>
        </w:rPr>
        <w:t xml:space="preserve"> prie 6 proc. O</w:t>
      </w:r>
      <w:r>
        <w:rPr>
          <w:rFonts w:eastAsia="Andale Sans UI"/>
          <w:sz w:val="20"/>
          <w:vertAlign w:val="subscript"/>
        </w:rPr>
        <w:t>2</w:t>
      </w:r>
      <w:r>
        <w:rPr>
          <w:rFonts w:eastAsia="Andale Sans UI"/>
          <w:sz w:val="20"/>
        </w:rPr>
        <w:t xml:space="preserve"> koncentracijos).</w:t>
      </w:r>
    </w:p>
  </w:footnote>
  <w:footnote w:id="10">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2013 m. rugpjūčio 2 d. Komisijos reglamentas (ES) Nr. 813/2013, kuriuo įgyvendinant Europos Parlamento ir Tarybos direktyvą 2009/125/EB nustatomi patalpų šildytuvų ir kombinuotųjų šildytuvų ekologinio projektavimo reikalavimai.</w:t>
      </w:r>
    </w:p>
  </w:footnote>
  <w:footnote w:id="11">
    <w:p>
      <w:pPr>
        <w:jc w:val="both"/>
        <w:rPr>
          <w:rFonts w:eastAsia="Andale Sans UI"/>
          <w:sz w:val="20"/>
        </w:rPr>
      </w:pPr>
      <w:r>
        <w:rPr>
          <w:rFonts w:eastAsia="Andale Sans UI"/>
          <w:sz w:val="20"/>
          <w:vertAlign w:val="superscript"/>
        </w:rPr>
        <w:footnoteRef/>
      </w:r>
      <w:r>
        <w:rPr>
          <w:rFonts w:eastAsia="Andale Sans UI"/>
          <w:sz w:val="20"/>
        </w:rPr>
        <w:t xml:space="preserve"> Reglamente (ES) 813/2013 taikomos mažiausiai griežtos azoto oksidų ribinės vertės: kogeneraciniams patalpų šildytuvams su išoriniais dujinio kuro deginimo įrenginiais – 70 mg/kWh tiekiamo kuro didžiausiojo šilumingumo (konvertuota vertė su pritaikytu leistinu 20 procentų patikros nuokrypiu – 82 mg/m</w:t>
      </w:r>
      <w:r>
        <w:rPr>
          <w:rFonts w:eastAsia="Andale Sans UI"/>
          <w:sz w:val="20"/>
          <w:vertAlign w:val="superscript"/>
        </w:rPr>
        <w:t>3</w:t>
      </w:r>
      <w:r>
        <w:rPr>
          <w:rFonts w:eastAsia="Andale Sans UI"/>
          <w:sz w:val="20"/>
        </w:rPr>
        <w:t xml:space="preserve"> prie 3 proc. deguonies koncentracijos naudojant gamtines dujas) , kai kogeneraciniams patalpų šildytuvams su išoriniais skystojo kuro deginimo įrenginiais – 120 mg/kWh tiekiamo kuro didžiausiojo šilumingumo (konvertuota vertė su pritaikytu leistinu 20 procentų patikros nuokrypiu – 139 mg/m</w:t>
      </w:r>
      <w:r>
        <w:rPr>
          <w:rFonts w:eastAsia="Andale Sans UI"/>
          <w:sz w:val="20"/>
          <w:vertAlign w:val="superscript"/>
        </w:rPr>
        <w:t>3</w:t>
      </w:r>
      <w:r>
        <w:rPr>
          <w:rFonts w:eastAsia="Andale Sans UI"/>
          <w:sz w:val="20"/>
        </w:rPr>
        <w:t xml:space="preserve"> prie 3 proc. deguonies koncentracijos naudojant gazolį). Konversijos faktoriai nustatyti perimtajame standarte LST EN 15502-1:2021 „Dujiniai šildymo katilai. 1 dalis. Bendrieji reikalavimai ir bandymai“.</w:t>
      </w:r>
    </w:p>
  </w:footnote>
  <w:footnote w:id="12">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2015 m. lapkričio 25 d. Europos Parlamento ir Tarybos direktyva (ES) 2015/2193 dėl tam tikrų teršalų, išmetamų į orą iš vidutinio dydžio kurą deginančių įrenginių, kiekio apribojimo.</w:t>
      </w:r>
    </w:p>
  </w:footnote>
  <w:footnote w:id="13">
    <w:p>
      <w:pPr>
        <w:jc w:val="both"/>
        <w:rPr>
          <w:rFonts w:eastAsia="Andale Sans UI"/>
          <w:sz w:val="20"/>
        </w:rPr>
      </w:pPr>
      <w:r>
        <w:rPr>
          <w:rFonts w:eastAsia="Andale Sans UI"/>
          <w:sz w:val="20"/>
          <w:vertAlign w:val="superscript"/>
        </w:rPr>
        <w:footnoteRef/>
      </w:r>
      <w:r>
        <w:rPr>
          <w:rFonts w:eastAsia="Andale Sans UI"/>
          <w:sz w:val="20"/>
        </w:rPr>
        <w:t xml:space="preserve"> Pvz., Latvijoje nuo 2021 m. birželio 1 d. pradėtiems eksploatuoti maži kurą deginantiems įrenginiams taikoma 200 mg/m</w:t>
      </w:r>
      <w:r>
        <w:rPr>
          <w:rFonts w:eastAsia="Andale Sans UI"/>
          <w:sz w:val="20"/>
          <w:vertAlign w:val="superscript"/>
        </w:rPr>
        <w:t>3</w:t>
      </w:r>
      <w:r>
        <w:rPr>
          <w:rFonts w:eastAsia="Andale Sans UI"/>
          <w:sz w:val="20"/>
        </w:rPr>
        <w:t xml:space="preserve"> išmetamo sieros dioksido ribinė vertė deginant kitą nei medienos biomasę, arba 400 mg/m</w:t>
      </w:r>
      <w:r>
        <w:rPr>
          <w:rFonts w:eastAsia="Andale Sans UI"/>
          <w:sz w:val="20"/>
          <w:vertAlign w:val="superscript"/>
        </w:rPr>
        <w:t>3</w:t>
      </w:r>
      <w:r>
        <w:rPr>
          <w:rFonts w:eastAsia="Andale Sans UI"/>
          <w:sz w:val="20"/>
        </w:rPr>
        <w:t xml:space="preserve"> – deginant akmens anglis ar durpes (kai deginama anksčiau pradėtuose eksploatuoti įrenginiuose – 1100 mg/m</w:t>
      </w:r>
      <w:r>
        <w:rPr>
          <w:rFonts w:eastAsia="Andale Sans UI"/>
          <w:sz w:val="20"/>
          <w:vertAlign w:val="superscript"/>
        </w:rPr>
        <w:t>3</w:t>
      </w:r>
      <w:r>
        <w:rPr>
          <w:rFonts w:eastAsia="Andale Sans UI"/>
          <w:sz w:val="20"/>
        </w:rPr>
        <w:t>) (2021 m. sausio 7 d. ministrų kabineto nuostatais Nr. 17 priimtos Oro taršos iš deginimo įrenginių ribojimo taisyklės).</w:t>
      </w:r>
    </w:p>
  </w:footnote>
  <w:footnote w:id="14">
    <w:p>
      <w:pPr>
        <w:rPr>
          <w:rFonts w:eastAsia="Andale Sans UI"/>
          <w:sz w:val="20"/>
        </w:rPr>
      </w:pPr>
      <w:r>
        <w:rPr>
          <w:rFonts w:eastAsia="Andale Sans UI"/>
          <w:sz w:val="20"/>
          <w:vertAlign w:val="superscript"/>
        </w:rPr>
        <w:footnoteRef/>
      </w:r>
      <w:r>
        <w:rPr>
          <w:rFonts w:eastAsia="Andale Sans UI"/>
          <w:sz w:val="20"/>
        </w:rPr>
        <w:t xml:space="preserve"> Sieros, azoto oksidų, lakiųjų organinių junginių ir kietųjų dalelių (įskaitant KD</w:t>
      </w:r>
      <w:r>
        <w:rPr>
          <w:rFonts w:eastAsia="Andale Sans UI"/>
          <w:sz w:val="20"/>
          <w:vertAlign w:val="subscript"/>
        </w:rPr>
        <w:t>10</w:t>
      </w:r>
      <w:r>
        <w:rPr>
          <w:rFonts w:eastAsia="Andale Sans UI"/>
          <w:sz w:val="20"/>
        </w:rPr>
        <w:t>, KD</w:t>
      </w:r>
      <w:r>
        <w:rPr>
          <w:rFonts w:eastAsia="Andale Sans UI"/>
          <w:sz w:val="20"/>
          <w:vertAlign w:val="subscript"/>
        </w:rPr>
        <w:t xml:space="preserve">2,5 </w:t>
      </w:r>
      <w:r>
        <w:rPr>
          <w:rFonts w:eastAsia="Andale Sans UI"/>
          <w:sz w:val="20"/>
        </w:rPr>
        <w:t>ir juodąją anglį) iš stacionarių šaltinių išmetimo kontrolės metodų gairės. Priimta JT Tolimųjų tarpvalstybinių oro teršalų pernašų konvencijos Vykdomosios institucijos 31-oje sesijoje (ECE/EB.AIR/117).</w:t>
      </w:r>
    </w:p>
  </w:footnote>
  <w:footnote w:id="15">
    <w:p>
      <w:pPr>
        <w:rPr>
          <w:rFonts w:eastAsia="Andale Sans UI" w:cs="Tahoma"/>
          <w:sz w:val="20"/>
        </w:rPr>
      </w:pPr>
      <w:r>
        <w:rPr>
          <w:rFonts w:eastAsia="Andale Sans UI"/>
          <w:sz w:val="20"/>
          <w:vertAlign w:val="superscript"/>
        </w:rPr>
        <w:footnoteRef/>
      </w:r>
      <w:r>
        <w:rPr>
          <w:rFonts w:eastAsia="Andale Sans UI"/>
          <w:sz w:val="20"/>
        </w:rPr>
        <w:t xml:space="preserve"> Tolimųjų tarpvalstybinių oro teršalų pernašų konvencijos Techninių ir ekonominių klausimų darbo grupės pristatymo medžiaga: https://tftei.citepa.org/images/files/2020-10-21-22-23/20201022-meetings/6-Said-FIVES-Ultra-Low-Nox-burners-TFTEI6-meeting-22-10-2020.pdf</w:t>
      </w:r>
    </w:p>
  </w:footnote>
  <w:footnote w:id="16">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Patvirtintos Lietuvos Respublikos aplinkos ministro 2013 m. liepos 15 d. įsakymu Nr. D1-528 „Dėl Taršos integruotos prevencijos ir kontrolės leidimų išdavimo, pakeitimo ir galiojimo panaikinimo taisyklių patvirtinimo“.</w:t>
      </w:r>
    </w:p>
  </w:footnote>
  <w:footnote w:id="17">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Direktyvoje (ES) 2015/2193 nustatytos ribinės vertės taikomos nuo 2018 m. gruodžio 20 d. pradėtiems eksploatuoti vidutiniams kurą deginantiems įrenginiams ir nuo 2025 m. bei 2030 m. (atsižvelgiant į įrenginio vardinę šiluminę galią) iki 2018 m. gruodžio 20 d. pradėtiems eksploatuoti vidutiniams kurą deginantiems įrenginiams. Iki šioje direktyvoje nustatytų ribinių verčių įsigaliojimo vidutiniams kurą deginantiems įrenginiams taikomos Išmetamų teršalų iš kurą deginančių įrenginių normose LAND 43-2013 nustatytos ribinės vertės.</w:t>
      </w:r>
    </w:p>
  </w:footnote>
  <w:footnote w:id="18">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Kokybės reikalavimai nustatyti Lietuvos Respublikoje vartojamų naftos produktų, biodegalų ir skystojo kuro privalomuosiuose kokybės rodikliuose, patvirtintuose Lietuvos Respublikos energetikos ministro, Lietuvos Respublikos aplinkos ministro ir Lietuvos Respublikos susisiekimo ministro 2010 m. gruodžio 22 d. įsakymu Nr. 1-348/D1-1014/3-742 „Dėl Lietuvos Respublikoje vartojamų naftos produktų, biodegalų ir skystojo kuro privalomųjų kokybės rodiklių patvirtinimo“.</w:t>
      </w:r>
    </w:p>
  </w:footnote>
  <w:footnote w:id="19">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Patvirtintas Lietuvos Respublikos aplinkos ministro 2022 m. liepos 12 d. įsakymu Nr. D1-227 „Dėl 2022–2030 metų plėtros programos valdytojos Lietuvos Respublikos aplinkos ministerijos aplinkos apsaugos ir klimato kaitos valdymo plėtros programos pažangos priemonės Nr. 02-001-06-11-01 „Stiprinti neigiamo poveikio aplinkai prevenciją ir valdymą“ aprašo patvirtinimo“.</w:t>
      </w:r>
    </w:p>
  </w:footnote>
  <w:footnote w:id="20">
    <w:p>
      <w:pPr>
        <w:rPr>
          <w:rFonts w:eastAsia="Andale Sans UI" w:cs="Tahoma"/>
          <w:sz w:val="20"/>
        </w:rPr>
      </w:pPr>
      <w:r>
        <w:rPr>
          <w:rFonts w:eastAsia="Andale Sans UI" w:cs="Tahoma"/>
          <w:sz w:val="20"/>
          <w:vertAlign w:val="superscript"/>
        </w:rPr>
        <w:footnoteRef/>
      </w:r>
      <w:r>
        <w:rPr>
          <w:rFonts w:eastAsia="Andale Sans UI" w:cs="Tahoma"/>
          <w:sz w:val="20"/>
        </w:rPr>
        <w:t xml:space="preserve"> </w:t>
      </w:r>
      <w:r>
        <w:rPr>
          <w:rFonts w:eastAsia="Andale Sans UI"/>
          <w:sz w:val="20"/>
        </w:rPr>
        <w:t>Įskaitant valstybės prisidėjimą kurą deginančių įrenginių atnaujinimui pagal Pažangos priemonę.</w:t>
      </w:r>
    </w:p>
  </w:footnote>
  <w:footnote w:id="21">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Devynioliktosios Lietuvos Respublikos Vyriausybės programa</w:t>
        </w:r>
      </w:hyperlink>
      <w:r>
        <w:rPr>
          <w:rFonts w:eastAsia="Andale Sans UI"/>
          <w:sz w:val="20"/>
        </w:rPr>
        <w:t xml:space="preserve">, kuriai pritarta Lietuvos Respublikos Seimo 2024 m. gruodžio 12 d. nutarimu Nr. XV-54 „Dėl </w:t>
      </w:r>
      <w:r>
        <w:rPr>
          <w:rFonts w:eastAsia="Andale Sans UI"/>
          <w:sz w:val="20"/>
          <w:shd w:val="clear" w:color="auto" w:fill="FFFFFF"/>
        </w:rPr>
        <w:t>Devynioliktosios Lietuvos Respublikos Vyriausybės programos</w:t>
      </w:r>
      <w:r>
        <w:rPr>
          <w:rFonts w:eastAsia="Andale Sans UI"/>
          <w:sz w:val="20"/>
        </w:rPr>
        <w:t>“.</w:t>
      </w:r>
    </w:p>
  </w:footnote>
  <w:footnote w:id="22">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23">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3"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24">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25">
    <w:p>
      <w:pPr>
        <w:jc w:val="both"/>
        <w:rPr>
          <w:sz w:val="20"/>
          <w:lang w:eastAsia="lt-LT"/>
        </w:rPr>
      </w:pPr>
      <w:r>
        <w:rPr>
          <w:rFonts w:eastAsia="Andale Sans UI"/>
          <w:sz w:val="20"/>
          <w:vertAlign w:val="superscript"/>
        </w:rPr>
        <w:footnoteRef/>
        <w:t xml:space="preserve"> </w:t>
      </w:r>
      <w:hyperlink r:id="rId5"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26">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27">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7</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2603BC0-B2A1-43BE-9919-246D4080F0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858591">
      <w:bodyDiv w:val="1"/>
      <w:marLeft w:val="0"/>
      <w:marRight w:val="0"/>
      <w:marTop w:val="0"/>
      <w:marBottom w:val="0"/>
      <w:divBdr>
        <w:top w:val="none" w:sz="0" w:space="0" w:color="auto"/>
        <w:left w:val="none" w:sz="0" w:space="0" w:color="auto"/>
        <w:bottom w:val="none" w:sz="0" w:space="0" w:color="auto"/>
        <w:right w:val="none" w:sz="0" w:space="0" w:color="auto"/>
      </w:divBdr>
    </w:div>
    <w:div w:id="88937190">
      <w:bodyDiv w:val="1"/>
      <w:marLeft w:val="0"/>
      <w:marRight w:val="0"/>
      <w:marTop w:val="0"/>
      <w:marBottom w:val="0"/>
      <w:divBdr>
        <w:top w:val="none" w:sz="0" w:space="0" w:color="auto"/>
        <w:left w:val="none" w:sz="0" w:space="0" w:color="auto"/>
        <w:bottom w:val="none" w:sz="0" w:space="0" w:color="auto"/>
        <w:right w:val="none" w:sz="0" w:space="0" w:color="auto"/>
      </w:divBdr>
    </w:div>
    <w:div w:id="387151828">
      <w:bodyDiv w:val="1"/>
      <w:marLeft w:val="0"/>
      <w:marRight w:val="0"/>
      <w:marTop w:val="0"/>
      <w:marBottom w:val="0"/>
      <w:divBdr>
        <w:top w:val="none" w:sz="0" w:space="0" w:color="auto"/>
        <w:left w:val="none" w:sz="0" w:space="0" w:color="auto"/>
        <w:bottom w:val="none" w:sz="0" w:space="0" w:color="auto"/>
        <w:right w:val="none" w:sz="0" w:space="0" w:color="auto"/>
      </w:divBdr>
    </w:div>
    <w:div w:id="395127881">
      <w:bodyDiv w:val="1"/>
      <w:marLeft w:val="0"/>
      <w:marRight w:val="0"/>
      <w:marTop w:val="0"/>
      <w:marBottom w:val="0"/>
      <w:divBdr>
        <w:top w:val="none" w:sz="0" w:space="0" w:color="auto"/>
        <w:left w:val="none" w:sz="0" w:space="0" w:color="auto"/>
        <w:bottom w:val="none" w:sz="0" w:space="0" w:color="auto"/>
        <w:right w:val="none" w:sz="0" w:space="0" w:color="auto"/>
      </w:divBdr>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610817879">
      <w:bodyDiv w:val="1"/>
      <w:marLeft w:val="0"/>
      <w:marRight w:val="0"/>
      <w:marTop w:val="0"/>
      <w:marBottom w:val="0"/>
      <w:divBdr>
        <w:top w:val="none" w:sz="0" w:space="0" w:color="auto"/>
        <w:left w:val="none" w:sz="0" w:space="0" w:color="auto"/>
        <w:bottom w:val="none" w:sz="0" w:space="0" w:color="auto"/>
        <w:right w:val="none" w:sz="0" w:space="0" w:color="auto"/>
      </w:divBdr>
    </w:div>
    <w:div w:id="752122811">
      <w:bodyDiv w:val="1"/>
      <w:marLeft w:val="0"/>
      <w:marRight w:val="0"/>
      <w:marTop w:val="0"/>
      <w:marBottom w:val="0"/>
      <w:divBdr>
        <w:top w:val="none" w:sz="0" w:space="0" w:color="auto"/>
        <w:left w:val="none" w:sz="0" w:space="0" w:color="auto"/>
        <w:bottom w:val="none" w:sz="0" w:space="0" w:color="auto"/>
        <w:right w:val="none" w:sz="0" w:space="0" w:color="auto"/>
      </w:divBdr>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970483248">
      <w:bodyDiv w:val="1"/>
      <w:marLeft w:val="0"/>
      <w:marRight w:val="0"/>
      <w:marTop w:val="0"/>
      <w:marBottom w:val="0"/>
      <w:divBdr>
        <w:top w:val="none" w:sz="0" w:space="0" w:color="auto"/>
        <w:left w:val="none" w:sz="0" w:space="0" w:color="auto"/>
        <w:bottom w:val="none" w:sz="0" w:space="0" w:color="auto"/>
        <w:right w:val="none" w:sz="0" w:space="0" w:color="auto"/>
      </w:divBdr>
    </w:div>
    <w:div w:id="1178614281">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358510233">
      <w:bodyDiv w:val="1"/>
      <w:marLeft w:val="0"/>
      <w:marRight w:val="0"/>
      <w:marTop w:val="0"/>
      <w:marBottom w:val="0"/>
      <w:divBdr>
        <w:top w:val="none" w:sz="0" w:space="0" w:color="auto"/>
        <w:left w:val="none" w:sz="0" w:space="0" w:color="auto"/>
        <w:bottom w:val="none" w:sz="0" w:space="0" w:color="auto"/>
        <w:right w:val="none" w:sz="0" w:space="0" w:color="auto"/>
      </w:divBdr>
    </w:div>
    <w:div w:id="1389187197">
      <w:bodyDiv w:val="1"/>
      <w:marLeft w:val="0"/>
      <w:marRight w:val="0"/>
      <w:marTop w:val="0"/>
      <w:marBottom w:val="0"/>
      <w:divBdr>
        <w:top w:val="none" w:sz="0" w:space="0" w:color="auto"/>
        <w:left w:val="none" w:sz="0" w:space="0" w:color="auto"/>
        <w:bottom w:val="none" w:sz="0" w:space="0" w:color="auto"/>
        <w:right w:val="none" w:sz="0" w:space="0" w:color="auto"/>
      </w:divBdr>
    </w:div>
    <w:div w:id="1502626601">
      <w:bodyDiv w:val="1"/>
      <w:marLeft w:val="0"/>
      <w:marRight w:val="0"/>
      <w:marTop w:val="0"/>
      <w:marBottom w:val="0"/>
      <w:divBdr>
        <w:top w:val="none" w:sz="0" w:space="0" w:color="auto"/>
        <w:left w:val="none" w:sz="0" w:space="0" w:color="auto"/>
        <w:bottom w:val="none" w:sz="0" w:space="0" w:color="auto"/>
        <w:right w:val="none" w:sz="0" w:space="0" w:color="auto"/>
      </w:divBdr>
    </w:div>
    <w:div w:id="1574663709">
      <w:bodyDiv w:val="1"/>
      <w:marLeft w:val="0"/>
      <w:marRight w:val="0"/>
      <w:marTop w:val="0"/>
      <w:marBottom w:val="0"/>
      <w:divBdr>
        <w:top w:val="none" w:sz="0" w:space="0" w:color="auto"/>
        <w:left w:val="none" w:sz="0" w:space="0" w:color="auto"/>
        <w:bottom w:val="none" w:sz="0" w:space="0" w:color="auto"/>
        <w:right w:val="none" w:sz="0" w:space="0" w:color="auto"/>
      </w:divBdr>
    </w:div>
    <w:div w:id="1582645047">
      <w:bodyDiv w:val="1"/>
      <w:marLeft w:val="0"/>
      <w:marRight w:val="0"/>
      <w:marTop w:val="0"/>
      <w:marBottom w:val="0"/>
      <w:divBdr>
        <w:top w:val="none" w:sz="0" w:space="0" w:color="auto"/>
        <w:left w:val="none" w:sz="0" w:space="0" w:color="auto"/>
        <w:bottom w:val="none" w:sz="0" w:space="0" w:color="auto"/>
        <w:right w:val="none" w:sz="0" w:space="0" w:color="auto"/>
      </w:divBdr>
    </w:div>
    <w:div w:id="1753040582">
      <w:bodyDiv w:val="1"/>
      <w:marLeft w:val="0"/>
      <w:marRight w:val="0"/>
      <w:marTop w:val="0"/>
      <w:marBottom w:val="0"/>
      <w:divBdr>
        <w:top w:val="none" w:sz="0" w:space="0" w:color="auto"/>
        <w:left w:val="none" w:sz="0" w:space="0" w:color="auto"/>
        <w:bottom w:val="none" w:sz="0" w:space="0" w:color="auto"/>
        <w:right w:val="none" w:sz="0" w:space="0" w:color="auto"/>
      </w:divBdr>
    </w:div>
    <w:div w:id="1765228751">
      <w:bodyDiv w:val="1"/>
      <w:marLeft w:val="0"/>
      <w:marRight w:val="0"/>
      <w:marTop w:val="0"/>
      <w:marBottom w:val="0"/>
      <w:divBdr>
        <w:top w:val="none" w:sz="0" w:space="0" w:color="auto"/>
        <w:left w:val="none" w:sz="0" w:space="0" w:color="auto"/>
        <w:bottom w:val="none" w:sz="0" w:space="0" w:color="auto"/>
        <w:right w:val="none" w:sz="0" w:space="0" w:color="auto"/>
      </w:divBdr>
    </w:div>
    <w:div w:id="1796557984">
      <w:bodyDiv w:val="1"/>
      <w:marLeft w:val="0"/>
      <w:marRight w:val="0"/>
      <w:marTop w:val="0"/>
      <w:marBottom w:val="0"/>
      <w:divBdr>
        <w:top w:val="none" w:sz="0" w:space="0" w:color="auto"/>
        <w:left w:val="none" w:sz="0" w:space="0" w:color="auto"/>
        <w:bottom w:val="none" w:sz="0" w:space="0" w:color="auto"/>
        <w:right w:val="none" w:sz="0" w:space="0" w:color="auto"/>
      </w:divBdr>
    </w:div>
    <w:div w:id="1801682072">
      <w:bodyDiv w:val="1"/>
      <w:marLeft w:val="0"/>
      <w:marRight w:val="0"/>
      <w:marTop w:val="0"/>
      <w:marBottom w:val="0"/>
      <w:divBdr>
        <w:top w:val="none" w:sz="0" w:space="0" w:color="auto"/>
        <w:left w:val="none" w:sz="0" w:space="0" w:color="auto"/>
        <w:bottom w:val="none" w:sz="0" w:space="0" w:color="auto"/>
        <w:right w:val="none" w:sz="0" w:space="0" w:color="auto"/>
      </w:divBdr>
    </w:div>
    <w:div w:id="1938899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0b418dc0b89811ef88c08519262548c4"/>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DB68BCA9E3A0/asr"/>
  <Relationship Id="rId4" Type="http://schemas.openxmlformats.org/officeDocument/2006/relationships/hyperlink" TargetMode="External" Target="https://www.e-tar.lt/portal/lt/legalAct/TAR.EDD5FD371B32/asr"/>
  <Relationship Id="rId5"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0d5791cbe7d3443ead1b87d759c34d47" PartId="2635bfc433ac4aa1b86284448e30c16b"/>
  <Part Type="pastraipa" DocPartId="557ed133cf724dc08c0ecd36407d9a82" PartId="e5f49bca33ef4c99b750ecde2862bf0b">
    <Part Type="punktas" Nr="1" Abbr="1 p." DocPartId="be5713517f1449388704120c06cd8d87" PartId="c180eba4eb62413e81f36f0a1507f31a"/>
    <Part Type="punktas" Nr="2" Abbr="2 p." DocPartId="e28eb474d74a4a24ace69fcbd967488a" PartId="3b52216a11e646f6b48f83498d5aaab1"/>
    <Part Type="punktas" Nr="1" Abbr="1 p." Notes="Numeris ne iš eilės. Trūksta dalių? [DocDalys]" DocPartId="b4053183aede4670a94ed23fa74baeec" PartId="818966d536854b9f9639b1b8380a5208"/>
    <Part Type="punktas" Nr="2" Abbr="2 p." DocPartId="1d3e374d7ee348e28fb960ed476843ff" PartId="8a0aa34c734942449e4540b4a72b13df"/>
    <Part Type="punktas" Nr="3" Abbr="3 p." DocPartId="f75a390e6db641629d8b9bb117dc7afa" PartId="a968df657a1c43f6858855370789f1d1"/>
    <Part Type="punktas" Nr="4" Abbr="4 p." DocPartId="652ac33868ea4888bb646565aaad6b25" PartId="7587455ffa61488b9d1c2e155854fae7"/>
    <Part Type="punktas" Nr="5" Abbr="5 p." DocPartId="5f290fe166ce49feb85bc726560b1e84" PartId="557a4f6d4a75420c89acb521b2020c77"/>
    <Part Type="punktas" Nr="3" Abbr="3 p." Notes="Numeris ne iš eilės. Trūksta dalių? [DocDalys]" DocPartId="bf6a500332c1478f83e4e361abf5bcab" PartId="f686607c354a47aaa8868dd87b996fcc"/>
    <Part Type="punktas" Nr="4" Abbr="4 p." DocPartId="c25125b498a24a8f84a4adcf5df3e6c4" PartId="d3b467de0a154ad89e2cf8431eb5f5ba"/>
    <Part Type="punktas" Nr="5" Abbr="5 p." DocPartId="f215819cc3924a2495817e7c6062b8dd" PartId="f048ee4fd0894312bd839548e19a4ee4"/>
    <Part Type="punktas" Nr="6" Abbr="6 p." DocPartId="1fd15732ca074bbaa57d058bc3af087d" PartId="deb90f1354d1491c9628ef19307be902"/>
    <Part Type="punktas" Nr="7" Abbr="7 p." DocPartId="051288c2cdb24d24b3ce83d3233856cb" PartId="060e65d9967b439599ebf819c73dbd25"/>
    <Part Type="punktas" Nr="8" Abbr="8 p." DocPartId="d5888eebc5c04b2e8bcb15a0537f7f38" PartId="ad7fa55648f44d569bfa30d59ccdeae0"/>
    <Part Type="punktas" Nr="9" Abbr="9 p." DocPartId="66ba8023db6341f5a52cb9bde9d889fb" PartId="fa3d09a790774e088274f5664c89bc9a"/>
    <Part Type="punktas" Nr="10" Abbr="10 p." DocPartId="e772418009014396bae44b5036c0493c" PartId="3cc117fc58af4416972f5eb5b2d50239"/>
    <Part Type="punktas" Nr="11" Abbr="11 p." DocPartId="df578f1c7f0e470fafcae544cf664164" PartId="dbaabee8105d4c9ebd0db848ec93219a"/>
    <Part Type="punktas" Nr="12" Abbr="12 p." DocPartId="c90ff1ea6b3040948c023e99bc215175" PartId="51d073e0ca8543e980f079f312af8902"/>
    <Part Type="punktas" Nr="13" Abbr="13 p." DocPartId="f06086c97d674cfb93d736f6862ac550" PartId="4e75d2080362475593557717875ea65e"/>
    <Part Type="punktas" Nr="14" Abbr="14 p." DocPartId="9e33508b650948c1b5570e7d5393859e" PartId="88b7ad1ab48b4ff4805c3bed174d5a7a"/>
    <Part Type="punktas" Nr="1" Abbr="1 p." Notes="Numeris ne iš eilės. Trūksta dalių? [DocDalys]" DocPartId="98f7cb4cdf674113a616e76f0367688e" PartId="1a4e485f345a4518b59cbef0bfedf666"/>
    <Part Type="punktas" Nr="2" Abbr="2 p." DocPartId="f81285ddaeb44e8e9f862ee9bbb8de43" PartId="5c86642c4da244518e44e5d0d06534ae"/>
    <Part Type="punktas" Nr="3" Abbr="3 p." DocPartId="e3ad322a6593418f996cd2307285faa7" PartId="df1a90b4885e4b14bd83c701f338351f"/>
    <Part Type="punktas" Nr="4" Abbr="4 p." DocPartId="c8f8e311cfeb4ee1baaa3f267ad294a3" PartId="15ec6caa416b4b3cbb0b79636fdff219"/>
    <Part Type="punktas" Nr="5" Abbr="5 p." DocPartId="b38d2d7192c34270a45080839f1b7805" PartId="f8d0445e289e48f18ab770b48bcafe15"/>
    <Part Type="punktas" Nr="6" Abbr="6 p." DocPartId="1d4b8600210b4251a29c860d7f8bc23b" PartId="819d782219784fa497ee4275dc2b737a"/>
    <Part Type="punktas" Nr="1" Abbr="1 p." Notes="Numeris ne iš eilės. Trūksta dalių? [DocDalys]" DocPartId="4b6502d6476246b2ac875352beccc1d6" PartId="b4f814d26a0c497aa7241a5a44fe6955"/>
    <Part Type="punktas" Nr="2" Abbr="2 p." DocPartId="3a5546977be846f4ba1e5b76295af31e" PartId="65c63c8452664b3ba2c8bb9dc5696d97"/>
    <Part Type="punktas" Nr="3" Abbr="3 p." DocPartId="0e650bf3a75c405d98f10c8ff41c82ae" PartId="3af770aed88849a58b3a302917ce4bf1"/>
    <Part Type="punktas" Nr="4" Abbr="4 p." DocPartId="8b060d8ecac243dfa0693b7db893021c" PartId="53b8552398c744bfaa71a7f620f3216e"/>
    <Part Type="punktas" Nr="5" Abbr="5 p." DocPartId="3cbe2dd18a894bad813f9f96a4a8441b" PartId="e9a0e8a912f64b30b0c9252470f1d18f"/>
    <Part Type="punktas" Nr="6" Abbr="6 p." DocPartId="1a435e33f8ba4b43a3c0b8661ec67ae0" PartId="c3f3d7e5882f4e1fa62efd2f82b32f88"/>
    <Part Type="punktas" Nr="7" Abbr="7 p." DocPartId="ef5f79fa74e14270bf670efaa37683ad" PartId="d80b4bdc297b44b18731182b5a475241"/>
    <Part Type="punktas" Nr="8" Abbr="8 p." DocPartId="d49a9c1977944eeea0253c26706329fd" PartId="c7b2aa47ef864521abc5bb53bf9cc14d"/>
  </Part>
</Parts>
</file>

<file path=customXml/itemProps1.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6BDD6376-EFFF-497E-9716-24198D84B7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ECD1C7-401E-4082-A1DC-0A877C778E3D}">
  <ds:schemaRefs>
    <ds:schemaRef ds:uri="http://schemas.openxmlformats.org/officeDocument/2006/bibliography"/>
  </ds:schemaRefs>
</ds:datastoreItem>
</file>

<file path=customXml/itemProps5.xml><?xml version="1.0" encoding="utf-8"?>
<ds:datastoreItem xmlns:ds="http://schemas.openxmlformats.org/officeDocument/2006/customXml" ds:itemID="{F152CF31-A8CA-4471-AEFC-1EDCE9B818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2824</Words>
  <Characters>19574</Characters>
  <Application>Microsoft Office Word</Application>
  <DocSecurity>4</DocSecurity>
  <Lines>326</Lines>
  <Paragraphs>102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22296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2025-02-04T12:46:00Z</dcterms:created>
  <dc:creator>Elena Auglienė</dc:creator>
  <lastModifiedBy>adlibuser</lastModifiedBy>
  <lastPrinted>2024-12-11T14:05:00Z</lastPrinted>
  <dcterms:modified xsi:type="dcterms:W3CDTF">2025-02-04T12:46:00Z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