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7" w:rsidRPr="00A1179F" w:rsidRDefault="00A1179F" w:rsidP="00A01BE7">
      <w:pPr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VIETINIO ŪKIO IR TURTO VALDYMO SKYRIUS</w:t>
      </w: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8549A8" w:rsidRDefault="00A01BE7" w:rsidP="00684EB4">
      <w:pPr>
        <w:spacing w:after="2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850BF5" w:rsidRPr="00850BF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DĖL TURTO P</w:t>
      </w:r>
      <w:r w:rsidR="009D2E20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ERDAVIMO PAGAL PANAUDOS SUTARTĮ PRAMEDŽIAVOS</w:t>
      </w:r>
      <w:r w:rsidR="00027DC8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="00850BF5" w:rsidRPr="00850BF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KAIM</w:t>
      </w:r>
      <w:r w:rsidR="009D2E20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Ų</w:t>
      </w:r>
      <w:r w:rsidR="00850BF5" w:rsidRPr="00850BF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BENDRUOMENEI“</w:t>
      </w:r>
      <w:r w:rsidR="0090590F" w:rsidRPr="0090590F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2058C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D2E20"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r w:rsidR="00027DC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D2E20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BF4D89" w:rsidTr="00415BBF">
        <w:tc>
          <w:tcPr>
            <w:tcW w:w="9740" w:type="dxa"/>
          </w:tcPr>
          <w:p w:rsidR="00850BF5" w:rsidRPr="00850BF5" w:rsidRDefault="00850BF5" w:rsidP="00850BF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Pagrindinis tikslas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yra </w:t>
            </w:r>
            <w:r w:rsidR="009D2E20">
              <w:rPr>
                <w:rFonts w:ascii="Times New Roman" w:hAnsi="Times New Roman"/>
                <w:sz w:val="24"/>
                <w:szCs w:val="24"/>
              </w:rPr>
              <w:t xml:space="preserve">perduoti pagal panaudos sutartį </w:t>
            </w:r>
            <w:proofErr w:type="spellStart"/>
            <w:r w:rsidR="009D2E20">
              <w:rPr>
                <w:rFonts w:ascii="Times New Roman" w:hAnsi="Times New Roman"/>
                <w:sz w:val="24"/>
                <w:szCs w:val="24"/>
              </w:rPr>
              <w:t>Pramedžiavos</w:t>
            </w:r>
            <w:proofErr w:type="spellEnd"/>
            <w:r w:rsidR="009D2E20">
              <w:rPr>
                <w:rFonts w:ascii="Times New Roman" w:hAnsi="Times New Roman"/>
                <w:sz w:val="24"/>
                <w:szCs w:val="24"/>
              </w:rPr>
              <w:t xml:space="preserve"> kaimų</w:t>
            </w:r>
            <w:r w:rsidR="00027DC8" w:rsidRPr="00027DC8">
              <w:rPr>
                <w:rFonts w:ascii="Times New Roman" w:hAnsi="Times New Roman"/>
                <w:sz w:val="24"/>
                <w:szCs w:val="24"/>
              </w:rPr>
              <w:t xml:space="preserve"> bendruomenei (kodas </w:t>
            </w:r>
            <w:r w:rsidR="009D2E20">
              <w:rPr>
                <w:rFonts w:ascii="Times New Roman" w:hAnsi="Times New Roman"/>
                <w:sz w:val="24"/>
                <w:szCs w:val="24"/>
              </w:rPr>
              <w:t>301906581</w:t>
            </w:r>
            <w:r w:rsidR="00027DC8" w:rsidRPr="00027D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Raseinių rajono savivaldybei nuosavybės teise priklausantį, šiuo metu Raseinių rajono </w:t>
            </w:r>
            <w:r w:rsidR="009D2E20">
              <w:rPr>
                <w:rFonts w:ascii="Times New Roman" w:hAnsi="Times New Roman"/>
                <w:sz w:val="24"/>
                <w:szCs w:val="24"/>
              </w:rPr>
              <w:t xml:space="preserve">kultūros centro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patikėjimo teise valdomą ilgalaikį </w:t>
            </w:r>
            <w:r>
              <w:rPr>
                <w:rFonts w:ascii="Times New Roman" w:hAnsi="Times New Roman"/>
                <w:sz w:val="24"/>
                <w:szCs w:val="24"/>
              </w:rPr>
              <w:t>materialųjį turtą, patalpas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>, nurodyt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sprendimo projekte, dešimčiai metų bendruomenės įstatuose numatytai veiklai vykdyti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Bendruomenė vykdydama įstatuose numatytą veiklą prisideda prie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gyvenamosios </w:t>
            </w:r>
            <w:r w:rsidR="001C676C">
              <w:rPr>
                <w:rFonts w:ascii="Times New Roman" w:hAnsi="Times New Roman"/>
                <w:sz w:val="24"/>
                <w:szCs w:val="24"/>
              </w:rPr>
              <w:t>vietovės bendruomenės viešųjų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poreiki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ų tenkinimo,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>kūno kultūros ir sporto veiklos skatinim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o, 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>kultūros, meno</w:t>
            </w:r>
            <w:r>
              <w:rPr>
                <w:rFonts w:ascii="Times New Roman" w:hAnsi="Times New Roman"/>
                <w:sz w:val="24"/>
                <w:szCs w:val="24"/>
              </w:rPr>
              <w:t>, kultūros paveldo puoselėjimo tikslų įgyvendinimo.</w:t>
            </w:r>
          </w:p>
          <w:p w:rsidR="006679BA" w:rsidRPr="00BF4D89" w:rsidRDefault="00850BF5" w:rsidP="009D2E2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0BF5">
              <w:rPr>
                <w:rFonts w:ascii="Times New Roman" w:hAnsi="Times New Roman"/>
                <w:sz w:val="24"/>
                <w:szCs w:val="24"/>
              </w:rPr>
              <w:t>Bendruomenė pagal</w:t>
            </w:r>
            <w:r w:rsidR="009D2E20">
              <w:rPr>
                <w:rFonts w:ascii="Times New Roman" w:hAnsi="Times New Roman"/>
                <w:sz w:val="24"/>
                <w:szCs w:val="24"/>
              </w:rPr>
              <w:t xml:space="preserve"> panaudos sutartį šį turtą valdė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nuo 20</w:t>
            </w:r>
            <w:r w:rsidR="009D2E20">
              <w:rPr>
                <w:rFonts w:ascii="Times New Roman" w:hAnsi="Times New Roman"/>
                <w:sz w:val="24"/>
                <w:szCs w:val="24"/>
              </w:rPr>
              <w:t>09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 m. Panaudo</w:t>
            </w:r>
            <w:r w:rsidR="009D2E20">
              <w:rPr>
                <w:rFonts w:ascii="Times New Roman" w:hAnsi="Times New Roman"/>
                <w:sz w:val="24"/>
                <w:szCs w:val="24"/>
              </w:rPr>
              <w:t>s sutartis su bendruomene baigė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>si 20</w:t>
            </w:r>
            <w:r w:rsidR="009D2E2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2E2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2E20">
              <w:rPr>
                <w:rFonts w:ascii="Times New Roman" w:hAnsi="Times New Roman"/>
                <w:sz w:val="24"/>
                <w:szCs w:val="24"/>
              </w:rPr>
              <w:t>27</w:t>
            </w:r>
            <w:r w:rsidRPr="00850BF5">
              <w:rPr>
                <w:rFonts w:ascii="Times New Roman" w:hAnsi="Times New Roman"/>
                <w:sz w:val="24"/>
                <w:szCs w:val="24"/>
              </w:rPr>
              <w:t xml:space="preserve">. Bendruomenė prašo perduoti turtą dešimčiai metų, </w:t>
            </w:r>
            <w:r w:rsidR="009D2E20">
              <w:rPr>
                <w:rFonts w:ascii="Times New Roman" w:hAnsi="Times New Roman"/>
                <w:sz w:val="24"/>
                <w:szCs w:val="24"/>
              </w:rPr>
              <w:t>tolimesnei veiklai vykdyti.</w:t>
            </w:r>
            <w:r w:rsidR="008E080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BF4D89" w:rsidTr="00415BBF">
        <w:tc>
          <w:tcPr>
            <w:tcW w:w="9740" w:type="dxa"/>
          </w:tcPr>
          <w:p w:rsidR="00A01BE7" w:rsidRPr="00BF4D89" w:rsidRDefault="00850BF5" w:rsidP="001B53F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0BF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Perdavus patalpas </w:t>
            </w:r>
            <w:r w:rsidR="001B53FA">
              <w:rPr>
                <w:rFonts w:ascii="Times New Roman" w:hAnsi="Times New Roman"/>
                <w:sz w:val="24"/>
                <w:szCs w:val="24"/>
                <w:lang w:eastAsia="lt-LT"/>
              </w:rPr>
              <w:t>numatytam terminui, bendruomenė</w:t>
            </w:r>
            <w:r w:rsidRPr="00850BF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B53FA">
              <w:rPr>
                <w:rFonts w:ascii="Times New Roman" w:hAnsi="Times New Roman"/>
                <w:sz w:val="24"/>
                <w:szCs w:val="24"/>
                <w:lang w:eastAsia="lt-LT"/>
              </w:rPr>
              <w:t>galės</w:t>
            </w:r>
            <w:r w:rsidRPr="00850BF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D2E20">
              <w:rPr>
                <w:rFonts w:ascii="Times New Roman" w:hAnsi="Times New Roman"/>
                <w:sz w:val="24"/>
                <w:szCs w:val="24"/>
                <w:lang w:eastAsia="lt-LT"/>
              </w:rPr>
              <w:t>toliau vykdyti savo veiklą.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211F3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211F3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679BA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Netaikoma. 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7A19CD" w:rsidTr="00415BBF">
        <w:tc>
          <w:tcPr>
            <w:tcW w:w="9740" w:type="dxa"/>
          </w:tcPr>
          <w:p w:rsidR="001409C2" w:rsidRPr="006679BA" w:rsidRDefault="004C20A7" w:rsidP="007A19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0A7">
              <w:rPr>
                <w:rFonts w:ascii="Times New Roman" w:hAnsi="Times New Roman"/>
                <w:sz w:val="24"/>
                <w:szCs w:val="24"/>
              </w:rPr>
              <w:t>Sprendimo projektas suderintas Raseinių rajono savivaldybės tarybos veiklos reglamento, patvirtinto Raseinių rajono savivaldybės tarybos 2019 m. rugpjūčio 28 d. sprendimu Nr. TS-257, 35.1 papunktyje nustatyta tvarka.</w:t>
            </w:r>
            <w:bookmarkStart w:id="0" w:name="_GoBack"/>
            <w:bookmarkEnd w:id="0"/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7A19CD" w:rsidRDefault="007A19CD" w:rsidP="000A654D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0ABF">
              <w:rPr>
                <w:rFonts w:ascii="Times New Roman" w:hAnsi="Times New Roman"/>
                <w:sz w:val="24"/>
                <w:szCs w:val="24"/>
              </w:rPr>
              <w:t>Parengtas teisinio akto projektas neprieštarauja norminio pobūdžio teisės aktams.</w:t>
            </w:r>
          </w:p>
          <w:p w:rsidR="00404946" w:rsidRPr="008549A8" w:rsidRDefault="00404946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7A19CD" w:rsidTr="00415BBF">
        <w:tc>
          <w:tcPr>
            <w:tcW w:w="9740" w:type="dxa"/>
          </w:tcPr>
          <w:p w:rsidR="00A01BE7" w:rsidRPr="007A19CD" w:rsidRDefault="009D2E20" w:rsidP="007A19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Vietinio ūkio ir turto valdymo skyriaus vyr. specialistė Rūtenė Žemkauskienė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C3668" w:rsidRPr="00A1179F" w:rsidRDefault="006679BA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Vyr. specialistė </w:t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9D2E20">
        <w:rPr>
          <w:rFonts w:ascii="Times New Roman" w:eastAsia="Times New Roman" w:hAnsi="Times New Roman"/>
          <w:bCs/>
          <w:sz w:val="24"/>
          <w:szCs w:val="24"/>
        </w:rPr>
        <w:t>Rūtenė Žemkauskienė</w:t>
      </w:r>
    </w:p>
    <w:sectPr w:rsidR="002C3668" w:rsidRPr="00A1179F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01BE7"/>
    <w:rsid w:val="00027DC8"/>
    <w:rsid w:val="000A654D"/>
    <w:rsid w:val="001409C2"/>
    <w:rsid w:val="001B53FA"/>
    <w:rsid w:val="001C676C"/>
    <w:rsid w:val="001E68E8"/>
    <w:rsid w:val="00207023"/>
    <w:rsid w:val="002C3668"/>
    <w:rsid w:val="002D4717"/>
    <w:rsid w:val="002E5FF7"/>
    <w:rsid w:val="00404946"/>
    <w:rsid w:val="00414148"/>
    <w:rsid w:val="004C20A7"/>
    <w:rsid w:val="0058208D"/>
    <w:rsid w:val="006211F3"/>
    <w:rsid w:val="006679BA"/>
    <w:rsid w:val="00684EB4"/>
    <w:rsid w:val="006C1963"/>
    <w:rsid w:val="0072058C"/>
    <w:rsid w:val="00730875"/>
    <w:rsid w:val="0073499A"/>
    <w:rsid w:val="007A19CD"/>
    <w:rsid w:val="007D0B2E"/>
    <w:rsid w:val="00850BF5"/>
    <w:rsid w:val="008E0809"/>
    <w:rsid w:val="0090590F"/>
    <w:rsid w:val="00915733"/>
    <w:rsid w:val="0094530E"/>
    <w:rsid w:val="009D2E20"/>
    <w:rsid w:val="00A01BE7"/>
    <w:rsid w:val="00A1179F"/>
    <w:rsid w:val="00A51F26"/>
    <w:rsid w:val="00AE4E77"/>
    <w:rsid w:val="00BF4D89"/>
    <w:rsid w:val="00CB7DD2"/>
    <w:rsid w:val="00E17F17"/>
    <w:rsid w:val="00E62EC7"/>
    <w:rsid w:val="00E71AF7"/>
    <w:rsid w:val="00E80B78"/>
    <w:rsid w:val="00EE111E"/>
    <w:rsid w:val="00F419DF"/>
    <w:rsid w:val="00FA13CC"/>
    <w:rsid w:val="00FB2D27"/>
    <w:rsid w:val="00FB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BF4D8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RuteneZ</cp:lastModifiedBy>
  <cp:revision>4</cp:revision>
  <dcterms:created xsi:type="dcterms:W3CDTF">2020-05-08T09:43:00Z</dcterms:created>
  <dcterms:modified xsi:type="dcterms:W3CDTF">2020-05-08T11:35:00Z</dcterms:modified>
</cp:coreProperties>
</file>