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6ecc8fb3d64f8a977019c3ff5374c7"/>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jc w:val="center"/>
            <w:rPr>
              <w:b/>
              <w:bCs/>
              <w:szCs w:val="24"/>
            </w:rPr>
          </w:pPr>
          <w:r>
            <w:rPr>
              <w:b/>
              <w:bCs/>
              <w:szCs w:val="24"/>
            </w:rPr>
            <w:t>ŠIAULIŲ MIESTO SAVIVALDYBĖS ADMINISTRACIJOS</w:t>
          </w:r>
        </w:p>
        <w:sdt>
          <w:sdtPr>
            <w:alias w:val="skyrius"/>
            <w:tag w:val="part_7d5fa8169434408089f71010b7309de5"/>
            <w:lock w:val="sdtLocked"/>
            <w:richText/>
          </w:sdtPr>
          <w:sdtContent>
            <w:p>
              <w:pPr>
                <w:jc w:val="center"/>
                <w:rPr>
                  <w:b/>
                  <w:bCs/>
                  <w:szCs w:val="24"/>
                </w:rPr>
              </w:pPr>
              <w:r>
                <w:rPr>
                  <w:b/>
                  <w:bCs/>
                  <w:szCs w:val="24"/>
                </w:rPr>
                <w:t>ŠVIETIMO SKYRIUS</w:t>
              </w:r>
            </w:p>
            <w:p>
              <w:pPr>
                <w:spacing w:line="276" w:lineRule="auto"/>
                <w:rPr>
                  <w:b/>
                  <w:szCs w:val="24"/>
                </w:rPr>
              </w:pPr>
            </w:p>
            <w:p>
              <w:pPr>
                <w:jc w:val="center"/>
                <w:rPr>
                  <w:b/>
                  <w:bCs/>
                  <w:caps/>
                  <w:szCs w:val="24"/>
                  <w:lang w:eastAsia="ar-SA"/>
                </w:rPr>
              </w:pPr>
              <w:r>
                <w:rPr>
                  <w:b/>
                  <w:bCs/>
                  <w:caps/>
                  <w:szCs w:val="24"/>
                </w:rPr>
                <w:t>SPRENDIMO „</w:t>
              </w:r>
              <w:r>
                <w:rPr>
                  <w:b/>
                  <w:bCs/>
                  <w:caps/>
                  <w:szCs w:val="24"/>
                  <w:lang w:eastAsia="ar-SA"/>
                </w:rPr>
                <w:t xml:space="preserve">DĖL </w:t>
              </w:r>
              <w:r>
                <w:rPr>
                  <w:b/>
                  <w:szCs w:val="24"/>
                </w:rPr>
                <w:t>ŠIAULIŲ LOPŠELIŲ</w:t>
              </w:r>
              <w:r>
                <w:rPr>
                  <w:bCs/>
                  <w:szCs w:val="24"/>
                </w:rPr>
                <w:t>-</w:t>
              </w:r>
              <w:r>
                <w:rPr>
                  <w:b/>
                  <w:szCs w:val="24"/>
                </w:rPr>
                <w:t xml:space="preserve">DARŽELIŲ </w:t>
              </w:r>
              <w:r>
                <w:rPr>
                  <w:b/>
                  <w:bCs/>
                  <w:caps/>
                  <w:szCs w:val="24"/>
                  <w:lang w:eastAsia="ar-SA"/>
                </w:rPr>
                <w:t>NUOSTATŲ PATVIRTINIMO</w:t>
              </w:r>
              <w:r>
                <w:rPr>
                  <w:b/>
                  <w:bCs/>
                  <w:caps/>
                  <w:szCs w:val="24"/>
                </w:rPr>
                <w:t>“</w:t>
              </w:r>
              <w:r>
                <w:rPr>
                  <w:bCs/>
                  <w:caps/>
                  <w:szCs w:val="24"/>
                </w:rPr>
                <w:t xml:space="preserve"> </w:t>
              </w:r>
              <w:r>
                <w:rPr>
                  <w:rFonts w:eastAsia="Lucida Sans Unicode"/>
                  <w:b/>
                  <w:caps/>
                  <w:szCs w:val="24"/>
                  <w:lang w:eastAsia="lt-LT"/>
                </w:rPr>
                <w:t xml:space="preserve">PROJEKTO </w:t>
              </w:r>
            </w:p>
            <w:sdt>
              <w:sdtPr>
                <w:alias w:val="poskyris"/>
                <w:tag w:val="part_1007bb91a07540f19415bafd91045ec5"/>
                <w:lock w:val="sdtLocked"/>
                <w:richText/>
              </w:sdtPr>
              <w:sdtContent>
                <w:p>
                  <w:pPr>
                    <w:jc w:val="center"/>
                    <w:rPr>
                      <w:b/>
                      <w:bCs/>
                      <w:caps/>
                      <w:szCs w:val="24"/>
                      <w:lang w:eastAsia="ar-SA"/>
                    </w:rPr>
                  </w:pPr>
                  <w:sdt>
                    <w:sdtPr>
                      <w:alias w:val="Pavadinimas"/>
                      <w:tag w:val="title_1007bb91a07540f19415bafd91045ec5"/>
                      <w:lock w:val="sdtLocked"/>
                      <w:richText/>
                    </w:sdtPr>
                    <w:sdtContent>
                      <w:r>
                        <w:rPr>
                          <w:rFonts w:eastAsia="Lucida Sans Unicode"/>
                          <w:b/>
                          <w:caps/>
                          <w:szCs w:val="24"/>
                          <w:lang w:eastAsia="lt-LT"/>
                        </w:rPr>
                        <w:t>AIŠKINAMASIS RAŠTAS</w:t>
                      </w:r>
                    </w:sdtContent>
                  </w:sdt>
                </w:p>
                <w:p>
                  <w:pPr>
                    <w:widowControl w:val="0"/>
                    <w:jc w:val="center"/>
                    <w:rPr>
                      <w:rFonts w:eastAsia="Lucida Sans Unicode"/>
                      <w:iCs/>
                      <w:szCs w:val="24"/>
                      <w:lang w:eastAsia="lt-LT"/>
                    </w:rPr>
                  </w:pPr>
                </w:p>
                <w:p>
                  <w:pPr>
                    <w:jc w:val="center"/>
                    <w:rPr>
                      <w:szCs w:val="24"/>
                    </w:rPr>
                  </w:pPr>
                  <w:r>
                    <w:rPr>
                      <w:szCs w:val="24"/>
                    </w:rPr>
                    <w:t>2023 m. liepos 12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Content>
            </w:sdt>
            <w:sdt>
              <w:sdtPr>
                <w:alias w:val="poskyris"/>
                <w:tag w:val="part_3ca24a80edbc453a81ab2942595ea811"/>
                <w:lock w:val="sdtLocked"/>
                <w:richText/>
              </w:sdtPr>
              <w:sdtContent>
                <w:p>
                  <w:pPr>
                    <w:widowControl w:val="0"/>
                    <w:overflowPunct w:val="0"/>
                    <w:ind w:firstLine="720"/>
                    <w:jc w:val="both"/>
                    <w:rPr>
                      <w:b/>
                      <w:szCs w:val="24"/>
                      <w:lang w:eastAsia="lt-LT"/>
                    </w:rPr>
                  </w:pPr>
                  <w:sdt>
                    <w:sdtPr>
                      <w:alias w:val="Pavadinimas"/>
                      <w:tag w:val="title_3ca24a80edbc453a81ab2942595ea811"/>
                      <w:lock w:val="sdtLocked"/>
                      <w:richText/>
                    </w:sdtPr>
                    <w:sdtContent>
                      <w:r>
                        <w:rPr>
                          <w:b/>
                          <w:szCs w:val="24"/>
                          <w:lang w:eastAsia="lt-LT"/>
                        </w:rPr>
                        <w:t xml:space="preserve">Parengto sprendimo projekto tikslai ir uždaviniai. </w:t>
                      </w:r>
                    </w:sdtContent>
                  </w:sdt>
                </w:p>
                <w:p>
                  <w:pPr>
                    <w:ind w:firstLine="709"/>
                    <w:jc w:val="both"/>
                    <w:rPr>
                      <w:bCs/>
                      <w:szCs w:val="24"/>
                    </w:rPr>
                  </w:pPr>
                  <w:r>
                    <w:rPr>
                      <w:szCs w:val="24"/>
                    </w:rPr>
                    <w:t xml:space="preserve">Parengto sprendimo projekto tikslas – patvirtinti naujus Šiaulių lopšelių-darželių nuostatus, įteisinant juose mokytojų tarybos sudėtį, veiklos proceso organizavimo būdą bei funkcijas, </w:t>
                  </w:r>
                  <w:r>
                    <w:rPr>
                      <w:rFonts w:eastAsia="HG Mincho Light J"/>
                      <w:color w:val="000000"/>
                      <w:szCs w:val="24"/>
                    </w:rPr>
                    <w:t xml:space="preserve">Lietuvos Respublikos vietos savivaldos įstatymo </w:t>
                  </w:r>
                  <w:r>
                    <w:rPr>
                      <w:szCs w:val="24"/>
                    </w:rPr>
                    <w:t>nuostatas.</w:t>
                  </w:r>
                </w:p>
              </w:sdtContent>
            </w:sdt>
            <w:sdt>
              <w:sdtPr>
                <w:alias w:val="poskyris"/>
                <w:tag w:val="part_c0a8d903cdf14da3b0c7a0023b5762d8"/>
                <w:lock w:val="sdtLocked"/>
                <w:richText/>
              </w:sdtPr>
              <w:sdtContent>
                <w:p>
                  <w:pPr>
                    <w:ind w:firstLine="709"/>
                    <w:jc w:val="both"/>
                    <w:rPr>
                      <w:b/>
                      <w:szCs w:val="24"/>
                    </w:rPr>
                  </w:pPr>
                  <w:sdt>
                    <w:sdtPr>
                      <w:alias w:val="Pavadinimas"/>
                      <w:tag w:val="title_c0a8d903cdf14da3b0c7a0023b5762d8"/>
                      <w:lock w:val="sdtLocked"/>
                      <w:richText/>
                    </w:sdtPr>
                    <w:sdtContent>
                      <w:r>
                        <w:rPr>
                          <w:b/>
                          <w:szCs w:val="24"/>
                        </w:rPr>
                        <w:t>Dabartinis sprendimo projekte aptariamų klausimų reguliavimas.</w:t>
                      </w:r>
                    </w:sdtContent>
                  </w:sdt>
                </w:p>
                <w:p>
                  <w:pPr>
                    <w:ind w:firstLine="709"/>
                    <w:jc w:val="both"/>
                    <w:rPr>
                      <w:szCs w:val="24"/>
                    </w:rPr>
                  </w:pPr>
                  <w:r>
                    <w:rPr>
                      <w:szCs w:val="24"/>
                    </w:rPr>
                    <w:t xml:space="preserve">Šiaulių lopšelių-darželių (toliau – lopšeliai-darželiai) nuostatai patvirtinti Šiaulių miesto savivaldybės tarybos sprendimais: 2020 m. </w:t>
                  </w:r>
                  <w:r>
                    <w:rPr>
                      <w:szCs w:val="24"/>
                      <w:lang w:eastAsia="ar-SA"/>
                    </w:rPr>
                    <w:t>gruodžio 3 d. sprendimu Nr. T-454 „Dėl Šiaulių lopšelių-darželių nuostatų patvirtinimo“;</w:t>
                  </w:r>
                  <w:r>
                    <w:rPr>
                      <w:szCs w:val="24"/>
                    </w:rPr>
                    <w:t xml:space="preserve"> 2021 m. gegužės 6 d. sprendimu Nr. T-154 „Dėl Šiaulių lopšelio-darželio „Ąžuoliukas“ ir Šiaulių lopšelio-darželio „Žibutė“ reorganizavimo patvirtinimo“; 2022 m. balandžio 7 d. sprendimu Nr. T-95 „Dėl Šiaulių lopšelio-darželio „Berželis“ ir Šiaulių lopšelio-darželio „Klevelis“ reorganizavimo patvirtinimo“, 2022 m. rugsėjo 1 d. sprendimu Nr. T-325 „Dėl Šiaulių lopšelio-darželio „Žiburėlis“ pavadinimo pakeitimo ir nuostatų patvirtinimo“ ir 2023 m. gegužės 4 d. sprendimu Nr. T-208 „Dėl Šiaulių lopšelio-darželio „Sigutė“ ir Šiaulių lopšelio-darželio „Coliukė“ reorganizavimo patvirtinimo“. </w:t>
                  </w:r>
                </w:p>
              </w:sdtContent>
            </w:sdt>
            <w:sdt>
              <w:sdtPr>
                <w:alias w:val="poskyris"/>
                <w:tag w:val="part_dbf1a34b1ccd400e84120e6703288515"/>
                <w:lock w:val="sdtLocked"/>
                <w:richText/>
              </w:sdtPr>
              <w:sdtContent>
                <w:p>
                  <w:pPr>
                    <w:ind w:firstLine="709"/>
                    <w:jc w:val="both"/>
                    <w:rPr>
                      <w:b/>
                      <w:szCs w:val="24"/>
                    </w:rPr>
                  </w:pPr>
                  <w:sdt>
                    <w:sdtPr>
                      <w:alias w:val="Pavadinimas"/>
                      <w:tag w:val="title_dbf1a34b1ccd400e84120e6703288515"/>
                      <w:lock w:val="sdtLocked"/>
                      <w:richText/>
                    </w:sdtPr>
                    <w:sdtContent>
                      <w:r>
                        <w:rPr>
                          <w:b/>
                          <w:szCs w:val="24"/>
                        </w:rPr>
                        <w:t>Sprendimo projekte numatytos naujos teisinio reglamentavimo nuostatos.</w:t>
                      </w:r>
                    </w:sdtContent>
                  </w:sdt>
                </w:p>
                <w:p>
                  <w:pPr>
                    <w:ind w:firstLine="709"/>
                    <w:jc w:val="both"/>
                    <w:rPr>
                      <w:szCs w:val="24"/>
                    </w:rPr>
                  </w:pPr>
                  <w:r>
                    <w:rPr>
                      <w:szCs w:val="24"/>
                    </w:rPr>
                    <w:t>Vadovaujantis Nuostatų, įstatų ar statutų įforminimo reikalavimų, patvirtintų Lietuvos Respublikos švietimo, mokslo ir sporto ministro 2021 m. balandžio 28 d. įsakymu Nr. V-670 „Dėl Švietimo ir mokslo ministro 2011 m. birželio 29 d. įsakymo Nr. V-1164 „Dėl nuostatų, įstatų ar statutų įforminimo reikalavimų patvirtinimo“ pakeitimo“, 11 punktu, mokytojų savivaldos nariu negali būti lopšelio-darželio vadovas. Galiojančiuose lopšelių-darželių nuostatuose nebuvo detaliai aprašyta mokytojų tarybos sudėtis, rinkimo ir atstovavimo principai ir kt. Naujos redakcijos lopšelių-darželių nuostatuose numatyta:</w:t>
                  </w:r>
                </w:p>
                <w:sdt>
                  <w:sdtPr>
                    <w:alias w:val="1 p."/>
                    <w:tag w:val="part_d01cb69c71424e48931bebee31ce766d"/>
                    <w:lock w:val="sdtLocked"/>
                    <w:richText/>
                  </w:sdtPr>
                  <w:sdtContent>
                    <w:p>
                      <w:pPr>
                        <w:spacing w:line="276" w:lineRule="auto"/>
                        <w:ind w:left="1211" w:right="-1" w:hanging="360"/>
                        <w:jc w:val="both"/>
                        <w:rPr>
                          <w:rFonts w:ascii="Calibri" w:eastAsia="Calibri" w:hAnsi="Calibri"/>
                          <w:sz w:val="22"/>
                          <w:szCs w:val="22"/>
                        </w:rPr>
                      </w:pPr>
                      <w:sdt>
                        <w:sdtPr>
                          <w:alias w:val="Numeris"/>
                          <w:tag w:val="nr_d01cb69c71424e48931bebee31ce766d"/>
                          <w:lock w:val="sdtLocked"/>
                          <w:richText/>
                        </w:sdtPr>
                        <w:sdtContent>
                          <w:r>
                            <w:rPr>
                              <w:rFonts w:eastAsia="Calibri"/>
                              <w:szCs w:val="24"/>
                            </w:rPr>
                            <w:t>1</w:t>
                          </w:r>
                        </w:sdtContent>
                      </w:sdt>
                      <w:r>
                        <w:rPr>
                          <w:rFonts w:eastAsia="Calibri"/>
                          <w:szCs w:val="24"/>
                        </w:rPr>
                        <w:t>.</w:t>
                        <w:tab/>
                      </w:r>
                      <w:r>
                        <w:rPr>
                          <w:rFonts w:ascii="Calibri" w:eastAsia="Calibri" w:hAnsi="Calibri"/>
                          <w:sz w:val="22"/>
                          <w:szCs w:val="22"/>
                        </w:rPr>
                        <w:t xml:space="preserve">mokytojų tarybos narių skaičius; </w:t>
                      </w:r>
                    </w:p>
                    <w:p>
                      <w:pPr>
                        <w:rPr>
                          <w:sz w:val="18"/>
                          <w:szCs w:val="18"/>
                        </w:rPr>
                      </w:pPr>
                    </w:p>
                  </w:sdtContent>
                </w:sdt>
                <w:sdt>
                  <w:sdtPr>
                    <w:alias w:val="2 p."/>
                    <w:tag w:val="part_570bc92d019c4e5bb077dfde93b1c4c9"/>
                    <w:lock w:val="sdtLocked"/>
                    <w:richText/>
                  </w:sdtPr>
                  <w:sdtContent>
                    <w:p>
                      <w:pPr>
                        <w:spacing w:line="276" w:lineRule="auto"/>
                        <w:ind w:left="1211" w:right="-1" w:hanging="360"/>
                        <w:jc w:val="both"/>
                        <w:rPr>
                          <w:rFonts w:ascii="Calibri" w:eastAsia="Calibri" w:hAnsi="Calibri"/>
                          <w:sz w:val="22"/>
                          <w:szCs w:val="22"/>
                        </w:rPr>
                      </w:pPr>
                      <w:sdt>
                        <w:sdtPr>
                          <w:alias w:val="Numeris"/>
                          <w:tag w:val="nr_570bc92d019c4e5bb077dfde93b1c4c9"/>
                          <w:lock w:val="sdtLocked"/>
                          <w:richText/>
                        </w:sdtPr>
                        <w:sdtContent>
                          <w:r>
                            <w:rPr>
                              <w:rFonts w:eastAsia="Calibri"/>
                              <w:szCs w:val="24"/>
                            </w:rPr>
                            <w:t>2</w:t>
                          </w:r>
                        </w:sdtContent>
                      </w:sdt>
                      <w:r>
                        <w:rPr>
                          <w:rFonts w:eastAsia="Calibri"/>
                          <w:szCs w:val="24"/>
                        </w:rPr>
                        <w:t>.</w:t>
                        <w:tab/>
                      </w:r>
                      <w:r>
                        <w:rPr>
                          <w:rFonts w:ascii="Calibri" w:eastAsia="Calibri" w:hAnsi="Calibri"/>
                          <w:sz w:val="22"/>
                          <w:szCs w:val="22"/>
                        </w:rPr>
                        <w:t>rinkimo ir atstovavimo principai;</w:t>
                      </w:r>
                    </w:p>
                    <w:p>
                      <w:pPr>
                        <w:rPr>
                          <w:sz w:val="18"/>
                          <w:szCs w:val="18"/>
                        </w:rPr>
                      </w:pPr>
                    </w:p>
                  </w:sdtContent>
                </w:sdt>
                <w:sdt>
                  <w:sdtPr>
                    <w:alias w:val="3 p."/>
                    <w:tag w:val="part_8b86ea5011f642a1ad328d8864622bc7"/>
                    <w:lock w:val="sdtLocked"/>
                    <w:richText/>
                  </w:sdtPr>
                  <w:sdtContent>
                    <w:p>
                      <w:pPr>
                        <w:spacing w:line="276" w:lineRule="auto"/>
                        <w:ind w:left="1211" w:right="-1" w:hanging="360"/>
                        <w:jc w:val="both"/>
                        <w:rPr>
                          <w:rFonts w:ascii="Calibri" w:eastAsia="Calibri" w:hAnsi="Calibri"/>
                          <w:sz w:val="22"/>
                          <w:szCs w:val="22"/>
                        </w:rPr>
                      </w:pPr>
                      <w:sdt>
                        <w:sdtPr>
                          <w:alias w:val="Numeris"/>
                          <w:tag w:val="nr_8b86ea5011f642a1ad328d8864622bc7"/>
                          <w:lock w:val="sdtLocked"/>
                          <w:richText/>
                        </w:sdtPr>
                        <w:sdtContent>
                          <w:r>
                            <w:rPr>
                              <w:rFonts w:eastAsia="Calibri"/>
                              <w:szCs w:val="24"/>
                            </w:rPr>
                            <w:t>3</w:t>
                          </w:r>
                        </w:sdtContent>
                      </w:sdt>
                      <w:r>
                        <w:rPr>
                          <w:rFonts w:eastAsia="Calibri"/>
                          <w:szCs w:val="24"/>
                        </w:rPr>
                        <w:t>.</w:t>
                        <w:tab/>
                      </w:r>
                      <w:r>
                        <w:rPr>
                          <w:rFonts w:ascii="Calibri" w:eastAsia="Calibri" w:hAnsi="Calibri"/>
                          <w:sz w:val="22"/>
                          <w:szCs w:val="22"/>
                        </w:rPr>
                        <w:t xml:space="preserve">kadencijos, galimas mokytojų tarybos nario kadencijų skaičius; </w:t>
                      </w:r>
                    </w:p>
                    <w:p>
                      <w:pPr>
                        <w:rPr>
                          <w:sz w:val="18"/>
                          <w:szCs w:val="18"/>
                        </w:rPr>
                      </w:pPr>
                    </w:p>
                  </w:sdtContent>
                </w:sdt>
                <w:sdt>
                  <w:sdtPr>
                    <w:alias w:val="4 p."/>
                    <w:tag w:val="part_ce1be79763b1429e8c9e9129b033269f"/>
                    <w:lock w:val="sdtLocked"/>
                    <w:richText/>
                  </w:sdtPr>
                  <w:sdtContent>
                    <w:p>
                      <w:pPr>
                        <w:spacing w:line="276" w:lineRule="auto"/>
                        <w:ind w:left="1211" w:right="-1" w:hanging="360"/>
                        <w:jc w:val="both"/>
                        <w:rPr>
                          <w:rFonts w:ascii="Calibri" w:eastAsia="Calibri" w:hAnsi="Calibri"/>
                          <w:sz w:val="22"/>
                          <w:szCs w:val="22"/>
                        </w:rPr>
                      </w:pPr>
                      <w:sdt>
                        <w:sdtPr>
                          <w:alias w:val="Numeris"/>
                          <w:tag w:val="nr_ce1be79763b1429e8c9e9129b033269f"/>
                          <w:lock w:val="sdtLocked"/>
                          <w:richText/>
                        </w:sdtPr>
                        <w:sdtContent>
                          <w:r>
                            <w:rPr>
                              <w:rFonts w:eastAsia="Calibri"/>
                              <w:szCs w:val="24"/>
                            </w:rPr>
                            <w:t>4</w:t>
                          </w:r>
                        </w:sdtContent>
                      </w:sdt>
                      <w:r>
                        <w:rPr>
                          <w:rFonts w:eastAsia="Calibri"/>
                          <w:szCs w:val="24"/>
                        </w:rPr>
                        <w:t>.</w:t>
                        <w:tab/>
                      </w:r>
                      <w:r>
                        <w:rPr>
                          <w:rFonts w:ascii="Calibri" w:eastAsia="Calibri" w:hAnsi="Calibri"/>
                          <w:sz w:val="22"/>
                          <w:szCs w:val="22"/>
                          <w:lang w:eastAsia="lt-LT"/>
                        </w:rPr>
                        <w:t>naujo nario paskyrimas nutrūkus savivaldos institucijos nario įgaliojimams pirma laiko;</w:t>
                      </w:r>
                      <w:r>
                        <w:rPr>
                          <w:rFonts w:ascii="Calibri" w:eastAsia="Calibri" w:hAnsi="Calibri"/>
                          <w:sz w:val="22"/>
                          <w:szCs w:val="22"/>
                        </w:rPr>
                        <w:t xml:space="preserve"> </w:t>
                      </w:r>
                    </w:p>
                    <w:p>
                      <w:pPr>
                        <w:rPr>
                          <w:sz w:val="18"/>
                          <w:szCs w:val="18"/>
                        </w:rPr>
                      </w:pPr>
                    </w:p>
                  </w:sdtContent>
                </w:sdt>
                <w:sdt>
                  <w:sdtPr>
                    <w:alias w:val="5 p."/>
                    <w:tag w:val="part_137b9953eb64493e845e5b339107c97f"/>
                    <w:lock w:val="sdtLocked"/>
                    <w:richText/>
                  </w:sdtPr>
                  <w:sdtContent>
                    <w:p>
                      <w:pPr>
                        <w:spacing w:line="276" w:lineRule="auto"/>
                        <w:ind w:left="1211" w:right="-1" w:hanging="360"/>
                        <w:jc w:val="both"/>
                        <w:rPr>
                          <w:rFonts w:ascii="Calibri" w:eastAsia="Calibri" w:hAnsi="Calibri"/>
                          <w:sz w:val="22"/>
                          <w:szCs w:val="22"/>
                        </w:rPr>
                      </w:pPr>
                      <w:sdt>
                        <w:sdtPr>
                          <w:alias w:val="Numeris"/>
                          <w:tag w:val="nr_137b9953eb64493e845e5b339107c97f"/>
                          <w:lock w:val="sdtLocked"/>
                          <w:richText/>
                        </w:sdtPr>
                        <w:sdtContent>
                          <w:r>
                            <w:rPr>
                              <w:rFonts w:eastAsia="Calibri"/>
                              <w:szCs w:val="24"/>
                            </w:rPr>
                            <w:t>5</w:t>
                          </w:r>
                        </w:sdtContent>
                      </w:sdt>
                      <w:r>
                        <w:rPr>
                          <w:rFonts w:eastAsia="Calibri"/>
                          <w:szCs w:val="24"/>
                        </w:rPr>
                        <w:t>.</w:t>
                        <w:tab/>
                      </w:r>
                      <w:r>
                        <w:rPr>
                          <w:rFonts w:ascii="Calibri" w:eastAsia="Calibri" w:hAnsi="Calibri"/>
                          <w:sz w:val="22"/>
                          <w:szCs w:val="22"/>
                        </w:rPr>
                        <w:t>mokytojų tarybos vadovo rinkimo principas;</w:t>
                      </w:r>
                    </w:p>
                    <w:p>
                      <w:pPr>
                        <w:rPr>
                          <w:sz w:val="18"/>
                          <w:szCs w:val="18"/>
                        </w:rPr>
                      </w:pPr>
                    </w:p>
                  </w:sdtContent>
                </w:sdt>
                <w:sdt>
                  <w:sdtPr>
                    <w:alias w:val="6 p."/>
                    <w:tag w:val="part_1f0723807f2a42b390d5582df3ccff19"/>
                    <w:lock w:val="sdtLocked"/>
                    <w:richText/>
                  </w:sdtPr>
                  <w:sdtContent>
                    <w:p>
                      <w:pPr>
                        <w:spacing w:line="276" w:lineRule="auto"/>
                        <w:ind w:right="-1" w:firstLine="851"/>
                        <w:jc w:val="both"/>
                        <w:rPr>
                          <w:rFonts w:ascii="Calibri" w:eastAsia="Calibri" w:hAnsi="Calibri"/>
                          <w:sz w:val="22"/>
                          <w:szCs w:val="22"/>
                        </w:rPr>
                      </w:pPr>
                      <w:sdt>
                        <w:sdtPr>
                          <w:alias w:val="Numeris"/>
                          <w:tag w:val="nr_1f0723807f2a42b390d5582df3ccff19"/>
                          <w:lock w:val="sdtLocked"/>
                          <w:richText/>
                        </w:sdtPr>
                        <w:sdtContent>
                          <w:r>
                            <w:rPr>
                              <w:rFonts w:eastAsia="Calibri"/>
                              <w:szCs w:val="24"/>
                            </w:rPr>
                            <w:t>6</w:t>
                          </w:r>
                        </w:sdtContent>
                      </w:sdt>
                      <w:r>
                        <w:rPr>
                          <w:rFonts w:eastAsia="Calibri"/>
                          <w:szCs w:val="24"/>
                        </w:rPr>
                        <w:t>.</w:t>
                        <w:tab/>
                      </w:r>
                      <w:r>
                        <w:rPr>
                          <w:rFonts w:ascii="Calibri" w:eastAsia="Calibri" w:hAnsi="Calibri"/>
                          <w:sz w:val="22"/>
                          <w:szCs w:val="22"/>
                          <w:lang w:val="pt-BR"/>
                        </w:rPr>
                        <w:t>savivaldos institucijos kompetencija, veiklos organizavimas ir sprendimų priėmimo tvarka.</w:t>
                      </w:r>
                    </w:p>
                    <w:p>
                      <w:pPr>
                        <w:rPr>
                          <w:sz w:val="18"/>
                          <w:szCs w:val="18"/>
                        </w:rPr>
                      </w:pPr>
                    </w:p>
                    <w:p>
                      <w:pPr>
                        <w:spacing w:line="276" w:lineRule="auto"/>
                        <w:ind w:right="-1" w:firstLine="709"/>
                        <w:jc w:val="both"/>
                        <w:rPr>
                          <w:rFonts w:eastAsia="Calibri"/>
                          <w:szCs w:val="24"/>
                        </w:rPr>
                      </w:pPr>
                      <w:r>
                        <w:rPr>
                          <w:rFonts w:eastAsia="Calibri"/>
                          <w:color w:val="000000"/>
                          <w:szCs w:val="24"/>
                        </w:rPr>
                        <w:t xml:space="preserve">Minėta mokytojų tarybos </w:t>
                      </w:r>
                      <w:r>
                        <w:rPr>
                          <w:rFonts w:eastAsia="Calibri"/>
                          <w:szCs w:val="24"/>
                        </w:rPr>
                        <w:t xml:space="preserve">veiklos proceso organizavimo </w:t>
                      </w:r>
                      <w:r>
                        <w:rPr>
                          <w:rFonts w:eastAsia="Calibri"/>
                          <w:color w:val="000000"/>
                          <w:szCs w:val="24"/>
                        </w:rPr>
                        <w:t>funkcija taip pat turi būti įteisinta lopšelių-darželių nuostatuose.</w:t>
                      </w:r>
                      <w:r>
                        <w:rPr>
                          <w:rFonts w:eastAsia="Calibri"/>
                          <w:szCs w:val="24"/>
                        </w:rPr>
                        <w:t xml:space="preserve"> </w:t>
                      </w:r>
                      <w:r>
                        <w:rPr>
                          <w:rFonts w:eastAsia="Calibri"/>
                          <w:color w:val="000000"/>
                          <w:szCs w:val="24"/>
                        </w:rPr>
                        <w:t xml:space="preserve">Įteisinus lopšelių-darželių nuostatuose </w:t>
                      </w:r>
                      <w:r>
                        <w:rPr>
                          <w:rFonts w:eastAsia="Calibri"/>
                          <w:szCs w:val="24"/>
                        </w:rPr>
                        <w:t>mokytojų tarybos veiklos proceso organizavimo būdą ir funkcijas</w:t>
                      </w:r>
                      <w:r>
                        <w:rPr>
                          <w:rFonts w:eastAsia="Calibri"/>
                          <w:color w:val="000000"/>
                          <w:szCs w:val="24"/>
                        </w:rPr>
                        <w:t xml:space="preserve">, </w:t>
                      </w:r>
                      <w:r>
                        <w:rPr>
                          <w:rFonts w:eastAsia="Calibri"/>
                          <w:szCs w:val="24"/>
                          <w:lang w:eastAsia="lt-LT"/>
                        </w:rPr>
                        <w:t xml:space="preserve">būtų sudarytos galimybės mokytojams ir kitiems lopšelių-darželių bendruomenės nariams skaidriai išsirinkti mokytojų tarybos pirmininką. </w:t>
                      </w:r>
                    </w:p>
                    <w:p>
                      <w:pPr>
                        <w:ind w:right="-1" w:firstLine="709"/>
                        <w:jc w:val="both"/>
                        <w:rPr>
                          <w:bCs/>
                          <w:szCs w:val="24"/>
                        </w:rPr>
                      </w:pPr>
                      <w:r>
                        <w:rPr>
                          <w:color w:val="000000"/>
                          <w:szCs w:val="24"/>
                        </w:rPr>
                        <w:t>Įrašyta</w:t>
                      </w:r>
                      <w:r>
                        <w:rPr>
                          <w:b/>
                          <w:bCs/>
                          <w:caps/>
                          <w:szCs w:val="24"/>
                        </w:rPr>
                        <w:t xml:space="preserve"> </w:t>
                      </w:r>
                      <w:r>
                        <w:rPr>
                          <w:bCs/>
                          <w:szCs w:val="24"/>
                        </w:rPr>
                        <w:t>nauja</w:t>
                      </w:r>
                      <w:r>
                        <w:rPr>
                          <w:bCs/>
                          <w:caps/>
                          <w:szCs w:val="24"/>
                        </w:rPr>
                        <w:t xml:space="preserve"> </w:t>
                      </w:r>
                      <w:r>
                        <w:rPr>
                          <w:bCs/>
                          <w:szCs w:val="24"/>
                        </w:rPr>
                        <w:t>nuostata, kad direktoriaus atostogų, komandiruočių, nedarbingumo laikotarpiu direktoriaus funkcijas atlieka direktoriaus pavaduotojas ugdymui arba kitas darbuotojas, turintis pagal pareigybės aprašymą pareigą ir įgaliojimus vykdyti įstaigos vadovo funkcijas</w:t>
                      </w:r>
                      <w:r>
                        <w:rPr>
                          <w:caps/>
                          <w:szCs w:val="24"/>
                        </w:rPr>
                        <w:t>.</w:t>
                      </w:r>
                    </w:p>
                    <w:p>
                      <w:pPr>
                        <w:spacing w:line="276" w:lineRule="auto"/>
                        <w:ind w:firstLine="720"/>
                        <w:jc w:val="both"/>
                        <w:rPr>
                          <w:rFonts w:eastAsia="Calibri"/>
                          <w:szCs w:val="24"/>
                        </w:rPr>
                      </w:pPr>
                      <w:r>
                        <w:rPr>
                          <w:rFonts w:eastAsia="Calibri"/>
                          <w:szCs w:val="24"/>
                        </w:rPr>
                        <w:t>Siekiant tikslumo pakoreguoti papunkčiai dėl direktoriaus teisių tvarkant, valdant, naudojant lopšelių-darželių turtą, lėšas ir atsakomybę dėl darbuotojų profesinio tobulėjimo. Papildžius lopšelių-darželių nuostatus naujomis funkcijomis, pakeista lopšelių-darželių nuostatų punktų numeracija.</w:t>
                      </w:r>
                    </w:p>
                    <w:p>
                      <w:pPr>
                        <w:spacing w:line="276" w:lineRule="auto"/>
                        <w:ind w:firstLine="720"/>
                        <w:jc w:val="both"/>
                        <w:rPr>
                          <w:rFonts w:eastAsia="Calibri"/>
                          <w:szCs w:val="24"/>
                        </w:rPr>
                      </w:pPr>
                      <w:r>
                        <w:rPr>
                          <w:rFonts w:eastAsia="Calibri"/>
                          <w:szCs w:val="24"/>
                        </w:rPr>
                        <w:t>Vadovaujantis Lietuvos Respublikos švietimo, mokslo ir sporto ministro 2023 m. balandžio 11 d. įsakymu Nr. V-498 „Dėl Švietimo, mokslo ir sporto ministro 2003 m. spalio 9 d. įsakymo Nr. ĮSAK-1407 „Dėl pareigybių, kurias atliekant darbas yra laikomas pedagoginiu, sąrašo patvirtinimo“ pakeitimo“ lopšelių-darželių nuostatuose pakeistas ikimokyklinio ugdymo ir priešmokyklinio ugdymo mokytojo pareigybės pavadinimas.</w:t>
                      </w:r>
                    </w:p>
                    <w:p>
                      <w:pPr>
                        <w:ind w:firstLine="709"/>
                        <w:jc w:val="both"/>
                        <w:rPr>
                          <w:rFonts w:eastAsia="Calibri"/>
                          <w:szCs w:val="24"/>
                        </w:rPr>
                      </w:pPr>
                      <w:r>
                        <w:rPr>
                          <w:rFonts w:eastAsia="Calibri"/>
                          <w:szCs w:val="24"/>
                        </w:rPr>
                        <w:t>Atsižvelgiant į Lietuvos Respublikos vietos savivaldos įstatymo nuostatas siūloma patvirtinti naujus lopšelių-darželių nuostatus, kuriuose bus įrašyta nauja lopšelių-darželių savininko teises ir pareigas gyvendinanti institucija – Šiaulių miesto savivaldybės meras.</w:t>
                      </w:r>
                    </w:p>
                  </w:sdtContent>
                </w:sdt>
              </w:sdtContent>
            </w:sdt>
            <w:sdt>
              <w:sdtPr>
                <w:alias w:val="poskyris"/>
                <w:tag w:val="part_34508e58eb5d476fbfc1475900a8fbb8"/>
                <w:lock w:val="sdtLocked"/>
                <w:richText/>
              </w:sdtPr>
              <w:sdtContent>
                <w:p>
                  <w:pPr>
                    <w:ind w:firstLine="709"/>
                    <w:jc w:val="both"/>
                    <w:rPr>
                      <w:rFonts w:eastAsia="Calibri"/>
                      <w:b/>
                      <w:szCs w:val="24"/>
                    </w:rPr>
                  </w:pPr>
                  <w:sdt>
                    <w:sdtPr>
                      <w:alias w:val="Pavadinimas"/>
                      <w:tag w:val="title_34508e58eb5d476fbfc1475900a8fbb8"/>
                      <w:lock w:val="sdtLocked"/>
                      <w:richText/>
                    </w:sdtPr>
                    <w:sdtContent>
                      <w:r>
                        <w:rPr>
                          <w:rFonts w:eastAsia="Calibri"/>
                          <w:b/>
                          <w:szCs w:val="24"/>
                        </w:rPr>
                        <w:t>Priėmus sprendimą, galimos pasekmės.</w:t>
                      </w:r>
                    </w:sdtContent>
                  </w:sdt>
                </w:p>
                <w:p>
                  <w:pPr>
                    <w:ind w:firstLine="709"/>
                    <w:jc w:val="both"/>
                    <w:rPr>
                      <w:rFonts w:eastAsia="Calibri"/>
                      <w:szCs w:val="24"/>
                    </w:rPr>
                  </w:pPr>
                  <w:r>
                    <w:rPr>
                      <w:rFonts w:eastAsia="Calibri"/>
                      <w:szCs w:val="24"/>
                    </w:rPr>
                    <w:t xml:space="preserve">Pasekmės teigiamos, nes priėmus sprendimą lopšelių-darželių nuostatuose bus įteisinti: mokytojų tarybos sudėtis, veiklos proceso organizavimo būdas ir funkcijos, direktoriaus atstovavimas jo atostogų metu. Bus įteisintos Lietuvos Respublikos vietos savivaldos įstatymo nuostatos, pakeistas ikimokyklinio ugdymo ir priešmokyklinio ugdymo mokytojo pareigybės pavadinimas. Lopšelių-darželių nuostatų </w:t>
                  </w:r>
                  <w:r>
                    <w:rPr>
                      <w:rFonts w:eastAsia="Calibri"/>
                      <w:color w:val="000000"/>
                      <w:szCs w:val="24"/>
                    </w:rPr>
                    <w:t>struktūra ir turinys atitiks Valstybinių ir savivaldybių mokyklų nuostatų (įstatų, statutų) įforminimo reikalavimus.</w:t>
                  </w:r>
                </w:p>
                <w:p>
                  <w:pPr>
                    <w:ind w:firstLine="709"/>
                    <w:jc w:val="both"/>
                    <w:rPr>
                      <w:szCs w:val="24"/>
                    </w:rPr>
                  </w:pPr>
                  <w:r>
                    <w:rPr>
                      <w:szCs w:val="24"/>
                    </w:rPr>
                    <w:t>Neigiamų pasekmių nenumatoma.</w:t>
                  </w:r>
                </w:p>
              </w:sdtContent>
            </w:sdt>
            <w:sdt>
              <w:sdtPr>
                <w:alias w:val="poskyris"/>
                <w:tag w:val="part_28ba690a55f24f6dae305d57b177306e"/>
                <w:lock w:val="sdtLocked"/>
                <w:richText/>
              </w:sdtPr>
              <w:sdtContent>
                <w:p>
                  <w:pPr>
                    <w:ind w:firstLine="709"/>
                    <w:jc w:val="both"/>
                    <w:rPr>
                      <w:b/>
                      <w:szCs w:val="24"/>
                    </w:rPr>
                  </w:pPr>
                  <w:sdt>
                    <w:sdtPr>
                      <w:alias w:val="Pavadinimas"/>
                      <w:tag w:val="title_28ba690a55f24f6dae305d57b177306e"/>
                      <w:lock w:val="sdtLocked"/>
                      <w:richText/>
                    </w:sdtPr>
                    <w:sdtContent>
                      <w:r>
                        <w:rPr>
                          <w:b/>
                          <w:szCs w:val="24"/>
                        </w:rPr>
                        <w:t>Priėmus sprendimą, keičiami ar pripažįstami negaliojančiais teisės aktai.</w:t>
                      </w:r>
                    </w:sdtContent>
                  </w:sdt>
                </w:p>
                <w:p>
                  <w:pPr>
                    <w:ind w:firstLine="709"/>
                    <w:jc w:val="both"/>
                    <w:rPr>
                      <w:szCs w:val="24"/>
                    </w:rPr>
                  </w:pPr>
                  <w:r>
                    <w:rPr>
                      <w:szCs w:val="24"/>
                    </w:rPr>
                    <w:t xml:space="preserve">Bus pripažinti </w:t>
                  </w:r>
                  <w:r>
                    <w:rPr>
                      <w:szCs w:val="24"/>
                      <w:lang w:eastAsia="ar-SA"/>
                    </w:rPr>
                    <w:t xml:space="preserve">netekusiais galios Šiaulių miesto savivaldybės tarybos sprendimai: </w:t>
                  </w:r>
                  <w:r>
                    <w:rPr>
                      <w:szCs w:val="24"/>
                    </w:rPr>
                    <w:t xml:space="preserve">2020 m. </w:t>
                  </w:r>
                  <w:r>
                    <w:rPr>
                      <w:szCs w:val="24"/>
                      <w:lang w:eastAsia="ar-SA"/>
                    </w:rPr>
                    <w:t>gruodžio 3 d. sprendimas Nr. T-454 „Dėl Šiaulių lopšelių-darželių nuostatų patvirtinimo“;</w:t>
                  </w:r>
                  <w:r>
                    <w:rPr>
                      <w:szCs w:val="24"/>
                    </w:rPr>
                    <w:t xml:space="preserve"> 2021 m. gegužės 6 d. sprendimo Nr. T-154 „Dėl Šiaulių lopšelio-darželio „Ąžuoliukas“ ir Šiaulių lopšelio-darželio „Žibutė“ reorganizavimo patvirtinimo“ 2.2 papunktis; 2022 m. balandžio 7 d. sprendimo Nr. T-95 „Dėl Šiaulių lopšelio-darželio „Berželis“ ir Šiaulių lopšelio-darželio „Klevelis“ reorganizavimo patvirtinimo“ 2.2 papunktis; 2022 m. rugsėjo 1 d. sprendimo Nr. T-325 „Dėl Šiaulių lopšelio-darželio „Žiburėlis“ pavadinimo pakeitimo ir nuostatų patvirtinimo“ 2 punktas ir 2023 m. gegužės 4 d. sprendimo Nr. T-208 „Dėl Šiaulių lopšelio-darželio „Sigutė“ ir Šiaulių lopšelio-darželio „Coliukė“ reorganizavimo patvirtinimo“ 2.2 papunktis. </w:t>
                  </w:r>
                </w:p>
              </w:sdtContent>
            </w:sdt>
            <w:sdt>
              <w:sdtPr>
                <w:alias w:val="poskyris"/>
                <w:tag w:val="part_16e89b95682946ac81539f20781cef30"/>
                <w:lock w:val="sdtLocked"/>
                <w:richText/>
              </w:sdtPr>
              <w:sdtContent>
                <w:p>
                  <w:pPr>
                    <w:ind w:firstLine="709"/>
                    <w:jc w:val="both"/>
                    <w:rPr>
                      <w:b/>
                      <w:szCs w:val="24"/>
                    </w:rPr>
                  </w:pPr>
                  <w:sdt>
                    <w:sdtPr>
                      <w:alias w:val="Pavadinimas"/>
                      <w:tag w:val="title_16e89b95682946ac81539f20781cef30"/>
                      <w:lock w:val="sdtLocked"/>
                      <w:richText/>
                    </w:sdtPr>
                    <w:sdtContent>
                      <w:r>
                        <w:rPr>
                          <w:b/>
                          <w:szCs w:val="24"/>
                        </w:rPr>
                        <w:t>Sprendimui įgyvendinti reikalingi priimti papildomi teisės aktai.</w:t>
                      </w:r>
                    </w:sdtContent>
                  </w:sdt>
                </w:p>
                <w:p>
                  <w:pPr>
                    <w:ind w:firstLine="709"/>
                    <w:jc w:val="both"/>
                    <w:rPr>
                      <w:szCs w:val="24"/>
                    </w:rPr>
                  </w:pPr>
                  <w:r>
                    <w:rPr>
                      <w:szCs w:val="24"/>
                    </w:rPr>
                    <w:t>Sprendimui įgyvendinti nereikės priimti papildomų teisės aktų.</w:t>
                  </w:r>
                </w:p>
              </w:sdtContent>
            </w:sdt>
            <w:sdt>
              <w:sdtPr>
                <w:alias w:val="poskyris"/>
                <w:tag w:val="part_bbdf04a77abf4b6e8ac2dc553a5af20c"/>
                <w:lock w:val="sdtLocked"/>
                <w:richText/>
              </w:sdtPr>
              <w:sdtContent>
                <w:p>
                  <w:pPr>
                    <w:ind w:firstLine="709"/>
                    <w:jc w:val="both"/>
                    <w:rPr>
                      <w:b/>
                      <w:szCs w:val="24"/>
                    </w:rPr>
                  </w:pPr>
                  <w:sdt>
                    <w:sdtPr>
                      <w:alias w:val="Pavadinimas"/>
                      <w:tag w:val="title_bbdf04a77abf4b6e8ac2dc553a5af20c"/>
                      <w:lock w:val="sdtLocked"/>
                      <w:richText/>
                    </w:sdtPr>
                    <w:sdtContent>
                      <w:r>
                        <w:rPr>
                          <w:b/>
                          <w:szCs w:val="24"/>
                        </w:rPr>
                        <w:t>Sprendimui įgyvendinti reikalingos lėšos.</w:t>
                      </w:r>
                    </w:sdtContent>
                  </w:sdt>
                </w:p>
                <w:p>
                  <w:pPr>
                    <w:ind w:firstLine="709"/>
                    <w:jc w:val="both"/>
                    <w:rPr>
                      <w:szCs w:val="24"/>
                    </w:rPr>
                  </w:pPr>
                  <w:r>
                    <w:rPr>
                      <w:szCs w:val="24"/>
                    </w:rPr>
                    <w:t>Sprendimui įgyvendinti nebus reikalingos papildomos biudžeto lėšos.</w:t>
                  </w:r>
                </w:p>
              </w:sdtContent>
            </w:sdt>
            <w:sdt>
              <w:sdtPr>
                <w:alias w:val="poskyris"/>
                <w:tag w:val="part_eb6bbc4086f240e9b06481cd88e3cebc"/>
                <w:lock w:val="sdtLocked"/>
                <w:richText/>
              </w:sdtPr>
              <w:sdtContent>
                <w:p>
                  <w:pPr>
                    <w:ind w:firstLine="709"/>
                    <w:jc w:val="both"/>
                    <w:rPr>
                      <w:b/>
                      <w:szCs w:val="24"/>
                    </w:rPr>
                  </w:pPr>
                  <w:sdt>
                    <w:sdtPr>
                      <w:alias w:val="Pavadinimas"/>
                      <w:tag w:val="title_eb6bbc4086f240e9b06481cd88e3cebc"/>
                      <w:lock w:val="sdtLocked"/>
                      <w:richText/>
                    </w:sdtPr>
                    <w:sdtContent>
                      <w:r>
                        <w:rPr>
                          <w:b/>
                          <w:szCs w:val="24"/>
                        </w:rPr>
                        <w:t>Sprendimo projekto antikorupcinis vertinimas.</w:t>
                      </w:r>
                    </w:sdtContent>
                  </w:sdt>
                </w:p>
                <w:p>
                  <w:pPr>
                    <w:ind w:firstLine="709"/>
                    <w:jc w:val="both"/>
                    <w:rPr>
                      <w:szCs w:val="24"/>
                    </w:rPr>
                  </w:pPr>
                  <w:r>
                    <w:rPr>
                      <w:szCs w:val="24"/>
                    </w:rPr>
                    <w:t>Sprendimo projekto antikorupcinis vertinimas nebuvo atliekamas, nes šis projektas nėra susijęs nė su vienu atveju, nurodytu Lietuvos Respublikos korupcijos prevencijos įstatymo 8 straipsnio 1 dalyje.</w:t>
                  </w:r>
                </w:p>
                <w:p>
                  <w:pPr>
                    <w:ind w:firstLine="709"/>
                    <w:jc w:val="both"/>
                    <w:rPr>
                      <w:szCs w:val="24"/>
                    </w:rPr>
                  </w:pPr>
                  <w:r>
                    <w:rPr>
                      <w:b/>
                      <w:szCs w:val="24"/>
                    </w:rPr>
                    <w:t>Sprendimo projektą parengė</w:t>
                  </w:r>
                  <w:r>
                    <w:rPr>
                      <w:szCs w:val="24"/>
                    </w:rPr>
                    <w:t xml:space="preserve"> Šiaulių miesto savivaldybės Švietimo skyrius. Tiesioginis rengėjas – Švietimo skyriaus vyriausioji specialistė Danguolė Teišerskienė, tel. (8 41) 38 64 74. Projekto iniciatorius – Švietimo skyrius.</w:t>
                  </w:r>
                </w:p>
                <w:p>
                  <w:pPr>
                    <w:widowControl w:val="0"/>
                    <w:rPr>
                      <w:rFonts w:eastAsia="Lucida Sans Unicode"/>
                      <w:b/>
                      <w:bCs/>
                      <w:iCs/>
                      <w:szCs w:val="24"/>
                      <w:shd w:val="clear" w:color="auto" w:fill="FFFFFF"/>
                      <w:lang w:eastAsia="lt-LT"/>
                    </w:rPr>
                  </w:pPr>
                </w:p>
                <w:p>
                  <w:pPr>
                    <w:widowControl w:val="0"/>
                    <w:rPr>
                      <w:rFonts w:eastAsia="Lucida Sans Unicode"/>
                      <w:b/>
                      <w:bCs/>
                      <w:iCs/>
                      <w:szCs w:val="24"/>
                      <w:shd w:val="clear" w:color="auto" w:fill="FFFFFF"/>
                      <w:lang w:eastAsia="lt-LT"/>
                    </w:rPr>
                  </w:pPr>
                </w:p>
              </w:sdtContent>
            </w:sdt>
          </w:sdtContent>
        </w:sdt>
        <w:sdt>
          <w:sdtPr>
            <w:alias w:val="signatura"/>
            <w:tag w:val="part_7cdff4a11adb4b1b9742ff77ccc35ba2"/>
            <w:lock w:val="sdtLocked"/>
            <w:richText/>
          </w:sdtPr>
          <w:sdtContent>
            <w:p>
              <w:pPr>
                <w:widowControl w:val="0"/>
                <w:rPr>
                  <w:rFonts w:eastAsia="Lucida Sans Unicode"/>
                  <w:b/>
                  <w:bCs/>
                  <w:iCs/>
                  <w:szCs w:val="24"/>
                  <w:shd w:val="clear" w:color="auto" w:fill="FFFFFF"/>
                  <w:lang w:eastAsia="lt-LT"/>
                </w:rPr>
              </w:pPr>
              <w:r>
                <w:rPr>
                  <w:rFonts w:eastAsia="Calibri"/>
                  <w:szCs w:val="24"/>
                </w:rPr>
                <w:t>Skyriaus vedėja</w:t>
                <w:tab/>
                <w:tab/>
                <w:tab/>
                <w:tab/>
                <w:tab/>
                <w:t xml:space="preserve">Edita Minkuvienė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HG Mincho Light J">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16B439-BAA5-4BAF-9D5E-42CD0F43D9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7206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25e05f27d244579ac4bf1c9b62e27ec" PartId="276ecc8fb3d64f8a977019c3ff5374c7">
    <Part Type="skyrius" Nr="999" DocPartId="0667d99beae14ed284c83ef960179f50" PartId="7d5fa8169434408089f71010b7309de5">
      <Part Type="poskyris" Title="AIŠKINAMASIS RAŠTAS" DocPartId="b497477e70c640dd83fe429d0f7b2108" PartId="1007bb91a07540f19415bafd91045ec5"/>
      <Part Type="poskyris" Title="Parengto sprendimo projekto tikslai ir uždaviniai." DocPartId="3b34919e646b4df8b7f9d3cd98d4abb6" PartId="3ca24a80edbc453a81ab2942595ea811"/>
      <Part Type="poskyris" Title="Dabartinis sprendimo projekte aptariamų klausimų reguliavimas." DocPartId="ab528b4cec054fb5a4b5fbf323f29fcd" PartId="c0a8d903cdf14da3b0c7a0023b5762d8"/>
      <Part Type="poskyris" Title="Sprendimo projekte numatytos naujos teisinio reglamentavimo nuostatos." DocPartId="df51d1fd2680438e8cd742ab09015831" PartId="dbf1a34b1ccd400e84120e6703288515">
        <Part Type="punktas" Nr="1" Abbr="1 p." DocPartId="9fe05b42b2444cd8a8d2cb873383a03c" PartId="d01cb69c71424e48931bebee31ce766d"/>
        <Part Type="punktas" Nr="2" Abbr="2 p." DocPartId="0ba62a0022724daba19a9ee4cab4ea12" PartId="570bc92d019c4e5bb077dfde93b1c4c9"/>
        <Part Type="punktas" Nr="3" Abbr="3 p." DocPartId="b1a02159597b42b083d0bfcecc6f3f9f" PartId="8b86ea5011f642a1ad328d8864622bc7"/>
        <Part Type="punktas" Nr="4" Abbr="4 p." DocPartId="dee31523414b4ab4b7b6e1eb23a17b4e" PartId="ce1be79763b1429e8c9e9129b033269f"/>
        <Part Type="punktas" Nr="5" Abbr="5 p." DocPartId="a02753a181e4430f936da3044bf029ff" PartId="137b9953eb64493e845e5b339107c97f"/>
        <Part Type="punktas" Nr="6" Abbr="6 p." DocPartId="765225daf80f4e31bac2677a59e2e8cc" PartId="1f0723807f2a42b390d5582df3ccff19"/>
      </Part>
      <Part Type="poskyris" Title="Priėmus sprendimą, galimos pasekmės." DocPartId="1d112804b5c844c7a621ae34260247fd" PartId="34508e58eb5d476fbfc1475900a8fbb8"/>
      <Part Type="poskyris" Title="Priėmus sprendimą, keičiami ar pripažįstami negaliojančiais teisės aktai." DocPartId="0d842d2b73994b20878001134cd7a33b" PartId="28ba690a55f24f6dae305d57b177306e"/>
      <Part Type="poskyris" Title="Sprendimui įgyvendinti reikalingi priimti papildomi teisės aktai." DocPartId="45973f4da3b0450f8ceca3b3f646abe9" PartId="16e89b95682946ac81539f20781cef30"/>
      <Part Type="poskyris" Title="Sprendimui įgyvendinti reikalingos lėšos." DocPartId="68f12c8515434cfc89e66738b6799e22" PartId="bbdf04a77abf4b6e8ac2dc553a5af20c"/>
      <Part Type="poskyris" Title="Sprendimo projekto antikorupcinis vertinimas." DocPartId="b3d4335e1576463da9a57a4de4033b19" PartId="eb6bbc4086f240e9b06481cd88e3cebc"/>
    </Part>
    <Part Type="signatura" DocPartId="89ccdbc2ef2b4ef1bc9f7c796d5f5e4a" PartId="7cdff4a11adb4b1b9742ff77ccc35ba2"/>
  </Part>
</Parts>
</file>

<file path=customXml/itemProps1.xml><?xml version="1.0" encoding="utf-8"?>
<ds:datastoreItem xmlns:ds="http://schemas.openxmlformats.org/officeDocument/2006/customXml" ds:itemID="{368FE613-131D-491F-A934-011D7B441A84}">
  <ds:schemaRefs>
    <ds:schemaRef ds:uri="http://schemas.openxmlformats.org/officeDocument/2006/bibliography"/>
  </ds:schemaRefs>
</ds:datastoreItem>
</file>

<file path=customXml/itemProps2.xml><?xml version="1.0" encoding="utf-8"?>
<ds:datastoreItem xmlns:ds="http://schemas.openxmlformats.org/officeDocument/2006/customXml" ds:itemID="{EB25586B-3A99-40E3-B779-A91EC3CF2C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717</Words>
  <Characters>5542</Characters>
  <Application>Microsoft Office Word</Application>
  <DocSecurity>4</DocSecurity>
  <Lines>89</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6219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Arunas</dc:creator>
  <lastModifiedBy>adlibuser</lastModifiedBy>
  <lastPrinted>2018-10-15T13:44:00Z</lastPrinted>
  <dcterms:modified xsi:type="dcterms:W3CDTF">2023-09-21T09:43:00Z</dcterms:modified>
  <revision>2</revision>
  <dc:title>ŠIAULIŲ MIESTO SAVIVALDYBĖS ADMINISTRACIJOS</dc:title>
</coreProperties>
</file>