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0B6229E8" w14:textId="77777777">
      <w:pPr>
        <w:suppressAutoHyphens/>
        <w:spacing w:line="276" w:lineRule="auto"/>
        <w:ind w:left="9072"/>
        <w:textAlignment w:val="baseline"/>
      </w:pPr>
      <w:r>
        <w:rPr>
          <w:szCs w:val="24"/>
          <w:lang w:eastAsia="lt-LT"/>
        </w:rPr>
        <w:t>Teisės aktų projektų antikorupcinio vertinimo taisyklių</w:t>
      </w:r>
    </w:p>
    <w:p w14:paraId="4FEE6419" w14:textId="77777777">
      <w:pPr>
        <w:suppressAutoHyphens/>
        <w:spacing w:line="276" w:lineRule="auto"/>
        <w:ind w:left="9072"/>
        <w:textAlignment w:val="baseline"/>
        <w:rPr>
          <w:color w:val="000000"/>
          <w:szCs w:val="24"/>
          <w:lang w:eastAsia="ar-SA"/>
        </w:rPr>
      </w:pPr>
      <w:r>
        <w:rPr>
          <w:color w:val="000000"/>
          <w:szCs w:val="24"/>
          <w:lang w:eastAsia="ar-SA"/>
        </w:rPr>
        <w:t>priedas</w:t>
      </w:r>
    </w:p>
    <w:p w14:paraId="0783037A" w14:textId="77777777">
      <w:pPr>
        <w:suppressAutoHyphens/>
        <w:spacing w:line="276" w:lineRule="auto"/>
        <w:jc w:val="center"/>
        <w:textAlignment w:val="baseline"/>
        <w:rPr>
          <w:b/>
          <w:szCs w:val="24"/>
          <w:lang w:eastAsia="lt-LT"/>
        </w:rPr>
      </w:pPr>
    </w:p>
    <w:p w14:paraId="4829247B" w14:textId="77777777">
      <w:pPr>
        <w:suppressAutoHyphens/>
        <w:spacing w:line="276" w:lineRule="auto"/>
        <w:jc w:val="center"/>
        <w:textAlignment w:val="baseline"/>
        <w:rPr>
          <w:b/>
          <w:szCs w:val="24"/>
          <w:lang w:eastAsia="lt-LT"/>
        </w:rPr>
      </w:pPr>
      <w:r>
        <w:rPr>
          <w:b/>
          <w:szCs w:val="24"/>
          <w:lang w:eastAsia="lt-LT"/>
        </w:rPr>
        <w:t>TEISĖS AKTŲ PROJEKTŲ ANTIKORUPCINIO VERTINIMO PAŽYMA</w:t>
      </w:r>
    </w:p>
    <w:p w14:paraId="6D694F42" w14:textId="77777777">
      <w:pPr>
        <w:suppressAutoHyphens/>
        <w:spacing w:line="276" w:lineRule="auto"/>
        <w:textAlignment w:val="baseline"/>
        <w:rPr>
          <w:szCs w:val="24"/>
          <w:lang w:eastAsia="lt-LT"/>
        </w:rPr>
      </w:pPr>
    </w:p>
    <w:p w14:paraId="7C12893D" w14:textId="1F3C8489">
      <w:pPr>
        <w:suppressAutoHyphens/>
        <w:jc w:val="both"/>
        <w:textAlignment w:val="baseline"/>
        <w:rPr>
          <w:szCs w:val="24"/>
          <w:lang w:eastAsia="lt-LT"/>
        </w:rPr>
      </w:pPr>
      <w:r>
        <w:rPr>
          <w:szCs w:val="24"/>
          <w:lang w:eastAsia="lt-LT"/>
        </w:rPr>
        <w:t xml:space="preserve">Teisės akto projekto pavadinimas: </w:t>
      </w:r>
      <w:r>
        <w:rPr>
          <w:lang w:eastAsia="lt-LT"/>
        </w:rPr>
        <w:t xml:space="preserve">Lietuvos Respublikos ekonomikos ir inovacijų ministro įsakymo „Dėl Modernizavimo fondo „Švaresnės gamybos technologijų diegimas pramonės įmonėse, dalyvaujančiose ES apyvartinių taršos leidimų prekybos sistemoje“ krypties paramos schemų </w:t>
      </w:r>
      <w:r>
        <w:rPr>
          <w:szCs w:val="24"/>
        </w:rPr>
        <w:t xml:space="preserve">finansavimo kriterijų ir sąlygų </w:t>
      </w:r>
      <w:r>
        <w:rPr>
          <w:lang w:eastAsia="lt-LT"/>
        </w:rPr>
        <w:t>patvirtinimo</w:t>
      </w:r>
      <w:r>
        <w:rPr>
          <w:shd w:val="clear" w:color="auto" w:fill="FFFFFF"/>
        </w:rPr>
        <w:t>“</w:t>
      </w:r>
      <w:r>
        <w:rPr>
          <w:lang w:eastAsia="lt-LT"/>
        </w:rPr>
        <w:t xml:space="preserve"> projektas</w:t>
      </w:r>
      <w:r>
        <w:rPr>
          <w:szCs w:val="24"/>
        </w:rPr>
        <w:t xml:space="preserve"> (toliau – teisės akto projektas).</w:t>
      </w:r>
    </w:p>
    <w:p w14:paraId="3264D826" w14:textId="762517A0">
      <w:pPr>
        <w:suppressAutoHyphens/>
        <w:jc w:val="both"/>
        <w:textAlignment w:val="baseline"/>
        <w:rPr>
          <w:color w:val="000000"/>
        </w:rPr>
      </w:pPr>
      <w:r>
        <w:rPr>
          <w:szCs w:val="24"/>
          <w:lang w:eastAsia="lt-LT"/>
        </w:rPr>
        <w:t xml:space="preserve">Teisės akto projekto tiesioginis rengėjas: </w:t>
      </w:r>
      <w:r>
        <w:rPr>
          <w:lang w:eastAsia="lt-LT"/>
        </w:rPr>
        <w:t>Ekonomikos ir inovacijų</w:t>
      </w:r>
      <w:r>
        <w:t xml:space="preserve"> ministerijos </w:t>
      </w:r>
      <w:r>
        <w:rPr>
          <w:color w:val="000000"/>
        </w:rPr>
        <w:t>Inovacijų ir pramonės departamento Pramonė 4.0 politikos skyriaus vyriausiasis specialistas Karolis Ruzgys, tel. 8 656 92 002, el. p. karolis.ruzgys@eimin.lt</w:t>
      </w:r>
    </w:p>
    <w:p w14:paraId="0C362647" w14:textId="77777777">
      <w:pPr>
        <w:suppressAutoHyphens/>
        <w:jc w:val="both"/>
        <w:textAlignment w:val="baseline"/>
      </w:pPr>
      <w:r>
        <w:rPr>
          <w:color w:val="000000"/>
        </w:rPr>
        <w:t>Teisės akto projekto antikorupcinis vertinimas atliktas (</w:t>
      </w:r>
      <w:r>
        <w:rPr>
          <w:i/>
          <w:color w:val="000000"/>
        </w:rPr>
        <w:t>pažymėti reikiamą atsakymą</w:t>
      </w:r>
      <w:r>
        <w:rPr>
          <w:color w:val="000000"/>
        </w:rPr>
        <w:t>):</w:t>
      </w:r>
    </w:p>
    <w:p w14:paraId="146723A0" w14:textId="768E015A">
      <w:pPr>
        <w:suppressAutoHyphens/>
        <w:ind w:firstLine="1296"/>
        <w:jc w:val="both"/>
        <w:textAlignment w:val="baseline"/>
        <w:rPr>
          <w:szCs w:val="24"/>
          <w:lang w:eastAsia="lt-LT"/>
        </w:rPr>
      </w:pPr>
      <w:r>
        <w:rPr>
          <w:szCs w:val="24"/>
          <w:lang w:eastAsia="lt-LT"/>
        </w:rPr>
        <w:t xml:space="preserve">x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14:paraId="53CE5C95" w14:textId="77777777">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2EC2A775" w14:textId="77777777">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 nėra.</w:t>
      </w:r>
    </w:p>
    <w:p w14:paraId="7C9EF97C" w14:textId="77777777">
      <w:pPr>
        <w:suppressAutoHyphens/>
        <w:spacing w:line="276" w:lineRule="auto"/>
        <w:jc w:val="both"/>
        <w:textAlignment w:val="baseline"/>
        <w:rPr>
          <w:szCs w:val="24"/>
          <w:lang w:eastAsia="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3653"/>
        <w:gridCol w:w="3969"/>
        <w:gridCol w:w="3969"/>
        <w:gridCol w:w="2693"/>
      </w:tblGrid>
      <w:tr w14:paraId="1DA85C6E"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D5FCE9" w14:textId="77777777">
            <w:pPr>
              <w:suppressAutoHyphens/>
              <w:jc w:val="center"/>
              <w:textAlignment w:val="baseline"/>
              <w:rPr>
                <w:szCs w:val="24"/>
                <w:lang w:eastAsia="lt-LT"/>
              </w:rPr>
            </w:pPr>
            <w:r>
              <w:rPr>
                <w:szCs w:val="24"/>
                <w:lang w:eastAsia="lt-LT"/>
              </w:rPr>
              <w:t>Eil. Nr.</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546205" w14:textId="77777777">
            <w:pPr>
              <w:suppressAutoHyphens/>
              <w:jc w:val="center"/>
              <w:textAlignment w:val="baseline"/>
              <w:rPr>
                <w:szCs w:val="24"/>
                <w:lang w:eastAsia="lt-LT"/>
              </w:rPr>
            </w:pPr>
            <w:r>
              <w:rPr>
                <w:szCs w:val="24"/>
                <w:lang w:eastAsia="lt-LT"/>
              </w:rPr>
              <w:t>Kriterijus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411888" w14:textId="77777777">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556F486" w14:textId="77777777">
            <w:pPr>
              <w:suppressAutoHyphens/>
              <w:jc w:val="center"/>
              <w:textAlignment w:val="baseline"/>
            </w:pPr>
            <w:r>
              <w:rPr>
                <w:szCs w:val="24"/>
                <w:lang w:eastAsia="lt-LT"/>
              </w:rPr>
              <w:t>(</w:t>
            </w:r>
            <w:r>
              <w:rPr>
                <w:i/>
                <w:szCs w:val="24"/>
                <w:lang w:eastAsia="lt-LT"/>
              </w:rPr>
              <w:t>pildo teisės akto projekto antikorupcinį vertinimą atliekantis asmuo)</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EF675B" w14:textId="77777777">
            <w:pPr>
              <w:suppressAutoHyphens/>
              <w:jc w:val="center"/>
              <w:textAlignment w:val="baseline"/>
              <w:rPr>
                <w:szCs w:val="24"/>
                <w:lang w:eastAsia="lt-LT"/>
              </w:rPr>
            </w:pPr>
          </w:p>
          <w:p w14:paraId="425D147B" w14:textId="77777777">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07E7876E" w14:textId="77777777">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434B25" w14:textId="77777777">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28A6AF85" w14:textId="77777777">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14:paraId="266CED81"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EEBD01" w14:textId="77777777">
            <w:pPr>
              <w:suppressAutoHyphens/>
              <w:jc w:val="center"/>
              <w:textAlignment w:val="baseline"/>
              <w:rPr>
                <w:szCs w:val="24"/>
                <w:lang w:eastAsia="lt-LT"/>
              </w:rPr>
            </w:pPr>
            <w:r>
              <w:rPr>
                <w:szCs w:val="24"/>
                <w:lang w:eastAsia="lt-LT"/>
              </w:rPr>
              <w:t>1.</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5AF6D" w14:textId="77777777">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7ADF7" w14:textId="2A321DFB">
            <w:pPr>
              <w:suppressAutoHyphens/>
              <w:jc w:val="both"/>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9C2C9" w14:textId="77777777">
            <w:pPr>
              <w:suppressAutoHyphens/>
              <w:textAlignment w:val="baseline"/>
              <w:rPr>
                <w:b/>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025BA2" w14:textId="42F8C626">
            <w:pPr>
              <w:suppressAutoHyphens/>
              <w:textAlignment w:val="baseline"/>
              <w:rPr>
                <w:szCs w:val="24"/>
                <w:lang w:eastAsia="lt-LT"/>
              </w:rPr>
            </w:pPr>
            <w:r>
              <w:rPr>
                <w:szCs w:val="24"/>
                <w:lang w:eastAsia="lt-LT"/>
              </w:rPr>
              <w:t>x tenkina</w:t>
            </w:r>
          </w:p>
          <w:p w14:paraId="7C821BAE" w14:textId="77777777">
            <w:pPr>
              <w:suppressAutoHyphens/>
              <w:textAlignment w:val="baseline"/>
              <w:rPr>
                <w:szCs w:val="24"/>
                <w:lang w:eastAsia="lt-LT"/>
              </w:rPr>
            </w:pPr>
            <w:r>
              <w:rPr>
                <w:szCs w:val="24"/>
                <w:lang w:eastAsia="lt-LT"/>
              </w:rPr>
              <w:t>□ netenkina</w:t>
            </w:r>
          </w:p>
        </w:tc>
      </w:tr>
      <w:tr w14:paraId="652D202A"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E03B1D" w14:textId="77777777">
            <w:pPr>
              <w:keepNext/>
              <w:suppressAutoHyphens/>
              <w:jc w:val="center"/>
              <w:textAlignment w:val="baseline"/>
              <w:rPr>
                <w:szCs w:val="24"/>
                <w:lang w:eastAsia="lt-LT"/>
              </w:rPr>
            </w:pPr>
            <w:r>
              <w:rPr>
                <w:szCs w:val="24"/>
                <w:lang w:eastAsia="lt-LT"/>
              </w:rPr>
              <w:t>2.</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48ABCB" w14:textId="77777777">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AA00E" w14:textId="2D5E8C72">
            <w:pPr>
              <w:keepNext/>
              <w:suppressAutoHyphens/>
              <w:jc w:val="both"/>
              <w:textAlignment w:val="baseline"/>
              <w:rPr>
                <w:szCs w:val="24"/>
                <w:lang w:eastAsia="lt-LT"/>
              </w:rPr>
            </w:pPr>
            <w:r>
              <w:rPr>
                <w:szCs w:val="24"/>
                <w:lang w:eastAsia="lt-LT"/>
              </w:rPr>
              <w:t>Projekte nėra spragų ar nuostatų, leisiančių dviprasmiškai aiškinti ir taikyti teisės aktą.</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AEEAA" w14:textId="77777777">
            <w:pPr>
              <w:keepNext/>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29E5C" w14:textId="2B645C59">
            <w:pPr>
              <w:keepNext/>
              <w:suppressAutoHyphens/>
              <w:textAlignment w:val="baseline"/>
              <w:rPr>
                <w:szCs w:val="24"/>
                <w:lang w:eastAsia="lt-LT"/>
              </w:rPr>
            </w:pPr>
            <w:r>
              <w:rPr>
                <w:szCs w:val="24"/>
                <w:lang w:eastAsia="lt-LT"/>
              </w:rPr>
              <w:t>x tenkina</w:t>
            </w:r>
          </w:p>
          <w:p w14:paraId="29E22EE0" w14:textId="77777777">
            <w:pPr>
              <w:keepNext/>
              <w:suppressAutoHyphens/>
              <w:textAlignment w:val="baseline"/>
              <w:rPr>
                <w:szCs w:val="24"/>
                <w:lang w:eastAsia="lt-LT"/>
              </w:rPr>
            </w:pPr>
            <w:r>
              <w:rPr>
                <w:szCs w:val="24"/>
                <w:lang w:eastAsia="lt-LT"/>
              </w:rPr>
              <w:t>□ netenkina</w:t>
            </w:r>
          </w:p>
        </w:tc>
      </w:tr>
      <w:tr w14:paraId="441D5E32"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7CE77" w14:textId="77777777">
            <w:pPr>
              <w:suppressAutoHyphens/>
              <w:jc w:val="center"/>
              <w:textAlignment w:val="baseline"/>
              <w:rPr>
                <w:szCs w:val="24"/>
                <w:lang w:eastAsia="lt-LT"/>
              </w:rPr>
            </w:pPr>
            <w:r>
              <w:rPr>
                <w:szCs w:val="24"/>
                <w:lang w:eastAsia="lt-LT"/>
              </w:rPr>
              <w:t>3.</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F87196" w14:textId="77777777">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2A76D6" w14:textId="13D80715">
            <w:pPr>
              <w:suppressAutoHyphens/>
              <w:jc w:val="both"/>
              <w:textAlignment w:val="baseline"/>
              <w:rPr>
                <w:szCs w:val="24"/>
              </w:rPr>
            </w:pPr>
            <w:r>
              <w:rPr>
                <w:bCs/>
              </w:rPr>
              <w:t xml:space="preserve">Pagal </w:t>
            </w:r>
            <w:r>
              <w:rPr>
                <w:szCs w:val="24"/>
              </w:rPr>
              <w:t>teisės akto projektą</w:t>
            </w:r>
            <w:r>
              <w:rPr>
                <w:szCs w:val="24"/>
                <w:shd w:val="clear" w:color="auto" w:fill="FFFFFF"/>
              </w:rPr>
              <w:t xml:space="preserve">, </w:t>
            </w:r>
            <w:r>
              <w:rPr>
                <w:szCs w:val="24"/>
              </w:rPr>
              <w:t>Lietuvos Respublikos aplinkos ministerijos aplinkos projektų valdymo agentūra (toliau – Agentūra) skelbia kvietimą teikti paraiškas subsidijoms gauti, vykdo paraiškų vertinimą, subsidijų skyrimą ir įsipareigojimų pagal paraiškas priežiūrą vadovaudamasi teisės akto projektu ir Modernizavimo fondo projektų atrankos ir finansavimo tvarkos aprašu, patvirtintu Lietuvos Respublikos Vyriausybės 2020 m. rugsėjo 30 d. nutarimu Nr. 1059 „Dėl Modernizavimo fondo projektų atrankos komisijos sudarymo ir Modernizavimo fondo projektų atrankos ir finansavimo tvarkos aprašo patvirtinimo“ (toliau – Nutarimas).</w:t>
            </w:r>
          </w:p>
          <w:p w14:paraId="6D4C0183" w14:textId="520949C9">
            <w:pPr>
              <w:suppressAutoHyphens/>
              <w:jc w:val="both"/>
              <w:textAlignment w:val="baseline"/>
              <w:rPr>
                <w:szCs w:val="24"/>
                <w:highlight w:val="yellow"/>
              </w:rPr>
            </w:pPr>
            <w:r>
              <w:t xml:space="preserve">Nutarimo 4.3 ir 4.3.2 papunkčiais Agentūrai pavedama </w:t>
            </w:r>
            <w:r>
              <w:rPr>
                <w:color w:val="000000"/>
                <w:szCs w:val="24"/>
                <w:lang w:eastAsia="en-GB"/>
              </w:rPr>
              <w:t>vykdyti kompetentingos institucijos, atsakingos už projektų atranką, vertinimą, įgyvendinimo priežiūrą Lietuvoje, funkcijas.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2EBD7" w14:textId="77777777">
            <w:pPr>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E4449" w14:textId="4EA248A6">
            <w:pPr>
              <w:suppressAutoHyphens/>
              <w:textAlignment w:val="baseline"/>
              <w:rPr>
                <w:szCs w:val="24"/>
                <w:lang w:eastAsia="lt-LT"/>
              </w:rPr>
            </w:pPr>
            <w:r>
              <w:rPr>
                <w:szCs w:val="24"/>
                <w:lang w:eastAsia="lt-LT"/>
              </w:rPr>
              <w:t>x tenkina</w:t>
            </w:r>
          </w:p>
          <w:p w14:paraId="420E92AA" w14:textId="77777777">
            <w:pPr>
              <w:suppressAutoHyphens/>
              <w:textAlignment w:val="baseline"/>
              <w:rPr>
                <w:szCs w:val="24"/>
                <w:lang w:eastAsia="lt-LT"/>
              </w:rPr>
            </w:pPr>
            <w:r>
              <w:rPr>
                <w:szCs w:val="24"/>
                <w:lang w:eastAsia="lt-LT"/>
              </w:rPr>
              <w:t>□ netenkina</w:t>
            </w:r>
          </w:p>
        </w:tc>
      </w:tr>
      <w:tr w14:paraId="57F9B1A3"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B38738" w14:textId="77777777">
            <w:pPr>
              <w:suppressAutoHyphens/>
              <w:jc w:val="center"/>
              <w:textAlignment w:val="baseline"/>
              <w:rPr>
                <w:szCs w:val="24"/>
                <w:lang w:eastAsia="lt-LT"/>
              </w:rPr>
            </w:pPr>
            <w:r>
              <w:rPr>
                <w:szCs w:val="24"/>
                <w:lang w:eastAsia="lt-LT"/>
              </w:rPr>
              <w:t>4.</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74E21" w14:textId="77777777">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D1937" w14:textId="77777777">
            <w:pPr>
              <w:suppressAutoHyphens/>
              <w:jc w:val="both"/>
              <w:textAlignment w:val="baseline"/>
            </w:pPr>
            <w:r>
              <w:rPr>
                <w:szCs w:val="24"/>
                <w:lang w:eastAsia="lt-LT"/>
              </w:rPr>
              <w:t>Teisės akto projekte nustatyti subjekto įgaliojimai (teisės) atitinka subjekto atliekamas funkcijas (pareigas).</w:t>
            </w:r>
          </w:p>
          <w:p w14:paraId="13E07D6D" w14:textId="09E4A895">
            <w:pPr>
              <w:suppressAutoHyphens/>
              <w:jc w:val="both"/>
              <w:textAlignment w:val="baseline"/>
            </w:pPr>
            <w:r>
              <w:t xml:space="preserve">Nutarimo 4.3 ir 4.3.2 papunkčiais Agentūrai pavedama </w:t>
            </w:r>
            <w:r>
              <w:rPr>
                <w:color w:val="000000"/>
                <w:szCs w:val="24"/>
                <w:lang w:eastAsia="en-GB"/>
              </w:rPr>
              <w:t>vykdyti kompetentingos institucijos, atsakingos už projektų atranką, vertinimą, įgyvendinimo priežiūrą Lietuvoje, funkcijas.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87958" w14:textId="77777777">
            <w:pPr>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3E807" w14:textId="46A9728E">
            <w:pPr>
              <w:suppressAutoHyphens/>
              <w:textAlignment w:val="baseline"/>
              <w:rPr>
                <w:szCs w:val="24"/>
                <w:lang w:eastAsia="lt-LT"/>
              </w:rPr>
            </w:pPr>
            <w:r>
              <w:rPr>
                <w:szCs w:val="24"/>
                <w:lang w:eastAsia="lt-LT"/>
              </w:rPr>
              <w:t>x tenkina</w:t>
            </w:r>
          </w:p>
          <w:p w14:paraId="48394430" w14:textId="77777777">
            <w:pPr>
              <w:suppressAutoHyphens/>
              <w:textAlignment w:val="baseline"/>
              <w:rPr>
                <w:szCs w:val="24"/>
                <w:lang w:eastAsia="lt-LT"/>
              </w:rPr>
            </w:pPr>
            <w:r>
              <w:rPr>
                <w:szCs w:val="24"/>
                <w:lang w:eastAsia="lt-LT"/>
              </w:rPr>
              <w:t>□ netenkina</w:t>
            </w:r>
          </w:p>
        </w:tc>
      </w:tr>
      <w:tr w14:paraId="702620E5"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20B001" w14:textId="77777777">
            <w:pPr>
              <w:suppressAutoHyphens/>
              <w:jc w:val="center"/>
              <w:textAlignment w:val="baseline"/>
              <w:rPr>
                <w:szCs w:val="24"/>
                <w:lang w:eastAsia="lt-LT"/>
              </w:rPr>
            </w:pPr>
            <w:r>
              <w:rPr>
                <w:szCs w:val="24"/>
                <w:lang w:eastAsia="lt-LT"/>
              </w:rPr>
              <w:t>5.</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CDE84" w14:textId="77777777">
            <w:pPr>
              <w:suppressAutoHyphens/>
              <w:textAlignment w:val="baseline"/>
              <w:rPr>
                <w:szCs w:val="24"/>
                <w:lang w:eastAsia="lt-LT"/>
              </w:rPr>
            </w:pPr>
            <w:r>
              <w:rPr>
                <w:szCs w:val="24"/>
                <w:lang w:eastAsia="lt-LT"/>
              </w:rPr>
              <w:t>Teisės akto projekte nustatytas baigtinis sprendimų priėmimo kriterijų (atvejų) sąrašas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769C8" w14:textId="296BEEBD">
            <w:pPr>
              <w:suppressAutoHyphens/>
              <w:jc w:val="both"/>
              <w:textAlignment w:val="baseline"/>
              <w:rPr>
                <w:bCs/>
              </w:rPr>
            </w:pPr>
            <w:r>
              <w:rPr>
                <w:szCs w:val="24"/>
                <w:lang w:eastAsia="lt-LT"/>
              </w:rPr>
              <w:t>Teisės akto projekte nustatytas baigtinis sprendimų priėmimo kriterijų (atvejų) sąrašas</w:t>
            </w:r>
            <w:r>
              <w:rPr>
                <w:bCs/>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1DFAB" w14:textId="77777777">
            <w:pPr>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E7DF1" w14:textId="0BFF900B">
            <w:pPr>
              <w:suppressAutoHyphens/>
              <w:textAlignment w:val="baseline"/>
              <w:rPr>
                <w:szCs w:val="24"/>
                <w:lang w:eastAsia="lt-LT"/>
              </w:rPr>
            </w:pPr>
            <w:r>
              <w:rPr>
                <w:szCs w:val="24"/>
                <w:lang w:eastAsia="lt-LT"/>
              </w:rPr>
              <w:t>x tenkina</w:t>
            </w:r>
          </w:p>
          <w:p w14:paraId="33A2305D" w14:textId="77777777">
            <w:pPr>
              <w:suppressAutoHyphens/>
              <w:textAlignment w:val="baseline"/>
              <w:rPr>
                <w:szCs w:val="24"/>
                <w:lang w:eastAsia="lt-LT"/>
              </w:rPr>
            </w:pPr>
            <w:r>
              <w:rPr>
                <w:szCs w:val="24"/>
                <w:lang w:eastAsia="lt-LT"/>
              </w:rPr>
              <w:t>□ netenkina</w:t>
            </w:r>
          </w:p>
        </w:tc>
      </w:tr>
      <w:tr w14:paraId="4DB580DA"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C8EB7A" w14:textId="77777777">
            <w:pPr>
              <w:suppressAutoHyphens/>
              <w:jc w:val="center"/>
              <w:textAlignment w:val="baseline"/>
              <w:rPr>
                <w:szCs w:val="24"/>
                <w:lang w:eastAsia="lt-LT"/>
              </w:rPr>
            </w:pPr>
            <w:r>
              <w:rPr>
                <w:szCs w:val="24"/>
                <w:lang w:eastAsia="lt-LT"/>
              </w:rPr>
              <w:t>6.</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FE6B95" w14:textId="77777777">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1F256" w14:textId="793D82F7">
            <w:pPr>
              <w:suppressAutoHyphens/>
              <w:jc w:val="both"/>
              <w:textAlignment w:val="baseline"/>
              <w:rPr>
                <w:bCs/>
              </w:rPr>
            </w:pPr>
            <w:r>
              <w:rPr>
                <w:bCs/>
              </w:rPr>
              <w:t>Išimtys nėra teisės akto projekto reglamentavimo dalykas.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A8D27" w14:textId="77777777">
            <w:pPr>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760F0D" w14:textId="15A73DD5">
            <w:pPr>
              <w:suppressAutoHyphens/>
              <w:textAlignment w:val="baseline"/>
              <w:rPr>
                <w:szCs w:val="24"/>
                <w:lang w:eastAsia="lt-LT"/>
              </w:rPr>
            </w:pPr>
            <w:r>
              <w:rPr>
                <w:szCs w:val="24"/>
                <w:lang w:eastAsia="lt-LT"/>
              </w:rPr>
              <w:t>x tenkina</w:t>
            </w:r>
          </w:p>
          <w:p w14:paraId="0E2C1F32" w14:textId="77777777">
            <w:pPr>
              <w:suppressAutoHyphens/>
              <w:textAlignment w:val="baseline"/>
              <w:rPr>
                <w:szCs w:val="24"/>
                <w:lang w:eastAsia="lt-LT"/>
              </w:rPr>
            </w:pPr>
            <w:r>
              <w:rPr>
                <w:szCs w:val="24"/>
                <w:lang w:eastAsia="lt-LT"/>
              </w:rPr>
              <w:t>□ netenkina</w:t>
            </w:r>
          </w:p>
        </w:tc>
      </w:tr>
      <w:tr w14:paraId="7AD252D0"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D142B" w14:textId="77777777">
            <w:pPr>
              <w:suppressAutoHyphens/>
              <w:jc w:val="center"/>
              <w:textAlignment w:val="baseline"/>
              <w:rPr>
                <w:szCs w:val="24"/>
                <w:lang w:eastAsia="lt-LT"/>
              </w:rPr>
            </w:pPr>
            <w:r>
              <w:rPr>
                <w:szCs w:val="24"/>
                <w:lang w:eastAsia="lt-LT"/>
              </w:rPr>
              <w:t>7.</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9BA1D1" w14:textId="77777777">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DD09C" w14:textId="4FB92BF8">
            <w:pPr>
              <w:suppressAutoHyphens/>
              <w:jc w:val="both"/>
              <w:textAlignment w:val="baseline"/>
              <w:rPr>
                <w:szCs w:val="24"/>
              </w:rPr>
            </w:pPr>
            <w:r>
              <w:rPr>
                <w:szCs w:val="24"/>
                <w:lang w:eastAsia="lt-LT"/>
              </w:rPr>
              <w:t>Teisės akto projekte nustatyta sprendimų priėmimo, įforminimo ir viešinimo tvarka.</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8DA3F" w14:textId="77777777">
            <w:pPr>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97A1A" w14:textId="3C5E2224">
            <w:pPr>
              <w:suppressAutoHyphens/>
              <w:textAlignment w:val="baseline"/>
              <w:rPr>
                <w:szCs w:val="24"/>
                <w:lang w:eastAsia="lt-LT"/>
              </w:rPr>
            </w:pPr>
            <w:r>
              <w:rPr>
                <w:szCs w:val="24"/>
                <w:lang w:eastAsia="lt-LT"/>
              </w:rPr>
              <w:t>x tenkina</w:t>
            </w:r>
          </w:p>
          <w:p w14:paraId="6E2E21C4" w14:textId="77777777">
            <w:pPr>
              <w:suppressAutoHyphens/>
              <w:textAlignment w:val="baseline"/>
              <w:rPr>
                <w:szCs w:val="24"/>
                <w:lang w:eastAsia="lt-LT"/>
              </w:rPr>
            </w:pPr>
            <w:r>
              <w:rPr>
                <w:szCs w:val="24"/>
                <w:lang w:eastAsia="lt-LT"/>
              </w:rPr>
              <w:t>□ netenkina</w:t>
            </w:r>
          </w:p>
        </w:tc>
      </w:tr>
      <w:tr w14:paraId="0E0387A6"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FE414" w14:textId="77777777">
            <w:pPr>
              <w:suppressAutoHyphens/>
              <w:jc w:val="center"/>
              <w:textAlignment w:val="baseline"/>
            </w:pPr>
            <w:r>
              <w:t>8.</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DD078" w14:textId="77777777">
            <w:pPr>
              <w:suppressAutoHyphens/>
              <w:textAlignment w:val="baseline"/>
            </w:pPr>
            <w:r>
              <w:t xml:space="preserve">Teisės akto projekte nustatyti sprendimų dėl mažareikšmiškumo kriterijai ir priėmimo tvarka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537983" w14:textId="77777777">
            <w:pPr>
              <w:suppressAutoHyphens/>
              <w:jc w:val="both"/>
              <w:textAlignment w:val="baseline"/>
              <w:rPr>
                <w:bCs/>
              </w:rPr>
            </w:pPr>
            <w:r>
              <w:rPr>
                <w:bCs/>
              </w:rPr>
              <w:t>Kriterijus nėra teisės akto projekto reglamentavimo dalykas.</w:t>
            </w:r>
          </w:p>
          <w:p w14:paraId="2B698257" w14:textId="77777777">
            <w:pPr>
              <w:suppressAutoHyphens/>
              <w:jc w:val="both"/>
              <w:textAlignment w:val="baseline"/>
              <w:rPr>
                <w:bCs/>
              </w:rPr>
            </w:pPr>
          </w:p>
          <w:p w14:paraId="3F6DE51C" w14:textId="51AAA102">
            <w:pPr>
              <w:suppressAutoHyphens/>
              <w:jc w:val="both"/>
              <w:textAlignment w:val="baseline"/>
              <w:rPr>
                <w:b/>
                <w:szCs w:val="24"/>
                <w:lang w:eastAsia="lt-LT"/>
              </w:rPr>
            </w:pPr>
            <w:r>
              <w:rPr>
                <w:bCs/>
              </w:rPr>
              <w:t>Nėra nuostatų dėl mažareikšmiškumo.</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B3E35" w14:textId="77777777">
            <w:pPr>
              <w:suppressAutoHyphens/>
              <w:textAlignment w:val="baseline"/>
              <w:rPr>
                <w:b/>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E6BB1" w14:textId="680D2C4B">
            <w:pPr>
              <w:suppressAutoHyphens/>
              <w:textAlignment w:val="baseline"/>
              <w:rPr>
                <w:szCs w:val="24"/>
                <w:lang w:eastAsia="lt-LT"/>
              </w:rPr>
            </w:pPr>
            <w:r>
              <w:rPr>
                <w:szCs w:val="24"/>
                <w:lang w:eastAsia="lt-LT"/>
              </w:rPr>
              <w:t>x tenkina</w:t>
            </w:r>
          </w:p>
          <w:p w14:paraId="6CC649A1" w14:textId="77777777">
            <w:pPr>
              <w:suppressAutoHyphens/>
              <w:textAlignment w:val="baseline"/>
              <w:rPr>
                <w:szCs w:val="24"/>
                <w:lang w:eastAsia="lt-LT"/>
              </w:rPr>
            </w:pPr>
            <w:r>
              <w:rPr>
                <w:szCs w:val="24"/>
                <w:lang w:eastAsia="lt-LT"/>
              </w:rPr>
              <w:t>□ netenkina</w:t>
            </w:r>
          </w:p>
        </w:tc>
      </w:tr>
      <w:tr w14:paraId="6822E2A9"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779CFC" w14:textId="77777777">
            <w:pPr>
              <w:suppressAutoHyphens/>
              <w:jc w:val="center"/>
              <w:textAlignment w:val="baseline"/>
              <w:rPr>
                <w:szCs w:val="24"/>
                <w:lang w:eastAsia="lt-LT"/>
              </w:rPr>
            </w:pPr>
            <w:r>
              <w:rPr>
                <w:szCs w:val="24"/>
                <w:lang w:eastAsia="lt-LT"/>
              </w:rPr>
              <w:t>9.</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E336E" w14:textId="77777777">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0497F288" w14:textId="77777777">
            <w:pPr>
              <w:suppressAutoHyphens/>
              <w:ind w:left="33"/>
              <w:textAlignment w:val="baseline"/>
              <w:rPr>
                <w:szCs w:val="24"/>
              </w:rPr>
            </w:pPr>
            <w:r>
              <w:rPr>
                <w:szCs w:val="24"/>
              </w:rPr>
              <w:t>9.1. konkretus narių skaičius, užtikrinantis kolegialaus sprendimus priimančio subjekto veiklos objektyvumą</w:t>
            </w:r>
          </w:p>
          <w:p w14:paraId="544010A4" w14:textId="77777777">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8CB3720" w14:textId="77777777">
            <w:pPr>
              <w:suppressAutoHyphens/>
              <w:textAlignment w:val="baseline"/>
            </w:pPr>
            <w:r>
              <w:rPr>
                <w:szCs w:val="24"/>
                <w:lang w:eastAsia="lt-LT"/>
              </w:rPr>
              <w:t>9.3</w:t>
            </w:r>
            <w:r>
              <w:rPr>
                <w:spacing w:val="-4"/>
                <w:szCs w:val="24"/>
                <w:lang w:eastAsia="lt-LT"/>
              </w:rPr>
              <w:t>. narių skyrimo mechanizmas</w:t>
            </w:r>
          </w:p>
          <w:p w14:paraId="670E8E67" w14:textId="77777777">
            <w:pPr>
              <w:suppressAutoHyphens/>
              <w:textAlignment w:val="baseline"/>
              <w:rPr>
                <w:szCs w:val="24"/>
                <w:lang w:eastAsia="lt-LT"/>
              </w:rPr>
            </w:pPr>
            <w:r>
              <w:rPr>
                <w:szCs w:val="24"/>
                <w:lang w:eastAsia="lt-LT"/>
              </w:rPr>
              <w:t>9.4. narių rotacija ir kadencijų skaičius ir trukmė</w:t>
            </w:r>
          </w:p>
          <w:p w14:paraId="347A0612" w14:textId="77777777">
            <w:pPr>
              <w:suppressAutoHyphens/>
              <w:textAlignment w:val="baseline"/>
              <w:rPr>
                <w:szCs w:val="24"/>
              </w:rPr>
            </w:pPr>
            <w:r>
              <w:rPr>
                <w:szCs w:val="24"/>
              </w:rPr>
              <w:t>9.5. veiklos pobūdis laiko atžvilgiu</w:t>
            </w:r>
          </w:p>
          <w:p w14:paraId="4847B5A8" w14:textId="77777777">
            <w:pPr>
              <w:suppressAutoHyphens/>
              <w:textAlignment w:val="baseline"/>
              <w:rPr>
                <w:szCs w:val="24"/>
                <w:lang w:eastAsia="lt-LT"/>
              </w:rPr>
            </w:pPr>
            <w:r>
              <w:rPr>
                <w:szCs w:val="24"/>
                <w:lang w:eastAsia="lt-LT"/>
              </w:rPr>
              <w:t>9.6. asmeninė narių atsakomybė</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B960D" w14:textId="06EB7582">
            <w:pPr>
              <w:suppressAutoHyphens/>
              <w:jc w:val="both"/>
              <w:textAlignment w:val="baseline"/>
              <w:rPr>
                <w:bCs/>
              </w:rPr>
            </w:pPr>
            <w:r>
              <w:rPr>
                <w:bCs/>
              </w:rPr>
              <w:t>Teisės akto projekte pagal numatomą reguliavimą sprendimus nepriima kolegialus subjektas.</w:t>
            </w:r>
          </w:p>
          <w:p w14:paraId="3BA89AF2" w14:textId="4E4D033D">
            <w:pPr>
              <w:suppressAutoHyphens/>
              <w:jc w:val="both"/>
              <w:textAlignment w:val="baseline"/>
              <w:rPr>
                <w:bCs/>
              </w:rPr>
            </w:pPr>
          </w:p>
          <w:p w14:paraId="4B0754AB" w14:textId="77777777">
            <w:pPr>
              <w:suppressAutoHyphens/>
              <w:jc w:val="both"/>
              <w:textAlignment w:val="baseline"/>
              <w:rPr>
                <w:bCs/>
              </w:rPr>
            </w:pPr>
            <w:r>
              <w:rPr>
                <w:bCs/>
              </w:rPr>
              <w:t>Kriterijus nėra teisės akto projekto reglamentavimo dalykas.</w:t>
            </w:r>
          </w:p>
          <w:p w14:paraId="51A29383" w14:textId="77777777">
            <w:pPr>
              <w:suppressAutoHyphens/>
              <w:jc w:val="both"/>
              <w:textAlignment w:val="baseline"/>
              <w:rPr>
                <w:bCs/>
              </w:rPr>
            </w:pPr>
          </w:p>
          <w:p w14:paraId="75D8BDFE" w14:textId="0637C3A2">
            <w:pPr>
              <w:suppressAutoHyphens/>
              <w:jc w:val="both"/>
              <w:textAlignment w:val="baseline"/>
              <w:rPr>
                <w:i/>
                <w:szCs w:val="24"/>
                <w:lang w:eastAsia="lt-LT"/>
              </w:rPr>
            </w:pPr>
            <w:r>
              <w:rPr>
                <w:bCs/>
              </w:rPr>
              <w:t>Sprendimus priima Agentūra.</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DBE93" w14:textId="77777777">
            <w:pPr>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84C646" w14:textId="581E81D0">
            <w:pPr>
              <w:suppressAutoHyphens/>
              <w:textAlignment w:val="baseline"/>
              <w:rPr>
                <w:szCs w:val="24"/>
                <w:lang w:eastAsia="lt-LT"/>
              </w:rPr>
            </w:pPr>
            <w:r>
              <w:rPr>
                <w:szCs w:val="24"/>
                <w:lang w:eastAsia="lt-LT"/>
              </w:rPr>
              <w:t>x tenkina</w:t>
            </w:r>
          </w:p>
          <w:p w14:paraId="43B74019" w14:textId="77777777">
            <w:pPr>
              <w:suppressAutoHyphens/>
              <w:textAlignment w:val="baseline"/>
              <w:rPr>
                <w:szCs w:val="24"/>
                <w:lang w:eastAsia="lt-LT"/>
              </w:rPr>
            </w:pPr>
            <w:r>
              <w:rPr>
                <w:szCs w:val="24"/>
                <w:lang w:eastAsia="lt-LT"/>
              </w:rPr>
              <w:t>□ netenkina</w:t>
            </w:r>
          </w:p>
        </w:tc>
      </w:tr>
      <w:tr w14:paraId="3037E270"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E5699" w14:textId="77777777">
            <w:pPr>
              <w:suppressAutoHyphens/>
              <w:jc w:val="center"/>
              <w:textAlignment w:val="baseline"/>
              <w:rPr>
                <w:szCs w:val="24"/>
                <w:lang w:eastAsia="lt-LT"/>
              </w:rPr>
            </w:pPr>
            <w:r>
              <w:rPr>
                <w:szCs w:val="24"/>
                <w:lang w:eastAsia="lt-LT"/>
              </w:rPr>
              <w:t>10.</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CDFF5" w14:textId="77777777">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BB957" w14:textId="3B7B22BC">
            <w:pPr>
              <w:suppressAutoHyphens/>
              <w:jc w:val="both"/>
              <w:textAlignment w:val="baseline"/>
              <w:rPr>
                <w:szCs w:val="24"/>
                <w:lang w:eastAsia="lt-LT"/>
              </w:rPr>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21153" w14:textId="77777777">
            <w:pPr>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9F8B5F" w14:textId="0A686799">
            <w:pPr>
              <w:suppressAutoHyphens/>
              <w:textAlignment w:val="baseline"/>
              <w:rPr>
                <w:szCs w:val="24"/>
                <w:lang w:eastAsia="lt-LT"/>
              </w:rPr>
            </w:pPr>
            <w:r>
              <w:rPr>
                <w:szCs w:val="24"/>
                <w:lang w:eastAsia="lt-LT"/>
              </w:rPr>
              <w:t>x tenkina</w:t>
            </w:r>
          </w:p>
          <w:p w14:paraId="05B29CD9" w14:textId="77777777">
            <w:pPr>
              <w:suppressAutoHyphens/>
              <w:textAlignment w:val="baseline"/>
              <w:rPr>
                <w:szCs w:val="24"/>
                <w:lang w:eastAsia="lt-LT"/>
              </w:rPr>
            </w:pPr>
            <w:r>
              <w:rPr>
                <w:szCs w:val="24"/>
                <w:lang w:eastAsia="lt-LT"/>
              </w:rPr>
              <w:t>□ netenkina</w:t>
            </w:r>
          </w:p>
        </w:tc>
      </w:tr>
      <w:tr w14:paraId="646D994D"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F69F9A" w14:textId="77777777">
            <w:pPr>
              <w:keepNext/>
              <w:suppressAutoHyphens/>
              <w:jc w:val="center"/>
              <w:textAlignment w:val="baseline"/>
              <w:rPr>
                <w:szCs w:val="24"/>
                <w:lang w:eastAsia="lt-LT"/>
              </w:rPr>
            </w:pPr>
            <w:r>
              <w:rPr>
                <w:szCs w:val="24"/>
                <w:lang w:eastAsia="lt-LT"/>
              </w:rPr>
              <w:t>11.</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CAA3" w14:textId="77777777">
            <w:pPr>
              <w:keepNext/>
              <w:suppressAutoHyphens/>
              <w:textAlignment w:val="baseline"/>
            </w:pPr>
            <w:r>
              <w:rPr>
                <w:szCs w:val="24"/>
                <w:lang w:eastAsia="lt-LT"/>
              </w:rPr>
              <w:t>Teisės akto projekte nustatytas baigtinis motyvuotų atvejų, kai nustatoma procedūra netaikoma, sąrašas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B9414" w14:textId="77777777">
            <w:pPr>
              <w:suppressAutoHyphens/>
              <w:jc w:val="both"/>
              <w:textAlignment w:val="baseline"/>
              <w:rPr>
                <w:bCs/>
              </w:rPr>
            </w:pPr>
            <w:r>
              <w:rPr>
                <w:bCs/>
              </w:rPr>
              <w:t>Kriterijus nėra teisės akto projekto reglamentavimo dalykas.</w:t>
            </w:r>
          </w:p>
          <w:p w14:paraId="6E7C73F7" w14:textId="77777777">
            <w:pPr>
              <w:suppressAutoHyphens/>
              <w:jc w:val="both"/>
              <w:textAlignment w:val="baseline"/>
              <w:rPr>
                <w:bCs/>
              </w:rPr>
            </w:pPr>
          </w:p>
          <w:p w14:paraId="56CCCE8F" w14:textId="5B5C94E7">
            <w:pPr>
              <w:suppressAutoHyphens/>
              <w:jc w:val="both"/>
              <w:textAlignment w:val="baseline"/>
              <w:rPr>
                <w:bCs/>
              </w:rPr>
            </w:pPr>
            <w:r>
              <w:rPr>
                <w:bCs/>
              </w:rPr>
              <w:t>Nuostatų dėl procedūrų netaikymo nėra.</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D2CDA" w14:textId="77777777">
            <w:pPr>
              <w:keepNext/>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E6610" w14:textId="425CBA8C">
            <w:pPr>
              <w:keepNext/>
              <w:suppressAutoHyphens/>
              <w:textAlignment w:val="baseline"/>
              <w:rPr>
                <w:szCs w:val="24"/>
                <w:lang w:eastAsia="lt-LT"/>
              </w:rPr>
            </w:pPr>
            <w:r>
              <w:rPr>
                <w:szCs w:val="24"/>
                <w:lang w:eastAsia="lt-LT"/>
              </w:rPr>
              <w:t>x tenkina</w:t>
            </w:r>
          </w:p>
          <w:p w14:paraId="06AE3681" w14:textId="77777777">
            <w:pPr>
              <w:keepNext/>
              <w:suppressAutoHyphens/>
              <w:textAlignment w:val="baseline"/>
              <w:rPr>
                <w:szCs w:val="24"/>
                <w:lang w:eastAsia="lt-LT"/>
              </w:rPr>
            </w:pPr>
            <w:r>
              <w:rPr>
                <w:szCs w:val="24"/>
                <w:lang w:eastAsia="lt-LT"/>
              </w:rPr>
              <w:t>□ netenkina</w:t>
            </w:r>
          </w:p>
        </w:tc>
      </w:tr>
      <w:tr w14:paraId="686C1AE8"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9EFFC7" w14:textId="77777777">
            <w:pPr>
              <w:suppressAutoHyphens/>
              <w:jc w:val="center"/>
              <w:textAlignment w:val="baseline"/>
              <w:rPr>
                <w:szCs w:val="24"/>
                <w:lang w:eastAsia="lt-LT"/>
              </w:rPr>
            </w:pPr>
            <w:r>
              <w:rPr>
                <w:szCs w:val="24"/>
                <w:lang w:eastAsia="lt-LT"/>
              </w:rPr>
              <w:t>12.</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76934" w14:textId="77777777">
            <w:pPr>
              <w:suppressAutoHyphens/>
              <w:textAlignment w:val="baseline"/>
            </w:pPr>
            <w:r>
              <w:rPr>
                <w:szCs w:val="24"/>
                <w:lang w:eastAsia="lt-LT"/>
              </w:rPr>
              <w:t>Teisės akto projektas nustato jo nuostatoms įgyvendinti numatytų procedūrų ir sprendimų priėmimo konkrečius terminus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42FA7" w14:textId="106038B7">
            <w:pPr>
              <w:suppressAutoHyphens/>
              <w:jc w:val="both"/>
              <w:textAlignment w:val="baseline"/>
              <w:rPr>
                <w:bCs/>
              </w:rPr>
            </w:pPr>
            <w:r>
              <w:rPr>
                <w:szCs w:val="24"/>
                <w:lang w:eastAsia="lt-LT"/>
              </w:rPr>
              <w:t>Teisės akto projektas nustato jo nuostatoms įgyvendinti numatytų procedūrų ir sprendimų priėmimo konkrečius terminus.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4C355" w14:textId="77777777">
            <w:pPr>
              <w:suppressAutoHyphens/>
              <w:textAlignment w:val="baseline"/>
              <w:rPr>
                <w:b/>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6470D" w14:textId="7F6F856C">
            <w:pPr>
              <w:suppressAutoHyphens/>
              <w:textAlignment w:val="baseline"/>
              <w:rPr>
                <w:szCs w:val="24"/>
                <w:lang w:eastAsia="lt-LT"/>
              </w:rPr>
            </w:pPr>
            <w:r>
              <w:rPr>
                <w:szCs w:val="24"/>
                <w:lang w:eastAsia="lt-LT"/>
              </w:rPr>
              <w:t>x tenkina</w:t>
            </w:r>
          </w:p>
          <w:p w14:paraId="49D0C03F" w14:textId="77777777">
            <w:pPr>
              <w:suppressAutoHyphens/>
              <w:textAlignment w:val="baseline"/>
              <w:rPr>
                <w:b/>
                <w:szCs w:val="24"/>
                <w:lang w:eastAsia="lt-LT"/>
              </w:rPr>
            </w:pPr>
            <w:r>
              <w:rPr>
                <w:szCs w:val="24"/>
                <w:lang w:eastAsia="lt-LT"/>
              </w:rPr>
              <w:t>□ netenkina</w:t>
            </w:r>
          </w:p>
        </w:tc>
      </w:tr>
      <w:tr w14:paraId="6C76F213"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513750" w14:textId="77777777">
            <w:pPr>
              <w:suppressAutoHyphens/>
              <w:jc w:val="center"/>
              <w:textAlignment w:val="baseline"/>
              <w:rPr>
                <w:szCs w:val="24"/>
                <w:lang w:eastAsia="lt-LT"/>
              </w:rPr>
            </w:pPr>
            <w:r>
              <w:rPr>
                <w:szCs w:val="24"/>
                <w:lang w:eastAsia="lt-LT"/>
              </w:rPr>
              <w:t>13.</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3A34C" w14:textId="77777777">
            <w:pPr>
              <w:suppressAutoHyphens/>
              <w:textAlignment w:val="baseline"/>
              <w:rPr>
                <w:szCs w:val="24"/>
                <w:lang w:eastAsia="lt-LT"/>
              </w:rPr>
            </w:pPr>
            <w:r>
              <w:rPr>
                <w:szCs w:val="24"/>
                <w:lang w:eastAsia="lt-LT"/>
              </w:rPr>
              <w:t>Teisės akto projektas nustato motyvuotas terminų sustabdymo ir pratęsimo galimybes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C6D08" w14:textId="77777777">
            <w:pPr>
              <w:suppressAutoHyphens/>
              <w:jc w:val="both"/>
              <w:textAlignment w:val="baseline"/>
              <w:rPr>
                <w:bCs/>
              </w:rPr>
            </w:pPr>
            <w:r>
              <w:rPr>
                <w:bCs/>
              </w:rPr>
              <w:t>Kriterijus nėra teisės akto projekto reglamentavimo dalykas.</w:t>
            </w:r>
          </w:p>
          <w:p w14:paraId="14CF9E41" w14:textId="77777777">
            <w:pPr>
              <w:suppressAutoHyphens/>
              <w:textAlignment w:val="baseline"/>
              <w:rPr>
                <w:szCs w:val="24"/>
                <w:lang w:eastAsia="lt-LT"/>
              </w:rPr>
            </w:pPr>
          </w:p>
          <w:p w14:paraId="7BF6EEFD" w14:textId="77777777">
            <w:pPr>
              <w:suppressAutoHyphens/>
              <w:textAlignment w:val="baseline"/>
              <w:rPr>
                <w:szCs w:val="24"/>
                <w:lang w:eastAsia="lt-LT"/>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B55C6" w14:textId="77777777">
            <w:pPr>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65C21" w14:textId="00ABB0A4">
            <w:pPr>
              <w:suppressAutoHyphens/>
              <w:textAlignment w:val="baseline"/>
              <w:rPr>
                <w:szCs w:val="24"/>
                <w:lang w:eastAsia="lt-LT"/>
              </w:rPr>
            </w:pPr>
            <w:r>
              <w:rPr>
                <w:szCs w:val="24"/>
                <w:lang w:eastAsia="lt-LT"/>
              </w:rPr>
              <w:t>x tenkina</w:t>
            </w:r>
          </w:p>
          <w:p w14:paraId="1219379B" w14:textId="77777777">
            <w:pPr>
              <w:suppressAutoHyphens/>
              <w:textAlignment w:val="baseline"/>
              <w:rPr>
                <w:szCs w:val="24"/>
                <w:lang w:eastAsia="lt-LT"/>
              </w:rPr>
            </w:pPr>
            <w:r>
              <w:rPr>
                <w:szCs w:val="24"/>
                <w:lang w:eastAsia="lt-LT"/>
              </w:rPr>
              <w:t>□ netenkina</w:t>
            </w:r>
          </w:p>
        </w:tc>
      </w:tr>
      <w:tr w14:paraId="79A525A8"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1A8A8" w14:textId="77777777">
            <w:pPr>
              <w:suppressAutoHyphens/>
              <w:jc w:val="center"/>
              <w:textAlignment w:val="baseline"/>
              <w:rPr>
                <w:szCs w:val="24"/>
                <w:lang w:eastAsia="lt-LT"/>
              </w:rPr>
            </w:pPr>
            <w:r>
              <w:rPr>
                <w:szCs w:val="24"/>
                <w:lang w:eastAsia="lt-LT"/>
              </w:rPr>
              <w:t>14.</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00248" w14:textId="77777777">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51541" w14:textId="77777777">
            <w:pPr>
              <w:suppressAutoHyphens/>
              <w:jc w:val="both"/>
              <w:textAlignment w:val="baseline"/>
              <w:rPr>
                <w:szCs w:val="24"/>
                <w:lang w:eastAsia="lt-LT"/>
              </w:rPr>
            </w:pPr>
            <w:r>
              <w:rPr>
                <w:szCs w:val="24"/>
                <w:lang w:eastAsia="lt-LT"/>
              </w:rPr>
              <w:t>Teisės akto projektas nustato kontrolės (priežiūros) procedūrą ir aiškius jos atlikimo kriterijus (atvejus, dažnį, fiksavimą, kontrolės rezultatų viešinimą ir pan.).</w:t>
            </w:r>
          </w:p>
          <w:p w14:paraId="75318BDE" w14:textId="77777777">
            <w:pPr>
              <w:suppressAutoHyphens/>
              <w:jc w:val="both"/>
              <w:textAlignment w:val="baseline"/>
            </w:pPr>
          </w:p>
          <w:p w14:paraId="74241BE3" w14:textId="1DB02F53">
            <w:pPr>
              <w:suppressAutoHyphens/>
              <w:jc w:val="both"/>
              <w:textAlignment w:val="baseline"/>
            </w:pPr>
            <w:r>
              <w:rPr>
                <w:bCs/>
              </w:rPr>
              <w:t>Kontrolę (priežiūrą) atlieka Agentūra.</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ED5C4" w14:textId="77777777">
            <w:pPr>
              <w:suppressAutoHyphens/>
              <w:textAlignment w:val="baseline"/>
              <w:rPr>
                <w:b/>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B953E" w14:textId="01EA2818">
            <w:pPr>
              <w:suppressAutoHyphens/>
              <w:textAlignment w:val="baseline"/>
              <w:rPr>
                <w:szCs w:val="24"/>
                <w:lang w:eastAsia="lt-LT"/>
              </w:rPr>
            </w:pPr>
            <w:r>
              <w:rPr>
                <w:szCs w:val="24"/>
                <w:lang w:eastAsia="lt-LT"/>
              </w:rPr>
              <w:t>x tenkina</w:t>
            </w:r>
          </w:p>
          <w:p w14:paraId="014971F3" w14:textId="77777777">
            <w:pPr>
              <w:suppressAutoHyphens/>
              <w:textAlignment w:val="baseline"/>
              <w:rPr>
                <w:szCs w:val="24"/>
                <w:lang w:eastAsia="lt-LT"/>
              </w:rPr>
            </w:pPr>
            <w:r>
              <w:rPr>
                <w:szCs w:val="24"/>
                <w:lang w:eastAsia="lt-LT"/>
              </w:rPr>
              <w:t>□ netenkina</w:t>
            </w:r>
          </w:p>
        </w:tc>
      </w:tr>
      <w:tr w14:paraId="263D82BF"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A28894" w14:textId="77777777">
            <w:pPr>
              <w:suppressAutoHyphens/>
              <w:jc w:val="center"/>
              <w:textAlignment w:val="baseline"/>
              <w:rPr>
                <w:szCs w:val="24"/>
                <w:lang w:eastAsia="lt-LT"/>
              </w:rPr>
            </w:pPr>
            <w:r>
              <w:rPr>
                <w:szCs w:val="24"/>
                <w:lang w:eastAsia="lt-LT"/>
              </w:rPr>
              <w:t>15.</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5E8662" w14:textId="77777777">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637AB" w14:textId="58F77FAE">
            <w:pPr>
              <w:suppressAutoHyphens/>
              <w:jc w:val="both"/>
              <w:textAlignment w:val="baseline"/>
              <w:rPr>
                <w:szCs w:val="24"/>
                <w:lang w:eastAsia="lt-LT"/>
              </w:rPr>
            </w:pPr>
            <w:r>
              <w:rPr>
                <w:szCs w:val="24"/>
                <w:lang w:eastAsia="lt-LT"/>
              </w:rPr>
              <w:t>Teisės akto projekte nustatytos kontrolės (priežiūros) skaidrumo ir objektyvumo užtikrinimo priemonės.</w:t>
            </w:r>
          </w:p>
          <w:p w14:paraId="29EA2422" w14:textId="77777777">
            <w:pPr>
              <w:suppressAutoHyphens/>
              <w:jc w:val="both"/>
              <w:textAlignment w:val="baseline"/>
              <w:rPr>
                <w:bCs/>
              </w:rPr>
            </w:pPr>
          </w:p>
          <w:p w14:paraId="1796BF45" w14:textId="4EE4AA32">
            <w:pPr>
              <w:suppressAutoHyphens/>
              <w:jc w:val="both"/>
              <w:textAlignment w:val="baseline"/>
              <w:rPr>
                <w:szCs w:val="24"/>
                <w:lang w:eastAsia="lt-LT"/>
              </w:rPr>
            </w:pPr>
            <w:r>
              <w:rPr>
                <w:bCs/>
              </w:rPr>
              <w:t>Kontrolę (priežiūrą) atlieka Agentūra</w:t>
            </w:r>
            <w:r>
              <w:rPr>
                <w:color w:val="000000"/>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4896B" w14:textId="77777777">
            <w:pPr>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888F0F" w14:textId="0FBA67F8">
            <w:pPr>
              <w:suppressAutoHyphens/>
              <w:textAlignment w:val="baseline"/>
              <w:rPr>
                <w:szCs w:val="24"/>
                <w:lang w:eastAsia="lt-LT"/>
              </w:rPr>
            </w:pPr>
            <w:r>
              <w:rPr>
                <w:szCs w:val="24"/>
                <w:lang w:eastAsia="lt-LT"/>
              </w:rPr>
              <w:t>x tenkina</w:t>
            </w:r>
          </w:p>
          <w:p w14:paraId="18E50D57" w14:textId="77777777">
            <w:pPr>
              <w:suppressAutoHyphens/>
              <w:textAlignment w:val="baseline"/>
              <w:rPr>
                <w:szCs w:val="24"/>
                <w:lang w:eastAsia="lt-LT"/>
              </w:rPr>
            </w:pPr>
            <w:r>
              <w:rPr>
                <w:szCs w:val="24"/>
                <w:lang w:eastAsia="lt-LT"/>
              </w:rPr>
              <w:t>□ netenkina</w:t>
            </w:r>
          </w:p>
        </w:tc>
      </w:tr>
      <w:tr w14:paraId="53FE7146"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CD9F72" w14:textId="77777777">
            <w:pPr>
              <w:suppressAutoHyphens/>
              <w:jc w:val="center"/>
              <w:textAlignment w:val="baseline"/>
              <w:rPr>
                <w:szCs w:val="24"/>
                <w:lang w:eastAsia="lt-LT"/>
              </w:rPr>
            </w:pPr>
            <w:r>
              <w:rPr>
                <w:szCs w:val="24"/>
                <w:lang w:eastAsia="lt-LT"/>
              </w:rPr>
              <w:t>16.</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6AABE3" w14:textId="77777777">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0E448" w14:textId="467A308B">
            <w:pPr>
              <w:suppressAutoHyphens/>
              <w:jc w:val="both"/>
              <w:textAlignment w:val="baseline"/>
            </w:pPr>
            <w:r>
              <w:rPr>
                <w:szCs w:val="24"/>
                <w:lang w:eastAsia="lt-LT"/>
              </w:rPr>
              <w:t>Teisės akto projekte nustatyta subjektų, su kuriais susijęs teisės akto projekto nuostatų įgyvendinimas, atsakomybė.</w:t>
            </w:r>
          </w:p>
          <w:p w14:paraId="38525634" w14:textId="77777777">
            <w:pPr>
              <w:suppressAutoHyphens/>
              <w:jc w:val="both"/>
              <w:textAlignment w:val="baseline"/>
            </w:pPr>
          </w:p>
          <w:p w14:paraId="49C1DDA2" w14:textId="77777777">
            <w:pPr>
              <w:suppressAutoHyphens/>
              <w:jc w:val="both"/>
              <w:textAlignment w:val="baseline"/>
              <w:rPr>
                <w:bC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07A67" w14:textId="77777777">
            <w:pPr>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48021" w14:textId="54105DD1">
            <w:pPr>
              <w:suppressAutoHyphens/>
              <w:textAlignment w:val="baseline"/>
              <w:rPr>
                <w:szCs w:val="24"/>
                <w:lang w:eastAsia="lt-LT"/>
              </w:rPr>
            </w:pPr>
            <w:r>
              <w:rPr>
                <w:szCs w:val="24"/>
                <w:lang w:eastAsia="lt-LT"/>
              </w:rPr>
              <w:t>x tenkina</w:t>
            </w:r>
          </w:p>
          <w:p w14:paraId="03F47378" w14:textId="77777777">
            <w:pPr>
              <w:suppressAutoHyphens/>
              <w:textAlignment w:val="baseline"/>
              <w:rPr>
                <w:szCs w:val="24"/>
                <w:lang w:eastAsia="lt-LT"/>
              </w:rPr>
            </w:pPr>
            <w:r>
              <w:rPr>
                <w:szCs w:val="24"/>
                <w:lang w:eastAsia="lt-LT"/>
              </w:rPr>
              <w:t>□ netenkina</w:t>
            </w:r>
          </w:p>
        </w:tc>
      </w:tr>
      <w:tr w14:paraId="17BAC2B0"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C6A7C" w14:textId="77777777">
            <w:pPr>
              <w:keepNext/>
              <w:suppressAutoHyphens/>
              <w:jc w:val="center"/>
              <w:textAlignment w:val="baseline"/>
              <w:rPr>
                <w:szCs w:val="24"/>
                <w:lang w:eastAsia="lt-LT"/>
              </w:rPr>
            </w:pPr>
            <w:r>
              <w:rPr>
                <w:szCs w:val="24"/>
                <w:lang w:eastAsia="lt-LT"/>
              </w:rPr>
              <w:t>17.</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9E1202" w14:textId="77777777">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E19C6" w14:textId="5378C690">
            <w:pPr>
              <w:suppressAutoHyphens/>
              <w:jc w:val="both"/>
              <w:textAlignment w:val="baseline"/>
              <w:rPr>
                <w:bCs/>
              </w:rPr>
            </w:pPr>
            <w:r>
              <w:rPr>
                <w:bCs/>
              </w:rPr>
              <w:t>Kriterijus nėra teisės akto projekto reglamentavimo dalykas.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4FC1A8" w14:textId="77777777">
            <w:pPr>
              <w:keepNext/>
              <w:suppressAutoHyphens/>
              <w:textAlignment w:val="baseline"/>
              <w:rPr>
                <w:b/>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C5261F" w14:textId="7D0CCF81">
            <w:pPr>
              <w:keepNext/>
              <w:suppressAutoHyphens/>
              <w:textAlignment w:val="baseline"/>
              <w:rPr>
                <w:szCs w:val="24"/>
                <w:lang w:eastAsia="lt-LT"/>
              </w:rPr>
            </w:pPr>
            <w:r>
              <w:rPr>
                <w:szCs w:val="24"/>
                <w:lang w:eastAsia="lt-LT"/>
              </w:rPr>
              <w:t>x tenkina</w:t>
            </w:r>
          </w:p>
          <w:p w14:paraId="6B542FCD" w14:textId="77777777">
            <w:pPr>
              <w:keepNext/>
              <w:suppressAutoHyphens/>
              <w:textAlignment w:val="baseline"/>
              <w:rPr>
                <w:szCs w:val="24"/>
                <w:lang w:eastAsia="lt-LT"/>
              </w:rPr>
            </w:pPr>
            <w:r>
              <w:rPr>
                <w:szCs w:val="24"/>
                <w:lang w:eastAsia="lt-LT"/>
              </w:rPr>
              <w:t>□ netenkina</w:t>
            </w:r>
          </w:p>
        </w:tc>
      </w:tr>
      <w:tr w14:paraId="559AA5B7"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B8D1C" w14:textId="77777777">
            <w:pPr>
              <w:suppressAutoHyphens/>
              <w:jc w:val="center"/>
              <w:textAlignment w:val="baseline"/>
              <w:rPr>
                <w:szCs w:val="24"/>
                <w:lang w:eastAsia="lt-LT"/>
              </w:rPr>
            </w:pPr>
            <w:r>
              <w:rPr>
                <w:szCs w:val="24"/>
                <w:lang w:eastAsia="lt-LT"/>
              </w:rPr>
              <w:t>18.</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F16DB3" w14:textId="77777777">
            <w:pPr>
              <w:suppressAutoHyphens/>
              <w:textAlignment w:val="baseline"/>
              <w:rPr>
                <w:szCs w:val="24"/>
                <w:lang w:eastAsia="lt-LT"/>
              </w:rPr>
            </w:pPr>
            <w:r>
              <w:t xml:space="preserve">Kartu su teisės akto projektu pateikta pakankamai jį pagrindžiančių lydimųjų dokumentų ir informacijos,  siekiant antikorupciniu aspektu įvertinti teisės akto projektą</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A2FB1" w14:textId="77777777">
            <w:pPr>
              <w:suppressAutoHyphens/>
              <w:textAlignment w:val="baseline"/>
              <w:rPr>
                <w:szCs w:val="24"/>
                <w:lang w:eastAsia="lt-LT"/>
              </w:rPr>
            </w:pPr>
            <w:r>
              <w:rPr>
                <w:bCs/>
              </w:rPr>
              <w:t>Kriterijų atitinka.</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44D9B" w14:textId="77777777">
            <w:pPr>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1DE8B" w14:textId="77777777">
            <w:pPr>
              <w:suppressAutoHyphens/>
              <w:textAlignment w:val="baseline"/>
              <w:rPr>
                <w:szCs w:val="24"/>
                <w:lang w:eastAsia="lt-LT"/>
              </w:rPr>
            </w:pPr>
            <w:r>
              <w:rPr>
                <w:szCs w:val="24"/>
                <w:lang w:eastAsia="lt-LT"/>
              </w:rPr>
              <w:t>X tenkina</w:t>
            </w:r>
          </w:p>
          <w:p w14:paraId="0CB34CEC" w14:textId="77777777">
            <w:pPr>
              <w:suppressAutoHyphens/>
              <w:textAlignment w:val="baseline"/>
              <w:rPr>
                <w:szCs w:val="24"/>
                <w:lang w:eastAsia="lt-LT"/>
              </w:rPr>
            </w:pPr>
            <w:r>
              <w:rPr>
                <w:szCs w:val="24"/>
                <w:lang w:eastAsia="lt-LT"/>
              </w:rPr>
              <w:t>□ netenkina</w:t>
            </w:r>
          </w:p>
        </w:tc>
      </w:tr>
      <w:tr w14:paraId="09FA4045" w14:textId="77777777">
        <w:trPr>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44F39" w14:textId="77777777">
            <w:pPr>
              <w:suppressAutoHyphens/>
              <w:jc w:val="center"/>
              <w:textAlignment w:val="baseline"/>
              <w:rPr>
                <w:szCs w:val="24"/>
                <w:lang w:eastAsia="lt-LT"/>
              </w:rPr>
            </w:pPr>
            <w:r>
              <w:rPr>
                <w:szCs w:val="24"/>
                <w:lang w:eastAsia="lt-LT"/>
              </w:rPr>
              <w:t>19.</w:t>
            </w:r>
          </w:p>
        </w:tc>
        <w:tc>
          <w:tcPr>
            <w:tcW w:w="3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F00D34" w14:textId="77777777">
            <w:pPr>
              <w:suppressAutoHyphens/>
              <w:textAlignment w:val="baseline"/>
            </w:pPr>
            <w:r>
              <w:rPr>
                <w:szCs w:val="24"/>
                <w:lang w:eastAsia="lt-LT"/>
              </w:rPr>
              <w:t>Kiti svarbūs kriterijai</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77960" w14:textId="4EF0EBDE">
            <w:pPr>
              <w:suppressAutoHyphens/>
              <w:textAlignment w:val="baseline"/>
              <w:rPr>
                <w:szCs w:val="24"/>
                <w:lang w:eastAsia="lt-LT"/>
              </w:rPr>
            </w:pPr>
            <w:r>
              <w:rPr>
                <w:szCs w:val="24"/>
                <w:lang w:eastAsia="lt-LT"/>
              </w:rPr>
              <w:t>Nėra</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850E2" w14:textId="77777777">
            <w:pPr>
              <w:suppressAutoHyphens/>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3D55A" w14:textId="0049BE1B">
            <w:pPr>
              <w:suppressAutoHyphens/>
              <w:textAlignment w:val="baseline"/>
              <w:rPr>
                <w:szCs w:val="24"/>
                <w:lang w:eastAsia="lt-LT"/>
              </w:rPr>
            </w:pPr>
            <w:r>
              <w:rPr>
                <w:szCs w:val="24"/>
                <w:lang w:eastAsia="lt-LT"/>
              </w:rPr>
              <w:t>x tenkina</w:t>
            </w:r>
          </w:p>
          <w:p w14:paraId="259CC33A" w14:textId="77777777">
            <w:pPr>
              <w:suppressAutoHyphens/>
              <w:textAlignment w:val="baseline"/>
              <w:rPr>
                <w:szCs w:val="24"/>
                <w:lang w:eastAsia="lt-LT"/>
              </w:rPr>
            </w:pPr>
            <w:r>
              <w:rPr>
                <w:szCs w:val="24"/>
                <w:lang w:eastAsia="lt-LT"/>
              </w:rPr>
              <w:t>□ netenkina</w:t>
            </w:r>
          </w:p>
        </w:tc>
      </w:tr>
    </w:tbl>
    <w:p w14:paraId="34D547FB" w14:textId="77777777">
      <w:pPr>
        <w:tabs>
          <w:tab w:val="center" w:pos="4819"/>
          <w:tab w:val="left" w:pos="6237"/>
          <w:tab w:val="right" w:pos="9638"/>
        </w:tabs>
        <w:rPr>
          <w:color w:val="000000"/>
        </w:rPr>
      </w:pPr>
    </w:p>
    <w:tbl>
      <w:tblPr>
        <w:tblW w:w="0" w:type="auto"/>
        <w:tblInd w:w="108" w:type="dxa"/>
        <w:tblLook w:val="00A0" w:firstRow="1" w:lastRow="0" w:firstColumn="1" w:lastColumn="0" w:noHBand="0" w:noVBand="0"/>
      </w:tblPr>
      <w:tblGrid>
        <w:gridCol w:w="2439"/>
        <w:gridCol w:w="4719"/>
        <w:gridCol w:w="2414"/>
        <w:gridCol w:w="4890"/>
      </w:tblGrid>
      <w:tr w14:paraId="3FFC5AD9" w14:textId="77777777">
        <w:trPr>
          <w:trHeight w:val="517"/>
        </w:trPr>
        <w:tc>
          <w:tcPr>
            <w:tcW w:w="2457" w:type="dxa"/>
          </w:tcPr>
          <w:p w14:paraId="75373E0C" w14:textId="77777777">
            <w:pPr>
              <w:rPr>
                <w:szCs w:val="22"/>
              </w:rPr>
            </w:pPr>
          </w:p>
          <w:p w14:paraId="635458B4" w14:textId="77777777">
            <w:pPr>
              <w:rPr>
                <w:szCs w:val="22"/>
              </w:rPr>
            </w:pPr>
            <w:r>
              <w:rPr>
                <w:szCs w:val="24"/>
              </w:rPr>
              <w:t>Teisės akto projekto rengimą koordinavo:</w:t>
            </w:r>
          </w:p>
        </w:tc>
        <w:tc>
          <w:tcPr>
            <w:tcW w:w="4773" w:type="dxa"/>
            <w:tcBorders>
              <w:bottom w:val="single" w:sz="4" w:space="0" w:color="auto"/>
            </w:tcBorders>
          </w:tcPr>
          <w:p w14:paraId="35DBE575" w14:textId="5D8FA441">
            <w:pPr>
              <w:rPr>
                <w:szCs w:val="24"/>
              </w:rPr>
            </w:pPr>
            <w:r>
              <w:rPr>
                <w:szCs w:val="24"/>
              </w:rPr>
              <w:t>Ekonomikos ir inovacijų ministerijos Inovacijų ir pramonės departamento Pramonės 4.0 politikos skyriaus vyriausiasis specialistas Karolis Ruzgys</w:t>
            </w:r>
          </w:p>
          <w:p w14:paraId="4FFE7AD7" w14:textId="77777777">
            <w:pPr>
              <w:rPr>
                <w:szCs w:val="22"/>
              </w:rPr>
            </w:pPr>
          </w:p>
        </w:tc>
        <w:tc>
          <w:tcPr>
            <w:tcW w:w="2434" w:type="dxa"/>
          </w:tcPr>
          <w:p w14:paraId="70BB72ED" w14:textId="77777777">
            <w:pPr>
              <w:rPr>
                <w:szCs w:val="22"/>
              </w:rPr>
            </w:pPr>
          </w:p>
          <w:p w14:paraId="6234F2B8" w14:textId="77777777">
            <w:pPr>
              <w:rPr>
                <w:szCs w:val="22"/>
              </w:rPr>
            </w:pPr>
            <w:r>
              <w:rPr>
                <w:sz w:val="22"/>
                <w:szCs w:val="22"/>
              </w:rPr>
              <w:t>Teisės akto projekto vertintojas:</w:t>
            </w:r>
          </w:p>
        </w:tc>
        <w:tc>
          <w:tcPr>
            <w:tcW w:w="4946" w:type="dxa"/>
            <w:tcBorders>
              <w:bottom w:val="single" w:sz="4" w:space="0" w:color="auto"/>
            </w:tcBorders>
          </w:tcPr>
          <w:p w14:paraId="24506A2B" w14:textId="77777777">
            <w:pPr>
              <w:rPr>
                <w:szCs w:val="24"/>
              </w:rPr>
            </w:pPr>
            <w:r>
              <w:rPr>
                <w:szCs w:val="24"/>
              </w:rPr>
              <w:t>Ekonomikos ir inovacijų ministerijos Inovacijų ir pramonės departamento Pramonės 4.0 politikos skyriaus vedėja</w:t>
            </w:r>
          </w:p>
          <w:p w14:paraId="3C05A79F" w14:textId="77777777">
            <w:pPr>
              <w:rPr>
                <w:szCs w:val="22"/>
              </w:rPr>
            </w:pPr>
            <w:r>
              <w:rPr>
                <w:szCs w:val="24"/>
              </w:rPr>
              <w:t>Ilona Golovačiova</w:t>
            </w:r>
          </w:p>
        </w:tc>
      </w:tr>
      <w:tr w14:paraId="39B2EAC5" w14:textId="77777777">
        <w:trPr>
          <w:trHeight w:val="23"/>
        </w:trPr>
        <w:tc>
          <w:tcPr>
            <w:tcW w:w="2457" w:type="dxa"/>
          </w:tcPr>
          <w:p w14:paraId="4F3619BD" w14:textId="77777777">
            <w:pPr>
              <w:rPr>
                <w:szCs w:val="22"/>
              </w:rPr>
            </w:pPr>
          </w:p>
        </w:tc>
        <w:tc>
          <w:tcPr>
            <w:tcW w:w="4773" w:type="dxa"/>
            <w:tcBorders>
              <w:top w:val="single" w:sz="4" w:space="0" w:color="auto"/>
            </w:tcBorders>
          </w:tcPr>
          <w:p w14:paraId="69863881" w14:textId="77777777">
            <w:pPr>
              <w:ind w:left="-11" w:firstLine="11"/>
              <w:rPr>
                <w:szCs w:val="22"/>
              </w:rPr>
            </w:pPr>
            <w:r>
              <w:rPr>
                <w:sz w:val="22"/>
                <w:szCs w:val="22"/>
              </w:rPr>
              <w:t xml:space="preserve">(pareigos)                         (vardas ir pavardė)</w:t>
            </w:r>
          </w:p>
        </w:tc>
        <w:tc>
          <w:tcPr>
            <w:tcW w:w="2434" w:type="dxa"/>
          </w:tcPr>
          <w:p w14:paraId="5D32ACB1" w14:textId="77777777">
            <w:pPr>
              <w:rPr>
                <w:szCs w:val="22"/>
              </w:rPr>
            </w:pPr>
          </w:p>
        </w:tc>
        <w:tc>
          <w:tcPr>
            <w:tcW w:w="4946" w:type="dxa"/>
            <w:tcBorders>
              <w:top w:val="single" w:sz="4" w:space="0" w:color="auto"/>
            </w:tcBorders>
          </w:tcPr>
          <w:p w14:paraId="7C17D77E" w14:textId="77777777">
            <w:pPr>
              <w:ind w:left="-11" w:firstLine="11"/>
              <w:rPr>
                <w:szCs w:val="22"/>
              </w:rPr>
            </w:pPr>
            <w:r>
              <w:rPr>
                <w:sz w:val="22"/>
                <w:szCs w:val="22"/>
              </w:rPr>
              <w:t xml:space="preserve">(pareigos)                                      (vardas ir pavardė)</w:t>
            </w:r>
          </w:p>
        </w:tc>
      </w:tr>
      <w:tr w14:paraId="6CB23E2F" w14:textId="77777777">
        <w:trPr>
          <w:trHeight w:val="23"/>
        </w:trPr>
        <w:tc>
          <w:tcPr>
            <w:tcW w:w="2457" w:type="dxa"/>
          </w:tcPr>
          <w:p w14:paraId="1FE553EC" w14:textId="77777777">
            <w:pPr>
              <w:rPr>
                <w:szCs w:val="22"/>
              </w:rPr>
            </w:pPr>
          </w:p>
        </w:tc>
        <w:tc>
          <w:tcPr>
            <w:tcW w:w="4773" w:type="dxa"/>
            <w:tcBorders>
              <w:bottom w:val="single" w:sz="4" w:space="0" w:color="auto"/>
            </w:tcBorders>
          </w:tcPr>
          <w:p w14:paraId="3BD13BBB" w14:textId="77777777">
            <w:pPr>
              <w:rPr>
                <w:szCs w:val="22"/>
              </w:rPr>
            </w:pPr>
          </w:p>
        </w:tc>
        <w:tc>
          <w:tcPr>
            <w:tcW w:w="2434" w:type="dxa"/>
          </w:tcPr>
          <w:p w14:paraId="64ED5B35" w14:textId="77777777">
            <w:pPr>
              <w:rPr>
                <w:szCs w:val="22"/>
              </w:rPr>
            </w:pPr>
          </w:p>
        </w:tc>
        <w:tc>
          <w:tcPr>
            <w:tcW w:w="4946" w:type="dxa"/>
            <w:tcBorders>
              <w:bottom w:val="single" w:sz="4" w:space="0" w:color="auto"/>
            </w:tcBorders>
          </w:tcPr>
          <w:p w14:paraId="00D0FE23" w14:textId="77777777">
            <w:pPr>
              <w:ind w:left="-11" w:firstLine="11"/>
              <w:rPr>
                <w:szCs w:val="22"/>
              </w:rPr>
            </w:pPr>
          </w:p>
        </w:tc>
      </w:tr>
      <w:tr w14:paraId="1DC91E1D" w14:textId="77777777">
        <w:trPr>
          <w:trHeight w:val="23"/>
        </w:trPr>
        <w:tc>
          <w:tcPr>
            <w:tcW w:w="2457" w:type="dxa"/>
          </w:tcPr>
          <w:p w14:paraId="0D087722" w14:textId="77777777">
            <w:pPr>
              <w:rPr>
                <w:szCs w:val="22"/>
              </w:rPr>
            </w:pPr>
          </w:p>
        </w:tc>
        <w:tc>
          <w:tcPr>
            <w:tcW w:w="4773" w:type="dxa"/>
          </w:tcPr>
          <w:p w14:paraId="18CEFB24" w14:textId="77777777">
            <w:pPr>
              <w:ind w:left="-11" w:firstLine="11"/>
              <w:rPr>
                <w:szCs w:val="22"/>
              </w:rPr>
            </w:pPr>
            <w:r>
              <w:rPr>
                <w:sz w:val="22"/>
                <w:szCs w:val="22"/>
              </w:rPr>
              <w:t xml:space="preserve">(parašas)                                      (data)</w:t>
            </w:r>
          </w:p>
        </w:tc>
        <w:tc>
          <w:tcPr>
            <w:tcW w:w="2434" w:type="dxa"/>
          </w:tcPr>
          <w:p w14:paraId="578558DC" w14:textId="77777777">
            <w:pPr>
              <w:rPr>
                <w:szCs w:val="22"/>
              </w:rPr>
            </w:pPr>
          </w:p>
        </w:tc>
        <w:tc>
          <w:tcPr>
            <w:tcW w:w="4946" w:type="dxa"/>
            <w:tcBorders>
              <w:top w:val="single" w:sz="4" w:space="0" w:color="auto"/>
            </w:tcBorders>
          </w:tcPr>
          <w:p w14:paraId="31AEE662" w14:textId="77777777">
            <w:pPr>
              <w:ind w:left="-11" w:firstLine="68"/>
              <w:rPr>
                <w:szCs w:val="22"/>
              </w:rPr>
            </w:pPr>
            <w:r>
              <w:rPr>
                <w:sz w:val="22"/>
                <w:szCs w:val="22"/>
              </w:rPr>
              <w:t xml:space="preserve">(parašas)                                                     (data)</w:t>
            </w:r>
          </w:p>
        </w:tc>
      </w:tr>
    </w:tbl>
    <w:p w14:paraId="4794F036" w14:textId="77777777">
      <w:pPr>
        <w:tabs>
          <w:tab w:val="center" w:pos="4819"/>
          <w:tab w:val="left" w:pos="6237"/>
          <w:tab w:val="right" w:pos="9638"/>
        </w:tabs>
        <w:rPr>
          <w:color w:val="000000"/>
        </w:rPr>
      </w:pPr>
    </w:p>
    <w:p w14:paraId="37D031DE" w14:textId="77777777">
      <w:pPr>
        <w:tabs>
          <w:tab w:val="center" w:pos="4819"/>
          <w:tab w:val="left" w:pos="6237"/>
          <w:tab w:val="right" w:pos="9638"/>
        </w:tabs>
        <w:rPr>
          <w:color w:val="000000"/>
        </w:rPr>
      </w:pPr>
    </w:p>
    <w:p w14:paraId="4915DADA" w14:textId="77777777">
      <w:pPr>
        <w:tabs>
          <w:tab w:val="center" w:pos="4819"/>
          <w:tab w:val="left" w:pos="6237"/>
          <w:tab w:val="right" w:pos="9638"/>
        </w:tabs>
        <w:rPr>
          <w:color w:val="000000"/>
        </w:rPr>
      </w:pPr>
    </w:p>
    <w:p w14:paraId="6679C8CA" w14:textId="77777777">
      <w:pPr>
        <w:tabs>
          <w:tab w:val="center" w:pos="4819"/>
          <w:tab w:val="left" w:pos="6237"/>
          <w:tab w:val="right" w:pos="9638"/>
        </w:tabs>
        <w:jc w:val="center"/>
        <w:rPr>
          <w:color w:val="000000"/>
        </w:rPr>
      </w:pPr>
      <w:r>
        <w:rPr>
          <w:color w:val="000000"/>
        </w:rPr>
        <w:t>––––––––––––––––––––</w:t>
      </w:r>
    </w:p>
    <w:p w14:paraId="264B9CD4" w14:textId="77777777"/>
    <w:sectPr>
      <w:headerReference w:type="first" r:id="rId6"/>
      <w:pgSz w:w="16838" w:h="11906" w:orient="landscape" w:code="9"/>
      <w:pgMar w:top="1134" w:right="1134" w:bottom="1134" w:left="1134" w:header="567" w:footer="567" w:gutter="0"/>
      <w:pgNumType w:start="1"/>
      <w:cols w:space="1296"/>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EDAF8" w14:textId="77777777">
      <w:r>
        <w:separator/>
      </w:r>
    </w:p>
  </w:endnote>
  <w:endnote w:type="continuationSeparator" w:id="0">
    <w:p w14:paraId="7E86E793"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6124C" w14:textId="77777777">
      <w:r>
        <w:separator/>
      </w:r>
    </w:p>
  </w:footnote>
  <w:footnote w:type="continuationSeparator" w:id="0">
    <w:p w14:paraId="38048413" w14:textId="77777777">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082D0" w14:textId="77777777">
    <w:pPr>
      <w:tabs>
        <w:tab w:val="center" w:pos="4819"/>
        <w:tab w:val="right" w:pos="9638"/>
      </w:tabs>
      <w:jc w:val="center"/>
    </w:pPr>
    <w:r>
      <w:fldChar w:fldCharType="begin"/>
    </w:r>
    <w:r>
      <w:instrText xml:space="preserve"> PAGE   \* MERGEFORMAT </w:instrText>
    </w:r>
    <w:r>
      <w:fldChar w:fldCharType="separate"/>
    </w:r>
    <w:r>
      <w:t>1</w:t>
    </w:r>
    <w:r>
      <w:fldChar w:fldCharType="end"/>
    </w:r>
  </w:p>
  <w:p w14:paraId="00775EBA"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86A9"/>
  <w15:chartTrackingRefBased/>
  <w15:docId w15:val="{8BB0A67C-AE67-4D8E-931E-D7332079633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5310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8403</Characters>
  <Application>Microsoft Office Word</Application>
  <DocSecurity>4</DocSecurity>
  <Lines>381</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2022-05-20T15:34:00Z</dcterms:created>
  <dc:creator>Ruzgys Karolis</dc:creator>
  <lastModifiedBy>adlibuser</lastModifiedBy>
  <dcterms:modified xsi:type="dcterms:W3CDTF">2022-05-20T15:34:00Z</dcterms:modified>
  <revision>2</revision>
</coreProperties>
</file>