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e1c88a618d48f29eb48b3c290f6502"/>
        <w:lock w:val="sdtLocked"/>
        <w:richText/>
      </w:sdtPr>
      <w:sdtContent>
        <w:p>
          <w:pPr>
            <w:widowControl w:val="0"/>
            <w:suppressLineNumbers/>
            <w:tabs>
              <w:tab w:val="center" w:pos="4819"/>
              <w:tab w:val="right" w:pos="9638"/>
            </w:tabs>
            <w:suppressAutoHyphens/>
            <w:spacing w:line="276" w:lineRule="auto"/>
            <w:textAlignment w:val="baseline"/>
            <w:rPr>
              <w:rFonts w:ascii="Calibri" w:eastAsia="Lucida Sans Unicode" w:hAnsi="Calibri"/>
              <w:kern w:val="3"/>
              <w:szCs w:val="24"/>
              <w:lang w:val="en-US" w:eastAsia="hi-IN" w:bidi="hi-IN"/>
            </w:rPr>
          </w:pPr>
        </w:p>
        <w:p>
          <w:pPr>
            <w:rPr>
              <w:sz w:val="18"/>
              <w:szCs w:val="18"/>
            </w:rPr>
          </w:pPr>
        </w:p>
        <w:p>
          <w:pPr>
            <w:widowControl w:val="0"/>
            <w:tabs>
              <w:tab w:val="left" w:pos="5245"/>
            </w:tabs>
            <w:suppressAutoHyphens/>
            <w:ind w:left="283" w:firstLine="5245"/>
            <w:jc w:val="both"/>
            <w:textAlignment w:val="baseline"/>
            <w:rPr>
              <w:rFonts w:eastAsia="Lucida Sans Unicode"/>
              <w:kern w:val="3"/>
              <w:szCs w:val="24"/>
              <w:lang w:eastAsia="hi-IN" w:bidi="hi-IN"/>
            </w:rPr>
          </w:pPr>
          <w:r>
            <w:rPr>
              <w:rFonts w:eastAsia="Lucida Sans Unicode"/>
              <w:kern w:val="3"/>
              <w:szCs w:val="24"/>
              <w:lang w:eastAsia="hi-IN" w:bidi="hi-IN"/>
            </w:rPr>
            <w:t>PRITARTA</w:t>
          </w:r>
        </w:p>
        <w:p>
          <w:pPr>
            <w:widowControl w:val="0"/>
            <w:tabs>
              <w:tab w:val="left" w:pos="5529"/>
            </w:tabs>
            <w:suppressAutoHyphens/>
            <w:ind w:left="5245"/>
            <w:textAlignment w:val="baseline"/>
            <w:rPr>
              <w:rFonts w:eastAsia="Lucida Sans Unicode"/>
              <w:kern w:val="3"/>
              <w:szCs w:val="24"/>
              <w:lang w:eastAsia="hi-IN" w:bidi="hi-IN"/>
            </w:rPr>
          </w:pPr>
          <w:r>
            <w:rPr>
              <w:rFonts w:eastAsia="Lucida Sans Unicode"/>
              <w:kern w:val="3"/>
              <w:szCs w:val="24"/>
              <w:lang w:eastAsia="hi-IN" w:bidi="hi-IN"/>
            </w:rPr>
            <w:t xml:space="preserve">Šiaulių miesto savivaldybės tarybos </w:t>
          </w:r>
        </w:p>
        <w:p>
          <w:pPr>
            <w:widowControl w:val="0"/>
            <w:tabs>
              <w:tab w:val="left" w:pos="5812"/>
            </w:tabs>
            <w:suppressAutoHyphens/>
            <w:ind w:left="5245"/>
            <w:textAlignment w:val="baseline"/>
            <w:rPr>
              <w:rFonts w:eastAsia="Lucida Sans Unicode"/>
              <w:kern w:val="3"/>
              <w:szCs w:val="24"/>
              <w:lang w:eastAsia="hi-IN" w:bidi="hi-IN"/>
            </w:rPr>
          </w:pPr>
          <w:r>
            <w:rPr>
              <w:rFonts w:eastAsia="Lucida Sans Unicode"/>
              <w:kern w:val="3"/>
              <w:szCs w:val="24"/>
              <w:lang w:eastAsia="hi-IN" w:bidi="hi-IN"/>
            </w:rPr>
            <w:t xml:space="preserve">2023 m.                       d. sprendimu Nr. T-</w:t>
          </w: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b/>
              <w:color w:val="000000"/>
              <w:kern w:val="3"/>
              <w:szCs w:val="24"/>
              <w:lang w:eastAsia="hi-IN" w:bidi="hi-IN"/>
            </w:rPr>
          </w:pPr>
          <w:r>
            <w:rPr>
              <w:rFonts w:eastAsia="Lucida Sans Unicode"/>
              <w:b/>
              <w:color w:val="000000"/>
              <w:kern w:val="3"/>
              <w:szCs w:val="24"/>
              <w:lang w:eastAsia="hi-IN" w:bidi="hi-IN"/>
            </w:rPr>
            <w:t xml:space="preserve">PAPILDOMAS SUSITARIMAS PRIE ŠIAULIŲ MIESTO SAVIVALDYBĖS IR </w:t>
          </w:r>
        </w:p>
        <w:p>
          <w:pPr>
            <w:widowControl w:val="0"/>
            <w:suppressAutoHyphens/>
            <w:jc w:val="center"/>
            <w:textAlignment w:val="baseline"/>
            <w:rPr>
              <w:b/>
              <w:kern w:val="3"/>
              <w:szCs w:val="24"/>
            </w:rPr>
          </w:pPr>
          <w:r>
            <w:rPr>
              <w:b/>
              <w:color w:val="000000"/>
              <w:kern w:val="3"/>
              <w:szCs w:val="24"/>
            </w:rPr>
            <w:t>UŽDAROSIOS AKCINĖS BENDROVĖS „VONIN LITHUANIA“</w:t>
          </w:r>
          <w:r>
            <w:rPr>
              <w:b/>
              <w:kern w:val="3"/>
              <w:szCs w:val="24"/>
            </w:rPr>
            <w:t xml:space="preserve"> 2020 M. LAPKRIČIO     17 D. INVESTICIJŲ SUTARTIES NR. SŽ-1427, 2021 M. VASARIO 17 D. INVESTICIJŲ SUTARTIES NR. SŽ-191 IR 2021 M. KOVO 9 D. INVESTICIJŲ SUTARTIES NR. SŽ-287</w:t>
          </w: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jc w:val="center"/>
            <w:textAlignment w:val="baseline"/>
            <w:rPr>
              <w:kern w:val="3"/>
              <w:szCs w:val="24"/>
            </w:rPr>
          </w:pPr>
          <w:r>
            <w:rPr>
              <w:kern w:val="3"/>
              <w:szCs w:val="24"/>
            </w:rPr>
            <w:t xml:space="preserve">2023 m. </w:t>
          </w:r>
          <w:r>
            <w:rPr>
              <w:kern w:val="3"/>
              <w:szCs w:val="24"/>
              <w:u w:val="single"/>
            </w:rPr>
            <w:t xml:space="preserve">                                </w:t>
          </w:r>
          <w:r>
            <w:rPr>
              <w:kern w:val="3"/>
              <w:szCs w:val="24"/>
            </w:rPr>
            <w:t xml:space="preserve">d. </w:t>
          </w:r>
        </w:p>
        <w:p>
          <w:pPr>
            <w:widowControl w:val="0"/>
            <w:suppressAutoHyphens/>
            <w:jc w:val="center"/>
            <w:textAlignment w:val="baseline"/>
            <w:rPr>
              <w:kern w:val="3"/>
              <w:szCs w:val="24"/>
            </w:rPr>
          </w:pPr>
          <w:r>
            <w:rPr>
              <w:kern w:val="3"/>
              <w:szCs w:val="24"/>
            </w:rPr>
            <w:t>Šiauliai</w:t>
          </w:r>
        </w:p>
        <w:p>
          <w:pPr>
            <w:widowControl w:val="0"/>
            <w:tabs>
              <w:tab w:val="center" w:pos="4558"/>
            </w:tabs>
            <w:suppressAutoHyphens/>
            <w:spacing w:line="100" w:lineRule="atLeast"/>
            <w:textAlignment w:val="baseline"/>
            <w:rPr>
              <w:rFonts w:eastAsia="Lucida Sans Unicode"/>
              <w:color w:val="000000"/>
              <w:kern w:val="3"/>
              <w:szCs w:val="24"/>
              <w:lang w:eastAsia="hi-IN" w:bidi="hi-IN"/>
            </w:rPr>
          </w:pPr>
        </w:p>
        <w:p>
          <w:pPr>
            <w:widowControl w:val="0"/>
            <w:tabs>
              <w:tab w:val="center" w:pos="4558"/>
            </w:tabs>
            <w:suppressAutoHyphens/>
            <w:spacing w:line="100" w:lineRule="atLeast"/>
            <w:textAlignment w:val="baseline"/>
            <w:rPr>
              <w:rFonts w:eastAsia="Lucida Sans Unicode"/>
              <w:color w:val="000000"/>
              <w:kern w:val="3"/>
              <w:szCs w:val="24"/>
              <w:lang w:eastAsia="hi-IN" w:bidi="hi-IN"/>
            </w:rPr>
          </w:pPr>
        </w:p>
        <w:sdt>
          <w:sdtPr>
            <w:alias w:val="preambule"/>
            <w:tag w:val="part_68993e2c29ac446d8cb79fdb39d6f26f"/>
            <w:lock w:val="sdtLocked"/>
            <w:richText/>
          </w:sdtPr>
          <w:sdtContent>
            <w:p>
              <w:pPr>
                <w:widowControl w:val="0"/>
                <w:suppressAutoHyphens/>
                <w:spacing w:line="100" w:lineRule="atLeast"/>
                <w:ind w:firstLine="709"/>
                <w:jc w:val="both"/>
                <w:textAlignment w:val="baseline"/>
                <w:rPr>
                  <w:rFonts w:eastAsia="Lucida Sans Unicode"/>
                  <w:color w:val="000000"/>
                  <w:szCs w:val="24"/>
                  <w:lang w:eastAsia="hi-IN" w:bidi="hi-IN"/>
                </w:rPr>
              </w:pPr>
              <w:r>
                <w:rPr>
                  <w:rFonts w:eastAsia="Lucida Sans Unicode"/>
                  <w:color w:val="000000"/>
                  <w:szCs w:val="24"/>
                  <w:lang w:eastAsia="hi-IN" w:bidi="hi-IN"/>
                </w:rPr>
                <w:t xml:space="preserve">Šiaulių miesto savivaldybė (toliau – Savivaldybė), kodas 188771865, adresas: Vasario 16-osios g. 62, Šiauliai, atstovaujama </w:t>
              </w:r>
              <w:r>
                <w:rPr>
                  <w:rFonts w:eastAsia="Lucida Sans Unicode"/>
                  <w:color w:val="000000"/>
                  <w:szCs w:val="24"/>
                  <w:u w:val="single"/>
                  <w:lang w:eastAsia="hi-IN" w:bidi="hi-IN"/>
                </w:rPr>
                <w:tab/>
                <w:tab/>
                <w:tab/>
                <w:tab/>
                <w:tab/>
                <w:t xml:space="preserve">        </w:t>
              </w:r>
              <w:r>
                <w:rPr>
                  <w:rFonts w:eastAsia="Lucida Sans Unicode"/>
                  <w:i/>
                  <w:iCs/>
                  <w:color w:val="000000"/>
                  <w:szCs w:val="24"/>
                  <w:lang w:eastAsia="hi-IN" w:bidi="hi-IN"/>
                </w:rPr>
                <w:t>,</w:t>
              </w:r>
              <w:r>
                <w:rPr>
                  <w:rFonts w:eastAsia="Lucida Sans Unicode"/>
                  <w:color w:val="000000"/>
                  <w:szCs w:val="24"/>
                  <w:lang w:eastAsia="hi-IN" w:bidi="hi-IN"/>
                </w:rPr>
                <w:t xml:space="preserve"> veikiančio pagal Šiaulių miesto savivaldybės tarybos 2023 m. rugsėjo </w:t>
              </w:r>
              <w:r>
                <w:rPr>
                  <w:rFonts w:eastAsia="Lucida Sans Unicode"/>
                  <w:color w:val="000000"/>
                  <w:szCs w:val="24"/>
                  <w:u w:val="single"/>
                  <w:lang w:eastAsia="hi-IN" w:bidi="hi-IN"/>
                </w:rPr>
                <w:t xml:space="preserve">      </w:t>
              </w:r>
              <w:r>
                <w:rPr>
                  <w:rFonts w:eastAsia="Lucida Sans Unicode"/>
                  <w:color w:val="000000"/>
                  <w:szCs w:val="24"/>
                  <w:lang w:eastAsia="hi-IN" w:bidi="hi-IN"/>
                </w:rPr>
                <w:t>d. sprendimu Nr. T-</w:t>
              </w:r>
              <w:r>
                <w:rPr>
                  <w:rFonts w:eastAsia="Lucida Sans Unicode"/>
                  <w:color w:val="000000"/>
                  <w:szCs w:val="24"/>
                  <w:u w:val="single"/>
                  <w:lang w:eastAsia="hi-IN" w:bidi="hi-IN"/>
                </w:rPr>
                <w:t xml:space="preserve">    </w:t>
              </w:r>
              <w:r>
                <w:rPr>
                  <w:rFonts w:eastAsia="Lucida Sans Unicode"/>
                  <w:color w:val="000000"/>
                  <w:szCs w:val="24"/>
                  <w:lang w:eastAsia="hi-IN" w:bidi="hi-IN"/>
                </w:rPr>
                <w:t xml:space="preserve"> „Dėl pritarimo pakeisti Šiaulių miesto savivaldybės ir uždarosios akcinės bedrovės „Vonin Lithuania“ investicijų sutartis“ suteiktus įgaliojimus, </w:t>
              </w:r>
            </w:p>
            <w:p>
              <w:pPr>
                <w:widowControl w:val="0"/>
                <w:suppressAutoHyphens/>
                <w:spacing w:line="100" w:lineRule="atLeast"/>
                <w:ind w:firstLine="709"/>
                <w:jc w:val="both"/>
                <w:textAlignment w:val="baseline"/>
                <w:rPr>
                  <w:rFonts w:eastAsia="Lucida Sans Unicode"/>
                  <w:color w:val="000000"/>
                  <w:szCs w:val="24"/>
                  <w:lang w:eastAsia="hi-IN" w:bidi="hi-IN"/>
                </w:rPr>
              </w:pPr>
            </w:p>
          </w:sdtContent>
        </w:sdt>
        <w:sdt>
          <w:sdtPr>
            <w:alias w:val="pastraipa"/>
            <w:tag w:val="part_d120f1a4d4de4384952efb385425aa16"/>
            <w:lock w:val="sdtLocked"/>
            <w:richText/>
          </w:sdtPr>
          <w:sdtContent>
            <w:p>
              <w:pPr>
                <w:widowControl w:val="0"/>
                <w:suppressAutoHyphens/>
                <w:spacing w:line="100" w:lineRule="atLeast"/>
                <w:ind w:firstLine="709"/>
                <w:jc w:val="both"/>
                <w:textAlignment w:val="baseline"/>
                <w:rPr>
                  <w:rFonts w:eastAsia="Arial Unicode MS"/>
                  <w:color w:val="000000"/>
                  <w:szCs w:val="24"/>
                  <w:lang w:eastAsia="hi-IN" w:bidi="hi-IN"/>
                </w:rPr>
              </w:pPr>
              <w:r>
                <w:rPr>
                  <w:rFonts w:eastAsia="Lucida Sans Unicode"/>
                  <w:color w:val="000000"/>
                  <w:szCs w:val="24"/>
                  <w:lang w:eastAsia="hi-IN" w:bidi="hi-IN"/>
                </w:rPr>
                <w:t xml:space="preserve">ir </w:t>
              </w:r>
              <w:r>
                <w:rPr>
                  <w:rFonts w:eastAsia="Lucida Sans Unicode"/>
                  <w:iCs/>
                  <w:color w:val="000000"/>
                  <w:szCs w:val="24"/>
                  <w:lang w:eastAsia="hi-IN" w:bidi="hi-IN"/>
                </w:rPr>
                <w:t>uždaroji akcinė bendrovė „Vonin Lithuania“, įmonės kodas 303093703, adresas: Felikso Vaitkaus g. 15, LT-77104 Šiauliai</w:t>
              </w:r>
              <w:r>
                <w:rPr>
                  <w:rFonts w:eastAsia="Lucida Sans Unicode"/>
                  <w:color w:val="000000"/>
                  <w:szCs w:val="24"/>
                  <w:lang w:eastAsia="hi-IN" w:bidi="hi-IN"/>
                </w:rPr>
                <w:t xml:space="preserve"> (toliau – Investuotojas), atstovaujama generalinės direktorės   </w:t>
              </w:r>
              <w:r>
                <w:rPr>
                  <w:rFonts w:eastAsia="Lucida Sans Unicode"/>
                  <w:color w:val="000000"/>
                  <w:szCs w:val="24"/>
                  <w:u w:val="single"/>
                  <w:lang w:eastAsia="hi-IN" w:bidi="hi-IN"/>
                </w:rPr>
                <w:t xml:space="preserve">              </w:t>
              </w:r>
              <w:r>
                <w:rPr>
                  <w:rFonts w:eastAsia="Lucida Sans Unicode"/>
                  <w:i/>
                  <w:iCs/>
                  <w:color w:val="000000"/>
                  <w:szCs w:val="24"/>
                  <w:u w:val="single"/>
                  <w:lang w:eastAsia="hi-IN" w:bidi="hi-IN"/>
                </w:rPr>
                <w:tab/>
                <w:t xml:space="preserve">        </w:t>
              </w:r>
              <w:r>
                <w:rPr>
                  <w:rFonts w:eastAsia="Lucida Sans Unicode"/>
                  <w:color w:val="000000"/>
                  <w:szCs w:val="24"/>
                  <w:lang w:eastAsia="hi-IN" w:bidi="hi-IN"/>
                </w:rPr>
                <w:t xml:space="preserve">, veikiančios pagal </w:t>
              </w:r>
              <w:r>
                <w:rPr>
                  <w:rFonts w:eastAsia="Lucida Sans Unicode"/>
                  <w:iCs/>
                  <w:color w:val="000000"/>
                  <w:szCs w:val="24"/>
                  <w:lang w:eastAsia="hi-IN" w:bidi="hi-IN"/>
                </w:rPr>
                <w:t xml:space="preserve">bendrovės įstatus, toliau </w:t>
              </w:r>
              <w:r>
                <w:rPr>
                  <w:rFonts w:eastAsia="Arial Unicode MS"/>
                  <w:color w:val="000000"/>
                  <w:szCs w:val="24"/>
                  <w:lang w:eastAsia="hi-IN" w:bidi="hi-IN"/>
                </w:rPr>
                <w:t xml:space="preserve">kartu vadinamos Šalimis, o kiekvienas atskirai – Šalimi, </w:t>
              </w:r>
            </w:p>
            <w:p>
              <w:pPr>
                <w:widowControl w:val="0"/>
                <w:suppressAutoHyphens/>
                <w:spacing w:line="100" w:lineRule="atLeast"/>
                <w:ind w:firstLine="709"/>
                <w:jc w:val="both"/>
                <w:textAlignment w:val="baseline"/>
                <w:rPr>
                  <w:rFonts w:eastAsia="Arial Unicode MS"/>
                  <w:color w:val="000000"/>
                  <w:szCs w:val="24"/>
                  <w:lang w:eastAsia="hi-IN" w:bidi="hi-IN"/>
                </w:rPr>
              </w:pPr>
            </w:p>
            <w:p>
              <w:pPr>
                <w:widowControl w:val="0"/>
                <w:suppressAutoHyphens/>
                <w:spacing w:line="100" w:lineRule="atLeast"/>
                <w:ind w:firstLine="709"/>
                <w:jc w:val="both"/>
                <w:textAlignment w:val="baseline"/>
                <w:rPr>
                  <w:rFonts w:eastAsia="Arial Unicode MS"/>
                  <w:color w:val="000000"/>
                  <w:szCs w:val="24"/>
                  <w:lang w:eastAsia="hi-IN" w:bidi="hi-IN"/>
                </w:rPr>
              </w:pPr>
              <w:r>
                <w:rPr>
                  <w:rFonts w:eastAsia="Arial Unicode MS"/>
                  <w:color w:val="000000"/>
                  <w:szCs w:val="24"/>
                  <w:lang w:eastAsia="hi-IN" w:bidi="hi-IN"/>
                </w:rPr>
                <w:t xml:space="preserve">įvertinusios Investuotojo 2023 m. rugpjūčio 2 d. prašyme (registracija DVS „Avilys“,             Nr. G-5944) išdėstytas aplinkybes ir vadovaudamosi Šiaulių miesto savivaldybės ir uždarosios akcinės bendrovės „Vonin Lithuania“ 2020 m. lapkričio 17 d. investicijų sutartimi Nr. SŽ-1427,    2021 m. vasario 17 d. investicijų sutartimi Nr. SŽ-191 ir 2021 m. kovo 9 d. investicijų sutartimi        Nr. SŽ-287 (toliau – Sutartys), sudarė šį papildomą susitarimą (toliau – Papildomas susitarimas) prie Sutarčių, kuriame susitaria:  </w:t>
              </w:r>
            </w:p>
            <w:p>
              <w:pPr>
                <w:widowControl w:val="0"/>
                <w:suppressAutoHyphens/>
                <w:spacing w:line="100" w:lineRule="atLeast"/>
                <w:ind w:firstLine="709"/>
                <w:jc w:val="both"/>
                <w:textAlignment w:val="baseline"/>
                <w:rPr>
                  <w:rFonts w:eastAsia="Arial Unicode MS"/>
                  <w:color w:val="000000"/>
                  <w:szCs w:val="24"/>
                  <w:lang w:eastAsia="hi-IN" w:bidi="hi-IN"/>
                </w:rPr>
              </w:pPr>
            </w:p>
          </w:sdtContent>
        </w:sdt>
        <w:sdt>
          <w:sdtPr>
            <w:alias w:val="1 p."/>
            <w:tag w:val="part_b052c277f29e4d6aacb8b7fed313972e"/>
            <w:lock w:val="sdtLocked"/>
            <w:richText/>
          </w:sdtPr>
          <w:sdtContent>
            <w:p>
              <w:pPr>
                <w:widowControl w:val="0"/>
                <w:tabs>
                  <w:tab w:val="left" w:pos="993"/>
                </w:tabs>
                <w:suppressAutoHyphens/>
                <w:spacing w:line="100" w:lineRule="atLeast"/>
                <w:ind w:firstLine="709"/>
                <w:jc w:val="both"/>
                <w:textAlignment w:val="baseline"/>
                <w:rPr>
                  <w:rFonts w:eastAsia="Arial Unicode MS"/>
                  <w:color w:val="000000"/>
                  <w:szCs w:val="24"/>
                  <w:lang w:eastAsia="hi-IN" w:bidi="hi-IN"/>
                </w:rPr>
              </w:pPr>
              <w:sdt>
                <w:sdtPr>
                  <w:alias w:val="Numeris"/>
                  <w:tag w:val="nr_b052c277f29e4d6aacb8b7fed313972e"/>
                  <w:lock w:val="sdtLocked"/>
                  <w:richText/>
                </w:sdtPr>
                <w:sdtContent>
                  <w:r>
                    <w:rPr>
                      <w:rFonts w:eastAsia="Arial Unicode MS"/>
                      <w:color w:val="000000"/>
                      <w:szCs w:val="24"/>
                      <w:lang w:eastAsia="hi-IN" w:bidi="hi-IN"/>
                    </w:rPr>
                    <w:t>1</w:t>
                  </w:r>
                </w:sdtContent>
              </w:sdt>
              <w:r>
                <w:rPr>
                  <w:rFonts w:eastAsia="Arial Unicode MS"/>
                  <w:color w:val="000000"/>
                  <w:szCs w:val="24"/>
                  <w:lang w:eastAsia="hi-IN" w:bidi="hi-IN"/>
                </w:rPr>
                <w:t>.</w:t>
                <w:tab/>
                <w:t>Pakeisti Sutarčių 8 punktų 8.3, 8.4 ir 8.6 papunkčius ir išdėstyti juos taip:</w:t>
              </w:r>
            </w:p>
            <w:sdt>
              <w:sdtPr>
                <w:alias w:val="1.1 pp."/>
                <w:tag w:val="part_1df098d4ed1d4c62ae59d07fa65866ce"/>
                <w:lock w:val="sdtLocked"/>
                <w:richText/>
              </w:sdtPr>
              <w:sdtContent>
                <w:p>
                  <w:pPr>
                    <w:widowControl w:val="0"/>
                    <w:tabs>
                      <w:tab w:val="left" w:pos="1134"/>
                    </w:tabs>
                    <w:suppressAutoHyphens/>
                    <w:spacing w:line="100" w:lineRule="atLeast"/>
                    <w:ind w:firstLine="709"/>
                    <w:jc w:val="both"/>
                    <w:textAlignment w:val="baseline"/>
                    <w:rPr>
                      <w:rFonts w:eastAsia="Arial Unicode MS"/>
                      <w:color w:val="000000"/>
                      <w:szCs w:val="24"/>
                      <w:lang w:eastAsia="hi-IN" w:bidi="hi-IN"/>
                    </w:rPr>
                  </w:pPr>
                  <w:sdt>
                    <w:sdtPr>
                      <w:alias w:val="Numeris"/>
                      <w:tag w:val="nr_1df098d4ed1d4c62ae59d07fa65866ce"/>
                      <w:lock w:val="sdtLocked"/>
                      <w:richText/>
                    </w:sdtPr>
                    <w:sdtContent>
                      <w:r>
                        <w:rPr>
                          <w:rFonts w:eastAsia="Arial Unicode MS"/>
                          <w:color w:val="000000"/>
                          <w:szCs w:val="24"/>
                          <w:lang w:eastAsia="hi-IN" w:bidi="hi-IN"/>
                        </w:rPr>
                        <w:t>1.1</w:t>
                      </w:r>
                    </w:sdtContent>
                  </w:sdt>
                  <w:r>
                    <w:rPr>
                      <w:rFonts w:eastAsia="Arial Unicode MS"/>
                      <w:color w:val="000000"/>
                      <w:szCs w:val="24"/>
                      <w:lang w:eastAsia="hi-IN" w:bidi="hi-IN"/>
                    </w:rPr>
                    <w:t>.</w:t>
                    <w:tab/>
                    <w:t xml:space="preserve"> „8.3. ne vėliau kaip per 24 mėnesius nuo pertvarkyto (sujungto) sklypo adresu: Felikso Vaitkaus g. 15, Šiauliai, įregistravimo VĮ Registrų centre dienos (2022 m. rugpjūčio 29 d.) gauti statybą leidžiantį dokumentą (ar kitą pagal galiojančius teisės aktus išduotą dokumentą, leidžiantį pradėti statybos ir (ar) įrengimo darbus).“;</w:t>
                  </w:r>
                </w:p>
              </w:sdtContent>
            </w:sdt>
            <w:sdt>
              <w:sdtPr>
                <w:alias w:val="1.2 pp."/>
                <w:tag w:val="part_6560a357d16b4ecd96ce6e1a003d87ef"/>
                <w:lock w:val="sdtLocked"/>
                <w:richText/>
              </w:sdtPr>
              <w:sdtContent>
                <w:p>
                  <w:pPr>
                    <w:widowControl w:val="0"/>
                    <w:tabs>
                      <w:tab w:val="left" w:pos="1134"/>
                    </w:tabs>
                    <w:suppressAutoHyphens/>
                    <w:spacing w:line="100" w:lineRule="atLeast"/>
                    <w:ind w:firstLine="709"/>
                    <w:jc w:val="both"/>
                    <w:textAlignment w:val="baseline"/>
                    <w:rPr>
                      <w:rFonts w:eastAsia="Arial Unicode MS"/>
                      <w:color w:val="000000"/>
                      <w:szCs w:val="24"/>
                      <w:lang w:eastAsia="hi-IN" w:bidi="hi-IN"/>
                    </w:rPr>
                  </w:pPr>
                  <w:sdt>
                    <w:sdtPr>
                      <w:alias w:val="Numeris"/>
                      <w:tag w:val="nr_6560a357d16b4ecd96ce6e1a003d87ef"/>
                      <w:lock w:val="sdtLocked"/>
                      <w:richText/>
                    </w:sdtPr>
                    <w:sdtContent>
                      <w:r>
                        <w:rPr>
                          <w:rFonts w:eastAsia="Arial Unicode MS"/>
                          <w:color w:val="000000"/>
                          <w:szCs w:val="24"/>
                          <w:lang w:eastAsia="hi-IN" w:bidi="hi-IN"/>
                        </w:rPr>
                        <w:t>1.2</w:t>
                      </w:r>
                    </w:sdtContent>
                  </w:sdt>
                  <w:r>
                    <w:rPr>
                      <w:rFonts w:eastAsia="Arial Unicode MS"/>
                      <w:color w:val="000000"/>
                      <w:szCs w:val="24"/>
                      <w:lang w:eastAsia="hi-IN" w:bidi="hi-IN"/>
                    </w:rPr>
                    <w:t>.</w:t>
                    <w:tab/>
                    <w:t xml:space="preserve"> „8.4. ne vėliau kaip per 48 mėnesius nuo pertvarkyto (sujungto) sklypo adresu: Felikso Vaitkaus g. 15, Šiauliai, įregistravimo VĮ Registrų centre dienos (2022 m. rugpjūčio 29 d.) įvykdyti įsipareigojimus, susijusius su investicijomis, nurodytomis Sutarties 8.1 ir 8.2 papunkčiuose.“;</w:t>
                  </w:r>
                </w:p>
              </w:sdtContent>
            </w:sdt>
            <w:sdt>
              <w:sdtPr>
                <w:alias w:val="1.3 pp."/>
                <w:tag w:val="part_700ca731d6274fd0a0ef0ce54bcbcdff"/>
                <w:lock w:val="sdtLocked"/>
                <w:richText/>
              </w:sdtPr>
              <w:sdtContent>
                <w:p>
                  <w:pPr>
                    <w:widowControl w:val="0"/>
                    <w:tabs>
                      <w:tab w:val="left" w:pos="851"/>
                      <w:tab w:val="left" w:pos="1134"/>
                    </w:tabs>
                    <w:suppressAutoHyphens/>
                    <w:spacing w:line="100" w:lineRule="atLeast"/>
                    <w:ind w:firstLine="709"/>
                    <w:jc w:val="both"/>
                    <w:textAlignment w:val="baseline"/>
                    <w:rPr>
                      <w:rFonts w:eastAsia="Arial Unicode MS"/>
                      <w:color w:val="000000"/>
                      <w:szCs w:val="24"/>
                      <w:lang w:eastAsia="hi-IN" w:bidi="hi-IN"/>
                    </w:rPr>
                  </w:pPr>
                  <w:sdt>
                    <w:sdtPr>
                      <w:alias w:val="Numeris"/>
                      <w:tag w:val="nr_700ca731d6274fd0a0ef0ce54bcbcdff"/>
                      <w:lock w:val="sdtLocked"/>
                      <w:richText/>
                    </w:sdtPr>
                    <w:sdtContent>
                      <w:r>
                        <w:rPr>
                          <w:rFonts w:eastAsia="Arial Unicode MS"/>
                          <w:color w:val="000000"/>
                          <w:szCs w:val="24"/>
                          <w:lang w:eastAsia="hi-IN" w:bidi="hi-IN"/>
                        </w:rPr>
                        <w:t>1.3</w:t>
                      </w:r>
                    </w:sdtContent>
                  </w:sdt>
                  <w:r>
                    <w:rPr>
                      <w:rFonts w:eastAsia="Arial Unicode MS"/>
                      <w:color w:val="000000"/>
                      <w:szCs w:val="24"/>
                      <w:lang w:eastAsia="hi-IN" w:bidi="hi-IN"/>
                    </w:rPr>
                    <w:t>.</w:t>
                    <w:tab/>
                    <w:t>„8.6. praėjus 48 mėnesiams nuo pertvarkyto (sujungto) sklypo adresu: Felikso Vaitkaus g. 15, Šiauliai, įregistravimo VĮ Registrų centre dienos (2022 m. rugpjūčio 29 d.), per 1 mėnesį pateikti Ekonomikos ir investicijų skyriui dokumentus, patvirtinančius padarytas investicijas ir sukurtų darbo vietų skaičių (pateikti ilgalaikio turto įregistravimą ir įdarbintų darbuotojų skaičių patvirtinančius dokumentus dėl darbuotojų įdarbinimo). Savivaldybė gali tikrinti duomenis viešai prieinamose duomenų bazėse (www.sodra.lt).“.</w:t>
                  </w:r>
                </w:p>
              </w:sdtContent>
            </w:sdt>
          </w:sdtContent>
        </w:sdt>
        <w:sdt>
          <w:sdtPr>
            <w:alias w:val="2 p."/>
            <w:tag w:val="part_e6765478bdd348df8361ffca6b7f9486"/>
            <w:lock w:val="sdtLocked"/>
            <w:richText/>
          </w:sdtPr>
          <w:sdtContent>
            <w:p>
              <w:pPr>
                <w:tabs>
                  <w:tab w:val="left" w:pos="993"/>
                  <w:tab w:val="left" w:pos="1134"/>
                </w:tabs>
                <w:ind w:firstLine="709"/>
                <w:jc w:val="both"/>
                <w:rPr>
                  <w:kern w:val="3"/>
                  <w:sz w:val="20"/>
                  <w:szCs w:val="24"/>
                </w:rPr>
              </w:pPr>
              <w:sdt>
                <w:sdtPr>
                  <w:alias w:val="Numeris"/>
                  <w:tag w:val="nr_e6765478bdd348df8361ffca6b7f9486"/>
                  <w:lock w:val="sdtLocked"/>
                  <w:richText/>
                </w:sdtPr>
                <w:sdtContent>
                  <w:r>
                    <w:rPr>
                      <w:rFonts w:eastAsia="Lucida Sans Unicode"/>
                      <w:kern w:val="3"/>
                      <w:szCs w:val="24"/>
                      <w:lang w:eastAsia="hi-IN" w:bidi="hi-IN"/>
                    </w:rPr>
                    <w:t>2</w:t>
                  </w:r>
                </w:sdtContent>
              </w:sdt>
              <w:r>
                <w:rPr>
                  <w:rFonts w:eastAsia="Lucida Sans Unicode"/>
                  <w:kern w:val="3"/>
                  <w:szCs w:val="24"/>
                  <w:lang w:eastAsia="hi-IN" w:bidi="hi-IN"/>
                </w:rPr>
                <w:t>.</w:t>
                <w:tab/>
              </w:r>
              <w:r>
                <w:rPr>
                  <w:rFonts w:eastAsia="Arial Unicode MS"/>
                  <w:color w:val="000000"/>
                  <w:sz w:val="20"/>
                  <w:szCs w:val="24"/>
                </w:rPr>
                <w:t>Nustatyti, kad:</w:t>
              </w:r>
            </w:p>
            <w:sdt>
              <w:sdtPr>
                <w:alias w:val="2.1 pp."/>
                <w:tag w:val="part_e04a12ffdb5845d888b57b3d8724384c"/>
                <w:lock w:val="sdtLocked"/>
                <w:richText/>
              </w:sdtPr>
              <w:sdtContent>
                <w:p>
                  <w:pPr>
                    <w:tabs>
                      <w:tab w:val="left" w:pos="993"/>
                      <w:tab w:val="left" w:pos="1134"/>
                    </w:tabs>
                    <w:ind w:firstLine="709"/>
                    <w:jc w:val="both"/>
                    <w:rPr>
                      <w:kern w:val="3"/>
                      <w:sz w:val="20"/>
                      <w:szCs w:val="24"/>
                    </w:rPr>
                  </w:pPr>
                  <w:sdt>
                    <w:sdtPr>
                      <w:alias w:val="Numeris"/>
                      <w:tag w:val="nr_e04a12ffdb5845d888b57b3d8724384c"/>
                      <w:lock w:val="sdtLocked"/>
                      <w:richText/>
                    </w:sdtPr>
                    <w:sdtContent>
                      <w:r>
                        <w:rPr>
                          <w:rFonts w:eastAsia="Lucida Sans Unicode"/>
                          <w:kern w:val="3"/>
                          <w:szCs w:val="24"/>
                          <w:lang w:eastAsia="hi-IN" w:bidi="hi-IN"/>
                        </w:rPr>
                        <w:t>2.1</w:t>
                      </w:r>
                    </w:sdtContent>
                  </w:sdt>
                  <w:r>
                    <w:rPr>
                      <w:rFonts w:eastAsia="Lucida Sans Unicode"/>
                      <w:kern w:val="3"/>
                      <w:szCs w:val="24"/>
                      <w:lang w:eastAsia="hi-IN" w:bidi="hi-IN"/>
                    </w:rPr>
                    <w:t>.</w:t>
                    <w:tab/>
                  </w:r>
                  <w:r>
                    <w:rPr>
                      <w:kern w:val="3"/>
                      <w:sz w:val="20"/>
                      <w:szCs w:val="24"/>
                    </w:rPr>
                    <w:t xml:space="preserve"> Papildomas susitarimas įsigalioja nuo jo pasirašymo dienos (pasirašymo diena laikoma data, kai Papildomą susitarimą pasirašo paskutinė Papildomo susitarimo Šalis) ir yra neatskiriama Sutarčių dalis;</w:t>
                  </w:r>
                </w:p>
              </w:sdtContent>
            </w:sdt>
            <w:sdt>
              <w:sdtPr>
                <w:alias w:val="2.2 pp."/>
                <w:tag w:val="part_51ae61fe91314977a63cfc9b0d6db4ba"/>
                <w:lock w:val="sdtLocked"/>
                <w:richText/>
              </w:sdtPr>
              <w:sdtContent>
                <w:p>
                  <w:pPr>
                    <w:tabs>
                      <w:tab w:val="left" w:pos="993"/>
                      <w:tab w:val="left" w:pos="1134"/>
                    </w:tabs>
                    <w:ind w:firstLine="709"/>
                    <w:jc w:val="both"/>
                    <w:rPr>
                      <w:kern w:val="3"/>
                      <w:sz w:val="20"/>
                      <w:szCs w:val="24"/>
                    </w:rPr>
                  </w:pPr>
                  <w:sdt>
                    <w:sdtPr>
                      <w:alias w:val="Numeris"/>
                      <w:tag w:val="nr_51ae61fe91314977a63cfc9b0d6db4ba"/>
                      <w:lock w:val="sdtLocked"/>
                      <w:richText/>
                    </w:sdtPr>
                    <w:sdtContent>
                      <w:r>
                        <w:rPr>
                          <w:rFonts w:eastAsia="Lucida Sans Unicode"/>
                          <w:kern w:val="3"/>
                          <w:szCs w:val="24"/>
                          <w:lang w:eastAsia="hi-IN" w:bidi="hi-IN"/>
                        </w:rPr>
                        <w:t>2.2</w:t>
                      </w:r>
                    </w:sdtContent>
                  </w:sdt>
                  <w:r>
                    <w:rPr>
                      <w:rFonts w:eastAsia="Lucida Sans Unicode"/>
                      <w:kern w:val="3"/>
                      <w:szCs w:val="24"/>
                      <w:lang w:eastAsia="hi-IN" w:bidi="hi-IN"/>
                    </w:rPr>
                    <w:t>.</w:t>
                    <w:tab/>
                  </w:r>
                  <w:r>
                    <w:rPr>
                      <w:kern w:val="3"/>
                      <w:sz w:val="20"/>
                      <w:szCs w:val="24"/>
                    </w:rPr>
                    <w:t xml:space="preserve"> Papildomas susitarimas sudarytas dviem egzemplioriais lietuvių kalba po vieną                                egzempliorių kiekvienai Šaliai. Abu egzemplioriai turi vienodą teisinę galią.</w:t>
                  </w:r>
                </w:p>
                <w:p>
                  <w:pPr>
                    <w:widowControl w:val="0"/>
                    <w:suppressAutoHyphens/>
                    <w:spacing w:line="100" w:lineRule="atLeast"/>
                    <w:textAlignment w:val="baseline"/>
                    <w:rPr>
                      <w:rFonts w:eastAsia="Lucida Sans Unicode"/>
                      <w:b/>
                      <w:bCs/>
                      <w:color w:val="000000"/>
                      <w:kern w:val="3"/>
                      <w:szCs w:val="24"/>
                      <w:lang w:eastAsia="hi-IN" w:bidi="hi-IN"/>
                    </w:rPr>
                  </w:pPr>
                </w:p>
                <w:p>
                  <w:pPr>
                    <w:widowControl w:val="0"/>
                    <w:suppressAutoHyphens/>
                    <w:spacing w:line="100" w:lineRule="atLeast"/>
                    <w:textAlignment w:val="baseline"/>
                    <w:rPr>
                      <w:rFonts w:eastAsia="Lucida Sans Unicode"/>
                      <w:b/>
                      <w:bCs/>
                      <w:color w:val="000000"/>
                      <w:kern w:val="3"/>
                      <w:szCs w:val="24"/>
                      <w:lang w:eastAsia="hi-IN" w:bidi="hi-IN"/>
                    </w:rPr>
                  </w:pPr>
                </w:p>
              </w:sdtContent>
            </w:sdt>
          </w:sdtContent>
        </w:sdt>
        <w:sdt>
          <w:sdtPr>
            <w:alias w:val="skirsnis"/>
            <w:tag w:val="part_ed59c92037c1458c8d85d1d588d68408"/>
            <w:lock w:val="sdtLocked"/>
            <w:richText/>
          </w:sdtPr>
          <w:sdtContent>
            <w:p>
              <w:pPr>
                <w:widowControl w:val="0"/>
                <w:shd w:val="clear" w:color="auto" w:fill="FFFFFF"/>
                <w:suppressAutoHyphens/>
                <w:jc w:val="both"/>
                <w:textAlignment w:val="baseline"/>
                <w:rPr>
                  <w:b/>
                  <w:kern w:val="3"/>
                  <w:szCs w:val="24"/>
                </w:rPr>
              </w:pPr>
              <w:sdt>
                <w:sdtPr>
                  <w:alias w:val="Pavadinimas"/>
                  <w:tag w:val="title_ed59c92037c1458c8d85d1d588d68408"/>
                  <w:lock w:val="sdtLocked"/>
                  <w:richText/>
                </w:sdtPr>
                <w:sdtContent>
                  <w:r>
                    <w:rPr>
                      <w:b/>
                      <w:kern w:val="3"/>
                      <w:szCs w:val="24"/>
                    </w:rPr>
                    <w:t>Šalių atstovų parašai:</w:t>
                  </w:r>
                </w:sdtContent>
              </w:sdt>
            </w:p>
            <w:p>
              <w:pPr>
                <w:widowControl w:val="0"/>
                <w:tabs>
                  <w:tab w:val="left" w:pos="4395"/>
                  <w:tab w:val="left" w:pos="4962"/>
                  <w:tab w:val="left" w:pos="7371"/>
                </w:tabs>
                <w:suppressAutoHyphens/>
                <w:ind w:firstLine="12302"/>
                <w:textAlignment w:val="baseline"/>
                <w:rPr>
                  <w:kern w:val="3"/>
                  <w:szCs w:val="24"/>
                  <w:u w:val="single"/>
                </w:rPr>
              </w:pPr>
              <w:r>
                <w:rPr>
                  <w:kern w:val="3"/>
                  <w:szCs w:val="24"/>
                </w:rPr>
                <w:t>__________________________</w:t>
                <w:tab/>
                <w:t>________________</w:t>
                <w:tab/>
                <w:t>__________________</w:t>
              </w:r>
            </w:p>
            <w:p>
              <w:pPr>
                <w:widowControl w:val="0"/>
                <w:tabs>
                  <w:tab w:val="left" w:pos="4111"/>
                  <w:tab w:val="left" w:pos="4962"/>
                  <w:tab w:val="left" w:pos="7655"/>
                </w:tabs>
                <w:suppressAutoHyphens/>
                <w:ind w:firstLine="1134"/>
                <w:textAlignment w:val="baseline"/>
                <w:rPr>
                  <w:kern w:val="3"/>
                  <w:szCs w:val="24"/>
                </w:rPr>
              </w:pPr>
              <w:r>
                <w:rPr>
                  <w:kern w:val="3"/>
                  <w:szCs w:val="24"/>
                </w:rPr>
                <w:t>(pareigos)</w:t>
                <w:tab/>
                <w:tab/>
                <w:t>(parašas)</w:t>
                <w:tab/>
                <w:t>(vardas, pavardė)</w:t>
              </w:r>
            </w:p>
            <w:p>
              <w:pPr>
                <w:widowControl w:val="0"/>
                <w:suppressAutoHyphens/>
                <w:ind w:firstLine="3090"/>
                <w:textAlignment w:val="baseline"/>
                <w:rPr>
                  <w:kern w:val="3"/>
                  <w:szCs w:val="24"/>
                </w:rPr>
              </w:pPr>
              <w:r>
                <w:rPr>
                  <w:kern w:val="3"/>
                  <w:szCs w:val="24"/>
                </w:rPr>
                <w:t>A. V</w:t>
                <w:tab/>
              </w:r>
            </w:p>
            <w:p>
              <w:pPr>
                <w:widowControl w:val="0"/>
                <w:shd w:val="clear" w:color="auto" w:fill="FFFFFF"/>
                <w:tabs>
                  <w:tab w:val="left" w:pos="5777"/>
                </w:tabs>
                <w:suppressAutoHyphens/>
                <w:textAlignment w:val="baseline"/>
                <w:rPr>
                  <w:color w:val="000000"/>
                  <w:kern w:val="3"/>
                  <w:szCs w:val="24"/>
                </w:rPr>
              </w:pPr>
              <w:r>
                <w:rPr>
                  <w:kern w:val="3"/>
                  <w:szCs w:val="24"/>
                </w:rPr>
                <w:t>__________</w:t>
              </w:r>
            </w:p>
            <w:p>
              <w:pPr>
                <w:widowControl w:val="0"/>
                <w:shd w:val="clear" w:color="auto" w:fill="FFFFFF"/>
                <w:tabs>
                  <w:tab w:val="left" w:pos="5777"/>
                </w:tabs>
                <w:suppressAutoHyphens/>
                <w:ind w:firstLine="284"/>
                <w:textAlignment w:val="baseline"/>
                <w:rPr>
                  <w:color w:val="000000"/>
                  <w:kern w:val="3"/>
                  <w:szCs w:val="24"/>
                </w:rPr>
              </w:pPr>
              <w:r>
                <w:rPr>
                  <w:color w:val="000000"/>
                  <w:kern w:val="3"/>
                  <w:szCs w:val="24"/>
                </w:rPr>
                <w:t>(data)</w:t>
              </w:r>
            </w:p>
            <w:p>
              <w:pPr>
                <w:widowControl w:val="0"/>
                <w:shd w:val="clear" w:color="auto" w:fill="FFFFFF"/>
                <w:tabs>
                  <w:tab w:val="left" w:pos="5777"/>
                </w:tabs>
                <w:suppressAutoHyphens/>
                <w:textAlignment w:val="baseline"/>
                <w:rPr>
                  <w:color w:val="000000"/>
                  <w:kern w:val="3"/>
                  <w:szCs w:val="24"/>
                </w:rPr>
              </w:pPr>
            </w:p>
            <w:p>
              <w:pPr>
                <w:widowControl w:val="0"/>
                <w:shd w:val="clear" w:color="auto" w:fill="FFFFFF"/>
                <w:tabs>
                  <w:tab w:val="left" w:pos="5777"/>
                </w:tabs>
                <w:suppressAutoHyphens/>
                <w:textAlignment w:val="baseline"/>
                <w:rPr>
                  <w:color w:val="000000"/>
                  <w:kern w:val="3"/>
                  <w:szCs w:val="24"/>
                </w:rPr>
              </w:pPr>
              <w:r>
                <w:rPr>
                  <w:color w:val="000000"/>
                  <w:kern w:val="3"/>
                  <w:szCs w:val="24"/>
                </w:rPr>
                <w:t>UAB „Vonin Lithuania“</w:t>
                <w:tab/>
              </w:r>
            </w:p>
            <w:p>
              <w:pPr>
                <w:widowControl w:val="0"/>
                <w:shd w:val="clear" w:color="auto" w:fill="FFFFFF"/>
                <w:tabs>
                  <w:tab w:val="left" w:pos="3969"/>
                  <w:tab w:val="left" w:pos="7371"/>
                </w:tabs>
                <w:suppressAutoHyphens/>
                <w:textAlignment w:val="baseline"/>
                <w:rPr>
                  <w:color w:val="000000"/>
                  <w:kern w:val="3"/>
                  <w:szCs w:val="24"/>
                </w:rPr>
              </w:pPr>
              <w:r>
                <w:rPr>
                  <w:color w:val="000000"/>
                  <w:kern w:val="3"/>
                  <w:szCs w:val="24"/>
                </w:rPr>
                <w:t>generalinė direktorė</w:t>
                <w:tab/>
                <w:t xml:space="preserve">        </w:t>
              </w:r>
              <w:r>
                <w:rPr>
                  <w:kern w:val="3"/>
                  <w:szCs w:val="24"/>
                </w:rPr>
                <w:t>_______________</w:t>
                <w:tab/>
                <w:t xml:space="preserve">__________________ </w:t>
              </w:r>
            </w:p>
            <w:p>
              <w:pPr>
                <w:widowControl w:val="0"/>
                <w:tabs>
                  <w:tab w:val="left" w:pos="4395"/>
                  <w:tab w:val="left" w:pos="7655"/>
                </w:tabs>
                <w:suppressAutoHyphens/>
                <w:ind w:firstLine="3623"/>
                <w:textAlignment w:val="baseline"/>
                <w:rPr>
                  <w:kern w:val="3"/>
                  <w:szCs w:val="24"/>
                </w:rPr>
              </w:pPr>
              <w:r>
                <w:rPr>
                  <w:kern w:val="3"/>
                  <w:szCs w:val="24"/>
                </w:rPr>
                <w:t>A. V.</w:t>
                <w:tab/>
                <w:t xml:space="preserve">         (parašas)</w:t>
                <w:tab/>
                <w:t>(vardas, pavardė)</w:t>
              </w:r>
            </w:p>
            <w:p>
              <w:pPr>
                <w:widowControl w:val="0"/>
                <w:shd w:val="clear" w:color="auto" w:fill="FFFFFF"/>
                <w:tabs>
                  <w:tab w:val="left" w:pos="5777"/>
                </w:tabs>
                <w:suppressAutoHyphens/>
                <w:textAlignment w:val="baseline"/>
                <w:rPr>
                  <w:color w:val="000000"/>
                  <w:kern w:val="3"/>
                  <w:szCs w:val="24"/>
                </w:rPr>
              </w:pPr>
              <w:r>
                <w:rPr>
                  <w:kern w:val="3"/>
                  <w:szCs w:val="24"/>
                </w:rPr>
                <w:t>__________</w:t>
              </w:r>
            </w:p>
            <w:p>
              <w:pPr>
                <w:widowControl w:val="0"/>
                <w:suppressAutoHyphens/>
                <w:ind w:firstLine="284"/>
                <w:jc w:val="both"/>
                <w:textAlignment w:val="baseline"/>
                <w:rPr>
                  <w:kern w:val="3"/>
                  <w:szCs w:val="24"/>
                </w:rPr>
              </w:pPr>
              <w:r>
                <w:rPr>
                  <w:kern w:val="3"/>
                  <w:szCs w:val="24"/>
                </w:rPr>
                <w:t>(data)</w:t>
              </w:r>
            </w:p>
            <w:p>
              <w:pPr>
                <w:widowControl w:val="0"/>
                <w:tabs>
                  <w:tab w:val="left" w:pos="6237"/>
                </w:tabs>
                <w:suppressAutoHyphens/>
                <w:spacing w:line="100" w:lineRule="atLeast"/>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suppressAutoHyphens/>
                <w:jc w:val="both"/>
                <w:textAlignment w:val="baseline"/>
                <w:rPr>
                  <w:kern w:val="3"/>
                  <w:sz w:val="22"/>
                  <w:szCs w:val="22"/>
                </w:rPr>
              </w:pPr>
              <w:r>
                <w:rPr>
                  <w:kern w:val="3"/>
                  <w:sz w:val="22"/>
                  <w:szCs w:val="22"/>
                </w:rPr>
                <w:t>Papildomo susitarimo kuratorius</w:t>
              </w:r>
            </w:p>
            <w:p>
              <w:pPr>
                <w:widowControl w:val="0"/>
                <w:suppressAutoHyphens/>
                <w:jc w:val="both"/>
                <w:textAlignment w:val="baseline"/>
                <w:rPr>
                  <w:kern w:val="3"/>
                  <w:sz w:val="22"/>
                  <w:szCs w:val="22"/>
                </w:rPr>
              </w:pPr>
              <w:r>
                <w:rPr>
                  <w:kern w:val="3"/>
                  <w:sz w:val="22"/>
                  <w:szCs w:val="22"/>
                </w:rPr>
                <w:t>Ekonomikos ir investicijų skyriaus vyr. specialistė</w:t>
              </w:r>
            </w:p>
            <w:p>
              <w:pPr>
                <w:widowControl w:val="0"/>
                <w:suppressAutoHyphens/>
                <w:jc w:val="both"/>
                <w:textAlignment w:val="baseline"/>
                <w:rPr>
                  <w:kern w:val="3"/>
                  <w:sz w:val="22"/>
                  <w:szCs w:val="22"/>
                </w:rPr>
              </w:pPr>
              <w:r>
                <w:rPr>
                  <w:kern w:val="3"/>
                  <w:sz w:val="22"/>
                  <w:szCs w:val="22"/>
                </w:rPr>
                <w:t xml:space="preserve">Ilona Ringytė-Gedvilė, </w:t>
              </w:r>
              <w:r>
                <w:rPr>
                  <w:kern w:val="3"/>
                  <w:sz w:val="20"/>
                </w:rPr>
                <w:t xml:space="preserve">tel. 8 600 96050, el. p. </w:t>
              </w:r>
              <w:r>
                <w:rPr>
                  <w:color w:val="0000FF"/>
                  <w:kern w:val="3"/>
                  <w:sz w:val="22"/>
                  <w:szCs w:val="22"/>
                  <w:u w:val="single"/>
                </w:rPr>
                <w:t>ilona.gedvile@siauliai.lt</w:t>
              </w:r>
            </w:p>
            <w:p>
              <w:pPr>
                <w:widowControl w:val="0"/>
                <w:tabs>
                  <w:tab w:val="left" w:pos="4395"/>
                  <w:tab w:val="left" w:pos="4962"/>
                  <w:tab w:val="left" w:pos="7371"/>
                </w:tabs>
                <w:suppressAutoHyphens/>
                <w:textAlignment w:val="baseline"/>
                <w:rPr>
                  <w:kern w:val="3"/>
                  <w:sz w:val="22"/>
                  <w:szCs w:val="22"/>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kern w:val="3"/>
          <w:sz w:val="20"/>
        </w:rPr>
      </w:pPr>
      <w:r>
        <w:rPr>
          <w:kern w:val="3"/>
          <w:sz w:val="20"/>
        </w:rPr>
        <w:separator/>
      </w:r>
    </w:p>
  </w:endnote>
  <w:endnote w:type="continuationSeparator" w:id="0">
    <w:p>
      <w:pPr>
        <w:widowControl w:val="0"/>
        <w:suppressAutoHyphens/>
        <w:textAlignment w:val="baseline"/>
        <w:rPr>
          <w:kern w:val="3"/>
          <w:sz w:val="20"/>
        </w:rPr>
      </w:pPr>
      <w:r>
        <w:rPr>
          <w:kern w:val="3"/>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kern w:val="3"/>
          <w:sz w:val="20"/>
        </w:rPr>
      </w:pPr>
      <w:r>
        <w:rPr>
          <w:color w:val="000000"/>
          <w:kern w:val="3"/>
          <w:sz w:val="20"/>
        </w:rPr>
        <w:separator/>
      </w:r>
    </w:p>
  </w:footnote>
  <w:footnote w:type="continuationSeparator" w:id="0">
    <w:p>
      <w:pPr>
        <w:widowControl w:val="0"/>
        <w:suppressAutoHyphens/>
        <w:textAlignment w:val="baseline"/>
        <w:rPr>
          <w:kern w:val="3"/>
          <w:sz w:val="20"/>
        </w:rPr>
      </w:pPr>
      <w:r>
        <w:rPr>
          <w:kern w:val="3"/>
          <w:sz w:val="2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jc w:val="center"/>
      <w:textAlignment w:val="baseline"/>
      <w:rPr>
        <w:rFonts w:eastAsia="Lucida Sans Unicode"/>
        <w:kern w:val="3"/>
        <w:szCs w:val="24"/>
        <w:lang w:eastAsia="hi-IN" w:bidi="hi-IN"/>
      </w:rPr>
    </w:pPr>
    <w:r>
      <w:rPr>
        <w:rFonts w:eastAsia="Lucida Sans Unicode"/>
        <w:kern w:val="3"/>
        <w:szCs w:val="24"/>
        <w:lang w:eastAsia="hi-IN" w:bidi="hi-IN"/>
      </w:rPr>
      <w:fldChar w:fldCharType="begin"/>
    </w:r>
    <w:r>
      <w:rPr>
        <w:rFonts w:eastAsia="Lucida Sans Unicode"/>
        <w:kern w:val="3"/>
        <w:szCs w:val="24"/>
        <w:lang w:eastAsia="hi-IN" w:bidi="hi-IN"/>
      </w:rPr>
      <w:instrText xml:space="preserve"> PAGE </w:instrText>
    </w:r>
    <w:r>
      <w:rPr>
        <w:rFonts w:eastAsia="Lucida Sans Unicode"/>
        <w:kern w:val="3"/>
        <w:szCs w:val="24"/>
        <w:lang w:eastAsia="hi-IN" w:bidi="hi-IN"/>
      </w:rPr>
      <w:fldChar w:fldCharType="separate"/>
    </w:r>
    <w:r>
      <w:rPr>
        <w:rFonts w:eastAsia="Lucida Sans Unicode"/>
        <w:kern w:val="3"/>
        <w:szCs w:val="24"/>
        <w:lang w:eastAsia="hi-IN" w:bidi="hi-IN"/>
      </w:rPr>
      <w:t>2</w:t>
    </w:r>
    <w:r>
      <w:rPr>
        <w:rFonts w:eastAsia="Lucida Sans Unicode"/>
        <w:kern w:val="3"/>
        <w:szCs w:val="24"/>
        <w:lang w:eastAsia="hi-IN" w:bidi="hi-I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9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36D794-11CE-46B9-ADF9-5064C78A83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3710792">
      <w:bodyDiv w:val="1"/>
      <w:marLeft w:val="0"/>
      <w:marRight w:val="0"/>
      <w:marTop w:val="0"/>
      <w:marBottom w:val="0"/>
      <w:divBdr>
        <w:top w:val="none" w:sz="0" w:space="0" w:color="auto"/>
        <w:left w:val="none" w:sz="0" w:space="0" w:color="auto"/>
        <w:bottom w:val="none" w:sz="0" w:space="0" w:color="auto"/>
        <w:right w:val="none" w:sz="0" w:space="0" w:color="auto"/>
      </w:divBdr>
    </w:div>
    <w:div w:id="277760899">
      <w:bodyDiv w:val="1"/>
      <w:marLeft w:val="0"/>
      <w:marRight w:val="0"/>
      <w:marTop w:val="0"/>
      <w:marBottom w:val="0"/>
      <w:divBdr>
        <w:top w:val="none" w:sz="0" w:space="0" w:color="auto"/>
        <w:left w:val="none" w:sz="0" w:space="0" w:color="auto"/>
        <w:bottom w:val="none" w:sz="0" w:space="0" w:color="auto"/>
        <w:right w:val="none" w:sz="0" w:space="0" w:color="auto"/>
      </w:divBdr>
    </w:div>
    <w:div w:id="312222756">
      <w:bodyDiv w:val="1"/>
      <w:marLeft w:val="0"/>
      <w:marRight w:val="0"/>
      <w:marTop w:val="0"/>
      <w:marBottom w:val="0"/>
      <w:divBdr>
        <w:top w:val="none" w:sz="0" w:space="0" w:color="auto"/>
        <w:left w:val="none" w:sz="0" w:space="0" w:color="auto"/>
        <w:bottom w:val="none" w:sz="0" w:space="0" w:color="auto"/>
        <w:right w:val="none" w:sz="0" w:space="0" w:color="auto"/>
      </w:divBdr>
    </w:div>
    <w:div w:id="682976398">
      <w:bodyDiv w:val="1"/>
      <w:marLeft w:val="0"/>
      <w:marRight w:val="0"/>
      <w:marTop w:val="0"/>
      <w:marBottom w:val="0"/>
      <w:divBdr>
        <w:top w:val="none" w:sz="0" w:space="0" w:color="auto"/>
        <w:left w:val="none" w:sz="0" w:space="0" w:color="auto"/>
        <w:bottom w:val="none" w:sz="0" w:space="0" w:color="auto"/>
        <w:right w:val="none" w:sz="0" w:space="0" w:color="auto"/>
      </w:divBdr>
    </w:div>
    <w:div w:id="756294008">
      <w:bodyDiv w:val="1"/>
      <w:marLeft w:val="0"/>
      <w:marRight w:val="0"/>
      <w:marTop w:val="0"/>
      <w:marBottom w:val="0"/>
      <w:divBdr>
        <w:top w:val="none" w:sz="0" w:space="0" w:color="auto"/>
        <w:left w:val="none" w:sz="0" w:space="0" w:color="auto"/>
        <w:bottom w:val="none" w:sz="0" w:space="0" w:color="auto"/>
        <w:right w:val="none" w:sz="0" w:space="0" w:color="auto"/>
      </w:divBdr>
    </w:div>
    <w:div w:id="867529310">
      <w:bodyDiv w:val="1"/>
      <w:marLeft w:val="0"/>
      <w:marRight w:val="0"/>
      <w:marTop w:val="0"/>
      <w:marBottom w:val="0"/>
      <w:divBdr>
        <w:top w:val="none" w:sz="0" w:space="0" w:color="auto"/>
        <w:left w:val="none" w:sz="0" w:space="0" w:color="auto"/>
        <w:bottom w:val="none" w:sz="0" w:space="0" w:color="auto"/>
        <w:right w:val="none" w:sz="0" w:space="0" w:color="auto"/>
      </w:divBdr>
    </w:div>
    <w:div w:id="1159924740">
      <w:bodyDiv w:val="1"/>
      <w:marLeft w:val="0"/>
      <w:marRight w:val="0"/>
      <w:marTop w:val="0"/>
      <w:marBottom w:val="0"/>
      <w:divBdr>
        <w:top w:val="none" w:sz="0" w:space="0" w:color="auto"/>
        <w:left w:val="none" w:sz="0" w:space="0" w:color="auto"/>
        <w:bottom w:val="none" w:sz="0" w:space="0" w:color="auto"/>
        <w:right w:val="none" w:sz="0" w:space="0" w:color="auto"/>
      </w:divBdr>
    </w:div>
    <w:div w:id="19854251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8d0bf8c499e469e898785d3f047b504" PartId="42e1c88a618d48f29eb48b3c290f6502">
    <Part Type="preambule" DocPartId="3055bbcec10f4a00acc44e09b990028a" PartId="68993e2c29ac446d8cb79fdb39d6f26f"/>
    <Part Type="pastraipa" DocPartId="c1684d736b2c4ec8b964131a19f60944" PartId="d120f1a4d4de4384952efb385425aa16"/>
    <Part Type="punktas" Nr="1" Abbr="1 p." DocPartId="c871a8aca4334b438c652a15c3a434a9" PartId="b052c277f29e4d6aacb8b7fed313972e">
      <Part Type="papunktis" Nr="1.1" Abbr="1.1 pp." DocPartId="352a514848fa4670a788e305a3052eb3" PartId="1df098d4ed1d4c62ae59d07fa65866ce"/>
      <Part Type="papunktis" Nr="1.2" Abbr="1.2 pp." DocPartId="b6e0e860a2a84f2ba49877d512425321" PartId="6560a357d16b4ecd96ce6e1a003d87ef"/>
      <Part Type="papunktis" Nr="1.3" Abbr="1.3 pp." DocPartId="e882b5cfb15a46c2b0bcf53e6966dc47" PartId="700ca731d6274fd0a0ef0ce54bcbcdff"/>
    </Part>
    <Part Type="punktas" Nr="2" Abbr="2 p." DocPartId="ebfd597e101c4b94adee7f8c7fd690d9" PartId="e6765478bdd348df8361ffca6b7f9486">
      <Part Type="papunktis" Nr="2.1" Abbr="2.1 pp." DocPartId="3e88a14925e543ac8d127529945a9233" PartId="e04a12ffdb5845d888b57b3d8724384c"/>
      <Part Type="papunktis" Nr="2.2" Abbr="2.2 pp." DocPartId="9a5e0a0e5258486b977d4d533c671743" PartId="51ae61fe91314977a63cfc9b0d6db4ba"/>
    </Part>
    <Part Type="skirsnis" Title="Šalių atstovų parašai:" DocPartId="bdfa1076bba0472997919188a28cd982" PartId="ed59c92037c1458c8d85d1d588d68408"/>
  </Part>
</Parts>
</file>

<file path=customXml/itemProps1.xml><?xml version="1.0" encoding="utf-8"?>
<ds:datastoreItem xmlns:ds="http://schemas.openxmlformats.org/officeDocument/2006/customXml" ds:itemID="{16123D3F-E5C8-4573-96C9-0B021EA56793}">
  <ds:schemaRefs>
    <ds:schemaRef ds:uri="http://schemas.openxmlformats.org/officeDocument/2006/bibliography"/>
  </ds:schemaRefs>
</ds:datastoreItem>
</file>

<file path=customXml/itemProps2.xml><?xml version="1.0" encoding="utf-8"?>
<ds:datastoreItem xmlns:ds="http://schemas.openxmlformats.org/officeDocument/2006/customXml" ds:itemID="{5442D10F-32E0-472C-A7F9-DB4D816A6D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494</Words>
  <Characters>3362</Characters>
  <Application>Microsoft Office Word</Application>
  <DocSecurity>4</DocSecurity>
  <Lines>112</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2023-08-17T08:07:00Z</dcterms:created>
  <dc:creator>Martynas Šiurkus</dc:creator>
  <lastModifiedBy>adlibuser</lastModifiedBy>
  <lastPrinted>2017-10-17T04:19:00Z</lastPrinted>
  <dcterms:modified xsi:type="dcterms:W3CDTF">2023-08-17T08:07:00Z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