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2dd23f5ccff4e6784fbc55c702e0e7d"/>
        <w:lock w:val="sdtLocked"/>
        <w:richText/>
      </w:sdtPr>
      <w:sdtContent>
        <w:p w14:paraId="0F69ABB2" w14:textId="77777777">
          <w:pPr>
            <w:tabs>
              <w:tab w:val="center" w:pos="4986"/>
              <w:tab w:val="right" w:pos="9972"/>
            </w:tabs>
          </w:pPr>
        </w:p>
        <w:p w14:paraId="6981B6E0" w14:textId="77777777">
          <w:pPr>
            <w:tabs>
              <w:tab w:val="center" w:pos="4819"/>
              <w:tab w:val="right" w:pos="9638"/>
            </w:tabs>
            <w:jc w:val="center"/>
            <w:rPr>
              <w:b/>
              <w:caps/>
              <w:szCs w:val="24"/>
            </w:rPr>
          </w:pPr>
          <w:r>
            <w:rPr>
              <w:b/>
              <w:caps/>
              <w:szCs w:val="24"/>
            </w:rPr>
            <w:t xml:space="preserve">LIETUVOS RESPUBLIKOS </w:t>
          </w:r>
          <w:r>
            <w:rPr>
              <w:b/>
              <w:szCs w:val="24"/>
            </w:rPr>
            <w:t>GYVENTOJŲ PAJAMŲ MOKESČIO</w:t>
          </w:r>
          <w:r>
            <w:rPr>
              <w:b/>
              <w:caps/>
              <w:szCs w:val="24"/>
            </w:rPr>
            <w:t xml:space="preserve"> ĮSTATYMO </w:t>
          </w:r>
        </w:p>
        <w:p w14:paraId="167A076C" w14:textId="04C3E054">
          <w:pPr>
            <w:tabs>
              <w:tab w:val="center" w:pos="4819"/>
              <w:tab w:val="right" w:pos="9638"/>
            </w:tabs>
            <w:jc w:val="center"/>
            <w:rPr>
              <w:b/>
              <w:caps/>
              <w:szCs w:val="24"/>
            </w:rPr>
          </w:pPr>
          <w:r>
            <w:rPr>
              <w:b/>
              <w:caps/>
              <w:szCs w:val="24"/>
            </w:rPr>
            <w:t xml:space="preserve">NR. IX-1007 20 straipsniO PAKEITIMO </w:t>
          </w:r>
          <w:r>
            <w:rPr>
              <w:b/>
              <w:caps/>
            </w:rPr>
            <w:t>ĮSTATYMO</w:t>
          </w:r>
          <w:r>
            <w:rPr>
              <w:b/>
              <w:szCs w:val="24"/>
            </w:rPr>
            <w:t xml:space="preserve"> </w:t>
          </w:r>
          <w:r>
            <w:rPr>
              <w:b/>
              <w:caps/>
            </w:rPr>
            <w:t>projektO</w:t>
          </w:r>
        </w:p>
        <w:p w14:paraId="627B67CA" w14:textId="77777777">
          <w:pPr>
            <w:tabs>
              <w:tab w:val="center" w:pos="4819"/>
              <w:tab w:val="right" w:pos="9638"/>
            </w:tabs>
            <w:jc w:val="center"/>
            <w:rPr>
              <w:b/>
              <w:szCs w:val="24"/>
              <w:lang w:eastAsia="lt-LT"/>
            </w:rPr>
          </w:pPr>
          <w:r>
            <w:rPr>
              <w:b/>
              <w:caps/>
              <w:szCs w:val="24"/>
            </w:rPr>
            <w:t>AIŠKINAMASIS RAŠTAS</w:t>
          </w:r>
        </w:p>
        <w:p w14:paraId="33499B02" w14:textId="77777777">
          <w:pPr>
            <w:rPr>
              <w:szCs w:val="24"/>
            </w:rPr>
          </w:pPr>
        </w:p>
        <w:sdt>
          <w:sdtPr>
            <w:alias w:val="1 p."/>
            <w:tag w:val="part_356d42b695ca44d9a695584570e568fd"/>
            <w:lock w:val="sdtLocked"/>
            <w:richText/>
          </w:sdtPr>
          <w:sdtContent>
            <w:p w14:paraId="165CA5B6" w14:textId="77777777">
              <w:pPr>
                <w:ind w:firstLine="567"/>
                <w:jc w:val="both"/>
                <w:rPr>
                  <w:b/>
                  <w:szCs w:val="24"/>
                </w:rPr>
              </w:pPr>
              <w:sdt>
                <w:sdtPr>
                  <w:alias w:val="Numeris"/>
                  <w:tag w:val="nr_356d42b695ca44d9a695584570e568fd"/>
                  <w:lock w:val="sdtLocked"/>
                  <w:richText/>
                </w:sdtPr>
                <w:sdtContent>
                  <w:r>
                    <w:rPr>
                      <w:b/>
                      <w:szCs w:val="24"/>
                    </w:rPr>
                    <w:t>1</w:t>
                  </w:r>
                </w:sdtContent>
              </w:sdt>
              <w:r>
                <w:rPr>
                  <w:b/>
                  <w:szCs w:val="24"/>
                </w:rPr>
                <w:t>. Įstatymo projekto rengimą paskatinusios priežastys, parengto įstatymo projekto tikslai ir uždaviniai</w:t>
              </w:r>
            </w:p>
            <w:p w14:paraId="31FF49C7" w14:textId="19154E9B">
              <w:pPr>
                <w:ind w:firstLine="567"/>
                <w:jc w:val="both"/>
                <w:rPr>
                  <w:b/>
                  <w:szCs w:val="24"/>
                </w:rPr>
              </w:pPr>
            </w:p>
            <w:p w14:paraId="44E3BE29" w14:textId="6E4564AF">
              <w:pPr>
                <w:ind w:firstLine="567"/>
                <w:jc w:val="both"/>
                <w:rPr>
                  <w:szCs w:val="24"/>
                  <w:shd w:val="clear" w:color="auto" w:fill="FFFFFF"/>
                </w:rPr>
              </w:pPr>
              <w:r>
                <w:rPr>
                  <w:szCs w:val="24"/>
                </w:rPr>
                <w:t xml:space="preserve">Statistikos departamento duomenimis, dar iki COVID-19 krizės, 2019 metais, dirbančių asmenų dalis žemiau skurdo rizikos ribos buvo 7,9 procento. </w:t>
              </w:r>
              <w:r>
                <w:t>Ankstesnės finansų krizės duomenys rodo, kad sudėtingais ekonomikai periodais išauga socialinės nelygybės rizika, o ekonomika pradeda trauktis į šešėlį, pavyzdžiui, taip buvo 2008–2010 m., kai gyventojai, patiriantys skurdo riziką ir esantys socialinėje atskirtyje, bei šešėlinės ekonomikos dalis išaugo net penktadaliu.</w:t>
              </w:r>
              <w:r>
                <w:rPr>
                  <w:b/>
                  <w:bCs/>
                  <w:szCs w:val="24"/>
                  <w:shd w:val="clear" w:color="auto" w:fill="FFFFFF"/>
                </w:rPr>
                <w:t xml:space="preserve"> </w:t>
              </w:r>
              <w:r>
                <w:rPr>
                  <w:szCs w:val="24"/>
                </w:rPr>
                <w:t>Dėl to reikia socialiai orientuotų ekonomikos skatinimo priemonių, viena tokių – neapmokestinamojo pajamų dydžio (NPD) didinimas, kurio esminę naudą pajaustų dirbantys asmenys, gaunantys mažesnes pajamas.</w:t>
              </w:r>
            </w:p>
            <w:p w14:paraId="61FBAC42" w14:textId="59B89D0E">
              <w:pPr>
                <w:ind w:firstLine="567"/>
                <w:jc w:val="both"/>
                <w:rPr>
                  <w:szCs w:val="24"/>
                </w:rPr>
              </w:pPr>
              <w:r>
                <w:rPr>
                  <w:szCs w:val="24"/>
                </w:rPr>
                <w:t>Lietuvos banko tyrimas (2021 m. balandis</w:t>
              </w:r>
              <w:r>
                <w:rPr>
                  <w:sz w:val="20"/>
                  <w:vertAlign w:val="superscript"/>
                </w:rPr>
                <w:footnoteReference w:id="1"/>
              </w:r>
              <w:r>
                <w:rPr>
                  <w:szCs w:val="24"/>
                </w:rPr>
                <w:t xml:space="preserve">) rodo, kad bendra darbo užmokesčio raida slepia svarbias su nelygybe susijusias tendencijas. 2020 m. su darbo santykiais susijusių pajamų augimas nebuvo tolygus: daugiausia uždirbančių asmenų pajamos augo gerokai greičiau nei mažiausiai uždirbančiųjų. Mažas pajamas gaunantys darbuotojai dažniau dirbo srityse, kurios dėl pandemijos buvo ribojamos, o dideles pajamas gaunantys darbuotojai dažniau galėjo tęsti darbą nuotoliniu būdu ir tai lėmė per šiuos metus padidėjusią nelygybę. Su darbo santykiais susijusių pajamų nelygybė šalyje per metus išaugo: 90-ojo ir 10-ojo darbo užmokesčio procentilių santykis didėjo nuo 4,2 (2019 m.) iki 4,3 (2020 m.). Skirtingi veiksniai, įskaitant didėjantį skaičių darbuotojų (daugiausia gaunančių mažiausią darbo užmokestį), kurie dėl veiklos ribojimų šalyje ir karantino užsienyje dirbo mažiau valandų arba gavo minimalų mėnesinį atlyginimą (MMA) atitinkančias valdžios subsidijas, lėmė šias tendencijas. Kita vertus, dideles darbo pajamas gaunantys asmenys prasidėjus pandemijai turėjo galimybę toliau dirbti nuotoliniu būdu ir gauti visą darbo užmokestį. </w:t>
              </w:r>
            </w:p>
            <w:p w14:paraId="1A6E1900" w14:textId="2347C277">
              <w:pPr>
                <w:ind w:firstLine="567"/>
                <w:jc w:val="both"/>
                <w:rPr>
                  <w:szCs w:val="24"/>
                </w:rPr>
              </w:pPr>
              <w:r>
                <w:rPr>
                  <w:szCs w:val="24"/>
                </w:rPr>
                <w:t>Remiantis Eurostato duomenimis, Lietuvoje namų ūkių išlaidų struktūroje išlaidos maistui ir toliau išlieka bene didžiausios Europos Sąjungoje (didesnės – tik Rumunijoje). Tai taip pat signalizuoja sudėtingą mažesnių pajamų gavėjų finansinę padėtį.</w:t>
              </w:r>
            </w:p>
            <w:p w14:paraId="3ED7E2E2" w14:textId="638CE746">
              <w:pPr>
                <w:ind w:firstLine="567"/>
                <w:jc w:val="both"/>
                <w:rPr>
                  <w:szCs w:val="24"/>
                </w:rPr>
              </w:pPr>
              <w:r>
                <w:rPr>
                  <w:szCs w:val="24"/>
                </w:rPr>
                <w:t xml:space="preserve">Siūlymo esmė </w:t>
              </w:r>
              <w:r>
                <w:t>–</w:t>
              </w:r>
              <w:r>
                <w:rPr>
                  <w:szCs w:val="24"/>
                </w:rPr>
                <w:t xml:space="preserve"> didinti NPD nuo 400 iki 450 eurų numatant įsigaliojimą nuo š. m. liepos 1 d. (retrospektyviai taip pat pritaikant pakeistą NPD ir nuo šių metų pradžios). Didžiausią naudą gautų mažiausių pajamų gavėjai – gaunantys minimalią ir panašaus dydžio algą. Dirbančių asmenų, gaunančių atlyginimą į rankas iki 560 eurų, yra apie 2</w:t>
              </w:r>
              <w:r>
                <w:rPr>
                  <w:szCs w:val="24"/>
                  <w:lang w:val="en-GB"/>
                </w:rPr>
                <w:t>89</w:t>
              </w:r>
              <w:r>
                <w:rPr>
                  <w:szCs w:val="24"/>
                </w:rPr>
                <w:t xml:space="preserve"> tūkst. (</w:t>
              </w:r>
              <w:r>
                <w:rPr>
                  <w:color w:val="0000FF"/>
                  <w:szCs w:val="24"/>
                  <w:u w:val="single"/>
                </w:rPr>
                <w:t>www.atvira.sodra.lt</w:t>
              </w:r>
              <w:r>
                <w:rPr>
                  <w:szCs w:val="24"/>
                </w:rPr>
                <w:t xml:space="preserve"> duomenys). Tai yra mažos pajamos, ir jie pajaustų esminę teigiamą NPD pokyčio naudą. Konkrečiai MMA gavėjui nauda būtų apie 10 eurų kiekvieną mėnesį. </w:t>
              </w:r>
            </w:p>
            <w:p w14:paraId="1185C137" w14:textId="2987B974">
              <w:pPr>
                <w:ind w:firstLine="567"/>
                <w:jc w:val="both"/>
                <w:rPr>
                  <w:szCs w:val="24"/>
                </w:rPr>
              </w:pPr>
              <w:r>
                <w:rPr>
                  <w:szCs w:val="24"/>
                </w:rPr>
                <w:t xml:space="preserve">Respublikos Prezidento siūlymu NPD padidėjo nuo 2020 m. liepos 1 d. ir nuo to laiko nesikeitė. MMA didėjo nuo 2021 m. sausio mėnesio ir, tikėtina, didės nuo 2022 m. sausio mėnesio. Subalansuotas ir efektyviausias socialinis rezultatas pasiekiamas, kai NPD ir MMA didėja panašiu reguliarumu pakaitomis. </w:t>
              </w:r>
            </w:p>
            <w:p w14:paraId="16998D77" w14:textId="146501F9">
              <w:pPr>
                <w:ind w:firstLine="567"/>
                <w:jc w:val="both"/>
                <w:rPr>
                  <w:szCs w:val="24"/>
                </w:rPr>
              </w:pPr>
              <w:r>
                <w:rPr>
                  <w:szCs w:val="24"/>
                </w:rPr>
                <w:t xml:space="preserve">Iniciatyva dera su </w:t>
              </w:r>
              <w:r>
                <w:t xml:space="preserve">Teisėkūros pagrindų įstatymo pakeitimo įstatymo ir Mokesčių administravimo įstatymo nuostatomis, kuriomis mokesčių pakeitimus įtvirtinantys įstatymai galėtų įsigalioti greičiau nei po 6 mėnesių nuo tokių įstatymų oficialaus paskelbimo, kai susiklosto išskirtinės aplinkybės, kaip jos apibrėžtos Lietuvos Respublikos fiskalinės sutarties įgyvendinimo konstituciniame įstatyme – tokios išskirtinės aplinkybės ir yra susiklosčiusios nuo 2020 m. dėl COVID-19. Europos Komisija ir Taryba yra paskelbusios, kad COVID-19 viruso pandemija gali būti laikoma „neįprastu įvykiu, kurio vyriausybė negali kontroliuoti“. NPD peržiūrėjimas vykdomas nuosekliai, tačiau šiuo metu, atsižvelgiant į ypatingą padėtį ir sunkesnę mažiau uždirbančiųjų padėtį, sprendimą svarbu priimti greičiau. Kadangi šiuo sprendimu nėra didinama mokestinė našta, o priešingai – mažinama, tai ji atitinka ir gerovės valstybės bei atsakingo valdymo – teisingai atliepti kiekvieno piliečio interesus –  principus.</w:t>
              </w:r>
              <w:r>
                <w:rPr>
                  <w:szCs w:val="24"/>
                </w:rPr>
                <w:t xml:space="preserve"> </w:t>
              </w:r>
            </w:p>
            <w:p w14:paraId="740ABBBA" w14:textId="77777777">
              <w:pPr>
                <w:ind w:firstLine="567"/>
                <w:jc w:val="both"/>
              </w:pPr>
              <w:r>
                <w:t xml:space="preserve">Pagal jau galiojančias nuostatas pajamų iš GPM netekimai savivaldybių biudžetuose dėl šio laikino diskrecinio pokyčio būtų pilnai padengiami iš valstybės biudžeto vadovaujantis Lietuvos Respublikos biudžeto sandaros įstatymo 34 straipsniu. </w:t>
              </w:r>
            </w:p>
            <w:p w14:paraId="1E0215E9" w14:textId="77777777">
              <w:pPr>
                <w:ind w:firstLine="567"/>
                <w:jc w:val="both"/>
                <w:rPr>
                  <w:color w:val="000000"/>
                  <w:szCs w:val="24"/>
                  <w:lang w:eastAsia="lt-LT"/>
                </w:rPr>
              </w:pPr>
            </w:p>
          </w:sdtContent>
        </w:sdt>
        <w:sdt>
          <w:sdtPr>
            <w:alias w:val="2 p."/>
            <w:tag w:val="part_c9cfe9908c6c4a6183d1a2bf9152e277"/>
            <w:lock w:val="sdtLocked"/>
            <w:richText/>
          </w:sdtPr>
          <w:sdtContent>
            <w:p w14:paraId="7ACACD12" w14:textId="77777777">
              <w:pPr>
                <w:ind w:firstLine="567"/>
                <w:jc w:val="both"/>
                <w:rPr>
                  <w:b/>
                  <w:szCs w:val="24"/>
                </w:rPr>
              </w:pPr>
              <w:sdt>
                <w:sdtPr>
                  <w:alias w:val="Numeris"/>
                  <w:tag w:val="nr_c9cfe9908c6c4a6183d1a2bf9152e277"/>
                  <w:lock w:val="sdtLocked"/>
                  <w:richText/>
                </w:sdtPr>
                <w:sdtContent>
                  <w:r>
                    <w:rPr>
                      <w:b/>
                      <w:szCs w:val="24"/>
                    </w:rPr>
                    <w:t>2</w:t>
                  </w:r>
                </w:sdtContent>
              </w:sdt>
              <w:r>
                <w:rPr>
                  <w:b/>
                  <w:szCs w:val="24"/>
                </w:rPr>
                <w:t>. Įstatymo projekto iniciatoriai ir rengėjai</w:t>
              </w:r>
            </w:p>
            <w:p w14:paraId="58D79DCC" w14:textId="77777777">
              <w:pPr>
                <w:ind w:firstLine="567"/>
                <w:jc w:val="both"/>
                <w:rPr>
                  <w:szCs w:val="24"/>
                </w:rPr>
              </w:pPr>
              <w:r>
                <w:rPr>
                  <w:szCs w:val="24"/>
                </w:rPr>
                <w:t>Įstatymo projektą inicijavo Lietuvos Respublikos Prezidentas. Įstatymo projektą parengė Lietuvos Respublikos Prezidento kanceliarijos Ekonominės ir socialinės politikos grupė.</w:t>
              </w:r>
            </w:p>
            <w:p w14:paraId="693C1D05" w14:textId="77777777">
              <w:pPr>
                <w:ind w:firstLine="567"/>
                <w:jc w:val="both"/>
                <w:rPr>
                  <w:rFonts w:eastAsia="Calibri"/>
                  <w:color w:val="000000"/>
                  <w:szCs w:val="24"/>
                  <w:lang w:eastAsia="lt-LT"/>
                </w:rPr>
              </w:pPr>
            </w:p>
          </w:sdtContent>
        </w:sdt>
        <w:sdt>
          <w:sdtPr>
            <w:alias w:val="3 p."/>
            <w:tag w:val="part_32c91ea45dfe49e79e5539515c43f094"/>
            <w:lock w:val="sdtLocked"/>
            <w:richText/>
          </w:sdtPr>
          <w:sdtContent>
            <w:p w14:paraId="10F3F155" w14:textId="77777777">
              <w:pPr>
                <w:ind w:firstLine="567"/>
                <w:jc w:val="both"/>
                <w:rPr>
                  <w:b/>
                  <w:bCs/>
                  <w:szCs w:val="24"/>
                </w:rPr>
              </w:pPr>
              <w:sdt>
                <w:sdtPr>
                  <w:alias w:val="Numeris"/>
                  <w:tag w:val="nr_32c91ea45dfe49e79e5539515c43f094"/>
                  <w:lock w:val="sdtLocked"/>
                  <w:richText/>
                </w:sdtPr>
                <w:sdtContent>
                  <w:r>
                    <w:rPr>
                      <w:b/>
                      <w:szCs w:val="24"/>
                    </w:rPr>
                    <w:t>3</w:t>
                  </w:r>
                </w:sdtContent>
              </w:sdt>
              <w:r>
                <w:rPr>
                  <w:b/>
                  <w:szCs w:val="24"/>
                </w:rPr>
                <w:t xml:space="preserve">. </w:t>
              </w:r>
              <w:r>
                <w:rPr>
                  <w:b/>
                  <w:bCs/>
                  <w:szCs w:val="24"/>
                </w:rPr>
                <w:t>Dabartinis teisinis įstatymo projekte aptartų teisinių santykių reglamentavimas</w:t>
              </w:r>
            </w:p>
            <w:p w14:paraId="516683A2" w14:textId="510F4E54">
              <w:pPr>
                <w:shd w:val="clear" w:color="auto" w:fill="FFFFFF"/>
                <w:ind w:firstLine="567"/>
                <w:jc w:val="both"/>
                <w:rPr>
                  <w:szCs w:val="24"/>
                </w:rPr>
              </w:pPr>
              <w:r>
                <w:rPr>
                  <w:szCs w:val="24"/>
                </w:rPr>
                <w:t xml:space="preserve">Pagal galiojančias Gyventojų pajamų mokesčio įstatymo nuostatas NPD dydis yra 400 eurų (techninis koeficientas – 0,18). </w:t>
              </w:r>
            </w:p>
            <w:p w14:paraId="1625BABB" w14:textId="77777777">
              <w:pPr>
                <w:ind w:firstLine="567"/>
                <w:jc w:val="center"/>
                <w:rPr>
                  <w:szCs w:val="24"/>
                </w:rPr>
              </w:pPr>
            </w:p>
          </w:sdtContent>
        </w:sdt>
        <w:sdt>
          <w:sdtPr>
            <w:alias w:val="4 p."/>
            <w:tag w:val="part_fbe16670af8040c4bda4e90dc0aa718a"/>
            <w:lock w:val="sdtLocked"/>
            <w:richText/>
          </w:sdtPr>
          <w:sdtContent>
            <w:p w14:paraId="407965EF" w14:textId="77777777">
              <w:pPr>
                <w:ind w:firstLine="567"/>
                <w:jc w:val="both"/>
                <w:rPr>
                  <w:b/>
                  <w:bCs/>
                  <w:szCs w:val="24"/>
                </w:rPr>
              </w:pPr>
              <w:sdt>
                <w:sdtPr>
                  <w:alias w:val="Numeris"/>
                  <w:tag w:val="nr_fbe16670af8040c4bda4e90dc0aa718a"/>
                  <w:lock w:val="sdtLocked"/>
                  <w:richText/>
                </w:sdtPr>
                <w:sdtContent>
                  <w:r>
                    <w:rPr>
                      <w:b/>
                      <w:szCs w:val="24"/>
                    </w:rPr>
                    <w:t>4</w:t>
                  </w:r>
                </w:sdtContent>
              </w:sdt>
              <w:r>
                <w:rPr>
                  <w:b/>
                  <w:szCs w:val="24"/>
                </w:rPr>
                <w:t xml:space="preserve">. </w:t>
              </w:r>
              <w:r>
                <w:rPr>
                  <w:b/>
                  <w:bCs/>
                  <w:szCs w:val="24"/>
                </w:rPr>
                <w:t>Naujos teisinio reglamentavimo nuostatos ir kokių teigiamų rezultatų laukiama</w:t>
              </w:r>
            </w:p>
            <w:p w14:paraId="3680E511" w14:textId="09548BA9">
              <w:pPr>
                <w:ind w:firstLine="567"/>
                <w:jc w:val="both"/>
                <w:rPr>
                  <w:color w:val="000000"/>
                  <w:szCs w:val="24"/>
                  <w:lang w:eastAsia="lt-LT"/>
                </w:rPr>
              </w:pPr>
              <w:r>
                <w:rPr>
                  <w:color w:val="000000"/>
                  <w:szCs w:val="24"/>
                  <w:lang w:eastAsia="lt-LT"/>
                </w:rPr>
                <w:t xml:space="preserve">Lietuvos Respublikos gyventojų pajamų mokesčio įstatymo Nr. IX-1007 20 straipsnių pakeitimo </w:t>
              </w:r>
              <w:r>
                <w:t xml:space="preserve">projektu siūloma </w:t>
              </w:r>
              <w:r>
                <w:rPr>
                  <w:color w:val="000000"/>
                  <w:szCs w:val="24"/>
                  <w:lang w:eastAsia="lt-LT"/>
                </w:rPr>
                <w:t>padidinti mažiausiai uždirbančių asmenų pajamas ir pradėti taikyti 50 eurų didesnį NPD (450 eurų) jau šiais metais (kartu atliekamas techninis NPD formulės koeficiento iš 0,18 į 0,2 patikslinimas, siekiant, kad imtis, kuriai taikoma NPD, iš esmės nesikeistų).</w:t>
              </w:r>
            </w:p>
            <w:p w14:paraId="1C6E8C68" w14:textId="68ED2F95">
              <w:pPr>
                <w:ind w:firstLine="567"/>
                <w:jc w:val="both"/>
                <w:rPr>
                  <w:szCs w:val="24"/>
                </w:rPr>
              </w:pPr>
              <w:r>
                <w:rPr>
                  <w:szCs w:val="24"/>
                </w:rPr>
                <w:t>Pagrindiniai veiksniai</w:t>
              </w:r>
              <w:r>
                <w:t xml:space="preserve"> ir laukiami teigiami rezultatai</w:t>
              </w:r>
              <w:r>
                <w:rPr>
                  <w:szCs w:val="24"/>
                </w:rPr>
                <w:t>, kurie skatina teikti pasiūlymą didinti NPD, yra šie:</w:t>
              </w:r>
            </w:p>
          </w:sdtContent>
        </w:sdt>
        <w:sdt>
          <w:sdtPr>
            <w:alias w:val="1 p."/>
            <w:tag w:val="part_7973853e1ef440d8a6e6df44ee547dba"/>
            <w:lock w:val="sdtLocked"/>
            <w:richText/>
          </w:sdtPr>
          <w:sdtContent>
            <w:p w14:paraId="580D21F6" w14:textId="637F7372">
              <w:pPr>
                <w:ind w:left="927" w:hanging="360"/>
                <w:jc w:val="both"/>
                <w:rPr>
                  <w:szCs w:val="24"/>
                </w:rPr>
              </w:pPr>
              <w:sdt>
                <w:sdtPr>
                  <w:alias w:val="Numeris"/>
                  <w:tag w:val="nr_7973853e1ef440d8a6e6df44ee547dba"/>
                  <w:lock w:val="sdtLocked"/>
                  <w:richText/>
                </w:sdtPr>
                <w:sdtContent>
                  <w:r>
                    <w:rPr>
                      <w:rFonts w:eastAsia="Calibri"/>
                      <w:szCs w:val="24"/>
                    </w:rPr>
                    <w:t>1</w:t>
                  </w:r>
                </w:sdtContent>
              </w:sdt>
              <w:r>
                <w:rPr>
                  <w:rFonts w:eastAsia="Calibri"/>
                  <w:szCs w:val="24"/>
                </w:rPr>
                <w:t>.</w:t>
                <w:tab/>
              </w:r>
              <w:r>
                <w:rPr>
                  <w:szCs w:val="24"/>
                </w:rPr>
                <w:t>tai padidintų mažiausiai uždirbančių asmenų pajamas ir taip prisidėtų prie pajamų nelygybės, išaugusios pandemijos metu, pozityvių pokyčių;</w:t>
              </w:r>
            </w:p>
          </w:sdtContent>
        </w:sdt>
        <w:sdt>
          <w:sdtPr>
            <w:alias w:val="2 p."/>
            <w:tag w:val="part_0298a89fb0cb4eb4a2be6f19cebc0f09"/>
            <w:lock w:val="sdtLocked"/>
            <w:richText/>
          </w:sdtPr>
          <w:sdtContent>
            <w:p w14:paraId="2C2C6B39" w14:textId="00D2AF6C">
              <w:pPr>
                <w:ind w:left="927" w:hanging="360"/>
                <w:jc w:val="both"/>
                <w:rPr>
                  <w:szCs w:val="24"/>
                </w:rPr>
              </w:pPr>
              <w:sdt>
                <w:sdtPr>
                  <w:alias w:val="Numeris"/>
                  <w:tag w:val="nr_0298a89fb0cb4eb4a2be6f19cebc0f09"/>
                  <w:lock w:val="sdtLocked"/>
                  <w:richText/>
                </w:sdtPr>
                <w:sdtContent>
                  <w:r>
                    <w:rPr>
                      <w:rFonts w:eastAsia="Calibri"/>
                      <w:szCs w:val="24"/>
                    </w:rPr>
                    <w:t>2</w:t>
                  </w:r>
                </w:sdtContent>
              </w:sdt>
              <w:r>
                <w:rPr>
                  <w:rFonts w:eastAsia="Calibri"/>
                  <w:szCs w:val="24"/>
                </w:rPr>
                <w:t>.</w:t>
                <w:tab/>
              </w:r>
              <w:r>
                <w:rPr>
                  <w:szCs w:val="24"/>
                </w:rPr>
                <w:t>kiti rezultatai – tai švelnintų COVID-19 krizės padarinius ekonomikai 2021 m. antrą pusmetį, skatintų šešėlinės ekonomikos mažėjimą.</w:t>
              </w:r>
            </w:p>
          </w:sdtContent>
        </w:sdt>
        <w:sdt>
          <w:sdtPr>
            <w:alias w:val="5 p."/>
            <w:tag w:val="part_3816c7065158485a8ddc70736d06994e"/>
            <w:lock w:val="sdtLocked"/>
            <w:richText/>
          </w:sdtPr>
          <w:sdtContent>
            <w:p w14:paraId="3F1A44E5" w14:textId="77777777">
              <w:pPr>
                <w:ind w:firstLine="567"/>
                <w:jc w:val="both"/>
                <w:rPr>
                  <w:b/>
                  <w:szCs w:val="24"/>
                </w:rPr>
              </w:pPr>
              <w:sdt>
                <w:sdtPr>
                  <w:alias w:val="Numeris"/>
                  <w:tag w:val="nr_3816c7065158485a8ddc70736d06994e"/>
                  <w:lock w:val="sdtLocked"/>
                  <w:richText/>
                </w:sdtPr>
                <w:sdtContent>
                  <w:r>
                    <w:rPr>
                      <w:b/>
                      <w:bCs/>
                      <w:szCs w:val="24"/>
                    </w:rPr>
                    <w:t>5</w:t>
                  </w:r>
                </w:sdtContent>
              </w:sdt>
              <w:r>
                <w:rPr>
                  <w:b/>
                  <w:bCs/>
                  <w:szCs w:val="24"/>
                </w:rPr>
                <w:t xml:space="preserve">. </w:t>
              </w:r>
              <w:r>
                <w:rPr>
                  <w:b/>
                  <w:szCs w:val="24"/>
                </w:rPr>
                <w:t>Numatomo teisinio reguliavimo poveikio vertinimo rezultatai, galimos neigiamos priimto įstatymo pasekmės ir kokių priemonių reikėtų imtis, kad tokių pasekmių būtų išvengta</w:t>
              </w:r>
            </w:p>
            <w:p w14:paraId="6DD1E133" w14:textId="4CB578AC">
              <w:pPr>
                <w:ind w:firstLine="567"/>
                <w:jc w:val="both"/>
                <w:rPr>
                  <w:bCs/>
                  <w:szCs w:val="24"/>
                </w:rPr>
              </w:pPr>
              <w:r>
                <w:rPr>
                  <w:bCs/>
                  <w:szCs w:val="24"/>
                </w:rPr>
                <w:t>Priėmus įstatymus, neigiamų pasekmių nenumatoma.</w:t>
              </w:r>
            </w:p>
            <w:p w14:paraId="27B963D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p>
          </w:sdtContent>
        </w:sdt>
        <w:sdt>
          <w:sdtPr>
            <w:alias w:val="6 p."/>
            <w:tag w:val="part_87a1f820c88f4308b0261816c9df3bd2"/>
            <w:lock w:val="sdtLocked"/>
            <w:richText/>
          </w:sdtPr>
          <w:sdtContent>
            <w:p w14:paraId="0E37911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87a1f820c88f4308b0261816c9df3bd2"/>
                  <w:lock w:val="sdtLocked"/>
                  <w:richText/>
                </w:sdtPr>
                <w:sdtContent>
                  <w:r>
                    <w:rPr>
                      <w:b/>
                      <w:szCs w:val="24"/>
                      <w:lang w:eastAsia="x-none"/>
                    </w:rPr>
                    <w:t>6</w:t>
                  </w:r>
                </w:sdtContent>
              </w:sdt>
              <w:r>
                <w:rPr>
                  <w:b/>
                  <w:szCs w:val="24"/>
                  <w:lang w:eastAsia="x-none"/>
                </w:rPr>
                <w:t xml:space="preserve">. </w:t>
              </w:r>
              <w:r>
                <w:rPr>
                  <w:b/>
                  <w:bCs/>
                  <w:szCs w:val="24"/>
                  <w:lang w:eastAsia="x-none"/>
                </w:rPr>
                <w:t>Galima priimto įstatymo įtaka kriminogeninei situacijai, korupcijai</w:t>
              </w:r>
            </w:p>
            <w:p w14:paraId="04C4CC83" w14:textId="702297C1">
              <w:pPr>
                <w:ind w:firstLine="567"/>
                <w:jc w:val="both"/>
                <w:rPr>
                  <w:bCs/>
                  <w:szCs w:val="24"/>
                </w:rPr>
              </w:pPr>
              <w:r>
                <w:rPr>
                  <w:bCs/>
                  <w:szCs w:val="24"/>
                </w:rPr>
                <w:t>Priimti įstatymai įtakos kriminogeninei situacijai, korupcijai neturės</w:t>
              </w:r>
            </w:p>
            <w:p w14:paraId="0CE66BD3" w14:textId="77777777">
              <w:pPr>
                <w:ind w:firstLine="567"/>
                <w:jc w:val="both"/>
                <w:rPr>
                  <w:b/>
                  <w:bCs/>
                  <w:szCs w:val="24"/>
                </w:rPr>
              </w:pPr>
            </w:p>
          </w:sdtContent>
        </w:sdt>
        <w:sdt>
          <w:sdtPr>
            <w:alias w:val="7 p."/>
            <w:tag w:val="part_da2b1a5a28084ce090648e062023eebb"/>
            <w:lock w:val="sdtLocked"/>
            <w:richText/>
          </w:sdtPr>
          <w:sdtContent>
            <w:p w14:paraId="7EC333E6" w14:textId="77777777">
              <w:pPr>
                <w:ind w:firstLine="567"/>
                <w:jc w:val="both"/>
                <w:rPr>
                  <w:b/>
                  <w:bCs/>
                  <w:szCs w:val="24"/>
                </w:rPr>
              </w:pPr>
              <w:sdt>
                <w:sdtPr>
                  <w:alias w:val="Numeris"/>
                  <w:tag w:val="nr_da2b1a5a28084ce090648e062023eebb"/>
                  <w:lock w:val="sdtLocked"/>
                  <w:richText/>
                </w:sdtPr>
                <w:sdtContent>
                  <w:r>
                    <w:rPr>
                      <w:b/>
                      <w:bCs/>
                      <w:szCs w:val="24"/>
                    </w:rPr>
                    <w:t>7</w:t>
                  </w:r>
                </w:sdtContent>
              </w:sdt>
              <w:r>
                <w:rPr>
                  <w:b/>
                  <w:bCs/>
                  <w:szCs w:val="24"/>
                </w:rPr>
                <w:t>. Galima priimto įstatymo įtaka verslo sąlygoms ir jo plėtrai</w:t>
              </w:r>
            </w:p>
            <w:p w14:paraId="21AAEBE1" w14:textId="1DA18607">
              <w:pPr>
                <w:ind w:firstLine="567"/>
                <w:jc w:val="both"/>
                <w:rPr>
                  <w:color w:val="000000"/>
                </w:rPr>
              </w:pPr>
              <w:r>
                <w:rPr>
                  <w:color w:val="000000"/>
                </w:rPr>
                <w:t>Didesnis NPD padidintų mažiausiai uždirbančių asmenų pajamas, kartu – teigiamai veiktų vartojimą ir sustiprintų ekonomikos atsigavimą 2021 m. antrą pusmetį.</w:t>
              </w:r>
            </w:p>
            <w:p w14:paraId="79048221" w14:textId="3D0112F1">
              <w:pPr>
                <w:ind w:firstLine="567"/>
                <w:jc w:val="both"/>
                <w:rPr>
                  <w:color w:val="000000"/>
                </w:rPr>
              </w:pPr>
            </w:p>
          </w:sdtContent>
        </w:sdt>
        <w:sdt>
          <w:sdtPr>
            <w:alias w:val="8 p."/>
            <w:tag w:val="part_afc02075079447daa3ae0762639244f6"/>
            <w:lock w:val="sdtLocked"/>
            <w:richText/>
          </w:sdtPr>
          <w:sdtContent>
            <w:p w14:paraId="6A93F67F" w14:textId="77777777">
              <w:pPr>
                <w:ind w:firstLine="567"/>
                <w:jc w:val="both"/>
                <w:rPr>
                  <w:b/>
                  <w:bCs/>
                </w:rPr>
              </w:pPr>
              <w:sdt>
                <w:sdtPr>
                  <w:alias w:val="Numeris"/>
                  <w:tag w:val="nr_afc02075079447daa3ae0762639244f6"/>
                  <w:lock w:val="sdtLocked"/>
                  <w:richText/>
                </w:sdtPr>
                <w:sdtContent>
                  <w:r>
                    <w:rPr>
                      <w:b/>
                      <w:bCs/>
                      <w:color w:val="000000"/>
                    </w:rPr>
                    <w:t>8</w:t>
                  </w:r>
                </w:sdtContent>
              </w:sdt>
              <w:r>
                <w:rPr>
                  <w:b/>
                  <w:bCs/>
                  <w:color w:val="000000"/>
                </w:rPr>
                <w:t>. Į</w:t>
              </w:r>
              <w:r>
                <w:rPr>
                  <w:b/>
                  <w:bCs/>
                </w:rPr>
                <w:t>statymo projekto atitiktis strateginio lygmens planavimo dokumentams</w:t>
              </w:r>
            </w:p>
            <w:p w14:paraId="6D407134" w14:textId="4964496B">
              <w:pPr>
                <w:ind w:firstLine="567"/>
                <w:jc w:val="both"/>
                <w:rPr>
                  <w:color w:val="000000"/>
                </w:rPr>
              </w:pPr>
              <w:r>
                <w:t>Įstatymo projektas neprieštarauja strateginio lygmens planavimo dokumentams.</w:t>
              </w:r>
            </w:p>
            <w:p w14:paraId="529C709E" w14:textId="77777777">
              <w:pPr>
                <w:ind w:firstLine="567"/>
                <w:jc w:val="both"/>
                <w:rPr>
                  <w:b/>
                  <w:bCs/>
                  <w:szCs w:val="24"/>
                </w:rPr>
              </w:pPr>
            </w:p>
          </w:sdtContent>
        </w:sdt>
        <w:sdt>
          <w:sdtPr>
            <w:alias w:val="9 p."/>
            <w:tag w:val="part_46d7eb898bc541cba627abca1fde604e"/>
            <w:lock w:val="sdtLocked"/>
            <w:richText/>
          </w:sdtPr>
          <w:sdtContent>
            <w:p w14:paraId="2751CBAF" w14:textId="77777777">
              <w:pPr>
                <w:ind w:firstLine="567"/>
                <w:jc w:val="both"/>
                <w:rPr>
                  <w:b/>
                  <w:szCs w:val="24"/>
                </w:rPr>
              </w:pPr>
              <w:sdt>
                <w:sdtPr>
                  <w:alias w:val="Numeris"/>
                  <w:tag w:val="nr_46d7eb898bc541cba627abca1fde604e"/>
                  <w:lock w:val="sdtLocked"/>
                  <w:richText/>
                </w:sdtPr>
                <w:sdtContent>
                  <w:r>
                    <w:rPr>
                      <w:b/>
                      <w:szCs w:val="24"/>
                    </w:rPr>
                    <w:t>9</w:t>
                  </w:r>
                </w:sdtContent>
              </w:sdt>
              <w:r>
                <w:rPr>
                  <w:b/>
                  <w:szCs w:val="24"/>
                </w:rPr>
                <w:t xml:space="preserve">. </w:t>
              </w:r>
              <w:r>
                <w:rPr>
                  <w:b/>
                  <w:bCs/>
                  <w:szCs w:val="24"/>
                </w:rPr>
                <w:t>Įstatymo inkorporavimas į teisinę sistemą, galiojantys teisės aktai, kuriuos būtina pakeisti ar panaikinti, priėmus teikiamą įstatymo projektą</w:t>
              </w:r>
            </w:p>
            <w:p w14:paraId="07FFAE60" w14:textId="77777777">
              <w:pPr>
                <w:tabs>
                  <w:tab w:val="left" w:pos="0"/>
                  <w:tab w:val="left" w:pos="720"/>
                </w:tabs>
                <w:ind w:firstLine="567"/>
                <w:jc w:val="both"/>
              </w:pPr>
              <w:r>
                <w:t>Priėmus įstatymo projektą, pakeisti ar panaikinti galiojančių įstatymų nereikės.</w:t>
              </w:r>
            </w:p>
            <w:p w14:paraId="4793418D" w14:textId="77777777">
              <w:pPr>
                <w:ind w:firstLine="720"/>
                <w:jc w:val="both"/>
                <w:rPr>
                  <w:szCs w:val="24"/>
                </w:rPr>
              </w:pPr>
            </w:p>
          </w:sdtContent>
        </w:sdt>
        <w:sdt>
          <w:sdtPr>
            <w:alias w:val="10 p."/>
            <w:tag w:val="part_0a3e44c09467476d89f839108903a3fe"/>
            <w:lock w:val="sdtLocked"/>
            <w:richText/>
          </w:sdtPr>
          <w:sdtContent>
            <w:p w14:paraId="34517111" w14:textId="77777777">
              <w:pPr>
                <w:ind w:firstLine="567"/>
                <w:jc w:val="both"/>
                <w:rPr>
                  <w:b/>
                  <w:szCs w:val="24"/>
                  <w:lang w:eastAsia="x-none"/>
                </w:rPr>
              </w:pPr>
              <w:sdt>
                <w:sdtPr>
                  <w:alias w:val="Numeris"/>
                  <w:tag w:val="nr_0a3e44c09467476d89f839108903a3fe"/>
                  <w:lock w:val="sdtLocked"/>
                  <w:richText/>
                </w:sdtPr>
                <w:sdtContent>
                  <w:r>
                    <w:rPr>
                      <w:b/>
                      <w:szCs w:val="24"/>
                      <w:lang w:eastAsia="x-none"/>
                    </w:rPr>
                    <w:t>10</w:t>
                  </w:r>
                </w:sdtContent>
              </w:sdt>
              <w:r>
                <w:rPr>
                  <w:b/>
                  <w:szCs w:val="24"/>
                  <w:lang w:eastAsia="x-none"/>
                </w:rPr>
                <w:t xml:space="preserve">. </w:t>
              </w:r>
              <w:r>
                <w:rPr>
                  <w:b/>
                  <w:bCs/>
                  <w:szCs w:val="24"/>
                  <w:lang w:eastAsia="x-none"/>
                </w:rPr>
                <w:t>Įstatymo projekto atitiktis Valstybinės kalbos, Teisėkūros pagrindų įstatymų ir kitų norminių teisės aktų rengimo tvarkos įstatymų reikalavimams ir bendrinės lietuvių kalbos normoms, sąvokų ir terminų įvertinimas</w:t>
              </w:r>
            </w:p>
            <w:p w14:paraId="336B6441" w14:textId="77777777">
              <w:pPr>
                <w:ind w:firstLine="567"/>
                <w:jc w:val="both"/>
                <w:rPr>
                  <w:szCs w:val="24"/>
                  <w:lang w:eastAsia="lt-LT"/>
                </w:rPr>
              </w:pPr>
              <w:r>
                <w:rPr>
                  <w:szCs w:val="24"/>
                  <w:lang w:eastAsia="lt-LT"/>
                </w:rPr>
                <w:t>Įstatymo projektas parengtas laikantis Valstybinės kalbos, Teisėkūros pagrindų įstatymų reikalavimų ir atitinka bendrinės lietuvių kalbos normas. Įstatymo projektas neapibrėžiama naujų sąvokų.</w:t>
              </w:r>
            </w:p>
            <w:p w14:paraId="40982461" w14:textId="77777777">
              <w:pPr>
                <w:ind w:firstLine="567"/>
                <w:jc w:val="both"/>
                <w:rPr>
                  <w:szCs w:val="24"/>
                  <w:lang w:eastAsia="lt-LT"/>
                </w:rPr>
              </w:pPr>
            </w:p>
          </w:sdtContent>
        </w:sdt>
        <w:sdt>
          <w:sdtPr>
            <w:alias w:val="11 p."/>
            <w:tag w:val="part_bd3734d07ac14225aca688dcb03ccd3a"/>
            <w:lock w:val="sdtLocked"/>
            <w:richText/>
          </w:sdtPr>
          <w:sdtContent>
            <w:p w14:paraId="14D70DA9" w14:textId="77777777">
              <w:pPr>
                <w:ind w:firstLine="567"/>
                <w:jc w:val="both"/>
                <w:rPr>
                  <w:b/>
                  <w:szCs w:val="24"/>
                </w:rPr>
              </w:pPr>
              <w:sdt>
                <w:sdtPr>
                  <w:alias w:val="Numeris"/>
                  <w:tag w:val="nr_bd3734d07ac14225aca688dcb03ccd3a"/>
                  <w:lock w:val="sdtLocked"/>
                  <w:richText/>
                </w:sdtPr>
                <w:sdtContent>
                  <w:r>
                    <w:rPr>
                      <w:b/>
                      <w:szCs w:val="24"/>
                    </w:rPr>
                    <w:t>11</w:t>
                  </w:r>
                </w:sdtContent>
              </w:sdt>
              <w:r>
                <w:rPr>
                  <w:b/>
                  <w:szCs w:val="24"/>
                </w:rPr>
                <w:t xml:space="preserve">. </w:t>
              </w:r>
              <w:r>
                <w:rPr>
                  <w:b/>
                  <w:bCs/>
                  <w:szCs w:val="24"/>
                </w:rPr>
                <w:t>Įstatymo projekto atitiktis Europos žmogaus teisių ir pagrindinių laisvių apsaugos konvencijos nuostatoms ir Europos Sąjungos teisei</w:t>
              </w:r>
            </w:p>
            <w:p w14:paraId="1933D42E" w14:textId="77777777">
              <w:pPr>
                <w:ind w:firstLine="567"/>
                <w:jc w:val="both"/>
                <w:rPr>
                  <w:b/>
                  <w:szCs w:val="24"/>
                </w:rPr>
              </w:pPr>
              <w:r>
                <w:rPr>
                  <w:szCs w:val="24"/>
                </w:rPr>
                <w:t xml:space="preserve">Įstatymo projektas neprieštarauja Europos žmogaus teisių ir pagrindinių laisvių apsaugos konvencijos nuostatoms ir Europos Sąjungos dokumentams. </w:t>
              </w:r>
            </w:p>
            <w:p w14:paraId="7BBCF289" w14:textId="77777777">
              <w:pPr>
                <w:ind w:firstLine="567"/>
                <w:jc w:val="both"/>
                <w:rPr>
                  <w:szCs w:val="24"/>
                </w:rPr>
              </w:pPr>
            </w:p>
          </w:sdtContent>
        </w:sdt>
        <w:sdt>
          <w:sdtPr>
            <w:alias w:val="12 p."/>
            <w:tag w:val="part_018517560480435589ca17c9f98fd509"/>
            <w:lock w:val="sdtLocked"/>
            <w:richText/>
          </w:sdtPr>
          <w:sdtContent>
            <w:p w14:paraId="78D1E18C" w14:textId="77777777">
              <w:pPr>
                <w:ind w:firstLine="567"/>
                <w:jc w:val="both"/>
                <w:rPr>
                  <w:b/>
                  <w:szCs w:val="24"/>
                </w:rPr>
              </w:pPr>
              <w:sdt>
                <w:sdtPr>
                  <w:alias w:val="Numeris"/>
                  <w:tag w:val="nr_018517560480435589ca17c9f98fd509"/>
                  <w:lock w:val="sdtLocked"/>
                  <w:richText/>
                </w:sdtPr>
                <w:sdtContent>
                  <w:r>
                    <w:rPr>
                      <w:b/>
                      <w:szCs w:val="24"/>
                    </w:rPr>
                    <w:t>12</w:t>
                  </w:r>
                </w:sdtContent>
              </w:sdt>
              <w:r>
                <w:rPr>
                  <w:b/>
                  <w:szCs w:val="24"/>
                </w:rPr>
                <w:t xml:space="preserve">. </w:t>
              </w:r>
              <w:r>
                <w:rPr>
                  <w:b/>
                  <w:bCs/>
                  <w:szCs w:val="24"/>
                </w:rPr>
                <w:t>Įstatymui įgyvendinti reikalingi įgyvendinamieji teisės aktai, šių aktų rengėjai</w:t>
              </w:r>
            </w:p>
            <w:p w14:paraId="26C6A2C9" w14:textId="39852C32">
              <w:pPr>
                <w:tabs>
                  <w:tab w:val="left" w:pos="709"/>
                </w:tabs>
                <w:ind w:firstLine="709"/>
                <w:jc w:val="both"/>
                <w:rPr>
                  <w:bCs/>
                  <w:color w:val="000000"/>
                  <w:szCs w:val="24"/>
                  <w:lang w:eastAsia="lt-LT"/>
                </w:rPr>
              </w:pPr>
              <w:r>
                <w:rPr>
                  <w:szCs w:val="24"/>
                </w:rPr>
                <w:t>Priėmus Įstatymo projektą,</w:t>
              </w:r>
              <w:r>
                <w:t xml:space="preserve"> </w:t>
              </w:r>
              <w:r>
                <w:rPr>
                  <w:bCs/>
                  <w:color w:val="000000"/>
                  <w:szCs w:val="24"/>
                  <w:lang w:eastAsia="lt-LT"/>
                </w:rPr>
                <w:t>Vyriausybė ar jos įgaliota institucija iki šio įstatymo įsigaliojimo pagal poreikį priimtų šiam įstatymui įgyvendinti reikalingus įgyvendinamuosius teisės aktus.</w:t>
              </w:r>
            </w:p>
            <w:p w14:paraId="0A7EEE15" w14:textId="77777777">
              <w:pPr>
                <w:tabs>
                  <w:tab w:val="left" w:pos="709"/>
                </w:tabs>
                <w:jc w:val="both"/>
                <w:rPr>
                  <w:szCs w:val="24"/>
                </w:rPr>
              </w:pPr>
            </w:p>
          </w:sdtContent>
        </w:sdt>
        <w:sdt>
          <w:sdtPr>
            <w:alias w:val="13 p."/>
            <w:tag w:val="part_776de665c50a40718e273716b595e7cf"/>
            <w:lock w:val="sdtLocked"/>
            <w:richText/>
          </w:sdtPr>
          <w:sdtContent>
            <w:p w14:paraId="20821C8C" w14:textId="61147886">
              <w:pPr>
                <w:ind w:firstLine="567"/>
                <w:jc w:val="both"/>
                <w:rPr>
                  <w:b/>
                  <w:bCs/>
                  <w:szCs w:val="24"/>
                </w:rPr>
              </w:pPr>
              <w:sdt>
                <w:sdtPr>
                  <w:alias w:val="Numeris"/>
                  <w:tag w:val="nr_776de665c50a40718e273716b595e7cf"/>
                  <w:lock w:val="sdtLocked"/>
                  <w:richText/>
                </w:sdtPr>
                <w:sdtContent>
                  <w:r>
                    <w:rPr>
                      <w:b/>
                      <w:szCs w:val="24"/>
                    </w:rPr>
                    <w:t>13</w:t>
                  </w:r>
                </w:sdtContent>
              </w:sdt>
              <w:r>
                <w:rPr>
                  <w:b/>
                  <w:szCs w:val="24"/>
                </w:rPr>
                <w:t xml:space="preserve">. </w:t>
              </w:r>
              <w:r>
                <w:rPr>
                  <w:b/>
                  <w:bCs/>
                  <w:szCs w:val="24"/>
                </w:rPr>
                <w:t>Kiek valstybės, savivaldybių biudžetų ir kitų valstybės įsteigtų fondų lėšų pareikalaus ar leis sutaupyti įstatymo įgyvendinimas</w:t>
              </w:r>
            </w:p>
            <w:p w14:paraId="7A44D1E4" w14:textId="2AD8487A">
              <w:pPr>
                <w:ind w:firstLine="567"/>
                <w:jc w:val="both"/>
              </w:pPr>
              <w:r>
                <w:t xml:space="preserve">Savivaldybių biudžetai vadovaujantis Biudžeto sandaros įstatymo 34 straipsniu dėl mokestinių pokyčių pajamų netekimo 2021 m. nepatirtų – visi netekimai būtų amortizuoti valstybės biudžete, o savivaldybėms netekimai būtų kompensuoti. </w:t>
              </w:r>
            </w:p>
            <w:p w14:paraId="631A6070" w14:textId="43FCEE03">
              <w:pPr>
                <w:ind w:firstLine="567"/>
                <w:jc w:val="both"/>
              </w:pPr>
              <w:r>
                <w:t>Dėl NPD padidinimo per metus būtų negauta apie 80 mln. eurų pajamų – tai investicijos į pajamų nelygybės mažinimą didinant mažiausiai uždirbančiųjų pajamas. Tikėtina, kad apie pusė minėtų netekimų bus patirta vėliau – 2022 m., nes NPD pokytis įsigaliotų nuo 2021 m. vidurio, o už pirmą pusmetį nauda dirbantiems asmenims dažnu atveju būtų realizuota teikiant metines pajamų deklaracijas. Atitinkamai tiesioginė įtaka fiskaliniam balansui 2021 m. – mažiau nei 0,1 proc. BVP (palyginimui, numatomas bendras 2021 m. fiskalinis deficitas pagal patobulinto biudžeto projektą – virš 8 proc. BVP). Dalis iš pajamų mokesčio netekimų bus kompensuota antriniu efektu – išaugs vartojimo mokesčių (pridėtinės vertės, akcizų) įplaukos.</w:t>
              </w:r>
            </w:p>
            <w:p w14:paraId="0EEEB207" w14:textId="5D1640AE">
              <w:pPr>
                <w:ind w:firstLine="567"/>
                <w:jc w:val="both"/>
              </w:pPr>
              <w:r>
                <w:t>Ankstesnės finansų krizės duomenys rodo, kad sudėtingais ekonomikai periodais ekonomika pradeda trauktis į šešėlį. Darbuotojų pažeidžiamumas didėja augant šešėliui. Todėl labai svarbu, kad spartaus Lietuvos ekonomikos augimo laikotarpiu iš šešėlio atkovota ekonomikos dalis nebūtų prarasta dabartiniu metu. Mažesnė mokestinė našta mažiausiai uždirbantiesiems pozityviai veikia šešėlines ekonomikos tendencijas. Taip pat reikia daugiau skaitmeninių priemonių kovojant su šešėline ekonomika. 2021 m. įsigaliojusi sektorinė skaitmeninė šešėlio mažinimo priemonė automobilių pardavimo srityje yra žingsnis į priekį (nesant šešėlio rizikos valdymo šioje srityje valstybė kasmet praranda apie 40 mln. eurų). Kitu žingsniu prasminga įteisinti statybininko kortelės skaitmeninę sistemą, kuri iš šešėlio galėtų ištraukti apie 200 mln. eurų viešųjų pajamų. Papildomos viešosios pajamos, gautos mažinant šešėlinę ekonomiką, svarbios ir sudaro galimybes gerinti šalies socialinius rodiklius.</w:t>
              </w:r>
            </w:p>
            <w:p w14:paraId="511C73BD" w14:textId="77777777">
              <w:pPr>
                <w:ind w:firstLine="567"/>
                <w:jc w:val="both"/>
              </w:pPr>
            </w:p>
          </w:sdtContent>
        </w:sdt>
        <w:sdt>
          <w:sdtPr>
            <w:alias w:val="14 p."/>
            <w:tag w:val="part_29a942ddfd1442b48005bb8c0722bf6b"/>
            <w:lock w:val="sdtLocked"/>
            <w:richText/>
          </w:sdtPr>
          <w:sdtContent>
            <w:p w14:paraId="0E3E9B36" w14:textId="3765EA5E">
              <w:pPr>
                <w:ind w:firstLine="629"/>
                <w:jc w:val="both"/>
                <w:rPr>
                  <w:b/>
                  <w:szCs w:val="24"/>
                </w:rPr>
              </w:pPr>
              <w:sdt>
                <w:sdtPr>
                  <w:alias w:val="Numeris"/>
                  <w:tag w:val="nr_29a942ddfd1442b48005bb8c0722bf6b"/>
                  <w:lock w:val="sdtLocked"/>
                  <w:richText/>
                </w:sdtPr>
                <w:sdtContent>
                  <w:r>
                    <w:rPr>
                      <w:b/>
                      <w:szCs w:val="24"/>
                    </w:rPr>
                    <w:t>14</w:t>
                  </w:r>
                </w:sdtContent>
              </w:sdt>
              <w:r>
                <w:rPr>
                  <w:b/>
                  <w:szCs w:val="24"/>
                </w:rPr>
                <w:t xml:space="preserve">. </w:t>
              </w:r>
              <w:r>
                <w:rPr>
                  <w:b/>
                  <w:bCs/>
                  <w:szCs w:val="24"/>
                </w:rPr>
                <w:t>Įstatymo projekto rengimo metu gauti specialistų vertinimai ir išvados</w:t>
              </w:r>
            </w:p>
            <w:p w14:paraId="12D52A35" w14:textId="15B54A52">
              <w:pPr>
                <w:tabs>
                  <w:tab w:val="left" w:pos="360"/>
                  <w:tab w:val="left" w:pos="567"/>
                </w:tabs>
                <w:ind w:firstLine="567"/>
                <w:jc w:val="both"/>
                <w:rPr>
                  <w:color w:val="FF0000"/>
                  <w:szCs w:val="24"/>
                  <w:lang w:eastAsia="lt-LT"/>
                </w:rPr>
              </w:pPr>
              <w:r>
                <w:rPr>
                  <w:color w:val="000000"/>
                  <w:szCs w:val="24"/>
                  <w:lang w:eastAsia="lt-LT"/>
                </w:rPr>
                <w:t>NPD didinimo poreikis buvo kelis kartus pristatytas viešai. Kai kurių ekonomistų, verslo, profesinių sąjungų, politikos atstovų vertinimu, yra aktualu didinti mažiausiai uždirbančių gyventojų pajamas.</w:t>
              </w:r>
              <w:r>
                <w:rPr>
                  <w:color w:val="FF0000"/>
                  <w:szCs w:val="24"/>
                  <w:lang w:eastAsia="lt-LT"/>
                </w:rPr>
                <w:t xml:space="preserve"> </w:t>
              </w:r>
            </w:p>
            <w:p w14:paraId="16C0E097" w14:textId="77777777">
              <w:pPr>
                <w:tabs>
                  <w:tab w:val="left" w:pos="360"/>
                  <w:tab w:val="left" w:pos="567"/>
                </w:tabs>
                <w:ind w:firstLine="567"/>
                <w:jc w:val="both"/>
                <w:rPr>
                  <w:color w:val="000000"/>
                  <w:szCs w:val="24"/>
                  <w:lang w:eastAsia="lt-LT"/>
                </w:rPr>
              </w:pPr>
            </w:p>
          </w:sdtContent>
        </w:sdt>
        <w:sdt>
          <w:sdtPr>
            <w:alias w:val="15 p."/>
            <w:tag w:val="part_f78c5e991c9c4a51a46ca55aa991c475"/>
            <w:lock w:val="sdtLocked"/>
            <w:richText/>
          </w:sdtPr>
          <w:sdtContent>
            <w:p w14:paraId="0074B037" w14:textId="461F89E0">
              <w:pPr>
                <w:ind w:firstLine="567"/>
                <w:jc w:val="both"/>
                <w:rPr>
                  <w:b/>
                  <w:szCs w:val="24"/>
                  <w:lang w:eastAsia="lt-LT"/>
                </w:rPr>
              </w:pPr>
              <w:sdt>
                <w:sdtPr>
                  <w:alias w:val="Numeris"/>
                  <w:tag w:val="nr_f78c5e991c9c4a51a46ca55aa991c475"/>
                  <w:lock w:val="sdtLocked"/>
                  <w:richText/>
                </w:sdtPr>
                <w:sdtContent>
                  <w:r>
                    <w:rPr>
                      <w:b/>
                      <w:szCs w:val="24"/>
                      <w:lang w:eastAsia="lt-LT"/>
                    </w:rPr>
                    <w:t>15</w:t>
                  </w:r>
                </w:sdtContent>
              </w:sdt>
              <w:r>
                <w:rPr>
                  <w:b/>
                  <w:szCs w:val="24"/>
                  <w:lang w:eastAsia="lt-LT"/>
                </w:rPr>
                <w:t xml:space="preserve">. </w:t>
              </w:r>
              <w:r>
                <w:rPr>
                  <w:b/>
                  <w:bCs/>
                  <w:szCs w:val="24"/>
                  <w:lang w:eastAsia="lt-LT"/>
                </w:rPr>
                <w:t>Reikšminiai įstatymo projekto žodžiai</w:t>
              </w:r>
            </w:p>
            <w:p w14:paraId="1798D9AB" w14:textId="748729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bCs/>
                  <w:i/>
                  <w:szCs w:val="24"/>
                  <w:lang w:eastAsia="x-none"/>
                </w:rPr>
              </w:pPr>
              <w:r>
                <w:rPr>
                  <w:bCs/>
                  <w:i/>
                  <w:szCs w:val="24"/>
                  <w:lang w:eastAsia="x-none"/>
                </w:rPr>
                <w:t>Neapmokestinamasis pajamų dydis, pajamos, gyventojo</w:t>
              </w:r>
            </w:p>
            <w:p w14:paraId="5DE324A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i/>
                  <w:szCs w:val="24"/>
                  <w:lang w:eastAsia="x-none"/>
                </w:rPr>
              </w:pPr>
            </w:p>
          </w:sdtContent>
        </w:sdt>
        <w:sdt>
          <w:sdtPr>
            <w:alias w:val="16 p."/>
            <w:tag w:val="part_abbaced6ca0842eebb9ce152726ac09a"/>
            <w:lock w:val="sdtLocked"/>
            <w:richText/>
          </w:sdtPr>
          <w:sdtContent>
            <w:p w14:paraId="6E00F99B" w14:textId="6D177B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sdt>
                <w:sdtPr>
                  <w:alias w:val="Numeris"/>
                  <w:tag w:val="nr_abbaced6ca0842eebb9ce152726ac09a"/>
                  <w:lock w:val="sdtLocked"/>
                  <w:richText/>
                </w:sdtPr>
                <w:sdtContent>
                  <w:r>
                    <w:rPr>
                      <w:b/>
                      <w:bCs/>
                      <w:szCs w:val="24"/>
                      <w:lang w:eastAsia="x-none"/>
                    </w:rPr>
                    <w:t>16</w:t>
                  </w:r>
                </w:sdtContent>
              </w:sdt>
              <w:r>
                <w:rPr>
                  <w:b/>
                  <w:bCs/>
                  <w:szCs w:val="24"/>
                  <w:lang w:eastAsia="x-none"/>
                </w:rPr>
                <w:t xml:space="preserve">. </w:t>
              </w:r>
              <w:r>
                <w:rPr>
                  <w:b/>
                  <w:szCs w:val="24"/>
                  <w:lang w:eastAsia="x-none"/>
                </w:rPr>
                <w:t>Kiti, iniciatorių nuomone, reikalingi pagrindimai ir paaiškinimai</w:t>
              </w:r>
              <w:r>
                <w:rPr>
                  <w:szCs w:val="24"/>
                  <w:lang w:eastAsia="x-none"/>
                </w:rPr>
                <w:t xml:space="preserve"> </w:t>
              </w:r>
            </w:p>
            <w:p w14:paraId="3674B1FC" w14:textId="051A6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r>
                <w:rPr>
                  <w:color w:val="000000"/>
                  <w:szCs w:val="24"/>
                  <w:lang w:eastAsia="lt-LT"/>
                </w:rPr>
                <w:t>Nėra.</w:t>
              </w:r>
            </w:p>
            <w:p w14:paraId="75D6B81E"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
          <w:sdtPr>
            <w:alias w:val="signatura"/>
            <w:tag w:val="part_59e8d836cb5048f89f62ee51aa537ca1"/>
            <w:lock w:val="sdtLocked"/>
            <w:richText/>
          </w:sdtPr>
          <w:sdtContent>
            <w:p w14:paraId="496257DA" w14:textId="4CBEAB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ascii="Courier New" w:hAnsi="Courier New"/>
                  <w:sz w:val="20"/>
                  <w:szCs w:val="24"/>
                  <w:lang w:eastAsia="x-none"/>
                </w:rPr>
              </w:pPr>
              <w:r>
                <w:rPr>
                  <w:szCs w:val="24"/>
                  <w:lang w:eastAsia="x-none"/>
                </w:rPr>
                <w:t xml:space="preserve">Respublikos Prezidentas                                                                                         Gitanas Nausėda</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5150B8" w14:textId="77777777">
      <w:r>
        <w:separator/>
      </w:r>
    </w:p>
  </w:endnote>
  <w:endnote w:type="continuationSeparator" w:id="0">
    <w:p w14:paraId="459BFE40"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579BB" w14:textId="77777777">
    <w:pPr>
      <w:tabs>
        <w:tab w:val="center" w:pos="4153"/>
        <w:tab w:val="right" w:pos="8306"/>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34897" w14:textId="77777777">
    <w:pPr>
      <w:tabs>
        <w:tab w:val="center" w:pos="4153"/>
        <w:tab w:val="right" w:pos="8306"/>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733B70" w14:textId="77777777">
    <w:pPr>
      <w:tabs>
        <w:tab w:val="center" w:pos="4153"/>
        <w:tab w:val="right" w:pos="8306"/>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679C3C" w14:textId="77777777">
      <w:r>
        <w:separator/>
      </w:r>
    </w:p>
  </w:footnote>
  <w:footnote w:type="continuationSeparator" w:id="0">
    <w:p w14:paraId="473BF91F" w14:textId="77777777">
      <w:r>
        <w:continuationSeparator/>
      </w:r>
    </w:p>
  </w:footnote>
  <w:footnote w:id="1">
    <w:p w14:paraId="110203F0" w14:textId="6F6D1068">
      <w:pPr>
        <w:rPr>
          <w:sz w:val="20"/>
        </w:rPr>
      </w:pPr>
      <w:r>
        <w:rPr>
          <w:sz w:val="20"/>
          <w:vertAlign w:val="superscript"/>
        </w:rPr>
        <w:footnoteRef/>
      </w:r>
      <w:r>
        <w:rPr>
          <w:sz w:val="20"/>
        </w:rPr>
        <w:t xml:space="preserve"> </w:t>
      </w:r>
      <w:r>
        <w:rPr>
          <w:color w:val="0000FF"/>
          <w:sz w:val="20"/>
          <w:u w:val="single"/>
        </w:rPr>
        <w:t>https://www.lb.lt/uploads/publications/docs/29366_b2ec48730cab33854f6efad24d31af7c.pdf</w:t>
      </w:r>
      <w:r>
        <w:rPr>
          <w:sz w:val="20"/>
        </w:rPr>
        <w:t xml:space="preserve"> </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50A6A4" w14:textId="77777777">
    <w:pPr>
      <w:framePr w:wrap="auto" w:vAnchor="text" w:hAnchor="margin" w:xAlign="center" w:y="1"/>
      <w:tabs>
        <w:tab w:val="center" w:pos="4986"/>
        <w:tab w:val="right" w:pos="9972"/>
      </w:tabs>
    </w:pPr>
    <w:r>
      <w:fldChar w:fldCharType="begin"/>
    </w:r>
    <w:r>
      <w:instrText xml:space="preserve">PAGE  </w:instrText>
    </w:r>
    <w:r>
      <w:fldChar w:fldCharType="end"/>
    </w:r>
  </w:p>
  <w:p w14:paraId="3D15DFFC"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46D66" w14:textId="77777777">
    <w:pPr>
      <w:framePr w:wrap="auto" w:vAnchor="text" w:hAnchor="margin" w:xAlign="center" w:y="1"/>
      <w:tabs>
        <w:tab w:val="center" w:pos="4986"/>
        <w:tab w:val="right" w:pos="9972"/>
      </w:tabs>
    </w:pPr>
    <w:r>
      <w:fldChar w:fldCharType="begin"/>
    </w:r>
    <w:r>
      <w:instrText xml:space="preserve">PAGE  </w:instrText>
    </w:r>
    <w:r>
      <w:fldChar w:fldCharType="separate"/>
    </w:r>
    <w:r>
      <w:t>4</w:t>
    </w:r>
    <w:r>
      <w:fldChar w:fldCharType="end"/>
    </w:r>
  </w:p>
  <w:p w14:paraId="36F5C988"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C288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3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E60567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1903429">
      <w:bodyDiv w:val="1"/>
      <w:marLeft w:val="0"/>
      <w:marRight w:val="0"/>
      <w:marTop w:val="0"/>
      <w:marBottom w:val="0"/>
      <w:divBdr>
        <w:top w:val="none" w:sz="0" w:space="0" w:color="auto"/>
        <w:left w:val="none" w:sz="0" w:space="0" w:color="auto"/>
        <w:bottom w:val="none" w:sz="0" w:space="0" w:color="auto"/>
        <w:right w:val="none" w:sz="0" w:space="0" w:color="auto"/>
      </w:divBdr>
    </w:div>
    <w:div w:id="40598291">
      <w:bodyDiv w:val="1"/>
      <w:marLeft w:val="0"/>
      <w:marRight w:val="0"/>
      <w:marTop w:val="0"/>
      <w:marBottom w:val="0"/>
      <w:divBdr>
        <w:top w:val="none" w:sz="0" w:space="0" w:color="auto"/>
        <w:left w:val="none" w:sz="0" w:space="0" w:color="auto"/>
        <w:bottom w:val="none" w:sz="0" w:space="0" w:color="auto"/>
        <w:right w:val="none" w:sz="0" w:space="0" w:color="auto"/>
      </w:divBdr>
    </w:div>
    <w:div w:id="80957800">
      <w:bodyDiv w:val="1"/>
      <w:marLeft w:val="0"/>
      <w:marRight w:val="0"/>
      <w:marTop w:val="0"/>
      <w:marBottom w:val="0"/>
      <w:divBdr>
        <w:top w:val="none" w:sz="0" w:space="0" w:color="auto"/>
        <w:left w:val="none" w:sz="0" w:space="0" w:color="auto"/>
        <w:bottom w:val="none" w:sz="0" w:space="0" w:color="auto"/>
        <w:right w:val="none" w:sz="0" w:space="0" w:color="auto"/>
      </w:divBdr>
    </w:div>
    <w:div w:id="83576473">
      <w:bodyDiv w:val="1"/>
      <w:marLeft w:val="225"/>
      <w:marRight w:val="225"/>
      <w:marTop w:val="0"/>
      <w:marBottom w:val="0"/>
      <w:divBdr>
        <w:top w:val="none" w:sz="0" w:space="0" w:color="auto"/>
        <w:left w:val="none" w:sz="0" w:space="0" w:color="auto"/>
        <w:bottom w:val="none" w:sz="0" w:space="0" w:color="auto"/>
        <w:right w:val="none" w:sz="0" w:space="0" w:color="auto"/>
      </w:divBdr>
      <w:divsChild>
        <w:div w:id="2064022320">
          <w:marLeft w:val="0"/>
          <w:marRight w:val="0"/>
          <w:marTop w:val="0"/>
          <w:marBottom w:val="0"/>
          <w:divBdr>
            <w:top w:val="none" w:sz="0" w:space="0" w:color="auto"/>
            <w:left w:val="none" w:sz="0" w:space="0" w:color="auto"/>
            <w:bottom w:val="none" w:sz="0" w:space="0" w:color="auto"/>
            <w:right w:val="none" w:sz="0" w:space="0" w:color="auto"/>
          </w:divBdr>
        </w:div>
      </w:divsChild>
    </w:div>
    <w:div w:id="138620892">
      <w:bodyDiv w:val="1"/>
      <w:marLeft w:val="0"/>
      <w:marRight w:val="0"/>
      <w:marTop w:val="0"/>
      <w:marBottom w:val="0"/>
      <w:divBdr>
        <w:top w:val="none" w:sz="0" w:space="0" w:color="auto"/>
        <w:left w:val="none" w:sz="0" w:space="0" w:color="auto"/>
        <w:bottom w:val="none" w:sz="0" w:space="0" w:color="auto"/>
        <w:right w:val="none" w:sz="0" w:space="0" w:color="auto"/>
      </w:divBdr>
    </w:div>
    <w:div w:id="151260864">
      <w:bodyDiv w:val="1"/>
      <w:marLeft w:val="0"/>
      <w:marRight w:val="0"/>
      <w:marTop w:val="0"/>
      <w:marBottom w:val="0"/>
      <w:divBdr>
        <w:top w:val="none" w:sz="0" w:space="0" w:color="auto"/>
        <w:left w:val="none" w:sz="0" w:space="0" w:color="auto"/>
        <w:bottom w:val="none" w:sz="0" w:space="0" w:color="auto"/>
        <w:right w:val="none" w:sz="0" w:space="0" w:color="auto"/>
      </w:divBdr>
    </w:div>
    <w:div w:id="159349593">
      <w:bodyDiv w:val="1"/>
      <w:marLeft w:val="225"/>
      <w:marRight w:val="225"/>
      <w:marTop w:val="0"/>
      <w:marBottom w:val="0"/>
      <w:divBdr>
        <w:top w:val="none" w:sz="0" w:space="0" w:color="auto"/>
        <w:left w:val="none" w:sz="0" w:space="0" w:color="auto"/>
        <w:bottom w:val="none" w:sz="0" w:space="0" w:color="auto"/>
        <w:right w:val="none" w:sz="0" w:space="0" w:color="auto"/>
      </w:divBdr>
      <w:divsChild>
        <w:div w:id="568343536">
          <w:marLeft w:val="0"/>
          <w:marRight w:val="0"/>
          <w:marTop w:val="0"/>
          <w:marBottom w:val="0"/>
          <w:divBdr>
            <w:top w:val="none" w:sz="0" w:space="0" w:color="auto"/>
            <w:left w:val="none" w:sz="0" w:space="0" w:color="auto"/>
            <w:bottom w:val="none" w:sz="0" w:space="0" w:color="auto"/>
            <w:right w:val="none" w:sz="0" w:space="0" w:color="auto"/>
          </w:divBdr>
        </w:div>
      </w:divsChild>
    </w:div>
    <w:div w:id="162936250">
      <w:bodyDiv w:val="1"/>
      <w:marLeft w:val="0"/>
      <w:marRight w:val="0"/>
      <w:marTop w:val="0"/>
      <w:marBottom w:val="0"/>
      <w:divBdr>
        <w:top w:val="none" w:sz="0" w:space="0" w:color="auto"/>
        <w:left w:val="none" w:sz="0" w:space="0" w:color="auto"/>
        <w:bottom w:val="none" w:sz="0" w:space="0" w:color="auto"/>
        <w:right w:val="none" w:sz="0" w:space="0" w:color="auto"/>
      </w:divBdr>
    </w:div>
    <w:div w:id="176626201">
      <w:bodyDiv w:val="1"/>
      <w:marLeft w:val="0"/>
      <w:marRight w:val="0"/>
      <w:marTop w:val="0"/>
      <w:marBottom w:val="0"/>
      <w:divBdr>
        <w:top w:val="none" w:sz="0" w:space="0" w:color="auto"/>
        <w:left w:val="none" w:sz="0" w:space="0" w:color="auto"/>
        <w:bottom w:val="none" w:sz="0" w:space="0" w:color="auto"/>
        <w:right w:val="none" w:sz="0" w:space="0" w:color="auto"/>
      </w:divBdr>
    </w:div>
    <w:div w:id="219444138">
      <w:bodyDiv w:val="1"/>
      <w:marLeft w:val="0"/>
      <w:marRight w:val="0"/>
      <w:marTop w:val="0"/>
      <w:marBottom w:val="0"/>
      <w:divBdr>
        <w:top w:val="none" w:sz="0" w:space="0" w:color="auto"/>
        <w:left w:val="none" w:sz="0" w:space="0" w:color="auto"/>
        <w:bottom w:val="none" w:sz="0" w:space="0" w:color="auto"/>
        <w:right w:val="none" w:sz="0" w:space="0" w:color="auto"/>
      </w:divBdr>
    </w:div>
    <w:div w:id="224679103">
      <w:bodyDiv w:val="1"/>
      <w:marLeft w:val="0"/>
      <w:marRight w:val="0"/>
      <w:marTop w:val="0"/>
      <w:marBottom w:val="0"/>
      <w:divBdr>
        <w:top w:val="none" w:sz="0" w:space="0" w:color="auto"/>
        <w:left w:val="none" w:sz="0" w:space="0" w:color="auto"/>
        <w:bottom w:val="none" w:sz="0" w:space="0" w:color="auto"/>
        <w:right w:val="none" w:sz="0" w:space="0" w:color="auto"/>
      </w:divBdr>
      <w:divsChild>
        <w:div w:id="38285866">
          <w:marLeft w:val="547"/>
          <w:marRight w:val="0"/>
          <w:marTop w:val="106"/>
          <w:marBottom w:val="200"/>
          <w:divBdr>
            <w:top w:val="none" w:sz="0" w:space="0" w:color="auto"/>
            <w:left w:val="none" w:sz="0" w:space="0" w:color="auto"/>
            <w:bottom w:val="none" w:sz="0" w:space="0" w:color="auto"/>
            <w:right w:val="none" w:sz="0" w:space="0" w:color="auto"/>
          </w:divBdr>
        </w:div>
      </w:divsChild>
    </w:div>
    <w:div w:id="238370403">
      <w:bodyDiv w:val="1"/>
      <w:marLeft w:val="0"/>
      <w:marRight w:val="0"/>
      <w:marTop w:val="0"/>
      <w:marBottom w:val="0"/>
      <w:divBdr>
        <w:top w:val="none" w:sz="0" w:space="0" w:color="auto"/>
        <w:left w:val="none" w:sz="0" w:space="0" w:color="auto"/>
        <w:bottom w:val="none" w:sz="0" w:space="0" w:color="auto"/>
        <w:right w:val="none" w:sz="0" w:space="0" w:color="auto"/>
      </w:divBdr>
    </w:div>
    <w:div w:id="255482875">
      <w:bodyDiv w:val="1"/>
      <w:marLeft w:val="0"/>
      <w:marRight w:val="0"/>
      <w:marTop w:val="0"/>
      <w:marBottom w:val="0"/>
      <w:divBdr>
        <w:top w:val="none" w:sz="0" w:space="0" w:color="auto"/>
        <w:left w:val="none" w:sz="0" w:space="0" w:color="auto"/>
        <w:bottom w:val="none" w:sz="0" w:space="0" w:color="auto"/>
        <w:right w:val="none" w:sz="0" w:space="0" w:color="auto"/>
      </w:divBdr>
    </w:div>
    <w:div w:id="258300565">
      <w:bodyDiv w:val="1"/>
      <w:marLeft w:val="0"/>
      <w:marRight w:val="0"/>
      <w:marTop w:val="0"/>
      <w:marBottom w:val="0"/>
      <w:divBdr>
        <w:top w:val="none" w:sz="0" w:space="0" w:color="auto"/>
        <w:left w:val="none" w:sz="0" w:space="0" w:color="auto"/>
        <w:bottom w:val="none" w:sz="0" w:space="0" w:color="auto"/>
        <w:right w:val="none" w:sz="0" w:space="0" w:color="auto"/>
      </w:divBdr>
      <w:divsChild>
        <w:div w:id="38765531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84428590">
      <w:bodyDiv w:val="1"/>
      <w:marLeft w:val="0"/>
      <w:marRight w:val="0"/>
      <w:marTop w:val="0"/>
      <w:marBottom w:val="0"/>
      <w:divBdr>
        <w:top w:val="none" w:sz="0" w:space="0" w:color="auto"/>
        <w:left w:val="none" w:sz="0" w:space="0" w:color="auto"/>
        <w:bottom w:val="none" w:sz="0" w:space="0" w:color="auto"/>
        <w:right w:val="none" w:sz="0" w:space="0" w:color="auto"/>
      </w:divBdr>
    </w:div>
    <w:div w:id="286739553">
      <w:bodyDiv w:val="1"/>
      <w:marLeft w:val="0"/>
      <w:marRight w:val="0"/>
      <w:marTop w:val="0"/>
      <w:marBottom w:val="0"/>
      <w:divBdr>
        <w:top w:val="none" w:sz="0" w:space="0" w:color="auto"/>
        <w:left w:val="none" w:sz="0" w:space="0" w:color="auto"/>
        <w:bottom w:val="none" w:sz="0" w:space="0" w:color="auto"/>
        <w:right w:val="none" w:sz="0" w:space="0" w:color="auto"/>
      </w:divBdr>
    </w:div>
    <w:div w:id="323898581">
      <w:bodyDiv w:val="1"/>
      <w:marLeft w:val="0"/>
      <w:marRight w:val="0"/>
      <w:marTop w:val="0"/>
      <w:marBottom w:val="0"/>
      <w:divBdr>
        <w:top w:val="none" w:sz="0" w:space="0" w:color="auto"/>
        <w:left w:val="none" w:sz="0" w:space="0" w:color="auto"/>
        <w:bottom w:val="none" w:sz="0" w:space="0" w:color="auto"/>
        <w:right w:val="none" w:sz="0" w:space="0" w:color="auto"/>
      </w:divBdr>
      <w:divsChild>
        <w:div w:id="1756976741">
          <w:marLeft w:val="446"/>
          <w:marRight w:val="0"/>
          <w:marTop w:val="0"/>
          <w:marBottom w:val="0"/>
          <w:divBdr>
            <w:top w:val="none" w:sz="0" w:space="0" w:color="auto"/>
            <w:left w:val="none" w:sz="0" w:space="0" w:color="auto"/>
            <w:bottom w:val="none" w:sz="0" w:space="0" w:color="auto"/>
            <w:right w:val="none" w:sz="0" w:space="0" w:color="auto"/>
          </w:divBdr>
        </w:div>
      </w:divsChild>
    </w:div>
    <w:div w:id="336735016">
      <w:bodyDiv w:val="1"/>
      <w:marLeft w:val="0"/>
      <w:marRight w:val="0"/>
      <w:marTop w:val="0"/>
      <w:marBottom w:val="0"/>
      <w:divBdr>
        <w:top w:val="none" w:sz="0" w:space="0" w:color="auto"/>
        <w:left w:val="none" w:sz="0" w:space="0" w:color="auto"/>
        <w:bottom w:val="none" w:sz="0" w:space="0" w:color="auto"/>
        <w:right w:val="none" w:sz="0" w:space="0" w:color="auto"/>
      </w:divBdr>
    </w:div>
    <w:div w:id="345059456">
      <w:bodyDiv w:val="1"/>
      <w:marLeft w:val="0"/>
      <w:marRight w:val="0"/>
      <w:marTop w:val="0"/>
      <w:marBottom w:val="0"/>
      <w:divBdr>
        <w:top w:val="none" w:sz="0" w:space="0" w:color="auto"/>
        <w:left w:val="none" w:sz="0" w:space="0" w:color="auto"/>
        <w:bottom w:val="none" w:sz="0" w:space="0" w:color="auto"/>
        <w:right w:val="none" w:sz="0" w:space="0" w:color="auto"/>
      </w:divBdr>
    </w:div>
    <w:div w:id="370957418">
      <w:bodyDiv w:val="1"/>
      <w:marLeft w:val="0"/>
      <w:marRight w:val="0"/>
      <w:marTop w:val="0"/>
      <w:marBottom w:val="0"/>
      <w:divBdr>
        <w:top w:val="none" w:sz="0" w:space="0" w:color="auto"/>
        <w:left w:val="none" w:sz="0" w:space="0" w:color="auto"/>
        <w:bottom w:val="none" w:sz="0" w:space="0" w:color="auto"/>
        <w:right w:val="none" w:sz="0" w:space="0" w:color="auto"/>
      </w:divBdr>
    </w:div>
    <w:div w:id="404500730">
      <w:bodyDiv w:val="1"/>
      <w:marLeft w:val="0"/>
      <w:marRight w:val="0"/>
      <w:marTop w:val="0"/>
      <w:marBottom w:val="0"/>
      <w:divBdr>
        <w:top w:val="none" w:sz="0" w:space="0" w:color="auto"/>
        <w:left w:val="none" w:sz="0" w:space="0" w:color="auto"/>
        <w:bottom w:val="none" w:sz="0" w:space="0" w:color="auto"/>
        <w:right w:val="none" w:sz="0" w:space="0" w:color="auto"/>
      </w:divBdr>
    </w:div>
    <w:div w:id="408887468">
      <w:bodyDiv w:val="1"/>
      <w:marLeft w:val="0"/>
      <w:marRight w:val="0"/>
      <w:marTop w:val="0"/>
      <w:marBottom w:val="0"/>
      <w:divBdr>
        <w:top w:val="none" w:sz="0" w:space="0" w:color="auto"/>
        <w:left w:val="none" w:sz="0" w:space="0" w:color="auto"/>
        <w:bottom w:val="none" w:sz="0" w:space="0" w:color="auto"/>
        <w:right w:val="none" w:sz="0" w:space="0" w:color="auto"/>
      </w:divBdr>
    </w:div>
    <w:div w:id="439030527">
      <w:bodyDiv w:val="1"/>
      <w:marLeft w:val="225"/>
      <w:marRight w:val="225"/>
      <w:marTop w:val="0"/>
      <w:marBottom w:val="0"/>
      <w:divBdr>
        <w:top w:val="none" w:sz="0" w:space="0" w:color="auto"/>
        <w:left w:val="none" w:sz="0" w:space="0" w:color="auto"/>
        <w:bottom w:val="none" w:sz="0" w:space="0" w:color="auto"/>
        <w:right w:val="none" w:sz="0" w:space="0" w:color="auto"/>
      </w:divBdr>
      <w:divsChild>
        <w:div w:id="1092355400">
          <w:marLeft w:val="0"/>
          <w:marRight w:val="0"/>
          <w:marTop w:val="0"/>
          <w:marBottom w:val="0"/>
          <w:divBdr>
            <w:top w:val="none" w:sz="0" w:space="0" w:color="auto"/>
            <w:left w:val="none" w:sz="0" w:space="0" w:color="auto"/>
            <w:bottom w:val="none" w:sz="0" w:space="0" w:color="auto"/>
            <w:right w:val="none" w:sz="0" w:space="0" w:color="auto"/>
          </w:divBdr>
        </w:div>
      </w:divsChild>
    </w:div>
    <w:div w:id="448595898">
      <w:bodyDiv w:val="1"/>
      <w:marLeft w:val="0"/>
      <w:marRight w:val="0"/>
      <w:marTop w:val="0"/>
      <w:marBottom w:val="0"/>
      <w:divBdr>
        <w:top w:val="none" w:sz="0" w:space="0" w:color="auto"/>
        <w:left w:val="none" w:sz="0" w:space="0" w:color="auto"/>
        <w:bottom w:val="none" w:sz="0" w:space="0" w:color="auto"/>
        <w:right w:val="none" w:sz="0" w:space="0" w:color="auto"/>
      </w:divBdr>
    </w:div>
    <w:div w:id="519974987">
      <w:bodyDiv w:val="1"/>
      <w:marLeft w:val="0"/>
      <w:marRight w:val="0"/>
      <w:marTop w:val="0"/>
      <w:marBottom w:val="0"/>
      <w:divBdr>
        <w:top w:val="none" w:sz="0" w:space="0" w:color="auto"/>
        <w:left w:val="none" w:sz="0" w:space="0" w:color="auto"/>
        <w:bottom w:val="none" w:sz="0" w:space="0" w:color="auto"/>
        <w:right w:val="none" w:sz="0" w:space="0" w:color="auto"/>
      </w:divBdr>
      <w:divsChild>
        <w:div w:id="1008946826">
          <w:marLeft w:val="446"/>
          <w:marRight w:val="0"/>
          <w:marTop w:val="200"/>
          <w:marBottom w:val="0"/>
          <w:divBdr>
            <w:top w:val="none" w:sz="0" w:space="0" w:color="auto"/>
            <w:left w:val="none" w:sz="0" w:space="0" w:color="auto"/>
            <w:bottom w:val="none" w:sz="0" w:space="0" w:color="auto"/>
            <w:right w:val="none" w:sz="0" w:space="0" w:color="auto"/>
          </w:divBdr>
        </w:div>
      </w:divsChild>
    </w:div>
    <w:div w:id="521671013">
      <w:bodyDiv w:val="1"/>
      <w:marLeft w:val="0"/>
      <w:marRight w:val="0"/>
      <w:marTop w:val="0"/>
      <w:marBottom w:val="0"/>
      <w:divBdr>
        <w:top w:val="none" w:sz="0" w:space="0" w:color="auto"/>
        <w:left w:val="none" w:sz="0" w:space="0" w:color="auto"/>
        <w:bottom w:val="none" w:sz="0" w:space="0" w:color="auto"/>
        <w:right w:val="none" w:sz="0" w:space="0" w:color="auto"/>
      </w:divBdr>
    </w:div>
    <w:div w:id="526872622">
      <w:bodyDiv w:val="1"/>
      <w:marLeft w:val="0"/>
      <w:marRight w:val="0"/>
      <w:marTop w:val="0"/>
      <w:marBottom w:val="0"/>
      <w:divBdr>
        <w:top w:val="none" w:sz="0" w:space="0" w:color="auto"/>
        <w:left w:val="none" w:sz="0" w:space="0" w:color="auto"/>
        <w:bottom w:val="none" w:sz="0" w:space="0" w:color="auto"/>
        <w:right w:val="none" w:sz="0" w:space="0" w:color="auto"/>
      </w:divBdr>
    </w:div>
    <w:div w:id="537664578">
      <w:bodyDiv w:val="1"/>
      <w:marLeft w:val="0"/>
      <w:marRight w:val="0"/>
      <w:marTop w:val="0"/>
      <w:marBottom w:val="0"/>
      <w:divBdr>
        <w:top w:val="none" w:sz="0" w:space="0" w:color="auto"/>
        <w:left w:val="none" w:sz="0" w:space="0" w:color="auto"/>
        <w:bottom w:val="none" w:sz="0" w:space="0" w:color="auto"/>
        <w:right w:val="none" w:sz="0" w:space="0" w:color="auto"/>
      </w:divBdr>
    </w:div>
    <w:div w:id="561328932">
      <w:bodyDiv w:val="1"/>
      <w:marLeft w:val="0"/>
      <w:marRight w:val="0"/>
      <w:marTop w:val="0"/>
      <w:marBottom w:val="0"/>
      <w:divBdr>
        <w:top w:val="none" w:sz="0" w:space="0" w:color="auto"/>
        <w:left w:val="none" w:sz="0" w:space="0" w:color="auto"/>
        <w:bottom w:val="none" w:sz="0" w:space="0" w:color="auto"/>
        <w:right w:val="none" w:sz="0" w:space="0" w:color="auto"/>
      </w:divBdr>
    </w:div>
    <w:div w:id="582760350">
      <w:bodyDiv w:val="1"/>
      <w:marLeft w:val="0"/>
      <w:marRight w:val="0"/>
      <w:marTop w:val="0"/>
      <w:marBottom w:val="0"/>
      <w:divBdr>
        <w:top w:val="none" w:sz="0" w:space="0" w:color="auto"/>
        <w:left w:val="none" w:sz="0" w:space="0" w:color="auto"/>
        <w:bottom w:val="none" w:sz="0" w:space="0" w:color="auto"/>
        <w:right w:val="none" w:sz="0" w:space="0" w:color="auto"/>
      </w:divBdr>
    </w:div>
    <w:div w:id="591354817">
      <w:bodyDiv w:val="1"/>
      <w:marLeft w:val="0"/>
      <w:marRight w:val="0"/>
      <w:marTop w:val="0"/>
      <w:marBottom w:val="0"/>
      <w:divBdr>
        <w:top w:val="none" w:sz="0" w:space="0" w:color="auto"/>
        <w:left w:val="none" w:sz="0" w:space="0" w:color="auto"/>
        <w:bottom w:val="none" w:sz="0" w:space="0" w:color="auto"/>
        <w:right w:val="none" w:sz="0" w:space="0" w:color="auto"/>
      </w:divBdr>
    </w:div>
    <w:div w:id="591355530">
      <w:bodyDiv w:val="1"/>
      <w:marLeft w:val="0"/>
      <w:marRight w:val="0"/>
      <w:marTop w:val="0"/>
      <w:marBottom w:val="0"/>
      <w:divBdr>
        <w:top w:val="none" w:sz="0" w:space="0" w:color="auto"/>
        <w:left w:val="none" w:sz="0" w:space="0" w:color="auto"/>
        <w:bottom w:val="none" w:sz="0" w:space="0" w:color="auto"/>
        <w:right w:val="none" w:sz="0" w:space="0" w:color="auto"/>
      </w:divBdr>
      <w:divsChild>
        <w:div w:id="1287275415">
          <w:marLeft w:val="547"/>
          <w:marRight w:val="0"/>
          <w:marTop w:val="0"/>
          <w:marBottom w:val="0"/>
          <w:divBdr>
            <w:top w:val="none" w:sz="0" w:space="0" w:color="auto"/>
            <w:left w:val="none" w:sz="0" w:space="0" w:color="auto"/>
            <w:bottom w:val="none" w:sz="0" w:space="0" w:color="auto"/>
            <w:right w:val="none" w:sz="0" w:space="0" w:color="auto"/>
          </w:divBdr>
        </w:div>
      </w:divsChild>
    </w:div>
    <w:div w:id="620376912">
      <w:bodyDiv w:val="1"/>
      <w:marLeft w:val="225"/>
      <w:marRight w:val="225"/>
      <w:marTop w:val="0"/>
      <w:marBottom w:val="0"/>
      <w:divBdr>
        <w:top w:val="none" w:sz="0" w:space="0" w:color="auto"/>
        <w:left w:val="none" w:sz="0" w:space="0" w:color="auto"/>
        <w:bottom w:val="none" w:sz="0" w:space="0" w:color="auto"/>
        <w:right w:val="none" w:sz="0" w:space="0" w:color="auto"/>
      </w:divBdr>
      <w:divsChild>
        <w:div w:id="1743679533">
          <w:marLeft w:val="0"/>
          <w:marRight w:val="0"/>
          <w:marTop w:val="0"/>
          <w:marBottom w:val="0"/>
          <w:divBdr>
            <w:top w:val="none" w:sz="0" w:space="0" w:color="auto"/>
            <w:left w:val="none" w:sz="0" w:space="0" w:color="auto"/>
            <w:bottom w:val="none" w:sz="0" w:space="0" w:color="auto"/>
            <w:right w:val="none" w:sz="0" w:space="0" w:color="auto"/>
          </w:divBdr>
        </w:div>
      </w:divsChild>
    </w:div>
    <w:div w:id="641733831">
      <w:bodyDiv w:val="1"/>
      <w:marLeft w:val="0"/>
      <w:marRight w:val="0"/>
      <w:marTop w:val="0"/>
      <w:marBottom w:val="0"/>
      <w:divBdr>
        <w:top w:val="none" w:sz="0" w:space="0" w:color="auto"/>
        <w:left w:val="none" w:sz="0" w:space="0" w:color="auto"/>
        <w:bottom w:val="none" w:sz="0" w:space="0" w:color="auto"/>
        <w:right w:val="none" w:sz="0" w:space="0" w:color="auto"/>
      </w:divBdr>
    </w:div>
    <w:div w:id="683482183">
      <w:bodyDiv w:val="1"/>
      <w:marLeft w:val="0"/>
      <w:marRight w:val="0"/>
      <w:marTop w:val="0"/>
      <w:marBottom w:val="0"/>
      <w:divBdr>
        <w:top w:val="none" w:sz="0" w:space="0" w:color="auto"/>
        <w:left w:val="none" w:sz="0" w:space="0" w:color="auto"/>
        <w:bottom w:val="none" w:sz="0" w:space="0" w:color="auto"/>
        <w:right w:val="none" w:sz="0" w:space="0" w:color="auto"/>
      </w:divBdr>
    </w:div>
    <w:div w:id="683895014">
      <w:bodyDiv w:val="1"/>
      <w:marLeft w:val="0"/>
      <w:marRight w:val="0"/>
      <w:marTop w:val="0"/>
      <w:marBottom w:val="0"/>
      <w:divBdr>
        <w:top w:val="none" w:sz="0" w:space="0" w:color="auto"/>
        <w:left w:val="none" w:sz="0" w:space="0" w:color="auto"/>
        <w:bottom w:val="none" w:sz="0" w:space="0" w:color="auto"/>
        <w:right w:val="none" w:sz="0" w:space="0" w:color="auto"/>
      </w:divBdr>
    </w:div>
    <w:div w:id="695082637">
      <w:bodyDiv w:val="1"/>
      <w:marLeft w:val="0"/>
      <w:marRight w:val="0"/>
      <w:marTop w:val="0"/>
      <w:marBottom w:val="0"/>
      <w:divBdr>
        <w:top w:val="none" w:sz="0" w:space="0" w:color="auto"/>
        <w:left w:val="none" w:sz="0" w:space="0" w:color="auto"/>
        <w:bottom w:val="none" w:sz="0" w:space="0" w:color="auto"/>
        <w:right w:val="none" w:sz="0" w:space="0" w:color="auto"/>
      </w:divBdr>
    </w:div>
    <w:div w:id="713116371">
      <w:bodyDiv w:val="1"/>
      <w:marLeft w:val="225"/>
      <w:marRight w:val="225"/>
      <w:marTop w:val="0"/>
      <w:marBottom w:val="0"/>
      <w:divBdr>
        <w:top w:val="none" w:sz="0" w:space="0" w:color="auto"/>
        <w:left w:val="none" w:sz="0" w:space="0" w:color="auto"/>
        <w:bottom w:val="none" w:sz="0" w:space="0" w:color="auto"/>
        <w:right w:val="none" w:sz="0" w:space="0" w:color="auto"/>
      </w:divBdr>
      <w:divsChild>
        <w:div w:id="697043703">
          <w:marLeft w:val="0"/>
          <w:marRight w:val="0"/>
          <w:marTop w:val="0"/>
          <w:marBottom w:val="0"/>
          <w:divBdr>
            <w:top w:val="none" w:sz="0" w:space="0" w:color="auto"/>
            <w:left w:val="none" w:sz="0" w:space="0" w:color="auto"/>
            <w:bottom w:val="none" w:sz="0" w:space="0" w:color="auto"/>
            <w:right w:val="none" w:sz="0" w:space="0" w:color="auto"/>
          </w:divBdr>
        </w:div>
      </w:divsChild>
    </w:div>
    <w:div w:id="719672403">
      <w:bodyDiv w:val="1"/>
      <w:marLeft w:val="225"/>
      <w:marRight w:val="225"/>
      <w:marTop w:val="0"/>
      <w:marBottom w:val="0"/>
      <w:divBdr>
        <w:top w:val="none" w:sz="0" w:space="0" w:color="auto"/>
        <w:left w:val="none" w:sz="0" w:space="0" w:color="auto"/>
        <w:bottom w:val="none" w:sz="0" w:space="0" w:color="auto"/>
        <w:right w:val="none" w:sz="0" w:space="0" w:color="auto"/>
      </w:divBdr>
      <w:divsChild>
        <w:div w:id="1305548215">
          <w:marLeft w:val="0"/>
          <w:marRight w:val="0"/>
          <w:marTop w:val="0"/>
          <w:marBottom w:val="0"/>
          <w:divBdr>
            <w:top w:val="none" w:sz="0" w:space="0" w:color="auto"/>
            <w:left w:val="none" w:sz="0" w:space="0" w:color="auto"/>
            <w:bottom w:val="none" w:sz="0" w:space="0" w:color="auto"/>
            <w:right w:val="none" w:sz="0" w:space="0" w:color="auto"/>
          </w:divBdr>
        </w:div>
      </w:divsChild>
    </w:div>
    <w:div w:id="721489747">
      <w:bodyDiv w:val="1"/>
      <w:marLeft w:val="0"/>
      <w:marRight w:val="0"/>
      <w:marTop w:val="0"/>
      <w:marBottom w:val="0"/>
      <w:divBdr>
        <w:top w:val="none" w:sz="0" w:space="0" w:color="auto"/>
        <w:left w:val="none" w:sz="0" w:space="0" w:color="auto"/>
        <w:bottom w:val="none" w:sz="0" w:space="0" w:color="auto"/>
        <w:right w:val="none" w:sz="0" w:space="0" w:color="auto"/>
      </w:divBdr>
    </w:div>
    <w:div w:id="773984994">
      <w:bodyDiv w:val="1"/>
      <w:marLeft w:val="0"/>
      <w:marRight w:val="0"/>
      <w:marTop w:val="0"/>
      <w:marBottom w:val="0"/>
      <w:divBdr>
        <w:top w:val="none" w:sz="0" w:space="0" w:color="auto"/>
        <w:left w:val="none" w:sz="0" w:space="0" w:color="auto"/>
        <w:bottom w:val="none" w:sz="0" w:space="0" w:color="auto"/>
        <w:right w:val="none" w:sz="0" w:space="0" w:color="auto"/>
      </w:divBdr>
    </w:div>
    <w:div w:id="814877238">
      <w:bodyDiv w:val="1"/>
      <w:marLeft w:val="0"/>
      <w:marRight w:val="0"/>
      <w:marTop w:val="0"/>
      <w:marBottom w:val="0"/>
      <w:divBdr>
        <w:top w:val="none" w:sz="0" w:space="0" w:color="auto"/>
        <w:left w:val="none" w:sz="0" w:space="0" w:color="auto"/>
        <w:bottom w:val="none" w:sz="0" w:space="0" w:color="auto"/>
        <w:right w:val="none" w:sz="0" w:space="0" w:color="auto"/>
      </w:divBdr>
    </w:div>
    <w:div w:id="840242965">
      <w:bodyDiv w:val="1"/>
      <w:marLeft w:val="0"/>
      <w:marRight w:val="0"/>
      <w:marTop w:val="0"/>
      <w:marBottom w:val="0"/>
      <w:divBdr>
        <w:top w:val="none" w:sz="0" w:space="0" w:color="auto"/>
        <w:left w:val="none" w:sz="0" w:space="0" w:color="auto"/>
        <w:bottom w:val="none" w:sz="0" w:space="0" w:color="auto"/>
        <w:right w:val="none" w:sz="0" w:space="0" w:color="auto"/>
      </w:divBdr>
    </w:div>
    <w:div w:id="853492984">
      <w:bodyDiv w:val="1"/>
      <w:marLeft w:val="0"/>
      <w:marRight w:val="0"/>
      <w:marTop w:val="0"/>
      <w:marBottom w:val="0"/>
      <w:divBdr>
        <w:top w:val="none" w:sz="0" w:space="0" w:color="auto"/>
        <w:left w:val="none" w:sz="0" w:space="0" w:color="auto"/>
        <w:bottom w:val="none" w:sz="0" w:space="0" w:color="auto"/>
        <w:right w:val="none" w:sz="0" w:space="0" w:color="auto"/>
      </w:divBdr>
    </w:div>
    <w:div w:id="865288106">
      <w:bodyDiv w:val="1"/>
      <w:marLeft w:val="0"/>
      <w:marRight w:val="0"/>
      <w:marTop w:val="0"/>
      <w:marBottom w:val="0"/>
      <w:divBdr>
        <w:top w:val="none" w:sz="0" w:space="0" w:color="auto"/>
        <w:left w:val="none" w:sz="0" w:space="0" w:color="auto"/>
        <w:bottom w:val="none" w:sz="0" w:space="0" w:color="auto"/>
        <w:right w:val="none" w:sz="0" w:space="0" w:color="auto"/>
      </w:divBdr>
    </w:div>
    <w:div w:id="952593496">
      <w:bodyDiv w:val="1"/>
      <w:marLeft w:val="0"/>
      <w:marRight w:val="0"/>
      <w:marTop w:val="0"/>
      <w:marBottom w:val="0"/>
      <w:divBdr>
        <w:top w:val="none" w:sz="0" w:space="0" w:color="auto"/>
        <w:left w:val="none" w:sz="0" w:space="0" w:color="auto"/>
        <w:bottom w:val="none" w:sz="0" w:space="0" w:color="auto"/>
        <w:right w:val="none" w:sz="0" w:space="0" w:color="auto"/>
      </w:divBdr>
      <w:divsChild>
        <w:div w:id="562103304">
          <w:marLeft w:val="446"/>
          <w:marRight w:val="0"/>
          <w:marTop w:val="0"/>
          <w:marBottom w:val="0"/>
          <w:divBdr>
            <w:top w:val="none" w:sz="0" w:space="0" w:color="auto"/>
            <w:left w:val="none" w:sz="0" w:space="0" w:color="auto"/>
            <w:bottom w:val="none" w:sz="0" w:space="0" w:color="auto"/>
            <w:right w:val="none" w:sz="0" w:space="0" w:color="auto"/>
          </w:divBdr>
        </w:div>
      </w:divsChild>
    </w:div>
    <w:div w:id="953680968">
      <w:bodyDiv w:val="1"/>
      <w:marLeft w:val="0"/>
      <w:marRight w:val="0"/>
      <w:marTop w:val="0"/>
      <w:marBottom w:val="0"/>
      <w:divBdr>
        <w:top w:val="none" w:sz="0" w:space="0" w:color="auto"/>
        <w:left w:val="none" w:sz="0" w:space="0" w:color="auto"/>
        <w:bottom w:val="none" w:sz="0" w:space="0" w:color="auto"/>
        <w:right w:val="none" w:sz="0" w:space="0" w:color="auto"/>
      </w:divBdr>
    </w:div>
    <w:div w:id="961808872">
      <w:bodyDiv w:val="1"/>
      <w:marLeft w:val="0"/>
      <w:marRight w:val="0"/>
      <w:marTop w:val="0"/>
      <w:marBottom w:val="0"/>
      <w:divBdr>
        <w:top w:val="none" w:sz="0" w:space="0" w:color="auto"/>
        <w:left w:val="none" w:sz="0" w:space="0" w:color="auto"/>
        <w:bottom w:val="none" w:sz="0" w:space="0" w:color="auto"/>
        <w:right w:val="none" w:sz="0" w:space="0" w:color="auto"/>
      </w:divBdr>
      <w:divsChild>
        <w:div w:id="1740519653">
          <w:marLeft w:val="0"/>
          <w:marRight w:val="0"/>
          <w:marTop w:val="0"/>
          <w:marBottom w:val="0"/>
          <w:divBdr>
            <w:top w:val="none" w:sz="0" w:space="0" w:color="auto"/>
            <w:left w:val="none" w:sz="0" w:space="0" w:color="auto"/>
            <w:bottom w:val="none" w:sz="0" w:space="0" w:color="auto"/>
            <w:right w:val="none" w:sz="0" w:space="0" w:color="auto"/>
          </w:divBdr>
        </w:div>
      </w:divsChild>
    </w:div>
    <w:div w:id="982345564">
      <w:bodyDiv w:val="1"/>
      <w:marLeft w:val="0"/>
      <w:marRight w:val="0"/>
      <w:marTop w:val="0"/>
      <w:marBottom w:val="0"/>
      <w:divBdr>
        <w:top w:val="none" w:sz="0" w:space="0" w:color="auto"/>
        <w:left w:val="none" w:sz="0" w:space="0" w:color="auto"/>
        <w:bottom w:val="none" w:sz="0" w:space="0" w:color="auto"/>
        <w:right w:val="none" w:sz="0" w:space="0" w:color="auto"/>
      </w:divBdr>
    </w:div>
    <w:div w:id="982857588">
      <w:bodyDiv w:val="1"/>
      <w:marLeft w:val="0"/>
      <w:marRight w:val="0"/>
      <w:marTop w:val="0"/>
      <w:marBottom w:val="0"/>
      <w:divBdr>
        <w:top w:val="none" w:sz="0" w:space="0" w:color="auto"/>
        <w:left w:val="none" w:sz="0" w:space="0" w:color="auto"/>
        <w:bottom w:val="none" w:sz="0" w:space="0" w:color="auto"/>
        <w:right w:val="none" w:sz="0" w:space="0" w:color="auto"/>
      </w:divBdr>
    </w:div>
    <w:div w:id="1040206379">
      <w:bodyDiv w:val="1"/>
      <w:marLeft w:val="0"/>
      <w:marRight w:val="0"/>
      <w:marTop w:val="0"/>
      <w:marBottom w:val="0"/>
      <w:divBdr>
        <w:top w:val="none" w:sz="0" w:space="0" w:color="auto"/>
        <w:left w:val="none" w:sz="0" w:space="0" w:color="auto"/>
        <w:bottom w:val="none" w:sz="0" w:space="0" w:color="auto"/>
        <w:right w:val="none" w:sz="0" w:space="0" w:color="auto"/>
      </w:divBdr>
    </w:div>
    <w:div w:id="1050306816">
      <w:bodyDiv w:val="1"/>
      <w:marLeft w:val="0"/>
      <w:marRight w:val="0"/>
      <w:marTop w:val="0"/>
      <w:marBottom w:val="0"/>
      <w:divBdr>
        <w:top w:val="none" w:sz="0" w:space="0" w:color="auto"/>
        <w:left w:val="none" w:sz="0" w:space="0" w:color="auto"/>
        <w:bottom w:val="none" w:sz="0" w:space="0" w:color="auto"/>
        <w:right w:val="none" w:sz="0" w:space="0" w:color="auto"/>
      </w:divBdr>
    </w:div>
    <w:div w:id="1053309139">
      <w:bodyDiv w:val="1"/>
      <w:marLeft w:val="0"/>
      <w:marRight w:val="0"/>
      <w:marTop w:val="0"/>
      <w:marBottom w:val="0"/>
      <w:divBdr>
        <w:top w:val="none" w:sz="0" w:space="0" w:color="auto"/>
        <w:left w:val="none" w:sz="0" w:space="0" w:color="auto"/>
        <w:bottom w:val="none" w:sz="0" w:space="0" w:color="auto"/>
        <w:right w:val="none" w:sz="0" w:space="0" w:color="auto"/>
      </w:divBdr>
    </w:div>
    <w:div w:id="1060058575">
      <w:bodyDiv w:val="1"/>
      <w:marLeft w:val="0"/>
      <w:marRight w:val="0"/>
      <w:marTop w:val="0"/>
      <w:marBottom w:val="0"/>
      <w:divBdr>
        <w:top w:val="none" w:sz="0" w:space="0" w:color="auto"/>
        <w:left w:val="none" w:sz="0" w:space="0" w:color="auto"/>
        <w:bottom w:val="none" w:sz="0" w:space="0" w:color="auto"/>
        <w:right w:val="none" w:sz="0" w:space="0" w:color="auto"/>
      </w:divBdr>
    </w:div>
    <w:div w:id="1077752369">
      <w:bodyDiv w:val="1"/>
      <w:marLeft w:val="0"/>
      <w:marRight w:val="0"/>
      <w:marTop w:val="0"/>
      <w:marBottom w:val="0"/>
      <w:divBdr>
        <w:top w:val="none" w:sz="0" w:space="0" w:color="auto"/>
        <w:left w:val="none" w:sz="0" w:space="0" w:color="auto"/>
        <w:bottom w:val="none" w:sz="0" w:space="0" w:color="auto"/>
        <w:right w:val="none" w:sz="0" w:space="0" w:color="auto"/>
      </w:divBdr>
    </w:div>
    <w:div w:id="1079911064">
      <w:bodyDiv w:val="1"/>
      <w:marLeft w:val="0"/>
      <w:marRight w:val="0"/>
      <w:marTop w:val="0"/>
      <w:marBottom w:val="0"/>
      <w:divBdr>
        <w:top w:val="none" w:sz="0" w:space="0" w:color="auto"/>
        <w:left w:val="none" w:sz="0" w:space="0" w:color="auto"/>
        <w:bottom w:val="none" w:sz="0" w:space="0" w:color="auto"/>
        <w:right w:val="none" w:sz="0" w:space="0" w:color="auto"/>
      </w:divBdr>
    </w:div>
    <w:div w:id="1083068794">
      <w:bodyDiv w:val="1"/>
      <w:marLeft w:val="0"/>
      <w:marRight w:val="0"/>
      <w:marTop w:val="0"/>
      <w:marBottom w:val="0"/>
      <w:divBdr>
        <w:top w:val="none" w:sz="0" w:space="0" w:color="auto"/>
        <w:left w:val="none" w:sz="0" w:space="0" w:color="auto"/>
        <w:bottom w:val="none" w:sz="0" w:space="0" w:color="auto"/>
        <w:right w:val="none" w:sz="0" w:space="0" w:color="auto"/>
      </w:divBdr>
    </w:div>
    <w:div w:id="1119299685">
      <w:bodyDiv w:val="1"/>
      <w:marLeft w:val="225"/>
      <w:marRight w:val="225"/>
      <w:marTop w:val="0"/>
      <w:marBottom w:val="0"/>
      <w:divBdr>
        <w:top w:val="none" w:sz="0" w:space="0" w:color="auto"/>
        <w:left w:val="none" w:sz="0" w:space="0" w:color="auto"/>
        <w:bottom w:val="none" w:sz="0" w:space="0" w:color="auto"/>
        <w:right w:val="none" w:sz="0" w:space="0" w:color="auto"/>
      </w:divBdr>
      <w:divsChild>
        <w:div w:id="987898941">
          <w:marLeft w:val="0"/>
          <w:marRight w:val="0"/>
          <w:marTop w:val="0"/>
          <w:marBottom w:val="0"/>
          <w:divBdr>
            <w:top w:val="none" w:sz="0" w:space="0" w:color="auto"/>
            <w:left w:val="none" w:sz="0" w:space="0" w:color="auto"/>
            <w:bottom w:val="none" w:sz="0" w:space="0" w:color="auto"/>
            <w:right w:val="none" w:sz="0" w:space="0" w:color="auto"/>
          </w:divBdr>
        </w:div>
      </w:divsChild>
    </w:div>
    <w:div w:id="1127701786">
      <w:bodyDiv w:val="1"/>
      <w:marLeft w:val="0"/>
      <w:marRight w:val="0"/>
      <w:marTop w:val="0"/>
      <w:marBottom w:val="0"/>
      <w:divBdr>
        <w:top w:val="none" w:sz="0" w:space="0" w:color="auto"/>
        <w:left w:val="none" w:sz="0" w:space="0" w:color="auto"/>
        <w:bottom w:val="none" w:sz="0" w:space="0" w:color="auto"/>
        <w:right w:val="none" w:sz="0" w:space="0" w:color="auto"/>
      </w:divBdr>
    </w:div>
    <w:div w:id="1185561032">
      <w:bodyDiv w:val="1"/>
      <w:marLeft w:val="0"/>
      <w:marRight w:val="0"/>
      <w:marTop w:val="0"/>
      <w:marBottom w:val="0"/>
      <w:divBdr>
        <w:top w:val="none" w:sz="0" w:space="0" w:color="auto"/>
        <w:left w:val="none" w:sz="0" w:space="0" w:color="auto"/>
        <w:bottom w:val="none" w:sz="0" w:space="0" w:color="auto"/>
        <w:right w:val="none" w:sz="0" w:space="0" w:color="auto"/>
      </w:divBdr>
      <w:divsChild>
        <w:div w:id="1953902153">
          <w:marLeft w:val="547"/>
          <w:marRight w:val="0"/>
          <w:marTop w:val="0"/>
          <w:marBottom w:val="0"/>
          <w:divBdr>
            <w:top w:val="none" w:sz="0" w:space="0" w:color="auto"/>
            <w:left w:val="none" w:sz="0" w:space="0" w:color="auto"/>
            <w:bottom w:val="none" w:sz="0" w:space="0" w:color="auto"/>
            <w:right w:val="none" w:sz="0" w:space="0" w:color="auto"/>
          </w:divBdr>
        </w:div>
      </w:divsChild>
    </w:div>
    <w:div w:id="1196770706">
      <w:bodyDiv w:val="1"/>
      <w:marLeft w:val="0"/>
      <w:marRight w:val="0"/>
      <w:marTop w:val="0"/>
      <w:marBottom w:val="0"/>
      <w:divBdr>
        <w:top w:val="none" w:sz="0" w:space="0" w:color="auto"/>
        <w:left w:val="none" w:sz="0" w:space="0" w:color="auto"/>
        <w:bottom w:val="none" w:sz="0" w:space="0" w:color="auto"/>
        <w:right w:val="none" w:sz="0" w:space="0" w:color="auto"/>
      </w:divBdr>
    </w:div>
    <w:div w:id="1203404291">
      <w:bodyDiv w:val="1"/>
      <w:marLeft w:val="0"/>
      <w:marRight w:val="0"/>
      <w:marTop w:val="0"/>
      <w:marBottom w:val="0"/>
      <w:divBdr>
        <w:top w:val="none" w:sz="0" w:space="0" w:color="auto"/>
        <w:left w:val="none" w:sz="0" w:space="0" w:color="auto"/>
        <w:bottom w:val="none" w:sz="0" w:space="0" w:color="auto"/>
        <w:right w:val="none" w:sz="0" w:space="0" w:color="auto"/>
      </w:divBdr>
    </w:div>
    <w:div w:id="1226380360">
      <w:bodyDiv w:val="1"/>
      <w:marLeft w:val="0"/>
      <w:marRight w:val="0"/>
      <w:marTop w:val="0"/>
      <w:marBottom w:val="0"/>
      <w:divBdr>
        <w:top w:val="none" w:sz="0" w:space="0" w:color="auto"/>
        <w:left w:val="none" w:sz="0" w:space="0" w:color="auto"/>
        <w:bottom w:val="none" w:sz="0" w:space="0" w:color="auto"/>
        <w:right w:val="none" w:sz="0" w:space="0" w:color="auto"/>
      </w:divBdr>
    </w:div>
    <w:div w:id="1249268344">
      <w:bodyDiv w:val="1"/>
      <w:marLeft w:val="0"/>
      <w:marRight w:val="0"/>
      <w:marTop w:val="0"/>
      <w:marBottom w:val="0"/>
      <w:divBdr>
        <w:top w:val="none" w:sz="0" w:space="0" w:color="auto"/>
        <w:left w:val="none" w:sz="0" w:space="0" w:color="auto"/>
        <w:bottom w:val="none" w:sz="0" w:space="0" w:color="auto"/>
        <w:right w:val="none" w:sz="0" w:space="0" w:color="auto"/>
      </w:divBdr>
    </w:div>
    <w:div w:id="1300916733">
      <w:bodyDiv w:val="1"/>
      <w:marLeft w:val="0"/>
      <w:marRight w:val="0"/>
      <w:marTop w:val="0"/>
      <w:marBottom w:val="0"/>
      <w:divBdr>
        <w:top w:val="none" w:sz="0" w:space="0" w:color="auto"/>
        <w:left w:val="none" w:sz="0" w:space="0" w:color="auto"/>
        <w:bottom w:val="none" w:sz="0" w:space="0" w:color="auto"/>
        <w:right w:val="none" w:sz="0" w:space="0" w:color="auto"/>
      </w:divBdr>
    </w:div>
    <w:div w:id="1301839756">
      <w:bodyDiv w:val="1"/>
      <w:marLeft w:val="0"/>
      <w:marRight w:val="0"/>
      <w:marTop w:val="0"/>
      <w:marBottom w:val="0"/>
      <w:divBdr>
        <w:top w:val="none" w:sz="0" w:space="0" w:color="auto"/>
        <w:left w:val="none" w:sz="0" w:space="0" w:color="auto"/>
        <w:bottom w:val="none" w:sz="0" w:space="0" w:color="auto"/>
        <w:right w:val="none" w:sz="0" w:space="0" w:color="auto"/>
      </w:divBdr>
    </w:div>
    <w:div w:id="1301882819">
      <w:bodyDiv w:val="1"/>
      <w:marLeft w:val="0"/>
      <w:marRight w:val="0"/>
      <w:marTop w:val="0"/>
      <w:marBottom w:val="0"/>
      <w:divBdr>
        <w:top w:val="none" w:sz="0" w:space="0" w:color="auto"/>
        <w:left w:val="none" w:sz="0" w:space="0" w:color="auto"/>
        <w:bottom w:val="none" w:sz="0" w:space="0" w:color="auto"/>
        <w:right w:val="none" w:sz="0" w:space="0" w:color="auto"/>
      </w:divBdr>
      <w:divsChild>
        <w:div w:id="2044281577">
          <w:marLeft w:val="547"/>
          <w:marRight w:val="0"/>
          <w:marTop w:val="0"/>
          <w:marBottom w:val="0"/>
          <w:divBdr>
            <w:top w:val="none" w:sz="0" w:space="0" w:color="auto"/>
            <w:left w:val="none" w:sz="0" w:space="0" w:color="auto"/>
            <w:bottom w:val="none" w:sz="0" w:space="0" w:color="auto"/>
            <w:right w:val="none" w:sz="0" w:space="0" w:color="auto"/>
          </w:divBdr>
        </w:div>
        <w:div w:id="184253819">
          <w:marLeft w:val="547"/>
          <w:marRight w:val="0"/>
          <w:marTop w:val="0"/>
          <w:marBottom w:val="0"/>
          <w:divBdr>
            <w:top w:val="none" w:sz="0" w:space="0" w:color="auto"/>
            <w:left w:val="none" w:sz="0" w:space="0" w:color="auto"/>
            <w:bottom w:val="none" w:sz="0" w:space="0" w:color="auto"/>
            <w:right w:val="none" w:sz="0" w:space="0" w:color="auto"/>
          </w:divBdr>
        </w:div>
        <w:div w:id="557591255">
          <w:marLeft w:val="547"/>
          <w:marRight w:val="0"/>
          <w:marTop w:val="0"/>
          <w:marBottom w:val="0"/>
          <w:divBdr>
            <w:top w:val="none" w:sz="0" w:space="0" w:color="auto"/>
            <w:left w:val="none" w:sz="0" w:space="0" w:color="auto"/>
            <w:bottom w:val="none" w:sz="0" w:space="0" w:color="auto"/>
            <w:right w:val="none" w:sz="0" w:space="0" w:color="auto"/>
          </w:divBdr>
        </w:div>
        <w:div w:id="831526027">
          <w:marLeft w:val="547"/>
          <w:marRight w:val="0"/>
          <w:marTop w:val="0"/>
          <w:marBottom w:val="0"/>
          <w:divBdr>
            <w:top w:val="none" w:sz="0" w:space="0" w:color="auto"/>
            <w:left w:val="none" w:sz="0" w:space="0" w:color="auto"/>
            <w:bottom w:val="none" w:sz="0" w:space="0" w:color="auto"/>
            <w:right w:val="none" w:sz="0" w:space="0" w:color="auto"/>
          </w:divBdr>
        </w:div>
        <w:div w:id="1020662451">
          <w:marLeft w:val="547"/>
          <w:marRight w:val="0"/>
          <w:marTop w:val="0"/>
          <w:marBottom w:val="0"/>
          <w:divBdr>
            <w:top w:val="none" w:sz="0" w:space="0" w:color="auto"/>
            <w:left w:val="none" w:sz="0" w:space="0" w:color="auto"/>
            <w:bottom w:val="none" w:sz="0" w:space="0" w:color="auto"/>
            <w:right w:val="none" w:sz="0" w:space="0" w:color="auto"/>
          </w:divBdr>
        </w:div>
      </w:divsChild>
    </w:div>
    <w:div w:id="1303077020">
      <w:bodyDiv w:val="1"/>
      <w:marLeft w:val="0"/>
      <w:marRight w:val="0"/>
      <w:marTop w:val="0"/>
      <w:marBottom w:val="0"/>
      <w:divBdr>
        <w:top w:val="none" w:sz="0" w:space="0" w:color="auto"/>
        <w:left w:val="none" w:sz="0" w:space="0" w:color="auto"/>
        <w:bottom w:val="none" w:sz="0" w:space="0" w:color="auto"/>
        <w:right w:val="none" w:sz="0" w:space="0" w:color="auto"/>
      </w:divBdr>
      <w:divsChild>
        <w:div w:id="684092068">
          <w:marLeft w:val="386"/>
          <w:marRight w:val="386"/>
          <w:marTop w:val="0"/>
          <w:marBottom w:val="129"/>
          <w:divBdr>
            <w:top w:val="single" w:sz="4" w:space="6" w:color="112449"/>
            <w:left w:val="single" w:sz="4" w:space="6" w:color="112449"/>
            <w:bottom w:val="single" w:sz="4" w:space="6" w:color="112449"/>
            <w:right w:val="single" w:sz="4" w:space="6" w:color="112449"/>
          </w:divBdr>
        </w:div>
      </w:divsChild>
    </w:div>
    <w:div w:id="1305814067">
      <w:bodyDiv w:val="1"/>
      <w:marLeft w:val="0"/>
      <w:marRight w:val="0"/>
      <w:marTop w:val="0"/>
      <w:marBottom w:val="0"/>
      <w:divBdr>
        <w:top w:val="none" w:sz="0" w:space="0" w:color="auto"/>
        <w:left w:val="none" w:sz="0" w:space="0" w:color="auto"/>
        <w:bottom w:val="none" w:sz="0" w:space="0" w:color="auto"/>
        <w:right w:val="none" w:sz="0" w:space="0" w:color="auto"/>
      </w:divBdr>
    </w:div>
    <w:div w:id="1314875341">
      <w:bodyDiv w:val="1"/>
      <w:marLeft w:val="0"/>
      <w:marRight w:val="0"/>
      <w:marTop w:val="0"/>
      <w:marBottom w:val="0"/>
      <w:divBdr>
        <w:top w:val="none" w:sz="0" w:space="0" w:color="auto"/>
        <w:left w:val="none" w:sz="0" w:space="0" w:color="auto"/>
        <w:bottom w:val="none" w:sz="0" w:space="0" w:color="auto"/>
        <w:right w:val="none" w:sz="0" w:space="0" w:color="auto"/>
      </w:divBdr>
    </w:div>
    <w:div w:id="1356156132">
      <w:bodyDiv w:val="1"/>
      <w:marLeft w:val="0"/>
      <w:marRight w:val="0"/>
      <w:marTop w:val="0"/>
      <w:marBottom w:val="0"/>
      <w:divBdr>
        <w:top w:val="none" w:sz="0" w:space="0" w:color="auto"/>
        <w:left w:val="none" w:sz="0" w:space="0" w:color="auto"/>
        <w:bottom w:val="none" w:sz="0" w:space="0" w:color="auto"/>
        <w:right w:val="none" w:sz="0" w:space="0" w:color="auto"/>
      </w:divBdr>
    </w:div>
    <w:div w:id="1388725698">
      <w:bodyDiv w:val="1"/>
      <w:marLeft w:val="0"/>
      <w:marRight w:val="0"/>
      <w:marTop w:val="0"/>
      <w:marBottom w:val="0"/>
      <w:divBdr>
        <w:top w:val="none" w:sz="0" w:space="0" w:color="auto"/>
        <w:left w:val="none" w:sz="0" w:space="0" w:color="auto"/>
        <w:bottom w:val="none" w:sz="0" w:space="0" w:color="auto"/>
        <w:right w:val="none" w:sz="0" w:space="0" w:color="auto"/>
      </w:divBdr>
    </w:div>
    <w:div w:id="1392923542">
      <w:bodyDiv w:val="1"/>
      <w:marLeft w:val="0"/>
      <w:marRight w:val="0"/>
      <w:marTop w:val="0"/>
      <w:marBottom w:val="0"/>
      <w:divBdr>
        <w:top w:val="none" w:sz="0" w:space="0" w:color="auto"/>
        <w:left w:val="none" w:sz="0" w:space="0" w:color="auto"/>
        <w:bottom w:val="none" w:sz="0" w:space="0" w:color="auto"/>
        <w:right w:val="none" w:sz="0" w:space="0" w:color="auto"/>
      </w:divBdr>
    </w:div>
    <w:div w:id="1442995376">
      <w:bodyDiv w:val="1"/>
      <w:marLeft w:val="0"/>
      <w:marRight w:val="0"/>
      <w:marTop w:val="0"/>
      <w:marBottom w:val="0"/>
      <w:divBdr>
        <w:top w:val="none" w:sz="0" w:space="0" w:color="auto"/>
        <w:left w:val="none" w:sz="0" w:space="0" w:color="auto"/>
        <w:bottom w:val="none" w:sz="0" w:space="0" w:color="auto"/>
        <w:right w:val="none" w:sz="0" w:space="0" w:color="auto"/>
      </w:divBdr>
    </w:div>
    <w:div w:id="1464419743">
      <w:bodyDiv w:val="1"/>
      <w:marLeft w:val="0"/>
      <w:marRight w:val="0"/>
      <w:marTop w:val="0"/>
      <w:marBottom w:val="0"/>
      <w:divBdr>
        <w:top w:val="none" w:sz="0" w:space="0" w:color="auto"/>
        <w:left w:val="none" w:sz="0" w:space="0" w:color="auto"/>
        <w:bottom w:val="none" w:sz="0" w:space="0" w:color="auto"/>
        <w:right w:val="none" w:sz="0" w:space="0" w:color="auto"/>
      </w:divBdr>
    </w:div>
    <w:div w:id="1481730836">
      <w:bodyDiv w:val="1"/>
      <w:marLeft w:val="0"/>
      <w:marRight w:val="0"/>
      <w:marTop w:val="0"/>
      <w:marBottom w:val="0"/>
      <w:divBdr>
        <w:top w:val="none" w:sz="0" w:space="0" w:color="auto"/>
        <w:left w:val="none" w:sz="0" w:space="0" w:color="auto"/>
        <w:bottom w:val="none" w:sz="0" w:space="0" w:color="auto"/>
        <w:right w:val="none" w:sz="0" w:space="0" w:color="auto"/>
      </w:divBdr>
      <w:divsChild>
        <w:div w:id="1363440473">
          <w:marLeft w:val="446"/>
          <w:marRight w:val="0"/>
          <w:marTop w:val="200"/>
          <w:marBottom w:val="0"/>
          <w:divBdr>
            <w:top w:val="none" w:sz="0" w:space="0" w:color="auto"/>
            <w:left w:val="none" w:sz="0" w:space="0" w:color="auto"/>
            <w:bottom w:val="none" w:sz="0" w:space="0" w:color="auto"/>
            <w:right w:val="none" w:sz="0" w:space="0" w:color="auto"/>
          </w:divBdr>
        </w:div>
      </w:divsChild>
    </w:div>
    <w:div w:id="1496804779">
      <w:bodyDiv w:val="1"/>
      <w:marLeft w:val="0"/>
      <w:marRight w:val="0"/>
      <w:marTop w:val="0"/>
      <w:marBottom w:val="0"/>
      <w:divBdr>
        <w:top w:val="none" w:sz="0" w:space="0" w:color="auto"/>
        <w:left w:val="none" w:sz="0" w:space="0" w:color="auto"/>
        <w:bottom w:val="none" w:sz="0" w:space="0" w:color="auto"/>
        <w:right w:val="none" w:sz="0" w:space="0" w:color="auto"/>
      </w:divBdr>
    </w:div>
    <w:div w:id="1536387438">
      <w:bodyDiv w:val="1"/>
      <w:marLeft w:val="0"/>
      <w:marRight w:val="0"/>
      <w:marTop w:val="0"/>
      <w:marBottom w:val="0"/>
      <w:divBdr>
        <w:top w:val="none" w:sz="0" w:space="0" w:color="auto"/>
        <w:left w:val="none" w:sz="0" w:space="0" w:color="auto"/>
        <w:bottom w:val="none" w:sz="0" w:space="0" w:color="auto"/>
        <w:right w:val="none" w:sz="0" w:space="0" w:color="auto"/>
      </w:divBdr>
    </w:div>
    <w:div w:id="1583028516">
      <w:bodyDiv w:val="1"/>
      <w:marLeft w:val="0"/>
      <w:marRight w:val="0"/>
      <w:marTop w:val="0"/>
      <w:marBottom w:val="0"/>
      <w:divBdr>
        <w:top w:val="none" w:sz="0" w:space="0" w:color="auto"/>
        <w:left w:val="none" w:sz="0" w:space="0" w:color="auto"/>
        <w:bottom w:val="none" w:sz="0" w:space="0" w:color="auto"/>
        <w:right w:val="none" w:sz="0" w:space="0" w:color="auto"/>
      </w:divBdr>
    </w:div>
    <w:div w:id="1594128099">
      <w:bodyDiv w:val="1"/>
      <w:marLeft w:val="0"/>
      <w:marRight w:val="0"/>
      <w:marTop w:val="0"/>
      <w:marBottom w:val="0"/>
      <w:divBdr>
        <w:top w:val="none" w:sz="0" w:space="0" w:color="auto"/>
        <w:left w:val="none" w:sz="0" w:space="0" w:color="auto"/>
        <w:bottom w:val="none" w:sz="0" w:space="0" w:color="auto"/>
        <w:right w:val="none" w:sz="0" w:space="0" w:color="auto"/>
      </w:divBdr>
    </w:div>
    <w:div w:id="1616596099">
      <w:bodyDiv w:val="1"/>
      <w:marLeft w:val="0"/>
      <w:marRight w:val="0"/>
      <w:marTop w:val="0"/>
      <w:marBottom w:val="0"/>
      <w:divBdr>
        <w:top w:val="none" w:sz="0" w:space="0" w:color="auto"/>
        <w:left w:val="none" w:sz="0" w:space="0" w:color="auto"/>
        <w:bottom w:val="none" w:sz="0" w:space="0" w:color="auto"/>
        <w:right w:val="none" w:sz="0" w:space="0" w:color="auto"/>
      </w:divBdr>
    </w:div>
    <w:div w:id="1638031076">
      <w:bodyDiv w:val="1"/>
      <w:marLeft w:val="0"/>
      <w:marRight w:val="0"/>
      <w:marTop w:val="0"/>
      <w:marBottom w:val="0"/>
      <w:divBdr>
        <w:top w:val="none" w:sz="0" w:space="0" w:color="auto"/>
        <w:left w:val="none" w:sz="0" w:space="0" w:color="auto"/>
        <w:bottom w:val="none" w:sz="0" w:space="0" w:color="auto"/>
        <w:right w:val="none" w:sz="0" w:space="0" w:color="auto"/>
      </w:divBdr>
    </w:div>
    <w:div w:id="1660885233">
      <w:bodyDiv w:val="1"/>
      <w:marLeft w:val="0"/>
      <w:marRight w:val="0"/>
      <w:marTop w:val="0"/>
      <w:marBottom w:val="0"/>
      <w:divBdr>
        <w:top w:val="none" w:sz="0" w:space="0" w:color="auto"/>
        <w:left w:val="none" w:sz="0" w:space="0" w:color="auto"/>
        <w:bottom w:val="none" w:sz="0" w:space="0" w:color="auto"/>
        <w:right w:val="none" w:sz="0" w:space="0" w:color="auto"/>
      </w:divBdr>
    </w:div>
    <w:div w:id="1678075814">
      <w:bodyDiv w:val="1"/>
      <w:marLeft w:val="225"/>
      <w:marRight w:val="225"/>
      <w:marTop w:val="0"/>
      <w:marBottom w:val="0"/>
      <w:divBdr>
        <w:top w:val="none" w:sz="0" w:space="0" w:color="auto"/>
        <w:left w:val="none" w:sz="0" w:space="0" w:color="auto"/>
        <w:bottom w:val="none" w:sz="0" w:space="0" w:color="auto"/>
        <w:right w:val="none" w:sz="0" w:space="0" w:color="auto"/>
      </w:divBdr>
      <w:divsChild>
        <w:div w:id="250355506">
          <w:marLeft w:val="0"/>
          <w:marRight w:val="0"/>
          <w:marTop w:val="0"/>
          <w:marBottom w:val="0"/>
          <w:divBdr>
            <w:top w:val="none" w:sz="0" w:space="0" w:color="auto"/>
            <w:left w:val="none" w:sz="0" w:space="0" w:color="auto"/>
            <w:bottom w:val="none" w:sz="0" w:space="0" w:color="auto"/>
            <w:right w:val="none" w:sz="0" w:space="0" w:color="auto"/>
          </w:divBdr>
        </w:div>
      </w:divsChild>
    </w:div>
    <w:div w:id="1728339393">
      <w:bodyDiv w:val="1"/>
      <w:marLeft w:val="0"/>
      <w:marRight w:val="0"/>
      <w:marTop w:val="0"/>
      <w:marBottom w:val="0"/>
      <w:divBdr>
        <w:top w:val="none" w:sz="0" w:space="0" w:color="auto"/>
        <w:left w:val="none" w:sz="0" w:space="0" w:color="auto"/>
        <w:bottom w:val="none" w:sz="0" w:space="0" w:color="auto"/>
        <w:right w:val="none" w:sz="0" w:space="0" w:color="auto"/>
      </w:divBdr>
    </w:div>
    <w:div w:id="1730616322">
      <w:bodyDiv w:val="1"/>
      <w:marLeft w:val="0"/>
      <w:marRight w:val="0"/>
      <w:marTop w:val="0"/>
      <w:marBottom w:val="0"/>
      <w:divBdr>
        <w:top w:val="none" w:sz="0" w:space="0" w:color="auto"/>
        <w:left w:val="none" w:sz="0" w:space="0" w:color="auto"/>
        <w:bottom w:val="none" w:sz="0" w:space="0" w:color="auto"/>
        <w:right w:val="none" w:sz="0" w:space="0" w:color="auto"/>
      </w:divBdr>
      <w:divsChild>
        <w:div w:id="789587566">
          <w:marLeft w:val="446"/>
          <w:marRight w:val="0"/>
          <w:marTop w:val="0"/>
          <w:marBottom w:val="0"/>
          <w:divBdr>
            <w:top w:val="none" w:sz="0" w:space="0" w:color="auto"/>
            <w:left w:val="none" w:sz="0" w:space="0" w:color="auto"/>
            <w:bottom w:val="none" w:sz="0" w:space="0" w:color="auto"/>
            <w:right w:val="none" w:sz="0" w:space="0" w:color="auto"/>
          </w:divBdr>
        </w:div>
      </w:divsChild>
    </w:div>
    <w:div w:id="1751074203">
      <w:bodyDiv w:val="1"/>
      <w:marLeft w:val="0"/>
      <w:marRight w:val="0"/>
      <w:marTop w:val="0"/>
      <w:marBottom w:val="0"/>
      <w:divBdr>
        <w:top w:val="none" w:sz="0" w:space="0" w:color="auto"/>
        <w:left w:val="none" w:sz="0" w:space="0" w:color="auto"/>
        <w:bottom w:val="none" w:sz="0" w:space="0" w:color="auto"/>
        <w:right w:val="none" w:sz="0" w:space="0" w:color="auto"/>
      </w:divBdr>
      <w:divsChild>
        <w:div w:id="602961574">
          <w:marLeft w:val="547"/>
          <w:marRight w:val="0"/>
          <w:marTop w:val="0"/>
          <w:marBottom w:val="0"/>
          <w:divBdr>
            <w:top w:val="none" w:sz="0" w:space="0" w:color="auto"/>
            <w:left w:val="none" w:sz="0" w:space="0" w:color="auto"/>
            <w:bottom w:val="none" w:sz="0" w:space="0" w:color="auto"/>
            <w:right w:val="none" w:sz="0" w:space="0" w:color="auto"/>
          </w:divBdr>
        </w:div>
      </w:divsChild>
    </w:div>
    <w:div w:id="1759600377">
      <w:bodyDiv w:val="1"/>
      <w:marLeft w:val="0"/>
      <w:marRight w:val="0"/>
      <w:marTop w:val="0"/>
      <w:marBottom w:val="0"/>
      <w:divBdr>
        <w:top w:val="none" w:sz="0" w:space="0" w:color="auto"/>
        <w:left w:val="none" w:sz="0" w:space="0" w:color="auto"/>
        <w:bottom w:val="none" w:sz="0" w:space="0" w:color="auto"/>
        <w:right w:val="none" w:sz="0" w:space="0" w:color="auto"/>
      </w:divBdr>
    </w:div>
    <w:div w:id="1769154367">
      <w:bodyDiv w:val="1"/>
      <w:marLeft w:val="0"/>
      <w:marRight w:val="0"/>
      <w:marTop w:val="0"/>
      <w:marBottom w:val="0"/>
      <w:divBdr>
        <w:top w:val="none" w:sz="0" w:space="0" w:color="auto"/>
        <w:left w:val="none" w:sz="0" w:space="0" w:color="auto"/>
        <w:bottom w:val="none" w:sz="0" w:space="0" w:color="auto"/>
        <w:right w:val="none" w:sz="0" w:space="0" w:color="auto"/>
      </w:divBdr>
    </w:div>
    <w:div w:id="1780879761">
      <w:bodyDiv w:val="1"/>
      <w:marLeft w:val="0"/>
      <w:marRight w:val="0"/>
      <w:marTop w:val="0"/>
      <w:marBottom w:val="0"/>
      <w:divBdr>
        <w:top w:val="none" w:sz="0" w:space="0" w:color="auto"/>
        <w:left w:val="none" w:sz="0" w:space="0" w:color="auto"/>
        <w:bottom w:val="none" w:sz="0" w:space="0" w:color="auto"/>
        <w:right w:val="none" w:sz="0" w:space="0" w:color="auto"/>
      </w:divBdr>
      <w:divsChild>
        <w:div w:id="774636634">
          <w:marLeft w:val="446"/>
          <w:marRight w:val="0"/>
          <w:marTop w:val="200"/>
          <w:marBottom w:val="0"/>
          <w:divBdr>
            <w:top w:val="none" w:sz="0" w:space="0" w:color="auto"/>
            <w:left w:val="none" w:sz="0" w:space="0" w:color="auto"/>
            <w:bottom w:val="none" w:sz="0" w:space="0" w:color="auto"/>
            <w:right w:val="none" w:sz="0" w:space="0" w:color="auto"/>
          </w:divBdr>
        </w:div>
      </w:divsChild>
    </w:div>
    <w:div w:id="1787239237">
      <w:bodyDiv w:val="1"/>
      <w:marLeft w:val="225"/>
      <w:marRight w:val="225"/>
      <w:marTop w:val="0"/>
      <w:marBottom w:val="0"/>
      <w:divBdr>
        <w:top w:val="none" w:sz="0" w:space="0" w:color="auto"/>
        <w:left w:val="none" w:sz="0" w:space="0" w:color="auto"/>
        <w:bottom w:val="none" w:sz="0" w:space="0" w:color="auto"/>
        <w:right w:val="none" w:sz="0" w:space="0" w:color="auto"/>
      </w:divBdr>
    </w:div>
    <w:div w:id="1847750655">
      <w:bodyDiv w:val="1"/>
      <w:marLeft w:val="0"/>
      <w:marRight w:val="0"/>
      <w:marTop w:val="0"/>
      <w:marBottom w:val="0"/>
      <w:divBdr>
        <w:top w:val="none" w:sz="0" w:space="0" w:color="auto"/>
        <w:left w:val="none" w:sz="0" w:space="0" w:color="auto"/>
        <w:bottom w:val="none" w:sz="0" w:space="0" w:color="auto"/>
        <w:right w:val="none" w:sz="0" w:space="0" w:color="auto"/>
      </w:divBdr>
    </w:div>
    <w:div w:id="1898543363">
      <w:bodyDiv w:val="1"/>
      <w:marLeft w:val="0"/>
      <w:marRight w:val="0"/>
      <w:marTop w:val="0"/>
      <w:marBottom w:val="0"/>
      <w:divBdr>
        <w:top w:val="none" w:sz="0" w:space="0" w:color="auto"/>
        <w:left w:val="none" w:sz="0" w:space="0" w:color="auto"/>
        <w:bottom w:val="none" w:sz="0" w:space="0" w:color="auto"/>
        <w:right w:val="none" w:sz="0" w:space="0" w:color="auto"/>
      </w:divBdr>
      <w:divsChild>
        <w:div w:id="2123038910">
          <w:marLeft w:val="446"/>
          <w:marRight w:val="0"/>
          <w:marTop w:val="0"/>
          <w:marBottom w:val="0"/>
          <w:divBdr>
            <w:top w:val="none" w:sz="0" w:space="0" w:color="auto"/>
            <w:left w:val="none" w:sz="0" w:space="0" w:color="auto"/>
            <w:bottom w:val="none" w:sz="0" w:space="0" w:color="auto"/>
            <w:right w:val="none" w:sz="0" w:space="0" w:color="auto"/>
          </w:divBdr>
        </w:div>
      </w:divsChild>
    </w:div>
    <w:div w:id="1901475554">
      <w:bodyDiv w:val="1"/>
      <w:marLeft w:val="0"/>
      <w:marRight w:val="0"/>
      <w:marTop w:val="0"/>
      <w:marBottom w:val="0"/>
      <w:divBdr>
        <w:top w:val="none" w:sz="0" w:space="0" w:color="auto"/>
        <w:left w:val="none" w:sz="0" w:space="0" w:color="auto"/>
        <w:bottom w:val="none" w:sz="0" w:space="0" w:color="auto"/>
        <w:right w:val="none" w:sz="0" w:space="0" w:color="auto"/>
      </w:divBdr>
    </w:div>
    <w:div w:id="1925456162">
      <w:bodyDiv w:val="1"/>
      <w:marLeft w:val="0"/>
      <w:marRight w:val="0"/>
      <w:marTop w:val="0"/>
      <w:marBottom w:val="0"/>
      <w:divBdr>
        <w:top w:val="none" w:sz="0" w:space="0" w:color="auto"/>
        <w:left w:val="none" w:sz="0" w:space="0" w:color="auto"/>
        <w:bottom w:val="none" w:sz="0" w:space="0" w:color="auto"/>
        <w:right w:val="none" w:sz="0" w:space="0" w:color="auto"/>
      </w:divBdr>
    </w:div>
    <w:div w:id="1966084309">
      <w:bodyDiv w:val="1"/>
      <w:marLeft w:val="0"/>
      <w:marRight w:val="0"/>
      <w:marTop w:val="0"/>
      <w:marBottom w:val="0"/>
      <w:divBdr>
        <w:top w:val="none" w:sz="0" w:space="0" w:color="auto"/>
        <w:left w:val="none" w:sz="0" w:space="0" w:color="auto"/>
        <w:bottom w:val="none" w:sz="0" w:space="0" w:color="auto"/>
        <w:right w:val="none" w:sz="0" w:space="0" w:color="auto"/>
      </w:divBdr>
    </w:div>
    <w:div w:id="1986623632">
      <w:bodyDiv w:val="1"/>
      <w:marLeft w:val="0"/>
      <w:marRight w:val="0"/>
      <w:marTop w:val="0"/>
      <w:marBottom w:val="0"/>
      <w:divBdr>
        <w:top w:val="none" w:sz="0" w:space="0" w:color="auto"/>
        <w:left w:val="none" w:sz="0" w:space="0" w:color="auto"/>
        <w:bottom w:val="none" w:sz="0" w:space="0" w:color="auto"/>
        <w:right w:val="none" w:sz="0" w:space="0" w:color="auto"/>
      </w:divBdr>
    </w:div>
    <w:div w:id="2069837456">
      <w:bodyDiv w:val="1"/>
      <w:marLeft w:val="0"/>
      <w:marRight w:val="0"/>
      <w:marTop w:val="0"/>
      <w:marBottom w:val="0"/>
      <w:divBdr>
        <w:top w:val="none" w:sz="0" w:space="0" w:color="auto"/>
        <w:left w:val="none" w:sz="0" w:space="0" w:color="auto"/>
        <w:bottom w:val="none" w:sz="0" w:space="0" w:color="auto"/>
        <w:right w:val="none" w:sz="0" w:space="0" w:color="auto"/>
      </w:divBdr>
    </w:div>
    <w:div w:id="2087725443">
      <w:bodyDiv w:val="1"/>
      <w:marLeft w:val="0"/>
      <w:marRight w:val="0"/>
      <w:marTop w:val="0"/>
      <w:marBottom w:val="0"/>
      <w:divBdr>
        <w:top w:val="none" w:sz="0" w:space="0" w:color="auto"/>
        <w:left w:val="none" w:sz="0" w:space="0" w:color="auto"/>
        <w:bottom w:val="none" w:sz="0" w:space="0" w:color="auto"/>
        <w:right w:val="none" w:sz="0" w:space="0" w:color="auto"/>
      </w:divBdr>
    </w:div>
    <w:div w:id="2092581727">
      <w:bodyDiv w:val="1"/>
      <w:marLeft w:val="0"/>
      <w:marRight w:val="0"/>
      <w:marTop w:val="0"/>
      <w:marBottom w:val="0"/>
      <w:divBdr>
        <w:top w:val="none" w:sz="0" w:space="0" w:color="auto"/>
        <w:left w:val="none" w:sz="0" w:space="0" w:color="auto"/>
        <w:bottom w:val="none" w:sz="0" w:space="0" w:color="auto"/>
        <w:right w:val="none" w:sz="0" w:space="0" w:color="auto"/>
      </w:divBdr>
    </w:div>
    <w:div w:id="2095735815">
      <w:bodyDiv w:val="1"/>
      <w:marLeft w:val="0"/>
      <w:marRight w:val="0"/>
      <w:marTop w:val="0"/>
      <w:marBottom w:val="0"/>
      <w:divBdr>
        <w:top w:val="none" w:sz="0" w:space="0" w:color="auto"/>
        <w:left w:val="none" w:sz="0" w:space="0" w:color="auto"/>
        <w:bottom w:val="none" w:sz="0" w:space="0" w:color="auto"/>
        <w:right w:val="none" w:sz="0" w:space="0" w:color="auto"/>
      </w:divBdr>
      <w:divsChild>
        <w:div w:id="1641879421">
          <w:marLeft w:val="547"/>
          <w:marRight w:val="0"/>
          <w:marTop w:val="0"/>
          <w:marBottom w:val="0"/>
          <w:divBdr>
            <w:top w:val="none" w:sz="0" w:space="0" w:color="auto"/>
            <w:left w:val="none" w:sz="0" w:space="0" w:color="auto"/>
            <w:bottom w:val="none" w:sz="0" w:space="0" w:color="auto"/>
            <w:right w:val="none" w:sz="0" w:space="0" w:color="auto"/>
          </w:divBdr>
        </w:div>
        <w:div w:id="783501324">
          <w:marLeft w:val="547"/>
          <w:marRight w:val="0"/>
          <w:marTop w:val="0"/>
          <w:marBottom w:val="0"/>
          <w:divBdr>
            <w:top w:val="none" w:sz="0" w:space="0" w:color="auto"/>
            <w:left w:val="none" w:sz="0" w:space="0" w:color="auto"/>
            <w:bottom w:val="none" w:sz="0" w:space="0" w:color="auto"/>
            <w:right w:val="none" w:sz="0" w:space="0" w:color="auto"/>
          </w:divBdr>
        </w:div>
        <w:div w:id="1137723859">
          <w:marLeft w:val="547"/>
          <w:marRight w:val="0"/>
          <w:marTop w:val="0"/>
          <w:marBottom w:val="0"/>
          <w:divBdr>
            <w:top w:val="none" w:sz="0" w:space="0" w:color="auto"/>
            <w:left w:val="none" w:sz="0" w:space="0" w:color="auto"/>
            <w:bottom w:val="none" w:sz="0" w:space="0" w:color="auto"/>
            <w:right w:val="none" w:sz="0" w:space="0" w:color="auto"/>
          </w:divBdr>
        </w:div>
        <w:div w:id="652638802">
          <w:marLeft w:val="547"/>
          <w:marRight w:val="0"/>
          <w:marTop w:val="0"/>
          <w:marBottom w:val="0"/>
          <w:divBdr>
            <w:top w:val="none" w:sz="0" w:space="0" w:color="auto"/>
            <w:left w:val="none" w:sz="0" w:space="0" w:color="auto"/>
            <w:bottom w:val="none" w:sz="0" w:space="0" w:color="auto"/>
            <w:right w:val="none" w:sz="0" w:space="0" w:color="auto"/>
          </w:divBdr>
        </w:div>
        <w:div w:id="1273780134">
          <w:marLeft w:val="547"/>
          <w:marRight w:val="0"/>
          <w:marTop w:val="0"/>
          <w:marBottom w:val="0"/>
          <w:divBdr>
            <w:top w:val="none" w:sz="0" w:space="0" w:color="auto"/>
            <w:left w:val="none" w:sz="0" w:space="0" w:color="auto"/>
            <w:bottom w:val="none" w:sz="0" w:space="0" w:color="auto"/>
            <w:right w:val="none" w:sz="0" w:space="0" w:color="auto"/>
          </w:divBdr>
        </w:div>
      </w:divsChild>
    </w:div>
    <w:div w:id="2109543731">
      <w:bodyDiv w:val="1"/>
      <w:marLeft w:val="0"/>
      <w:marRight w:val="0"/>
      <w:marTop w:val="0"/>
      <w:marBottom w:val="0"/>
      <w:divBdr>
        <w:top w:val="none" w:sz="0" w:space="0" w:color="auto"/>
        <w:left w:val="none" w:sz="0" w:space="0" w:color="auto"/>
        <w:bottom w:val="none" w:sz="0" w:space="0" w:color="auto"/>
        <w:right w:val="none" w:sz="0" w:space="0" w:color="auto"/>
      </w:divBdr>
      <w:divsChild>
        <w:div w:id="328755391">
          <w:marLeft w:val="386"/>
          <w:marRight w:val="386"/>
          <w:marTop w:val="0"/>
          <w:marBottom w:val="129"/>
          <w:divBdr>
            <w:top w:val="single" w:sz="4" w:space="6" w:color="112449"/>
            <w:left w:val="single" w:sz="4" w:space="6" w:color="112449"/>
            <w:bottom w:val="single" w:sz="4" w:space="6" w:color="112449"/>
            <w:right w:val="single" w:sz="4" w:space="6" w:color="112449"/>
          </w:divBdr>
        </w:div>
      </w:divsChild>
    </w:div>
    <w:div w:id="2110617767">
      <w:bodyDiv w:val="1"/>
      <w:marLeft w:val="0"/>
      <w:marRight w:val="0"/>
      <w:marTop w:val="0"/>
      <w:marBottom w:val="0"/>
      <w:divBdr>
        <w:top w:val="none" w:sz="0" w:space="0" w:color="auto"/>
        <w:left w:val="none" w:sz="0" w:space="0" w:color="auto"/>
        <w:bottom w:val="none" w:sz="0" w:space="0" w:color="auto"/>
        <w:right w:val="none" w:sz="0" w:space="0" w:color="auto"/>
      </w:divBdr>
      <w:divsChild>
        <w:div w:id="369916146">
          <w:marLeft w:val="386"/>
          <w:marRight w:val="386"/>
          <w:marTop w:val="0"/>
          <w:marBottom w:val="129"/>
          <w:divBdr>
            <w:top w:val="single" w:sz="4" w:space="6" w:color="112449"/>
            <w:left w:val="single" w:sz="4" w:space="6" w:color="112449"/>
            <w:bottom w:val="single" w:sz="4" w:space="6" w:color="112449"/>
            <w:right w:val="single" w:sz="4" w:space="6" w:color="112449"/>
          </w:divBdr>
        </w:div>
      </w:divsChild>
    </w:div>
    <w:div w:id="2126342897">
      <w:bodyDiv w:val="1"/>
      <w:marLeft w:val="0"/>
      <w:marRight w:val="0"/>
      <w:marTop w:val="0"/>
      <w:marBottom w:val="0"/>
      <w:divBdr>
        <w:top w:val="none" w:sz="0" w:space="0" w:color="auto"/>
        <w:left w:val="none" w:sz="0" w:space="0" w:color="auto"/>
        <w:bottom w:val="none" w:sz="0" w:space="0" w:color="auto"/>
        <w:right w:val="none" w:sz="0" w:space="0" w:color="auto"/>
      </w:divBdr>
    </w:div>
    <w:div w:id="2138911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60e1fca295047fe9265af7fbaa4fe14" PartId="82dd23f5ccff4e6784fbc55c702e0e7d">
    <Part Type="punktas" Nr="1" Abbr="1 p." DocPartId="81fb2b3d85a94f61a142cbcbdaa11083" PartId="356d42b695ca44d9a695584570e568fd"/>
    <Part Type="punktas" Nr="2" Abbr="2 p." DocPartId="ccdafca1210d454fbe6fb67dbc292581" PartId="c9cfe9908c6c4a6183d1a2bf9152e277"/>
    <Part Type="punktas" Nr="3" Abbr="3 p." DocPartId="59abfd2111a044d885fa16276b5bfe3e" PartId="32c91ea45dfe49e79e5539515c43f094"/>
    <Part Type="punktas" Nr="4" Abbr="4 p." DocPartId="e5c4c50ef3b244ac807370c22f8cd530" PartId="fbe16670af8040c4bda4e90dc0aa718a"/>
    <Part Type="punktas" Nr="1" Abbr="1 p." Notes="Numeris ne iš eilės. Trūksta dalių? [DocDalys]" DocPartId="4bf19b8e2fe94e90ba400fad252b8105" PartId="7973853e1ef440d8a6e6df44ee547dba"/>
    <Part Type="punktas" Nr="2" Abbr="2 p." DocPartId="85833c48ee474b67bacdc956165e001f" PartId="0298a89fb0cb4eb4a2be6f19cebc0f09"/>
    <Part Type="punktas" Nr="5" Abbr="5 p." Notes="Numeris ne iš eilės. Trūksta dalių? [DocDalys]" DocPartId="c2bfd57b365b4b85a8ab882d0981427b" PartId="3816c7065158485a8ddc70736d06994e"/>
    <Part Type="punktas" Nr="6" Abbr="6 p." DocPartId="2c19d35498ae4a578e7a6a355b4cd9f8" PartId="87a1f820c88f4308b0261816c9df3bd2"/>
    <Part Type="punktas" Nr="7" Abbr="7 p." DocPartId="ad13b2aa8a2f4426908f21faff70fea3" PartId="da2b1a5a28084ce090648e062023eebb"/>
    <Part Type="punktas" Nr="8" Abbr="8 p." DocPartId="c42d08fa53ca409aa4e7d7c987cd0d45" PartId="afc02075079447daa3ae0762639244f6"/>
    <Part Type="punktas" Nr="9" Abbr="9 p." DocPartId="f5b6d85c1c9d49dbb971d25a51860b0d" PartId="46d7eb898bc541cba627abca1fde604e"/>
    <Part Type="punktas" Nr="10" Abbr="10 p." DocPartId="4523bb3fc39441c1842f23a14323c16f" PartId="0a3e44c09467476d89f839108903a3fe"/>
    <Part Type="punktas" Nr="11" Abbr="11 p." DocPartId="e49d3083cd11441b81ed0728a5119ed2" PartId="bd3734d07ac14225aca688dcb03ccd3a"/>
    <Part Type="punktas" Nr="12" Abbr="12 p." DocPartId="65dbc51f4a254c7483d00fd73e1f56a5" PartId="018517560480435589ca17c9f98fd509"/>
    <Part Type="punktas" Nr="13" Abbr="13 p." DocPartId="82b3b670720b435397e252e1c9a9354d" PartId="776de665c50a40718e273716b595e7cf"/>
    <Part Type="punktas" Nr="14" Abbr="14 p." DocPartId="b3114a0f2dcb4e57aa7a9cdbe5400dcd" PartId="29a942ddfd1442b48005bb8c0722bf6b"/>
    <Part Type="punktas" Nr="15" Abbr="15 p." DocPartId="0dbfe14aac1e40f7a38e97a4213ae17d" PartId="f78c5e991c9c4a51a46ca55aa991c475"/>
    <Part Type="punktas" Nr="16" Abbr="16 p." DocPartId="5fbc456a97ea430383987f01d00ede7a" PartId="abbaced6ca0842eebb9ce152726ac09a"/>
    <Part Type="signatura" DocPartId="45f47eb8961c43ce92446973677fe40b" PartId="59e8d836cb5048f89f62ee51aa537ca1"/>
  </Part>
</Parts>
</file>

<file path=customXml/itemProps1.xml><?xml version="1.0" encoding="utf-8"?>
<ds:datastoreItem xmlns:ds="http://schemas.openxmlformats.org/officeDocument/2006/customXml" ds:itemID="{EBC6F943-1023-456B-8D13-C75EF8E0107F}">
  <ds:schemaRefs>
    <ds:schemaRef ds:uri="http://schemas.openxmlformats.org/officeDocument/2006/bibliography"/>
  </ds:schemaRefs>
</ds:datastoreItem>
</file>

<file path=customXml/itemProps2.xml><?xml version="1.0" encoding="utf-8"?>
<ds:datastoreItem xmlns:ds="http://schemas.openxmlformats.org/officeDocument/2006/customXml" ds:itemID="{2CC2322E-6CFF-4221-A50B-2551D9B815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1285</Words>
  <Characters>8964</Characters>
  <Application>Microsoft Office Word</Application>
  <DocSecurity>4</DocSecurity>
  <Lines>151</Lines>
  <Paragraphs>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1</vt:lpstr>
      <vt:lpstr>1</vt:lpstr>
    </vt:vector>
  </TitlesOfParts>
  <Company>LR Finansų ministerija</Company>
  <LinksUpToDate>false</LinksUpToDate>
  <CharactersWithSpaces>10195</CharactersWithSpaces>
  <SharedDoc>false</SharedDoc>
  <HyperlinkBase/>
  <HLinks>
    <vt:vector size="12" baseType="variant">
      <vt:variant>
        <vt:i4>82</vt:i4>
      </vt:variant>
      <vt:variant>
        <vt:i4>3</vt:i4>
      </vt:variant>
      <vt:variant>
        <vt:i4>0</vt:i4>
      </vt:variant>
      <vt:variant>
        <vt:i4>5</vt:i4>
      </vt:variant>
      <vt:variant>
        <vt:lpwstr>http://172.16.0.250/Litlex/LL.DLL?Tekstas=1?Id=120784&amp;Zd=pelno%2Bmokes%E8io&amp;BF=4</vt:lpwstr>
      </vt:variant>
      <vt:variant>
        <vt:lpwstr>3z#3z</vt:lpwstr>
      </vt:variant>
      <vt:variant>
        <vt:i4>65619</vt:i4>
      </vt:variant>
      <vt:variant>
        <vt:i4>0</vt:i4>
      </vt:variant>
      <vt:variant>
        <vt:i4>0</vt:i4>
      </vt:variant>
      <vt:variant>
        <vt:i4>5</vt:i4>
      </vt:variant>
      <vt:variant>
        <vt:lpwstr>http://172.16.0.250/Litlex/LL.DLL?Tekstas=1?Id=120784&amp;Zd=pelno%2Bmokes%E8io&amp;BF=4</vt:lpwstr>
      </vt:variant>
      <vt:variant>
        <vt:lpwstr>2z#2z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2021-05-17T10:32:00Z</dcterms:created>
  <dc:creator>FM</dc:creator>
  <lastModifiedBy>adlibuser</lastModifiedBy>
  <lastPrinted>2018-05-14T12:46:00Z</lastPrinted>
  <dcterms:modified xsi:type="dcterms:W3CDTF">2021-05-17T10:32:00Z</dcterms:modified>
  <revision>2</revision>
  <dc:title>1</dc:title>
</coreProperties>
</file>