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66C2F5A8" w14:textId="77777777">
      <w:pPr>
        <w:jc w:val="center"/>
      </w:pPr>
      <w:r>
        <w:rPr>
          <w:lang w:val="en-US"/>
        </w:rPr>
        <w:drawing>
          <wp:inline distT="0" distB="0" distL="0" distR="0" wp14:anchorId="66C2F613" wp14:editId="66C2F614">
            <wp:extent cx="525780" cy="61722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617220"/>
                    </a:xfrm>
                    <a:prstGeom prst="rect">
                      <a:avLst/>
                    </a:prstGeom>
                    <a:noFill/>
                    <a:ln>
                      <a:noFill/>
                    </a:ln>
                  </pic:spPr>
                </pic:pic>
              </a:graphicData>
            </a:graphic>
          </wp:inline>
        </w:drawing>
      </w:r>
    </w:p>
    <w:p w14:paraId="66C2F5A9" w14:textId="77777777">
      <w:pPr>
        <w:jc w:val="center"/>
        <w:rPr>
          <w:sz w:val="12"/>
          <w:szCs w:val="12"/>
        </w:rPr>
      </w:pPr>
    </w:p>
    <w:p w14:paraId="66C2F5AA" w14:textId="77777777">
      <w:pPr>
        <w:jc w:val="center"/>
        <w:rPr>
          <w:b/>
          <w:szCs w:val="24"/>
        </w:rPr>
      </w:pPr>
      <w:r>
        <w:rPr>
          <w:b/>
          <w:szCs w:val="24"/>
        </w:rPr>
        <w:t>LIETUVOS RESPUBLIKOS SEIMO</w:t>
      </w:r>
    </w:p>
    <w:p w14:paraId="66C2F5AB" w14:textId="77777777">
      <w:pPr>
        <w:jc w:val="center"/>
        <w:rPr>
          <w:rFonts w:ascii="CG Times" w:hAnsi="CG Times"/>
          <w:b/>
          <w:sz w:val="20"/>
        </w:rPr>
      </w:pPr>
      <w:r>
        <w:rPr>
          <w:b/>
          <w:szCs w:val="24"/>
        </w:rPr>
        <w:t>ŽMOGAUS TEISIŲ KOMITETAS</w:t>
      </w:r>
    </w:p>
    <w:p w14:paraId="66C2F5AC" w14:textId="77777777">
      <w:pPr>
        <w:jc w:val="center"/>
        <w:rPr>
          <w:b/>
          <w:spacing w:val="4"/>
          <w:sz w:val="8"/>
          <w:szCs w:val="8"/>
        </w:rPr>
      </w:pPr>
    </w:p>
    <w:p w14:paraId="66C2F5AD" w14:textId="77777777">
      <w:pPr>
        <w:tabs>
          <w:tab w:val="left" w:pos="4111"/>
        </w:tabs>
        <w:jc w:val="center"/>
        <w:rPr>
          <w:sz w:val="18"/>
          <w:szCs w:val="24"/>
        </w:rPr>
      </w:pPr>
      <w:r>
        <w:rPr>
          <w:sz w:val="18"/>
        </w:rPr>
        <w:t xml:space="preserve">Gedimino pr. 53,  01109 Vilnius    Tel. (8 5)  239 6811    Faks. (8 5)  239 6499    El. p. </w:t>
      </w:r>
      <w:r>
        <w:rPr>
          <w:color w:val="0000FF"/>
          <w:sz w:val="18"/>
          <w:u w:val="single"/>
        </w:rPr>
        <w:t>zmteiskt@lrs.lt</w:t>
      </w:r>
    </w:p>
    <w:p w14:paraId="66C2F5AE" w14:textId="77777777">
      <w:pPr>
        <w:jc w:val="both"/>
        <w:rPr>
          <w:sz w:val="16"/>
          <w:szCs w:val="16"/>
        </w:rPr>
      </w:pPr>
      <w:r>
        <w:rPr>
          <w:sz w:val="16"/>
          <w:szCs w:val="16"/>
        </w:rPr>
        <w:t>_____________________________________________________________________________________________________________________</w:t>
      </w:r>
    </w:p>
    <w:p w14:paraId="66C2F5AF" w14:textId="77777777">
      <w:pPr>
        <w:rPr>
          <w:sz w:val="8"/>
          <w:szCs w:val="8"/>
          <w:u w:val="single"/>
        </w:rPr>
      </w:pPr>
    </w:p>
    <w:p w14:paraId="66C2F5B0" w14:textId="77777777">
      <w:pPr>
        <w:rPr>
          <w:u w:val="single"/>
        </w:rPr>
        <w:sectPr>
          <w:headerReference w:type="even" r:id="rId8"/>
          <w:headerReference w:type="default" r:id="rId9"/>
          <w:footerReference w:type="even" r:id="rId10"/>
          <w:footerReference w:type="default" r:id="rId11"/>
          <w:headerReference w:type="first" r:id="rId12"/>
          <w:footerReference w:type="first" r:id="rId13"/>
          <w:pgSz w:w="11907" w:h="16834" w:code="9"/>
          <w:pgMar w:top="1134" w:right="567" w:bottom="1134" w:left="1701" w:header="680" w:footer="680" w:gutter="0"/>
          <w:cols w:space="1296"/>
          <w:titlePg/>
          <w:docGrid w:linePitch="272"/>
        </w:sectPr>
      </w:pPr>
    </w:p>
    <w:p w14:paraId="66C2F5B1" w14:textId="77777777">
      <w:pPr>
        <w:jc w:val="both"/>
      </w:pPr>
    </w:p>
    <w:p w14:paraId="66C2F5B2" w14:textId="77777777">
      <w:pPr>
        <w:jc w:val="both"/>
        <w:rPr>
          <w:szCs w:val="24"/>
        </w:rPr>
      </w:pPr>
      <w:r>
        <w:rPr>
          <w:szCs w:val="24"/>
        </w:rPr>
        <w:t>Seimo posėdžių sekretoriatui</w:t>
        <w:tab/>
        <w:tab/>
        <w:tab/>
        <w:tab/>
        <w:tab/>
        <w:tab/>
        <w:t>2022-02-24</w:t>
        <w:tab/>
        <w:t>Nr. V-2022-</w:t>
      </w:r>
    </w:p>
    <w:p w14:paraId="66C2F5B3" w14:textId="77777777">
      <w:pPr>
        <w:ind w:firstLine="6380"/>
        <w:jc w:val="both"/>
        <w:rPr>
          <w:szCs w:val="24"/>
        </w:rPr>
      </w:pPr>
      <w:r>
        <w:rPr>
          <w:szCs w:val="24"/>
        </w:rPr>
        <w:t>Į 2022-01-21</w:t>
        <w:tab/>
        <w:t>Nr. V-2022-762</w:t>
      </w:r>
    </w:p>
    <w:p w14:paraId="66C2F5B4" w14:textId="77777777">
      <w:pPr>
        <w:jc w:val="both"/>
        <w:rPr>
          <w:szCs w:val="24"/>
        </w:rPr>
      </w:pPr>
    </w:p>
    <w:p w14:paraId="66C2F5B5" w14:textId="77777777">
      <w:pPr>
        <w:jc w:val="both"/>
        <w:rPr>
          <w:szCs w:val="24"/>
        </w:rPr>
      </w:pPr>
    </w:p>
    <w:p w14:paraId="66C2F5B6" w14:textId="77777777">
      <w:pPr>
        <w:jc w:val="both"/>
        <w:rPr>
          <w:b/>
          <w:szCs w:val="24"/>
        </w:rPr>
      </w:pPr>
      <w:r>
        <w:rPr>
          <w:b/>
          <w:szCs w:val="24"/>
        </w:rPr>
        <w:t>DĖL PASIŪLYMŲ DĖL LIETUVOS RESPUBLIKOS SEIMO IV (PAVASARIO) SESIJOS DARBŲ PROGRAMOS</w:t>
      </w:r>
    </w:p>
    <w:p w14:paraId="66C2F5B7" w14:textId="77777777">
      <w:pPr>
        <w:spacing w:line="360" w:lineRule="auto"/>
        <w:jc w:val="both"/>
        <w:rPr>
          <w:b/>
          <w:szCs w:val="24"/>
        </w:rPr>
      </w:pPr>
    </w:p>
    <w:p w14:paraId="66C2F5B8" w14:textId="77777777">
      <w:pPr>
        <w:spacing w:line="360" w:lineRule="auto"/>
        <w:ind w:firstLine="720"/>
        <w:jc w:val="both"/>
        <w:rPr>
          <w:szCs w:val="24"/>
        </w:rPr>
      </w:pPr>
      <w:r>
        <w:rPr>
          <w:szCs w:val="24"/>
        </w:rPr>
        <w:t xml:space="preserve">Žmogaus teisių komitetas teikia šiuos siūlymus dėl Lietuvos Respublikos Seimo IV (pavasario) sesijos darbų programos: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8"/>
        <w:gridCol w:w="4677"/>
        <w:gridCol w:w="2835"/>
      </w:tblGrid>
      <w:tr w14:paraId="66C2F5BD" w14:textId="77777777">
        <w:tc>
          <w:tcPr>
            <w:tcW w:w="704" w:type="dxa"/>
          </w:tcPr>
          <w:p w14:paraId="66C2F5B9" w14:textId="77777777">
            <w:pPr>
              <w:ind w:left="-113"/>
              <w:jc w:val="center"/>
              <w:rPr>
                <w:b/>
                <w:szCs w:val="24"/>
              </w:rPr>
            </w:pPr>
            <w:r>
              <w:rPr>
                <w:b/>
                <w:szCs w:val="24"/>
              </w:rPr>
              <w:t>Eilės Nr.</w:t>
            </w:r>
          </w:p>
        </w:tc>
        <w:tc>
          <w:tcPr>
            <w:tcW w:w="1418" w:type="dxa"/>
          </w:tcPr>
          <w:p w14:paraId="66C2F5BA" w14:textId="77777777">
            <w:pPr>
              <w:jc w:val="center"/>
              <w:rPr>
                <w:b/>
                <w:szCs w:val="24"/>
              </w:rPr>
            </w:pPr>
            <w:r>
              <w:rPr>
                <w:b/>
                <w:szCs w:val="24"/>
              </w:rPr>
              <w:t>Projekto Nr.</w:t>
            </w:r>
          </w:p>
        </w:tc>
        <w:tc>
          <w:tcPr>
            <w:tcW w:w="4677" w:type="dxa"/>
          </w:tcPr>
          <w:p w14:paraId="66C2F5BB" w14:textId="77777777">
            <w:pPr>
              <w:jc w:val="center"/>
              <w:rPr>
                <w:b/>
                <w:szCs w:val="24"/>
              </w:rPr>
            </w:pPr>
            <w:r>
              <w:rPr>
                <w:b/>
                <w:szCs w:val="24"/>
              </w:rPr>
              <w:t>Teisės akto projekto pavadinimas</w:t>
            </w:r>
          </w:p>
        </w:tc>
        <w:tc>
          <w:tcPr>
            <w:tcW w:w="2835" w:type="dxa"/>
          </w:tcPr>
          <w:p w14:paraId="66C2F5BC" w14:textId="77777777">
            <w:pPr>
              <w:jc w:val="center"/>
              <w:rPr>
                <w:b/>
                <w:szCs w:val="24"/>
              </w:rPr>
            </w:pPr>
            <w:r>
              <w:rPr>
                <w:b/>
                <w:szCs w:val="24"/>
              </w:rPr>
              <w:t>Teikia</w:t>
            </w:r>
          </w:p>
        </w:tc>
      </w:tr>
      <w:tr w14:paraId="66C2F5C2" w14:textId="77777777">
        <w:tc>
          <w:tcPr>
            <w:tcW w:w="704" w:type="dxa"/>
          </w:tcPr>
          <w:p w14:paraId="66C2F5BE" w14:textId="18C63807">
            <w:pPr>
              <w:ind w:left="473" w:hanging="360"/>
              <w:jc w:val="center"/>
              <w:rPr>
                <w:szCs w:val="24"/>
              </w:rPr>
            </w:pPr>
            <w:r>
              <w:rPr>
                <w:szCs w:val="24"/>
              </w:rPr>
              <w:t>1.</w:t>
              <w:tab/>
            </w:r>
          </w:p>
        </w:tc>
        <w:tc>
          <w:tcPr>
            <w:tcW w:w="1418" w:type="dxa"/>
          </w:tcPr>
          <w:p w14:paraId="66C2F5BF" w14:textId="77777777">
            <w:pPr>
              <w:jc w:val="center"/>
              <w:rPr>
                <w:szCs w:val="24"/>
              </w:rPr>
            </w:pPr>
            <w:r>
              <w:rPr>
                <w:szCs w:val="24"/>
              </w:rPr>
              <w:t>XIVP-1056 (4)</w:t>
            </w:r>
          </w:p>
        </w:tc>
        <w:tc>
          <w:tcPr>
            <w:tcW w:w="4677" w:type="dxa"/>
          </w:tcPr>
          <w:p w14:paraId="66C2F5C0" w14:textId="77777777">
            <w:pPr>
              <w:jc w:val="both"/>
              <w:rPr>
                <w:szCs w:val="24"/>
              </w:rPr>
            </w:pPr>
            <w:r>
              <w:rPr>
                <w:color w:val="000000"/>
                <w:szCs w:val="24"/>
              </w:rPr>
              <w:t>Lietuvos Respublikos apsaugos nuo smurto artimoje aplinkoje įstatymo Nr. XI-1425 pakeitimo įstatymo projektas (nauja redakcija)</w:t>
            </w:r>
          </w:p>
        </w:tc>
        <w:tc>
          <w:tcPr>
            <w:tcW w:w="2835" w:type="dxa"/>
          </w:tcPr>
          <w:p w14:paraId="66C2F5C1" w14:textId="77777777">
            <w:pPr>
              <w:jc w:val="center"/>
              <w:rPr>
                <w:szCs w:val="24"/>
              </w:rPr>
            </w:pPr>
            <w:r>
              <w:rPr>
                <w:szCs w:val="24"/>
              </w:rPr>
              <w:t>Žmogaus teisių komitetas</w:t>
            </w:r>
          </w:p>
        </w:tc>
      </w:tr>
      <w:tr w14:paraId="66C2F5C7" w14:textId="77777777">
        <w:tc>
          <w:tcPr>
            <w:tcW w:w="704" w:type="dxa"/>
          </w:tcPr>
          <w:p w14:paraId="66C2F5C3" w14:textId="10A15854">
            <w:pPr>
              <w:ind w:left="473" w:hanging="360"/>
              <w:jc w:val="center"/>
              <w:rPr>
                <w:szCs w:val="24"/>
              </w:rPr>
            </w:pPr>
            <w:r>
              <w:rPr>
                <w:szCs w:val="24"/>
              </w:rPr>
              <w:t>2.</w:t>
              <w:tab/>
            </w:r>
          </w:p>
        </w:tc>
        <w:tc>
          <w:tcPr>
            <w:tcW w:w="1418" w:type="dxa"/>
          </w:tcPr>
          <w:p w14:paraId="66C2F5C4" w14:textId="77777777">
            <w:pPr>
              <w:jc w:val="center"/>
              <w:rPr>
                <w:szCs w:val="24"/>
              </w:rPr>
            </w:pPr>
            <w:r>
              <w:rPr>
                <w:szCs w:val="24"/>
              </w:rPr>
              <w:t>XIVP-1057 (2)</w:t>
            </w:r>
          </w:p>
        </w:tc>
        <w:tc>
          <w:tcPr>
            <w:tcW w:w="4677" w:type="dxa"/>
          </w:tcPr>
          <w:p w14:paraId="66C2F5C5" w14:textId="77777777">
            <w:pPr>
              <w:jc w:val="both"/>
              <w:rPr>
                <w:szCs w:val="24"/>
                <w:lang w:eastAsia="lt-LT"/>
              </w:rPr>
            </w:pPr>
            <w:r>
              <w:rPr>
                <w:bCs/>
                <w:color w:val="000000"/>
                <w:szCs w:val="24"/>
                <w:lang w:eastAsia="lt-LT"/>
              </w:rPr>
              <w:t>Lietuvos Respublikos administracinių nusižengimų kodekso 489 straipsnio pakeitimo įstatymo projektas</w:t>
            </w:r>
          </w:p>
        </w:tc>
        <w:tc>
          <w:tcPr>
            <w:tcW w:w="2835" w:type="dxa"/>
          </w:tcPr>
          <w:p w14:paraId="66C2F5C6" w14:textId="77777777">
            <w:pPr>
              <w:jc w:val="center"/>
              <w:rPr>
                <w:szCs w:val="24"/>
              </w:rPr>
            </w:pPr>
            <w:r>
              <w:rPr>
                <w:szCs w:val="24"/>
              </w:rPr>
              <w:t>Žmogaus teisių komitetas</w:t>
            </w:r>
          </w:p>
        </w:tc>
      </w:tr>
      <w:tr w14:paraId="66C2F5CE" w14:textId="77777777">
        <w:tc>
          <w:tcPr>
            <w:tcW w:w="704" w:type="dxa"/>
          </w:tcPr>
          <w:p w14:paraId="66C2F5C8" w14:textId="4B5B8244">
            <w:pPr>
              <w:ind w:left="473" w:hanging="360"/>
              <w:jc w:val="center"/>
              <w:rPr>
                <w:szCs w:val="24"/>
              </w:rPr>
            </w:pPr>
            <w:r>
              <w:rPr>
                <w:szCs w:val="24"/>
              </w:rPr>
              <w:t>3.</w:t>
              <w:tab/>
            </w:r>
          </w:p>
        </w:tc>
        <w:tc>
          <w:tcPr>
            <w:tcW w:w="1418" w:type="dxa"/>
            <w:vAlign w:val="center"/>
          </w:tcPr>
          <w:p w14:paraId="66C2F5C9" w14:textId="77777777">
            <w:pPr>
              <w:jc w:val="center"/>
              <w:rPr>
                <w:szCs w:val="24"/>
              </w:rPr>
            </w:pPr>
            <w:r>
              <w:rPr>
                <w:bCs/>
                <w:szCs w:val="24"/>
                <w:u w:val="single"/>
              </w:rPr>
              <w:t>XIVP-1017</w:t>
            </w:r>
          </w:p>
        </w:tc>
        <w:tc>
          <w:tcPr>
            <w:tcW w:w="4677" w:type="dxa"/>
            <w:vAlign w:val="center"/>
          </w:tcPr>
          <w:p w14:paraId="66C2F5CA" w14:textId="77777777">
            <w:pPr>
              <w:tabs>
                <w:tab w:val="left" w:pos="1029"/>
              </w:tabs>
              <w:ind w:right="51"/>
              <w:jc w:val="both"/>
              <w:rPr>
                <w:szCs w:val="24"/>
                <w:lang w:eastAsia="lt-LT"/>
              </w:rPr>
            </w:pPr>
            <w:r>
              <w:rPr>
                <w:szCs w:val="24"/>
              </w:rPr>
              <w:t>Seimo nutarimo „Dėl Lietuvos Respublikos Seimo 1999 m. lapkričio 11 d. nutarimo Nr. VIII-1408 „Dėl Seimo Peticijų komisijos nuostatų patvirtinimo“ pakeitimo“ projektas</w:t>
            </w:r>
          </w:p>
        </w:tc>
        <w:tc>
          <w:tcPr>
            <w:tcW w:w="2835" w:type="dxa"/>
          </w:tcPr>
          <w:p w14:paraId="66C2F5CB" w14:textId="77777777">
            <w:pPr>
              <w:jc w:val="center"/>
              <w:rPr>
                <w:szCs w:val="24"/>
              </w:rPr>
            </w:pPr>
            <w:r>
              <w:rPr>
                <w:szCs w:val="24"/>
              </w:rPr>
              <w:t>E. Gentvilas</w:t>
            </w:r>
          </w:p>
          <w:p w14:paraId="66C2F5CC" w14:textId="77777777">
            <w:pPr>
              <w:jc w:val="center"/>
              <w:rPr>
                <w:i/>
                <w:szCs w:val="24"/>
              </w:rPr>
            </w:pPr>
            <w:r>
              <w:rPr>
                <w:szCs w:val="24"/>
              </w:rPr>
              <w:t>T. Bičiūnas</w:t>
            </w:r>
          </w:p>
          <w:p w14:paraId="66C2F5CD" w14:textId="77777777">
            <w:pPr>
              <w:jc w:val="center"/>
              <w:rPr>
                <w:szCs w:val="24"/>
              </w:rPr>
            </w:pPr>
          </w:p>
        </w:tc>
      </w:tr>
      <w:tr w14:paraId="66C2F5D3" w14:textId="77777777">
        <w:tc>
          <w:tcPr>
            <w:tcW w:w="704" w:type="dxa"/>
          </w:tcPr>
          <w:p w14:paraId="66C2F5CF" w14:textId="774273A5">
            <w:pPr>
              <w:ind w:left="473" w:hanging="360"/>
              <w:jc w:val="center"/>
              <w:rPr>
                <w:szCs w:val="24"/>
              </w:rPr>
            </w:pPr>
            <w:r>
              <w:rPr>
                <w:szCs w:val="24"/>
              </w:rPr>
              <w:t>4.</w:t>
              <w:tab/>
            </w:r>
          </w:p>
        </w:tc>
        <w:tc>
          <w:tcPr>
            <w:tcW w:w="1418" w:type="dxa"/>
          </w:tcPr>
          <w:p w14:paraId="66C2F5D0" w14:textId="77777777">
            <w:pPr>
              <w:jc w:val="center"/>
              <w:rPr>
                <w:szCs w:val="24"/>
              </w:rPr>
            </w:pPr>
            <w:r>
              <w:rPr>
                <w:szCs w:val="24"/>
              </w:rPr>
              <w:t>XIIIP-3512</w:t>
            </w:r>
          </w:p>
        </w:tc>
        <w:tc>
          <w:tcPr>
            <w:tcW w:w="4677" w:type="dxa"/>
          </w:tcPr>
          <w:p w14:paraId="66C2F5D1" w14:textId="77777777">
            <w:pPr>
              <w:jc w:val="both"/>
              <w:rPr>
                <w:szCs w:val="24"/>
              </w:rPr>
            </w:pPr>
            <w:r>
              <w:rPr>
                <w:szCs w:val="24"/>
              </w:rPr>
              <w:t>Lygių galimybių įstatymo Nr. IX-1826 pakeitimo įstatymo projektas (nauja redakcija)</w:t>
            </w:r>
          </w:p>
        </w:tc>
        <w:tc>
          <w:tcPr>
            <w:tcW w:w="2835" w:type="dxa"/>
          </w:tcPr>
          <w:p w14:paraId="66C2F5D2" w14:textId="77777777">
            <w:pPr>
              <w:jc w:val="center"/>
              <w:rPr>
                <w:color w:val="000000"/>
                <w:szCs w:val="24"/>
                <w:shd w:val="clear" w:color="auto" w:fill="FFFFFF"/>
              </w:rPr>
            </w:pPr>
            <w:r>
              <w:rPr>
                <w:szCs w:val="24"/>
              </w:rPr>
              <w:t>V. Čmilytė-Nielsen</w:t>
            </w:r>
          </w:p>
        </w:tc>
      </w:tr>
      <w:tr w14:paraId="66C2F5DA" w14:textId="77777777">
        <w:tc>
          <w:tcPr>
            <w:tcW w:w="704" w:type="dxa"/>
          </w:tcPr>
          <w:p w14:paraId="66C2F5D4" w14:textId="77777777">
            <w:pPr>
              <w:jc w:val="center"/>
              <w:rPr>
                <w:szCs w:val="24"/>
              </w:rPr>
            </w:pPr>
            <w:r>
              <w:rPr>
                <w:szCs w:val="24"/>
              </w:rPr>
              <w:t>5.</w:t>
            </w:r>
          </w:p>
        </w:tc>
        <w:tc>
          <w:tcPr>
            <w:tcW w:w="1418" w:type="dxa"/>
            <w:vAlign w:val="center"/>
          </w:tcPr>
          <w:p w14:paraId="66C2F5D5" w14:textId="77777777">
            <w:pPr>
              <w:rPr>
                <w:szCs w:val="24"/>
              </w:rPr>
            </w:pPr>
          </w:p>
          <w:p w14:paraId="66C2F5D6" w14:textId="77777777">
            <w:pPr>
              <w:jc w:val="center"/>
              <w:rPr>
                <w:strike/>
              </w:rPr>
            </w:pPr>
            <w:r>
              <w:rPr>
                <w:szCs w:val="24"/>
              </w:rPr>
              <w:t>XIVP-537(2)</w:t>
            </w:r>
          </w:p>
          <w:p w14:paraId="66C2F5D7" w14:textId="77777777">
            <w:pPr>
              <w:jc w:val="center"/>
              <w:rPr>
                <w:strike/>
              </w:rPr>
            </w:pPr>
          </w:p>
        </w:tc>
        <w:tc>
          <w:tcPr>
            <w:tcW w:w="4677" w:type="dxa"/>
            <w:vAlign w:val="center"/>
          </w:tcPr>
          <w:p w14:paraId="66C2F5D8" w14:textId="77777777">
            <w:pPr>
              <w:tabs>
                <w:tab w:val="left" w:pos="1029"/>
              </w:tabs>
              <w:jc w:val="both"/>
              <w:rPr>
                <w:szCs w:val="24"/>
                <w:lang w:eastAsia="lt-LT"/>
              </w:rPr>
            </w:pPr>
            <w:r>
              <w:rPr>
                <w:szCs w:val="24"/>
              </w:rPr>
              <w:t>Partnerystės įstatymo projektas</w:t>
            </w:r>
          </w:p>
        </w:tc>
        <w:tc>
          <w:tcPr>
            <w:tcW w:w="2835" w:type="dxa"/>
          </w:tcPr>
          <w:p w14:paraId="66C2F5D9" w14:textId="77777777">
            <w:pPr>
              <w:jc w:val="center"/>
              <w:rPr>
                <w:szCs w:val="24"/>
              </w:rPr>
            </w:pPr>
            <w:r>
              <w:rPr>
                <w:szCs w:val="24"/>
              </w:rPr>
              <w:t>Seimo nariai</w:t>
            </w:r>
          </w:p>
        </w:tc>
      </w:tr>
      <w:tr w14:paraId="66C2F5DF" w14:textId="77777777">
        <w:tc>
          <w:tcPr>
            <w:tcW w:w="704" w:type="dxa"/>
          </w:tcPr>
          <w:p w14:paraId="66C2F5DB" w14:textId="77777777">
            <w:pPr>
              <w:jc w:val="center"/>
              <w:rPr>
                <w:szCs w:val="24"/>
              </w:rPr>
            </w:pPr>
            <w:r>
              <w:rPr>
                <w:szCs w:val="24"/>
              </w:rPr>
              <w:t>6.</w:t>
            </w:r>
          </w:p>
        </w:tc>
        <w:tc>
          <w:tcPr>
            <w:tcW w:w="1418" w:type="dxa"/>
            <w:vAlign w:val="center"/>
          </w:tcPr>
          <w:p w14:paraId="66C2F5DC" w14:textId="77777777">
            <w:pPr>
              <w:jc w:val="center"/>
            </w:pPr>
            <w:r>
              <w:t>XIVP-538(2)</w:t>
            </w:r>
          </w:p>
        </w:tc>
        <w:tc>
          <w:tcPr>
            <w:tcW w:w="4677" w:type="dxa"/>
            <w:vAlign w:val="center"/>
          </w:tcPr>
          <w:p w14:paraId="66C2F5DD" w14:textId="77777777">
            <w:pPr>
              <w:tabs>
                <w:tab w:val="left" w:pos="1029"/>
              </w:tabs>
              <w:jc w:val="both"/>
              <w:rPr>
                <w:szCs w:val="24"/>
                <w:lang w:eastAsia="lt-LT"/>
              </w:rPr>
            </w:pPr>
            <w:r>
              <w:rPr>
                <w:szCs w:val="24"/>
              </w:rPr>
              <w:t>Civilinio kodekso 2.19, 3.299 straipsnių pakeitimo ir Kodekso 3.230, 3.231, 3.232, 3.233, 3.234, 3.235 straipsnių pripažinimo netekusiais galios įstatymo projektas</w:t>
            </w:r>
          </w:p>
        </w:tc>
        <w:tc>
          <w:tcPr>
            <w:tcW w:w="2835" w:type="dxa"/>
          </w:tcPr>
          <w:p w14:paraId="66C2F5DE" w14:textId="77777777">
            <w:pPr>
              <w:jc w:val="center"/>
              <w:rPr>
                <w:szCs w:val="24"/>
              </w:rPr>
            </w:pPr>
            <w:r>
              <w:rPr>
                <w:szCs w:val="24"/>
              </w:rPr>
              <w:t>Seimo nariai</w:t>
            </w:r>
          </w:p>
        </w:tc>
      </w:tr>
      <w:tr w14:paraId="66C2F5E4" w14:textId="77777777">
        <w:tc>
          <w:tcPr>
            <w:tcW w:w="704" w:type="dxa"/>
          </w:tcPr>
          <w:p w14:paraId="66C2F5E0" w14:textId="77777777">
            <w:pPr>
              <w:jc w:val="center"/>
              <w:rPr>
                <w:szCs w:val="24"/>
              </w:rPr>
            </w:pPr>
            <w:r>
              <w:rPr>
                <w:szCs w:val="24"/>
              </w:rPr>
              <w:t>7.</w:t>
            </w:r>
          </w:p>
        </w:tc>
        <w:tc>
          <w:tcPr>
            <w:tcW w:w="1418" w:type="dxa"/>
            <w:vAlign w:val="center"/>
          </w:tcPr>
          <w:p w14:paraId="66C2F5E1" w14:textId="77777777">
            <w:pPr>
              <w:jc w:val="center"/>
            </w:pPr>
            <w:r>
              <w:t>XIVP-539(2)</w:t>
            </w:r>
          </w:p>
        </w:tc>
        <w:tc>
          <w:tcPr>
            <w:tcW w:w="4677" w:type="dxa"/>
            <w:vAlign w:val="center"/>
          </w:tcPr>
          <w:p w14:paraId="66C2F5E2" w14:textId="77777777">
            <w:pPr>
              <w:tabs>
                <w:tab w:val="left" w:pos="1029"/>
              </w:tabs>
              <w:ind w:right="51"/>
              <w:jc w:val="both"/>
              <w:rPr>
                <w:szCs w:val="24"/>
                <w:lang w:eastAsia="lt-LT"/>
              </w:rPr>
            </w:pPr>
            <w:r>
              <w:rPr>
                <w:szCs w:val="24"/>
              </w:rPr>
              <w:t>Gyventojų registro įstatymo Nr. I-2237 9 ir 11 straipsnių pakeitimo įstatymo projektas</w:t>
            </w:r>
          </w:p>
        </w:tc>
        <w:tc>
          <w:tcPr>
            <w:tcW w:w="2835" w:type="dxa"/>
          </w:tcPr>
          <w:p w14:paraId="66C2F5E3" w14:textId="77777777">
            <w:pPr>
              <w:jc w:val="center"/>
              <w:rPr>
                <w:szCs w:val="24"/>
              </w:rPr>
            </w:pPr>
            <w:r>
              <w:rPr>
                <w:szCs w:val="24"/>
              </w:rPr>
              <w:t>Seimo nariai</w:t>
            </w:r>
          </w:p>
        </w:tc>
      </w:tr>
      <w:tr w14:paraId="66C2F5E9" w14:textId="77777777">
        <w:tc>
          <w:tcPr>
            <w:tcW w:w="704" w:type="dxa"/>
          </w:tcPr>
          <w:p w14:paraId="66C2F5E5" w14:textId="77777777">
            <w:pPr>
              <w:jc w:val="center"/>
              <w:rPr>
                <w:szCs w:val="24"/>
              </w:rPr>
            </w:pPr>
            <w:r>
              <w:rPr>
                <w:szCs w:val="24"/>
              </w:rPr>
              <w:t>8.</w:t>
            </w:r>
          </w:p>
        </w:tc>
        <w:tc>
          <w:tcPr>
            <w:tcW w:w="1418" w:type="dxa"/>
            <w:vAlign w:val="center"/>
          </w:tcPr>
          <w:p w14:paraId="66C2F5E6" w14:textId="77777777">
            <w:pPr>
              <w:jc w:val="center"/>
            </w:pPr>
            <w:r>
              <w:t>XIVP-540(2)</w:t>
            </w:r>
          </w:p>
        </w:tc>
        <w:tc>
          <w:tcPr>
            <w:tcW w:w="4677" w:type="dxa"/>
            <w:vAlign w:val="center"/>
          </w:tcPr>
          <w:p w14:paraId="66C2F5E7" w14:textId="77777777">
            <w:pPr>
              <w:tabs>
                <w:tab w:val="left" w:pos="1029"/>
              </w:tabs>
              <w:ind w:right="51"/>
              <w:jc w:val="both"/>
              <w:rPr>
                <w:szCs w:val="24"/>
                <w:lang w:eastAsia="lt-LT"/>
              </w:rPr>
            </w:pPr>
            <w:r>
              <w:rPr>
                <w:szCs w:val="24"/>
              </w:rPr>
              <w:t>Civilinės būklės aktų registravimo įstatymo Nr. XII-2111 3, 4, 6, 10, 25, 27 straipsnių pakeitimo ir Įstatymo papildymo naujais V(1) ir V(2) skyriais įstatymo projektas</w:t>
            </w:r>
          </w:p>
        </w:tc>
        <w:tc>
          <w:tcPr>
            <w:tcW w:w="2835" w:type="dxa"/>
          </w:tcPr>
          <w:p w14:paraId="66C2F5E8" w14:textId="77777777">
            <w:pPr>
              <w:jc w:val="center"/>
              <w:rPr>
                <w:szCs w:val="24"/>
              </w:rPr>
            </w:pPr>
            <w:r>
              <w:rPr>
                <w:szCs w:val="24"/>
              </w:rPr>
              <w:t>Seimo nariai</w:t>
            </w:r>
          </w:p>
        </w:tc>
      </w:tr>
      <w:tr w14:paraId="66C2F5EF" w14:textId="77777777">
        <w:tc>
          <w:tcPr>
            <w:tcW w:w="704" w:type="dxa"/>
          </w:tcPr>
          <w:p w14:paraId="66C2F5EA" w14:textId="77777777">
            <w:pPr>
              <w:jc w:val="center"/>
              <w:rPr>
                <w:szCs w:val="24"/>
              </w:rPr>
            </w:pPr>
            <w:r>
              <w:rPr>
                <w:szCs w:val="24"/>
              </w:rPr>
              <w:t>9.</w:t>
            </w:r>
          </w:p>
        </w:tc>
        <w:tc>
          <w:tcPr>
            <w:tcW w:w="1418" w:type="dxa"/>
            <w:vAlign w:val="center"/>
          </w:tcPr>
          <w:p w14:paraId="66C2F5EB" w14:textId="77777777">
            <w:pPr>
              <w:jc w:val="center"/>
              <w:rPr>
                <w:szCs w:val="24"/>
              </w:rPr>
            </w:pPr>
            <w:r>
              <w:rPr>
                <w:szCs w:val="24"/>
              </w:rPr>
              <w:t>Neregistruo</w:t>
            </w:r>
          </w:p>
          <w:p w14:paraId="66C2F5EC" w14:textId="77777777">
            <w:pPr>
              <w:jc w:val="center"/>
            </w:pPr>
            <w:r>
              <w:rPr>
                <w:szCs w:val="24"/>
              </w:rPr>
              <w:t>tas</w:t>
            </w:r>
          </w:p>
        </w:tc>
        <w:tc>
          <w:tcPr>
            <w:tcW w:w="4677" w:type="dxa"/>
            <w:vAlign w:val="center"/>
          </w:tcPr>
          <w:p w14:paraId="66C2F5ED" w14:textId="77777777">
            <w:pPr>
              <w:tabs>
                <w:tab w:val="left" w:pos="1029"/>
              </w:tabs>
              <w:ind w:right="51"/>
              <w:jc w:val="both"/>
              <w:rPr>
                <w:szCs w:val="24"/>
                <w:lang w:eastAsia="lt-LT"/>
              </w:rPr>
            </w:pPr>
            <w:r>
              <w:rPr>
                <w:szCs w:val="24"/>
                <w:lang w:eastAsia="lt-LT"/>
              </w:rPr>
              <w:t xml:space="preserve">Lietuvos Respublikos </w:t>
            </w:r>
            <w:r>
              <w:rPr>
                <w:szCs w:val="24"/>
              </w:rPr>
              <w:t>religinių bendruomenių ir bendrijų įstatymo pakeitimo įstatymo projektas</w:t>
            </w:r>
            <w:r>
              <w:rPr>
                <w:rFonts w:ascii="CG Times" w:hAnsi="CG Times"/>
                <w:sz w:val="20"/>
              </w:rPr>
              <w:t xml:space="preserve"> </w:t>
            </w:r>
          </w:p>
        </w:tc>
        <w:tc>
          <w:tcPr>
            <w:tcW w:w="2835" w:type="dxa"/>
          </w:tcPr>
          <w:p w14:paraId="66C2F5EE" w14:textId="77777777">
            <w:pPr>
              <w:jc w:val="center"/>
              <w:rPr>
                <w:szCs w:val="24"/>
              </w:rPr>
            </w:pPr>
            <w:r>
              <w:rPr>
                <w:szCs w:val="24"/>
              </w:rPr>
              <w:t>Seimo nariai</w:t>
            </w:r>
          </w:p>
        </w:tc>
      </w:tr>
    </w:tbl>
    <w:p w14:paraId="66C2F5F0" w14:textId="77777777">
      <w:pPr>
        <w:spacing w:line="360" w:lineRule="auto"/>
        <w:rPr>
          <w:rFonts w:ascii="CG Times" w:hAnsi="CG Times"/>
          <w:szCs w:val="24"/>
        </w:rPr>
      </w:pPr>
    </w:p>
    <w:p w14:paraId="66C2F5F1" w14:textId="77777777">
      <w:pPr>
        <w:spacing w:line="360" w:lineRule="auto"/>
        <w:jc w:val="both"/>
        <w:rPr>
          <w:b/>
          <w:szCs w:val="24"/>
        </w:rPr>
      </w:pPr>
      <w:r>
        <w:rPr>
          <w:b/>
          <w:szCs w:val="24"/>
        </w:rPr>
        <w:t xml:space="preserve">Lietuvos Respublikos Seimo IV (pavasario) sesijos darbų programos prioritetiniais klausimais išskirti: </w:t>
      </w:r>
    </w:p>
    <w:p w14:paraId="66C2F5F2" w14:textId="77777777">
      <w:pPr>
        <w:spacing w:line="360" w:lineRule="auto"/>
        <w:ind w:firstLine="709"/>
        <w:jc w:val="both"/>
        <w:rPr>
          <w:szCs w:val="24"/>
        </w:rPr>
      </w:pPr>
      <w:r>
        <w:rPr>
          <w:i/>
          <w:szCs w:val="24"/>
        </w:rPr>
        <w:t>Lietuvos Respublikos apsaugos nuo smurto artimoje aplinkoje įstatymo Nr. XI-1425 pakeitimo įstatymo projektą (nauja redakcija)</w:t>
      </w:r>
      <w:r>
        <w:rPr>
          <w:szCs w:val="24"/>
        </w:rPr>
        <w:t xml:space="preserve"> XIVP-1056 (4)</w:t>
      </w:r>
      <w:r>
        <w:rPr>
          <w:i/>
          <w:szCs w:val="24"/>
        </w:rPr>
        <w:t xml:space="preserve"> </w:t>
      </w:r>
      <w:r>
        <w:rPr>
          <w:szCs w:val="24"/>
          <w:shd w:val="clear" w:color="auto" w:fill="FFFFFF"/>
        </w:rPr>
        <w:t xml:space="preserve">ir </w:t>
      </w:r>
      <w:r>
        <w:rPr>
          <w:bCs/>
          <w:i/>
          <w:szCs w:val="24"/>
          <w:lang w:eastAsia="lt-LT"/>
        </w:rPr>
        <w:t>Lietuvos Respublikos administracinių nusižengimų kodekso 489 straipsnio pakeitimo</w:t>
      </w:r>
      <w:r>
        <w:rPr>
          <w:i/>
          <w:szCs w:val="24"/>
          <w:lang w:eastAsia="lt-LT"/>
        </w:rPr>
        <w:t xml:space="preserve"> į</w:t>
      </w:r>
      <w:r>
        <w:rPr>
          <w:bCs/>
          <w:i/>
          <w:szCs w:val="24"/>
          <w:lang w:eastAsia="lt-LT"/>
        </w:rPr>
        <w:t>statymo projektą Nr.</w:t>
      </w:r>
      <w:r>
        <w:rPr>
          <w:szCs w:val="24"/>
        </w:rPr>
        <w:t xml:space="preserve"> XIVP-1057 (2). </w:t>
      </w:r>
      <w:r>
        <w:rPr>
          <w:szCs w:val="24"/>
          <w:shd w:val="clear" w:color="auto" w:fill="FFFFFF"/>
        </w:rPr>
        <w:t xml:space="preserve">Projektai svarbūs nustatomomis naujomis priemonėmis, svarbiomis užtikrinant smurtą artimoje aplinkoje patiriančių asmenų apsaugą. Nustatomas apsaugos nuo smurto artimoje aplinkoje orderio institutas, kuris suteiks policijos pareigūnui teisę įpareigoti smurtautoją tam tikram nustatytam laikui išsikelti iš bendrų namų su smurtą patyrusiu asmeniu, nesiartinti prie šio asmens, neieškoti su juo kontaktų. </w:t>
      </w:r>
    </w:p>
    <w:p w14:paraId="66C2F5F3" w14:textId="77777777">
      <w:pPr>
        <w:spacing w:line="360" w:lineRule="auto"/>
        <w:ind w:firstLine="720"/>
        <w:jc w:val="both"/>
        <w:rPr>
          <w:color w:val="FF0000"/>
          <w:szCs w:val="24"/>
        </w:rPr>
      </w:pPr>
      <w:r>
        <w:rPr>
          <w:szCs w:val="24"/>
        </w:rPr>
        <w:t xml:space="preserve">Atsižvelgiant į Lietuvos Respublikos Konstitucinio Teismo doktriną, </w:t>
      </w:r>
      <w:r>
        <w:rPr>
          <w:i/>
          <w:szCs w:val="24"/>
        </w:rPr>
        <w:t xml:space="preserve">Lietuvos Respublikos partnerystės įstatymo projektu, Lietuvos Respublikos civilinio kodekso 2.19, 3.299 straipsnių pakeitimo ir Kodekso 3.230, 3.231, 3.232, 3.233, 3.234, 3.235 straipsnių pripažinimo netekusiais galios įstatymo projektu, Lietuvos Respublikos gyventojų registro įstatymo Nr. I-2237 9 ir 11 straipsnių pakeitimo įstatymo projektu </w:t>
      </w:r>
      <w:r>
        <w:rPr>
          <w:szCs w:val="24"/>
        </w:rPr>
        <w:t xml:space="preserve">ir </w:t>
      </w:r>
      <w:r>
        <w:rPr>
          <w:i/>
          <w:szCs w:val="24"/>
        </w:rPr>
        <w:t xml:space="preserve">Lietuvos Respublikos civilinės būklės aktų registravimo įstatymo Nr. XII-2111 3, 4, 6, 10, 25, 27 straipsnių pakeitimo ir Įstatymo papildymo naujais V(1) ir V(2) skyriais įstatymo projektu </w:t>
      </w:r>
      <w:r>
        <w:rPr>
          <w:szCs w:val="24"/>
        </w:rPr>
        <w:t xml:space="preserve">siekiama teisiškai sureguliuoti ir užtikrinti santuokos nesudariusių, tačiau bendrą gyvenimą kuriančių asmenų </w:t>
      </w:r>
      <w:r>
        <w:rPr>
          <w:bCs/>
          <w:szCs w:val="24"/>
        </w:rPr>
        <w:t>– partnerių –</w:t>
      </w:r>
      <w:r>
        <w:rPr>
          <w:szCs w:val="24"/>
        </w:rPr>
        <w:t xml:space="preserve"> teisių ir teisėtų interesų apsaugą. Priėmus siūlomą teisinį reguliavimą, būtų iš esmės sureguliuoti partnerystės teisiniai santykiai. Įstatymų projektais siūloma sureguliuoti santuokos nesudariusių, tačiau bendrai gyvenančių asmenų tiek turtinius, tiek asmeninius neturtinius tarpusavio santykius, taip pat partnerių turtinius santykius su trečiaisiais asmenimis. Toks teisinis reguliavimas padės fiziniams asmenims išspręsti pagrindines praktines problemas, kylančias partnerių tarpusavio santykiuose, o taip pat partnerių santykiuose su trečiaisiais asmenimis (pavyzdžiui, naudojimas ir disponavimas partneriams priklausančiu bendru turtu, partnerių tarpusavio išlaikymas, paveldėjimas po vieno iš partnerių mirties, susižinojimas sveikatos priežiūros įstaigose ir kita). Šio konstituciškai būtino reguliavimo įtvirtinimas sudarys sąlygas apibrėžti partnerystėje esančių asmenų tarpusavio teises ir pareigas, tokiu būdu apsaugant jų teisėtus lūkesčius ir interesus. </w:t>
      </w:r>
    </w:p>
    <w:p w14:paraId="66C2F5F4" w14:textId="77777777">
      <w:pPr>
        <w:spacing w:line="360" w:lineRule="auto"/>
        <w:ind w:firstLine="720"/>
        <w:jc w:val="both"/>
        <w:rPr>
          <w:szCs w:val="24"/>
        </w:rPr>
      </w:pPr>
      <w:r>
        <w:rPr>
          <w:i/>
          <w:szCs w:val="24"/>
        </w:rPr>
        <w:t xml:space="preserve">Lietuvos Respublikos lygių galimybių įstatymo Nr. IX-1826 pakeitimo įstatymo projektas </w:t>
        <w:br/>
        <w:t>Nr.</w:t>
      </w:r>
      <w:r>
        <w:rPr>
          <w:szCs w:val="24"/>
        </w:rPr>
        <w:t xml:space="preserve"> </w:t>
      </w:r>
      <w:r>
        <w:rPr>
          <w:i/>
          <w:szCs w:val="24"/>
        </w:rPr>
        <w:t>XIIIP-3512</w:t>
      </w:r>
      <w:r>
        <w:rPr>
          <w:szCs w:val="24"/>
        </w:rPr>
        <w:t xml:space="preserve"> (nauja redakcija). Šiuo projektu siekiama tobulinti teisinę bazę, skirtą Lygių galimybių kontrolieriaus tarnybos veiklai efektyvinti, tobulinti skundų nagrinėjimo procedūrą, praplėsti diskriminacijos formų sąrašą, įtvirtinti papildomą apsaugos priemonę diskriminaciją jau patyrusioms aukoms, tobulinti įstatymo straipsnį, nustatantį prekių pardavėjų bei paslaugų teikėjų pareigas lygių galimybių srityje. Šios nuostatos įtraukiamos atsižvelgiant į būtinybę įgyvendinti 2004 m. gruodžio 13 d. Tarybos direktyvos </w:t>
      </w:r>
      <w:fldSimple w:instr="HYPERLINK http://eur-lex.europa.eu/legal-content/LIT/TXT/?uri=CELEX:32004L0113&amp;locale=lt \t _blank">
        <w:r>
          <w:rPr>
            <w:szCs w:val="24"/>
            <w:u w:val="single"/>
            <w:color w:val="0000FF" w:themeColor="hyperlink"/>
          </w:rPr>
          <w:t>2004/113/EB</w:t>
        </w:r>
      </w:fldSimple>
      <w:r>
        <w:rPr>
          <w:szCs w:val="24"/>
        </w:rPr>
        <w:t>, įgyvendinančios vienodo požiūrio į moteris ir vyrus principą dėl galimybės naudotis prekėmis bei paslaugomis ir prekių tiekimo bei paslaugų teikimo nuostatas.</w:t>
      </w:r>
    </w:p>
    <w:p w14:paraId="66C2F5F5" w14:textId="77777777">
      <w:pPr>
        <w:spacing w:line="360" w:lineRule="auto"/>
        <w:ind w:firstLine="720"/>
        <w:jc w:val="both"/>
        <w:rPr>
          <w:szCs w:val="24"/>
        </w:rPr>
      </w:pPr>
      <w:r>
        <w:rPr>
          <w:szCs w:val="24"/>
        </w:rPr>
        <w:t xml:space="preserve">Teisės į minties, sąžinės ir religijos teisės užtikrinimas, lygios žmogaus teisės išpažinti pasirinktą religiją. </w:t>
      </w:r>
      <w:r>
        <w:rPr>
          <w:szCs w:val="24"/>
          <w:lang w:eastAsia="lt-LT"/>
        </w:rPr>
        <w:t xml:space="preserve">Žmogaus teisių komitetas, </w:t>
      </w:r>
      <w:r>
        <w:rPr>
          <w:szCs w:val="24"/>
        </w:rPr>
        <w:t xml:space="preserve">reaguodamas į Europos Žmogaus Teisių Teismo </w:t>
      </w:r>
      <w:r>
        <w:rPr>
          <w:color w:val="000000"/>
          <w:szCs w:val="24"/>
          <w:shd w:val="clear" w:color="auto" w:fill="FFFFFF"/>
        </w:rPr>
        <w:t xml:space="preserve">2021 m. birželio 8 d. paskelbtą sprendimą </w:t>
      </w:r>
      <w:r>
        <w:rPr>
          <w:szCs w:val="24"/>
        </w:rPr>
        <w:t xml:space="preserve">bei Lietuvos Respublikos Konstitucinio Teismo </w:t>
      </w:r>
      <w:r>
        <w:rPr>
          <w:color w:val="000000"/>
          <w:szCs w:val="24"/>
          <w:shd w:val="clear" w:color="auto" w:fill="FFFFFF"/>
        </w:rPr>
        <w:t>2021 rugsėjo 7 d. priimtą nutarimą</w:t>
      </w:r>
      <w:r>
        <w:rPr>
          <w:szCs w:val="24"/>
        </w:rPr>
        <w:t>, atsižvelgdamas į esamą Lietuvos Respublikos Seimo narių nuomonių įvairovę dėl valstybės pripažinimo suteikimo religinėms bendrijoms principų ir tikslingumo, pasiūlė Lietuvos Respublikos Seimo Seniūnių sueigai įtraukti į Lietuvos Respublikos Seimo plenarinį posėdį diskusiją minties, sąžinės ir religijos laisvės kontekste, kurioje bus aptarti teisiniai bei istoriniai valstybės pripažinimo suteikimo religinėms bendrijoms aspektai</w:t>
      </w:r>
      <w:r>
        <w:rPr>
          <w:szCs w:val="24"/>
          <w:lang w:eastAsia="lt-LT"/>
        </w:rPr>
        <w:t xml:space="preserve"> (pavyzdžiui, Senovės baltų religinės bendrijos „Romuva“ atvejis)</w:t>
      </w:r>
      <w:r>
        <w:rPr>
          <w:szCs w:val="24"/>
        </w:rPr>
        <w:t xml:space="preserve">. Diskusijos tikslas – suteikti galimybę Seimo nariams susidaryti objektyvią nuomonę apie teisines valstybės pripažinimo suteikimo konkrečiai religinei bendrijai prielaidas ir principus – tai padėtų išvengti abejonių dėl galimai klaidinančių interpretacijų. Diskusijoje dalyvaus Lietuvos Respublikos Konstitucinio Teismo teisėjas prof. dr. (HP) Vytautas Mizaras, Lietuvos Respublikos Vyriausybės atstovė Europos Žmogaus teisių Teisme Karolina Bubnytė-Širmenė ir religijotyrininkė prof. dr. Milda Ališauskienė. Taip pat </w:t>
      </w:r>
      <w:r>
        <w:rPr>
          <w:lang w:eastAsia="lt-LT"/>
        </w:rPr>
        <w:t>Žmogaus teisių komitetas priėmė sprendimą kreiptis į Lietuvos Respublikos Seimo valdybą</w:t>
      </w:r>
      <w:r>
        <w:rPr>
          <w:szCs w:val="24"/>
        </w:rPr>
        <w:t xml:space="preserve"> su pasiūlymu įsteigti formalią darbo grupę dėl Lietuvos Respublikos religinių bendrijų ir bendruomenių įstatymo peržiūros.</w:t>
      </w:r>
    </w:p>
    <w:p w14:paraId="66C2F5F6" w14:textId="77777777">
      <w:pPr>
        <w:spacing w:line="360" w:lineRule="auto"/>
        <w:jc w:val="both"/>
        <w:rPr>
          <w:color w:val="000000"/>
          <w:szCs w:val="24"/>
          <w:shd w:val="clear" w:color="auto" w:fill="FFFFFF"/>
        </w:rPr>
      </w:pPr>
    </w:p>
    <w:p w14:paraId="66C2F5F7" w14:textId="77777777">
      <w:pPr>
        <w:spacing w:line="360" w:lineRule="auto"/>
        <w:rPr>
          <w:szCs w:val="24"/>
        </w:rPr>
      </w:pPr>
    </w:p>
    <w:p w14:paraId="66C2F5F8" w14:textId="77777777">
      <w:pPr>
        <w:spacing w:line="360" w:lineRule="auto"/>
        <w:rPr>
          <w:szCs w:val="24"/>
        </w:rPr>
      </w:pPr>
      <w:r>
        <w:rPr>
          <w:szCs w:val="24"/>
        </w:rPr>
        <w:t xml:space="preserve">Komiteto pirmininkas </w:t>
        <w:tab/>
        <w:tab/>
        <w:tab/>
        <w:tab/>
        <w:tab/>
        <w:tab/>
        <w:t>Tomas Vytautas Raskevičius</w:t>
      </w:r>
    </w:p>
    <w:p w14:paraId="66C2F5F9" w14:textId="77777777">
      <w:pPr>
        <w:jc w:val="both"/>
        <w:rPr>
          <w:b/>
          <w:szCs w:val="24"/>
        </w:rPr>
      </w:pPr>
    </w:p>
    <w:p w14:paraId="66C2F5FA" w14:textId="77777777">
      <w:pPr>
        <w:rPr>
          <w:sz w:val="22"/>
          <w:szCs w:val="22"/>
        </w:rPr>
      </w:pPr>
    </w:p>
    <w:p w14:paraId="66C2F5FB" w14:textId="77777777">
      <w:pPr>
        <w:rPr>
          <w:sz w:val="22"/>
          <w:szCs w:val="22"/>
        </w:rPr>
      </w:pPr>
    </w:p>
    <w:p w14:paraId="66C2F5FC" w14:textId="77777777">
      <w:pPr>
        <w:rPr>
          <w:sz w:val="22"/>
          <w:szCs w:val="22"/>
        </w:rPr>
      </w:pPr>
    </w:p>
    <w:p w14:paraId="66C2F5FD" w14:textId="77777777">
      <w:pPr>
        <w:rPr>
          <w:sz w:val="22"/>
          <w:szCs w:val="22"/>
        </w:rPr>
      </w:pPr>
    </w:p>
    <w:p w14:paraId="66C2F5FE" w14:textId="77777777">
      <w:pPr>
        <w:rPr>
          <w:sz w:val="22"/>
          <w:szCs w:val="22"/>
        </w:rPr>
      </w:pPr>
    </w:p>
    <w:p w14:paraId="66C2F5FF" w14:textId="77777777">
      <w:pPr>
        <w:rPr>
          <w:sz w:val="22"/>
          <w:szCs w:val="22"/>
        </w:rPr>
      </w:pPr>
    </w:p>
    <w:p w14:paraId="66C2F600" w14:textId="77777777">
      <w:pPr>
        <w:rPr>
          <w:sz w:val="22"/>
          <w:szCs w:val="22"/>
        </w:rPr>
      </w:pPr>
    </w:p>
    <w:p w14:paraId="66C2F601" w14:textId="77777777">
      <w:pPr>
        <w:rPr>
          <w:sz w:val="22"/>
          <w:szCs w:val="22"/>
        </w:rPr>
      </w:pPr>
    </w:p>
    <w:p w14:paraId="66C2F602" w14:textId="77777777">
      <w:pPr>
        <w:rPr>
          <w:sz w:val="22"/>
          <w:szCs w:val="22"/>
        </w:rPr>
      </w:pPr>
    </w:p>
    <w:p w14:paraId="66C2F603" w14:textId="77777777">
      <w:pPr>
        <w:rPr>
          <w:sz w:val="22"/>
          <w:szCs w:val="22"/>
        </w:rPr>
      </w:pPr>
    </w:p>
    <w:p w14:paraId="66C2F604" w14:textId="77777777">
      <w:pPr>
        <w:rPr>
          <w:sz w:val="22"/>
          <w:szCs w:val="22"/>
        </w:rPr>
      </w:pPr>
    </w:p>
    <w:p w14:paraId="66C2F605" w14:textId="77777777">
      <w:pPr>
        <w:rPr>
          <w:sz w:val="22"/>
          <w:szCs w:val="22"/>
        </w:rPr>
      </w:pPr>
    </w:p>
    <w:p w14:paraId="66C2F606" w14:textId="77777777">
      <w:pPr>
        <w:rPr>
          <w:sz w:val="22"/>
          <w:szCs w:val="22"/>
        </w:rPr>
      </w:pPr>
    </w:p>
    <w:p w14:paraId="66C2F607" w14:textId="77777777">
      <w:pPr>
        <w:rPr>
          <w:sz w:val="22"/>
          <w:szCs w:val="22"/>
        </w:rPr>
      </w:pPr>
    </w:p>
    <w:p w14:paraId="66C2F608" w14:textId="77777777">
      <w:pPr>
        <w:rPr>
          <w:sz w:val="22"/>
          <w:szCs w:val="22"/>
        </w:rPr>
      </w:pPr>
    </w:p>
    <w:p w14:paraId="66C2F609" w14:textId="77777777">
      <w:pPr>
        <w:rPr>
          <w:sz w:val="22"/>
          <w:szCs w:val="22"/>
        </w:rPr>
      </w:pPr>
    </w:p>
    <w:p w14:paraId="66C2F60A" w14:textId="77777777">
      <w:pPr>
        <w:rPr>
          <w:sz w:val="22"/>
          <w:szCs w:val="22"/>
        </w:rPr>
      </w:pPr>
    </w:p>
    <w:p w14:paraId="66C2F60B" w14:textId="77777777">
      <w:pPr>
        <w:rPr>
          <w:sz w:val="22"/>
          <w:szCs w:val="22"/>
        </w:rPr>
      </w:pPr>
    </w:p>
    <w:p w14:paraId="66C2F60C" w14:textId="77777777">
      <w:pPr>
        <w:rPr>
          <w:sz w:val="22"/>
          <w:szCs w:val="22"/>
        </w:rPr>
      </w:pPr>
    </w:p>
    <w:p w14:paraId="66C2F60D" w14:textId="77777777">
      <w:pPr>
        <w:rPr>
          <w:sz w:val="22"/>
          <w:szCs w:val="22"/>
        </w:rPr>
      </w:pPr>
    </w:p>
    <w:p w14:paraId="66C2F60E" w14:textId="77777777">
      <w:pPr>
        <w:rPr>
          <w:sz w:val="22"/>
          <w:szCs w:val="22"/>
        </w:rPr>
      </w:pPr>
    </w:p>
    <w:p w14:paraId="66C2F60F" w14:textId="77777777">
      <w:pPr>
        <w:rPr>
          <w:sz w:val="22"/>
          <w:szCs w:val="22"/>
        </w:rPr>
      </w:pPr>
    </w:p>
    <w:p w14:paraId="66C2F610" w14:textId="77777777">
      <w:pPr>
        <w:rPr>
          <w:sz w:val="22"/>
          <w:szCs w:val="22"/>
        </w:rPr>
      </w:pPr>
    </w:p>
    <w:p w14:paraId="66C2F611" w14:textId="77777777">
      <w:pPr>
        <w:rPr>
          <w:sz w:val="22"/>
          <w:szCs w:val="22"/>
        </w:rPr>
      </w:pPr>
      <w:r>
        <w:rPr>
          <w:sz w:val="22"/>
          <w:szCs w:val="22"/>
        </w:rPr>
        <w:t xml:space="preserve">Jolanta Savickienė, tel. 239 6808, el. p. </w:t>
      </w:r>
      <w:r>
        <w:rPr>
          <w:color w:val="0000FF"/>
          <w:sz w:val="22"/>
          <w:szCs w:val="22"/>
          <w:u w:val="single"/>
        </w:rPr>
        <w:t>jolanta.savickiene@lrs.lt</w:t>
      </w:r>
    </w:p>
    <w:p w14:paraId="66C2F612" w14:textId="77777777">
      <w:pPr>
        <w:rPr>
          <w:sz w:val="22"/>
          <w:szCs w:val="22"/>
        </w:rPr>
      </w:pPr>
      <w:r>
        <w:rPr>
          <w:sz w:val="22"/>
          <w:szCs w:val="22"/>
        </w:rPr>
        <w:t xml:space="preserve">Ingrida Aidietienė, tel. 239 6810,  el. p. </w:t>
      </w:r>
      <w:r>
        <w:rPr>
          <w:color w:val="0000FF"/>
          <w:sz w:val="22"/>
          <w:szCs w:val="22"/>
          <w:u w:val="single"/>
        </w:rPr>
        <w:t>ingrida.aidietiene@lrs.lt</w:t>
      </w:r>
    </w:p>
    <w:sectPr>
      <w:footerReference w:type="default" r:id="rId17"/>
      <w:type w:val="continuous"/>
      <w:pgSz w:w="11907" w:h="16834" w:code="9"/>
      <w:pgMar w:top="1134" w:right="425" w:bottom="1134" w:left="1701" w:header="680" w:footer="680" w:gutter="0"/>
      <w:cols w:space="1296"/>
      <w:formProt w:val="0"/>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2F617" w14:textId="77777777">
      <w:pPr>
        <w:rPr>
          <w:rFonts w:ascii="CG Times" w:hAnsi="CG Times"/>
          <w:sz w:val="20"/>
        </w:rPr>
      </w:pPr>
      <w:r>
        <w:rPr>
          <w:rFonts w:ascii="CG Times" w:hAnsi="CG Times"/>
          <w:sz w:val="20"/>
        </w:rPr>
        <w:separator/>
      </w:r>
    </w:p>
  </w:endnote>
  <w:endnote w:type="continuationSeparator" w:id="0">
    <w:p w14:paraId="66C2F618" w14:textId="77777777">
      <w:pPr>
        <w:rPr>
          <w:rFonts w:ascii="CG Times" w:hAnsi="CG Times"/>
          <w:sz w:val="20"/>
        </w:rPr>
      </w:pPr>
      <w:r>
        <w:rPr>
          <w:rFonts w:ascii="CG Times" w:hAnsi="CG Times"/>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F61D" w14:textId="77777777">
    <w:pPr>
      <w:framePr w:wrap="auto" w:vAnchor="text" w:hAnchor="margin" w:xAlign="center" w:y="1"/>
      <w:tabs>
        <w:tab w:val="center" w:pos="4320"/>
        <w:tab w:val="right" w:pos="8640"/>
      </w:tabs>
      <w:rPr>
        <w:rFonts w:ascii="CG Times" w:hAnsi="CG Times"/>
        <w:sz w:val="20"/>
      </w:rPr>
    </w:pPr>
    <w:r>
      <w:rPr>
        <w:rFonts w:ascii="CG Times" w:hAnsi="CG Times"/>
        <w:sz w:val="20"/>
      </w:rPr>
      <w:fldChar w:fldCharType="begin"/>
    </w:r>
    <w:r>
      <w:rPr>
        <w:rFonts w:ascii="CG Times" w:hAnsi="CG Times"/>
        <w:sz w:val="20"/>
      </w:rPr>
      <w:instrText xml:space="preserve">PAGE  </w:instrText>
    </w:r>
    <w:r>
      <w:rPr>
        <w:rFonts w:ascii="CG Times" w:hAnsi="CG Times"/>
        <w:sz w:val="20"/>
      </w:rPr>
      <w:fldChar w:fldCharType="separate"/>
    </w:r>
    <w:r>
      <w:rPr>
        <w:rFonts w:ascii="CG Times" w:hAnsi="CG Times"/>
        <w:sz w:val="20"/>
      </w:rPr>
      <w:t>1</w:t>
    </w:r>
    <w:r>
      <w:rPr>
        <w:rFonts w:ascii="CG Times" w:hAnsi="CG Times"/>
        <w:sz w:val="20"/>
      </w:rPr>
      <w:fldChar w:fldCharType="end"/>
    </w:r>
  </w:p>
  <w:p w14:paraId="66C2F61E" w14:textId="77777777">
    <w:pPr>
      <w:tabs>
        <w:tab w:val="center" w:pos="4320"/>
        <w:tab w:val="right" w:pos="8640"/>
      </w:tabs>
      <w:rPr>
        <w:rFonts w:ascii="CG Times" w:hAnsi="CG Times"/>
        <w:sz w:val="20"/>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3DFD9" w14:textId="77777777">
    <w:pPr>
      <w:tabs>
        <w:tab w:val="center" w:pos="4320"/>
        <w:tab w:val="right" w:pos="8640"/>
      </w:tabs>
      <w:rPr>
        <w:rFonts w:ascii="CG Times" w:hAnsi="CG Times"/>
        <w:sz w:val="20"/>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0581" w14:textId="77777777">
    <w:pPr>
      <w:tabs>
        <w:tab w:val="center" w:pos="4320"/>
        <w:tab w:val="right" w:pos="8640"/>
      </w:tabs>
      <w:rPr>
        <w:rFonts w:ascii="CG Times" w:hAnsi="CG Times"/>
        <w:sz w:val="20"/>
      </w:rPr>
    </w:pP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F61F" w14:textId="77777777">
    <w:pPr>
      <w:tabs>
        <w:tab w:val="center" w:pos="4320"/>
        <w:tab w:val="right" w:pos="8640"/>
      </w:tabs>
      <w:rPr>
        <w:rFonts w:ascii="CG Times" w:hAnsi="CG Times"/>
        <w:sz w:val="20"/>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2F615" w14:textId="77777777">
      <w:pPr>
        <w:rPr>
          <w:rFonts w:ascii="CG Times" w:hAnsi="CG Times"/>
          <w:sz w:val="20"/>
        </w:rPr>
      </w:pPr>
      <w:r>
        <w:rPr>
          <w:rFonts w:ascii="CG Times" w:hAnsi="CG Times"/>
          <w:sz w:val="20"/>
        </w:rPr>
        <w:separator/>
      </w:r>
    </w:p>
  </w:footnote>
  <w:footnote w:type="continuationSeparator" w:id="0">
    <w:p w14:paraId="66C2F616" w14:textId="77777777">
      <w:pPr>
        <w:rPr>
          <w:rFonts w:ascii="CG Times" w:hAnsi="CG Times"/>
          <w:sz w:val="20"/>
        </w:rPr>
      </w:pPr>
      <w:r>
        <w:rPr>
          <w:rFonts w:ascii="CG Times" w:hAnsi="CG Times"/>
          <w:sz w:val="20"/>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F619" w14:textId="77777777">
    <w:pPr>
      <w:framePr w:wrap="auto" w:vAnchor="text" w:hAnchor="margin" w:xAlign="center" w:y="1"/>
      <w:tabs>
        <w:tab w:val="center" w:pos="4320"/>
        <w:tab w:val="right" w:pos="8640"/>
      </w:tabs>
      <w:rPr>
        <w:rFonts w:ascii="CG Times" w:hAnsi="CG Times"/>
        <w:sz w:val="20"/>
      </w:rPr>
    </w:pPr>
    <w:r>
      <w:rPr>
        <w:rFonts w:ascii="CG Times" w:hAnsi="CG Times"/>
        <w:sz w:val="20"/>
      </w:rPr>
      <w:fldChar w:fldCharType="begin"/>
    </w:r>
    <w:r>
      <w:rPr>
        <w:rFonts w:ascii="CG Times" w:hAnsi="CG Times"/>
        <w:sz w:val="20"/>
      </w:rPr>
      <w:instrText xml:space="preserve">PAGE  </w:instrText>
    </w:r>
    <w:r>
      <w:rPr>
        <w:rFonts w:ascii="CG Times" w:hAnsi="CG Times"/>
        <w:sz w:val="20"/>
      </w:rPr>
      <w:fldChar w:fldCharType="end"/>
    </w:r>
  </w:p>
  <w:p w14:paraId="66C2F61A" w14:textId="77777777">
    <w:pPr>
      <w:tabs>
        <w:tab w:val="center" w:pos="4320"/>
        <w:tab w:val="right" w:pos="8640"/>
      </w:tabs>
      <w:rPr>
        <w:rFonts w:ascii="CG Times" w:hAnsi="CG Times"/>
        <w:sz w:val="20"/>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F61B" w14:textId="77777777">
    <w:pPr>
      <w:framePr w:wrap="auto" w:vAnchor="text" w:hAnchor="margin" w:xAlign="center" w:y="1"/>
      <w:tabs>
        <w:tab w:val="center" w:pos="4320"/>
        <w:tab w:val="right" w:pos="8640"/>
      </w:tabs>
      <w:rPr>
        <w:rFonts w:ascii="CG Times" w:hAnsi="CG Times"/>
        <w:sz w:val="20"/>
      </w:rPr>
    </w:pPr>
    <w:r>
      <w:rPr>
        <w:rFonts w:ascii="CG Times" w:hAnsi="CG Times"/>
        <w:sz w:val="20"/>
      </w:rPr>
      <w:fldChar w:fldCharType="begin"/>
    </w:r>
    <w:r>
      <w:rPr>
        <w:rFonts w:ascii="CG Times" w:hAnsi="CG Times"/>
        <w:sz w:val="20"/>
      </w:rPr>
      <w:instrText xml:space="preserve">PAGE  </w:instrText>
    </w:r>
    <w:r>
      <w:rPr>
        <w:rFonts w:ascii="CG Times" w:hAnsi="CG Times"/>
        <w:sz w:val="20"/>
      </w:rPr>
      <w:fldChar w:fldCharType="separate"/>
    </w:r>
    <w:r>
      <w:rPr>
        <w:rFonts w:ascii="CG Times" w:hAnsi="CG Times"/>
        <w:sz w:val="20"/>
      </w:rPr>
      <w:t>2</w:t>
    </w:r>
    <w:r>
      <w:rPr>
        <w:rFonts w:ascii="CG Times" w:hAnsi="CG Times"/>
        <w:sz w:val="20"/>
      </w:rPr>
      <w:fldChar w:fldCharType="end"/>
    </w:r>
  </w:p>
  <w:p w14:paraId="66C2F61C" w14:textId="77777777">
    <w:pPr>
      <w:tabs>
        <w:tab w:val="center" w:pos="4320"/>
        <w:tab w:val="right" w:pos="8640"/>
      </w:tabs>
      <w:rPr>
        <w:rFonts w:ascii="CG Times" w:hAnsi="CG Times"/>
        <w:sz w:val="20"/>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7CFD" w14:textId="77777777">
    <w:pPr>
      <w:tabs>
        <w:tab w:val="center" w:pos="4320"/>
        <w:tab w:val="right" w:pos="8640"/>
      </w:tabs>
      <w:rPr>
        <w:rFonts w:ascii="CG Times" w:hAnsi="CG Times"/>
        <w:sz w:val="20"/>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revisionView w:inkAnnotation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6C2F5A8"/>
  <w15:chartTrackingRefBased/>
  <w15:docId w15:val="{68FBD9BE-40E7-4E7C-A0DD-12700C9D3AC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40862376">
      <w:bodyDiv w:val="1"/>
      <w:marLeft w:val="0"/>
      <w:marRight w:val="0"/>
      <w:marTop w:val="0"/>
      <w:marBottom w:val="0"/>
      <w:divBdr>
        <w:top w:val="none" w:sz="0" w:space="0" w:color="auto"/>
        <w:left w:val="none" w:sz="0" w:space="0" w:color="auto"/>
        <w:bottom w:val="none" w:sz="0" w:space="0" w:color="auto"/>
        <w:right w:val="none" w:sz="0" w:space="0" w:color="auto"/>
      </w:divBdr>
    </w:div>
    <w:div w:id="1788229626">
      <w:bodyDiv w:val="1"/>
      <w:marLeft w:val="0"/>
      <w:marRight w:val="0"/>
      <w:marTop w:val="0"/>
      <w:marBottom w:val="0"/>
      <w:divBdr>
        <w:top w:val="none" w:sz="0" w:space="0" w:color="auto"/>
        <w:left w:val="none" w:sz="0" w:space="0" w:color="auto"/>
        <w:bottom w:val="none" w:sz="0" w:space="0" w:color="auto"/>
        <w:right w:val="none" w:sz="0" w:space="0" w:color="auto"/>
      </w:divBdr>
    </w:div>
    <w:div w:id="1788498837">
      <w:bodyDiv w:val="1"/>
      <w:marLeft w:val="0"/>
      <w:marRight w:val="0"/>
      <w:marTop w:val="0"/>
      <w:marBottom w:val="0"/>
      <w:divBdr>
        <w:top w:val="none" w:sz="0" w:space="0" w:color="auto"/>
        <w:left w:val="none" w:sz="0" w:space="0" w:color="auto"/>
        <w:bottom w:val="none" w:sz="0" w:space="0" w:color="auto"/>
        <w:right w:val="none" w:sz="0" w:space="0" w:color="auto"/>
      </w:divBdr>
    </w:div>
    <w:div w:id="18092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861</Words>
  <Characters>6357</Characters>
  <Application>Microsoft Office Word</Application>
  <DocSecurity>4</DocSecurity>
  <Lines>181</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Vilnius</vt:lpstr>
      <vt:lpstr>Vilnius</vt:lpstr>
    </vt:vector>
  </TitlesOfParts>
  <Company>LR Seimas</Company>
  <LinksUpToDate>false</LinksUpToDate>
  <CharactersWithSpaces>7150</CharactersWithSpaces>
  <SharedDoc>false</SharedDoc>
  <HyperlinkBase/>
  <HLinks>
    <vt:vector size="6" baseType="variant">
      <vt:variant>
        <vt:i4>393270</vt:i4>
      </vt:variant>
      <vt:variant>
        <vt:i4>0</vt:i4>
      </vt:variant>
      <vt:variant>
        <vt:i4>0</vt:i4>
      </vt:variant>
      <vt:variant>
        <vt:i4>5</vt:i4>
      </vt:variant>
      <vt:variant>
        <vt:lpwstr>mailto:zmteiskt@lrs.lt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2022-03-07T09:38:00Z</dcterms:created>
  <dc:creator>„Windows“ vartotojas</dc:creator>
  <lastModifiedBy>adlibuser</lastModifiedBy>
  <lastPrinted>2020-08-18T10:51:00Z</lastPrinted>
  <dcterms:modified xsi:type="dcterms:W3CDTF">2022-03-07T09:38:00Z</dcterms:modified>
  <revision>2</revision>
  <dc:title>Vilnius</dc:title>
</coreProperties>
</file>